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2F173F" w14:textId="55CC18FE" w:rsidR="00936971" w:rsidRDefault="00936971" w:rsidP="002B5C55">
      <w:pPr>
        <w:spacing w:after="0" w:line="480" w:lineRule="auto"/>
        <w:jc w:val="center"/>
        <w:rPr>
          <w:rFonts w:ascii="Arial" w:hAnsi="Arial" w:cs="Arial"/>
          <w:sz w:val="24"/>
          <w:szCs w:val="24"/>
        </w:rPr>
      </w:pPr>
      <w:r>
        <w:rPr>
          <w:rFonts w:ascii="Arial" w:hAnsi="Arial" w:cs="Arial"/>
          <w:sz w:val="24"/>
          <w:szCs w:val="24"/>
        </w:rPr>
        <w:t>UNIVERSITY OF OKLAHOMA</w:t>
      </w:r>
    </w:p>
    <w:p w14:paraId="11E799B9" w14:textId="6BCD725A" w:rsidR="00936971" w:rsidRDefault="00936971" w:rsidP="002B5C55">
      <w:pPr>
        <w:spacing w:after="0" w:line="480" w:lineRule="auto"/>
        <w:jc w:val="center"/>
        <w:rPr>
          <w:rFonts w:ascii="Arial" w:hAnsi="Arial" w:cs="Arial"/>
          <w:sz w:val="24"/>
          <w:szCs w:val="24"/>
        </w:rPr>
      </w:pPr>
      <w:r>
        <w:rPr>
          <w:rFonts w:ascii="Arial" w:hAnsi="Arial" w:cs="Arial"/>
          <w:sz w:val="24"/>
          <w:szCs w:val="24"/>
        </w:rPr>
        <w:t>GRADUATE COLLEGE</w:t>
      </w:r>
    </w:p>
    <w:p w14:paraId="21B1A44F" w14:textId="5785D794" w:rsidR="00936971" w:rsidRDefault="00936971" w:rsidP="00936971">
      <w:pPr>
        <w:spacing w:after="0" w:line="480" w:lineRule="auto"/>
        <w:jc w:val="center"/>
        <w:rPr>
          <w:rFonts w:ascii="Arial" w:hAnsi="Arial" w:cs="Arial"/>
          <w:sz w:val="24"/>
          <w:szCs w:val="24"/>
        </w:rPr>
      </w:pPr>
    </w:p>
    <w:p w14:paraId="44AC2EAB" w14:textId="77777777" w:rsidR="00936971" w:rsidRDefault="00936971" w:rsidP="002B5C55">
      <w:pPr>
        <w:spacing w:after="0" w:line="480" w:lineRule="auto"/>
        <w:jc w:val="center"/>
        <w:rPr>
          <w:rFonts w:ascii="Arial" w:hAnsi="Arial" w:cs="Arial"/>
          <w:sz w:val="24"/>
          <w:szCs w:val="24"/>
        </w:rPr>
      </w:pPr>
    </w:p>
    <w:p w14:paraId="5F876787" w14:textId="77777777" w:rsidR="00936971" w:rsidRDefault="00936971" w:rsidP="002B5C55">
      <w:pPr>
        <w:spacing w:after="0" w:line="480" w:lineRule="auto"/>
        <w:jc w:val="center"/>
        <w:rPr>
          <w:rFonts w:ascii="Arial" w:hAnsi="Arial" w:cs="Arial"/>
          <w:sz w:val="24"/>
          <w:szCs w:val="24"/>
        </w:rPr>
      </w:pPr>
    </w:p>
    <w:p w14:paraId="7FA98EF3" w14:textId="2DC16BD0" w:rsidR="00936971" w:rsidRDefault="00936971" w:rsidP="005A0091">
      <w:pPr>
        <w:spacing w:after="0" w:line="480" w:lineRule="auto"/>
        <w:jc w:val="center"/>
        <w:rPr>
          <w:rFonts w:ascii="Arial" w:hAnsi="Arial" w:cs="Arial"/>
          <w:sz w:val="24"/>
          <w:szCs w:val="24"/>
        </w:rPr>
      </w:pPr>
      <w:r w:rsidRPr="0039315C">
        <w:rPr>
          <w:rFonts w:ascii="Arial" w:hAnsi="Arial" w:cs="Arial"/>
          <w:sz w:val="24"/>
          <w:szCs w:val="24"/>
        </w:rPr>
        <w:t xml:space="preserve">DEVELOPMENT AND CHARACTERIZATION OF INJECTABLE BIOCOMPATIBLE HYALURONIC ACID HYDROGELS FOR </w:t>
      </w:r>
      <w:r w:rsidR="00A7723D">
        <w:rPr>
          <w:rFonts w:ascii="Arial" w:hAnsi="Arial" w:cs="Arial"/>
          <w:sz w:val="24"/>
          <w:szCs w:val="24"/>
        </w:rPr>
        <w:t xml:space="preserve">POTENTIAL </w:t>
      </w:r>
      <w:r w:rsidRPr="0039315C">
        <w:rPr>
          <w:rFonts w:ascii="Arial" w:hAnsi="Arial" w:cs="Arial"/>
          <w:sz w:val="24"/>
          <w:szCs w:val="24"/>
        </w:rPr>
        <w:t>BRAIN ANEURYSM BLOCKAGE AND VASCULAR REGENERATION.</w:t>
      </w:r>
    </w:p>
    <w:p w14:paraId="5FB076C4" w14:textId="6AE689D3" w:rsidR="00936971" w:rsidRDefault="00936971" w:rsidP="00936971">
      <w:pPr>
        <w:spacing w:after="0" w:line="480" w:lineRule="auto"/>
        <w:jc w:val="center"/>
        <w:rPr>
          <w:rFonts w:ascii="Arial" w:hAnsi="Arial" w:cs="Arial"/>
          <w:sz w:val="24"/>
          <w:szCs w:val="24"/>
        </w:rPr>
      </w:pPr>
    </w:p>
    <w:p w14:paraId="294250AD" w14:textId="41FE597D" w:rsidR="00936971" w:rsidRDefault="00936971" w:rsidP="00936971">
      <w:pPr>
        <w:spacing w:after="0" w:line="480" w:lineRule="auto"/>
        <w:jc w:val="center"/>
        <w:rPr>
          <w:rFonts w:ascii="Arial" w:hAnsi="Arial" w:cs="Arial"/>
          <w:sz w:val="24"/>
          <w:szCs w:val="24"/>
        </w:rPr>
      </w:pPr>
    </w:p>
    <w:p w14:paraId="55BBE83A" w14:textId="27A61D6B" w:rsidR="00936971" w:rsidRDefault="00936971" w:rsidP="00936971">
      <w:pPr>
        <w:spacing w:after="0" w:line="480" w:lineRule="auto"/>
        <w:jc w:val="center"/>
        <w:rPr>
          <w:rFonts w:ascii="Arial" w:hAnsi="Arial" w:cs="Arial"/>
          <w:sz w:val="24"/>
          <w:szCs w:val="24"/>
        </w:rPr>
      </w:pPr>
    </w:p>
    <w:p w14:paraId="2AC35383" w14:textId="187B7833" w:rsidR="00936971" w:rsidRDefault="00936971" w:rsidP="00936971">
      <w:pPr>
        <w:spacing w:after="0" w:line="480" w:lineRule="auto"/>
        <w:jc w:val="center"/>
        <w:rPr>
          <w:rFonts w:ascii="Arial" w:hAnsi="Arial" w:cs="Arial"/>
          <w:sz w:val="24"/>
          <w:szCs w:val="24"/>
        </w:rPr>
      </w:pPr>
    </w:p>
    <w:p w14:paraId="4239AEAB" w14:textId="66A29E9D" w:rsidR="00936971" w:rsidRDefault="00936971" w:rsidP="00936971">
      <w:pPr>
        <w:spacing w:after="0" w:line="480" w:lineRule="auto"/>
        <w:jc w:val="center"/>
        <w:rPr>
          <w:rFonts w:ascii="Arial" w:hAnsi="Arial" w:cs="Arial"/>
          <w:sz w:val="24"/>
          <w:szCs w:val="24"/>
        </w:rPr>
      </w:pPr>
      <w:r>
        <w:rPr>
          <w:rFonts w:ascii="Arial" w:hAnsi="Arial" w:cs="Arial"/>
          <w:sz w:val="24"/>
          <w:szCs w:val="24"/>
        </w:rPr>
        <w:t>A THESIS</w:t>
      </w:r>
    </w:p>
    <w:p w14:paraId="07ABD02B" w14:textId="379274EB" w:rsidR="00936971" w:rsidRDefault="00936971" w:rsidP="00936971">
      <w:pPr>
        <w:spacing w:after="0" w:line="480" w:lineRule="auto"/>
        <w:jc w:val="center"/>
        <w:rPr>
          <w:rFonts w:ascii="Arial" w:hAnsi="Arial" w:cs="Arial"/>
          <w:sz w:val="24"/>
          <w:szCs w:val="24"/>
        </w:rPr>
      </w:pPr>
      <w:r>
        <w:rPr>
          <w:rFonts w:ascii="Arial" w:hAnsi="Arial" w:cs="Arial"/>
          <w:sz w:val="24"/>
          <w:szCs w:val="24"/>
        </w:rPr>
        <w:t>SUBMITTED TO THE GRADUATE FACULTY</w:t>
      </w:r>
    </w:p>
    <w:p w14:paraId="089C34C4" w14:textId="1E988777" w:rsidR="00936971" w:rsidRDefault="00936971" w:rsidP="00936971">
      <w:pPr>
        <w:spacing w:after="0" w:line="480" w:lineRule="auto"/>
        <w:jc w:val="center"/>
        <w:rPr>
          <w:rFonts w:ascii="Arial" w:hAnsi="Arial" w:cs="Arial"/>
          <w:sz w:val="24"/>
          <w:szCs w:val="24"/>
        </w:rPr>
      </w:pPr>
      <w:r>
        <w:rPr>
          <w:rFonts w:ascii="Arial" w:hAnsi="Arial" w:cs="Arial"/>
          <w:sz w:val="24"/>
          <w:szCs w:val="24"/>
        </w:rPr>
        <w:t xml:space="preserve">in partial fulfillment of the requirements for the </w:t>
      </w:r>
    </w:p>
    <w:p w14:paraId="5C919727" w14:textId="3F893049" w:rsidR="00936971" w:rsidRDefault="00936971" w:rsidP="00936971">
      <w:pPr>
        <w:spacing w:after="0" w:line="480" w:lineRule="auto"/>
        <w:jc w:val="center"/>
        <w:rPr>
          <w:rFonts w:ascii="Arial" w:hAnsi="Arial" w:cs="Arial"/>
          <w:sz w:val="24"/>
          <w:szCs w:val="24"/>
        </w:rPr>
      </w:pPr>
      <w:r>
        <w:rPr>
          <w:rFonts w:ascii="Arial" w:hAnsi="Arial" w:cs="Arial"/>
          <w:sz w:val="24"/>
          <w:szCs w:val="24"/>
        </w:rPr>
        <w:t>Degree of</w:t>
      </w:r>
    </w:p>
    <w:p w14:paraId="0D0E45D3" w14:textId="0D1EDF9C" w:rsidR="00936971" w:rsidRDefault="00936971" w:rsidP="00936971">
      <w:pPr>
        <w:spacing w:after="0" w:line="480" w:lineRule="auto"/>
        <w:jc w:val="center"/>
        <w:rPr>
          <w:rFonts w:ascii="Arial" w:hAnsi="Arial" w:cs="Arial"/>
          <w:sz w:val="24"/>
          <w:szCs w:val="24"/>
        </w:rPr>
      </w:pPr>
      <w:r>
        <w:rPr>
          <w:rFonts w:ascii="Arial" w:hAnsi="Arial" w:cs="Arial"/>
          <w:sz w:val="24"/>
          <w:szCs w:val="24"/>
        </w:rPr>
        <w:t>MASTER OF SCIENCE</w:t>
      </w:r>
    </w:p>
    <w:p w14:paraId="74750D54" w14:textId="04FC40DF" w:rsidR="00936971" w:rsidRDefault="00936971" w:rsidP="00936971">
      <w:pPr>
        <w:spacing w:after="0" w:line="480" w:lineRule="auto"/>
        <w:jc w:val="center"/>
        <w:rPr>
          <w:rFonts w:ascii="Arial" w:hAnsi="Arial" w:cs="Arial"/>
          <w:sz w:val="24"/>
          <w:szCs w:val="24"/>
        </w:rPr>
      </w:pPr>
    </w:p>
    <w:p w14:paraId="5C5164A1" w14:textId="1BE170D5" w:rsidR="00936971" w:rsidRDefault="00936971" w:rsidP="00936971">
      <w:pPr>
        <w:spacing w:after="0" w:line="480" w:lineRule="auto"/>
        <w:jc w:val="center"/>
        <w:rPr>
          <w:rFonts w:ascii="Arial" w:hAnsi="Arial" w:cs="Arial"/>
          <w:sz w:val="24"/>
          <w:szCs w:val="24"/>
        </w:rPr>
      </w:pPr>
    </w:p>
    <w:p w14:paraId="32B25347" w14:textId="5633C7C9" w:rsidR="00936971" w:rsidRDefault="00936971" w:rsidP="00936971">
      <w:pPr>
        <w:spacing w:after="0" w:line="480" w:lineRule="auto"/>
        <w:jc w:val="center"/>
        <w:rPr>
          <w:rFonts w:ascii="Arial" w:hAnsi="Arial" w:cs="Arial"/>
          <w:sz w:val="24"/>
          <w:szCs w:val="24"/>
        </w:rPr>
      </w:pPr>
    </w:p>
    <w:p w14:paraId="1B843D91" w14:textId="6211F340" w:rsidR="00936971" w:rsidRDefault="00936971" w:rsidP="00936971">
      <w:pPr>
        <w:spacing w:after="0" w:line="480" w:lineRule="auto"/>
        <w:jc w:val="center"/>
        <w:rPr>
          <w:rFonts w:ascii="Arial" w:hAnsi="Arial" w:cs="Arial"/>
          <w:sz w:val="24"/>
          <w:szCs w:val="24"/>
        </w:rPr>
      </w:pPr>
    </w:p>
    <w:p w14:paraId="65ADD71B" w14:textId="45C2B14E" w:rsidR="00936971" w:rsidRDefault="00936971" w:rsidP="00936971">
      <w:pPr>
        <w:spacing w:after="0" w:line="480" w:lineRule="auto"/>
        <w:jc w:val="center"/>
        <w:rPr>
          <w:rFonts w:ascii="Arial" w:hAnsi="Arial" w:cs="Arial"/>
          <w:sz w:val="24"/>
          <w:szCs w:val="24"/>
        </w:rPr>
      </w:pPr>
      <w:r>
        <w:rPr>
          <w:rFonts w:ascii="Arial" w:hAnsi="Arial" w:cs="Arial"/>
          <w:sz w:val="24"/>
          <w:szCs w:val="24"/>
        </w:rPr>
        <w:t>By</w:t>
      </w:r>
    </w:p>
    <w:p w14:paraId="5918D304" w14:textId="7C6E7D96" w:rsidR="00936971" w:rsidRDefault="00936971" w:rsidP="002B5C55">
      <w:pPr>
        <w:spacing w:after="0" w:line="240" w:lineRule="auto"/>
        <w:jc w:val="center"/>
        <w:rPr>
          <w:rFonts w:ascii="Arial" w:hAnsi="Arial" w:cs="Arial"/>
          <w:sz w:val="24"/>
          <w:szCs w:val="24"/>
        </w:rPr>
      </w:pPr>
      <w:r>
        <w:rPr>
          <w:rFonts w:ascii="Arial" w:hAnsi="Arial" w:cs="Arial"/>
          <w:sz w:val="24"/>
          <w:szCs w:val="24"/>
        </w:rPr>
        <w:t>KEREN FRAISSARD</w:t>
      </w:r>
    </w:p>
    <w:p w14:paraId="35D4D203" w14:textId="07027496" w:rsidR="00936971" w:rsidRDefault="00936971" w:rsidP="002B5C55">
      <w:pPr>
        <w:spacing w:after="0" w:line="240" w:lineRule="auto"/>
        <w:jc w:val="center"/>
        <w:rPr>
          <w:rFonts w:ascii="Arial" w:hAnsi="Arial" w:cs="Arial"/>
          <w:sz w:val="24"/>
          <w:szCs w:val="24"/>
        </w:rPr>
      </w:pPr>
      <w:r>
        <w:rPr>
          <w:rFonts w:ascii="Arial" w:hAnsi="Arial" w:cs="Arial"/>
          <w:sz w:val="24"/>
          <w:szCs w:val="24"/>
        </w:rPr>
        <w:t>Norman, Oklahoma</w:t>
      </w:r>
    </w:p>
    <w:p w14:paraId="043F45E9" w14:textId="7AEF8F8D" w:rsidR="00936971" w:rsidRDefault="00936971" w:rsidP="002B5C55">
      <w:pPr>
        <w:spacing w:after="0" w:line="240" w:lineRule="auto"/>
        <w:jc w:val="center"/>
        <w:rPr>
          <w:rFonts w:ascii="Arial" w:hAnsi="Arial" w:cs="Arial"/>
          <w:sz w:val="24"/>
          <w:szCs w:val="24"/>
        </w:rPr>
      </w:pPr>
      <w:r>
        <w:rPr>
          <w:rFonts w:ascii="Arial" w:hAnsi="Arial" w:cs="Arial"/>
          <w:sz w:val="24"/>
          <w:szCs w:val="24"/>
        </w:rPr>
        <w:t>2022</w:t>
      </w:r>
    </w:p>
    <w:p w14:paraId="76C594E8" w14:textId="7232E514" w:rsidR="00936971" w:rsidRDefault="00936971" w:rsidP="00936971">
      <w:pPr>
        <w:jc w:val="center"/>
        <w:rPr>
          <w:rFonts w:ascii="Arial" w:hAnsi="Arial" w:cs="Arial"/>
          <w:sz w:val="24"/>
          <w:szCs w:val="24"/>
        </w:rPr>
      </w:pPr>
    </w:p>
    <w:p w14:paraId="258B2C93" w14:textId="2D74D53C" w:rsidR="00936971" w:rsidRDefault="00A85FE8" w:rsidP="00936971">
      <w:pPr>
        <w:jc w:val="center"/>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792384" behindDoc="0" locked="0" layoutInCell="1" allowOverlap="1" wp14:anchorId="76253557" wp14:editId="3BA81B73">
                <wp:simplePos x="0" y="0"/>
                <wp:positionH relativeFrom="column">
                  <wp:posOffset>5568950</wp:posOffset>
                </wp:positionH>
                <wp:positionV relativeFrom="paragraph">
                  <wp:posOffset>292735</wp:posOffset>
                </wp:positionV>
                <wp:extent cx="317500" cy="393700"/>
                <wp:effectExtent l="0" t="0" r="25400" b="25400"/>
                <wp:wrapNone/>
                <wp:docPr id="21" name="Rectangle 21"/>
                <wp:cNvGraphicFramePr/>
                <a:graphic xmlns:a="http://schemas.openxmlformats.org/drawingml/2006/main">
                  <a:graphicData uri="http://schemas.microsoft.com/office/word/2010/wordprocessingShape">
                    <wps:wsp>
                      <wps:cNvSpPr/>
                      <wps:spPr>
                        <a:xfrm>
                          <a:off x="0" y="0"/>
                          <a:ext cx="317500" cy="3937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ex="http://schemas.microsoft.com/office/word/2018/wordml/cex" xmlns:w16="http://schemas.microsoft.com/office/word/2018/wordml" xmlns:w16sdtdh="http://schemas.microsoft.com/office/word/2020/wordml/sdtdatahash">
            <w:pict>
              <v:rect w14:anchorId="5A34D530" id="Rectangle 21" o:spid="_x0000_s1026" style="position:absolute;margin-left:438.5pt;margin-top:23.05pt;width:25pt;height:31pt;z-index:251792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" fillcolor="white [3212]" strokecolor="white [3212]" strokeweight="2pt"/>
            </w:pict>
          </mc:Fallback>
        </mc:AlternateContent>
      </w:r>
    </w:p>
    <w:p w14:paraId="7ED5D0BD" w14:textId="77777777" w:rsidR="008E65DC" w:rsidRDefault="008E65DC" w:rsidP="002B5C55">
      <w:pPr>
        <w:jc w:val="center"/>
        <w:rPr>
          <w:rFonts w:ascii="Arial" w:hAnsi="Arial" w:cs="Arial"/>
          <w:b/>
          <w:bCs/>
          <w:sz w:val="24"/>
          <w:szCs w:val="24"/>
        </w:rPr>
      </w:pPr>
    </w:p>
    <w:p w14:paraId="1EAF0B9F" w14:textId="77777777" w:rsidR="008E65DC" w:rsidRDefault="008E65DC">
      <w:pPr>
        <w:rPr>
          <w:rFonts w:ascii="Arial" w:hAnsi="Arial" w:cs="Arial"/>
          <w:b/>
          <w:bCs/>
          <w:sz w:val="24"/>
          <w:szCs w:val="24"/>
        </w:rPr>
      </w:pPr>
    </w:p>
    <w:p w14:paraId="11021CEA" w14:textId="77777777" w:rsidR="008E65DC" w:rsidRDefault="008E65DC">
      <w:pPr>
        <w:rPr>
          <w:rFonts w:ascii="Arial" w:hAnsi="Arial" w:cs="Arial"/>
          <w:b/>
          <w:bCs/>
          <w:sz w:val="24"/>
          <w:szCs w:val="24"/>
        </w:rPr>
      </w:pPr>
    </w:p>
    <w:p w14:paraId="5F9302E6" w14:textId="77777777" w:rsidR="008E65DC" w:rsidRPr="00EB056A" w:rsidRDefault="008E65DC">
      <w:pPr>
        <w:rPr>
          <w:rFonts w:ascii="Arial" w:hAnsi="Arial" w:cs="Arial"/>
          <w:sz w:val="24"/>
          <w:szCs w:val="24"/>
        </w:rPr>
      </w:pPr>
    </w:p>
    <w:p w14:paraId="12796C98" w14:textId="53A3CFE2" w:rsidR="008E65DC" w:rsidRPr="00EB056A" w:rsidRDefault="008E65DC" w:rsidP="008E65DC">
      <w:pPr>
        <w:jc w:val="center"/>
        <w:rPr>
          <w:rFonts w:ascii="Arial" w:hAnsi="Arial" w:cs="Arial"/>
          <w:sz w:val="24"/>
          <w:szCs w:val="24"/>
        </w:rPr>
      </w:pPr>
      <w:r w:rsidRPr="00EB056A">
        <w:rPr>
          <w:rFonts w:ascii="Arial" w:hAnsi="Arial" w:cs="Arial"/>
          <w:sz w:val="24"/>
          <w:szCs w:val="24"/>
        </w:rPr>
        <w:t xml:space="preserve">DEVELOPMENT AND CHARACTERIZATION OF INJECTABLE BIOCOMPATIBLE HYALURONIC ACID HYDROGELS FOR </w:t>
      </w:r>
      <w:r w:rsidR="00A7723D">
        <w:rPr>
          <w:rFonts w:ascii="Arial" w:hAnsi="Arial" w:cs="Arial"/>
          <w:sz w:val="24"/>
          <w:szCs w:val="24"/>
        </w:rPr>
        <w:t xml:space="preserve">POTENTIAL </w:t>
      </w:r>
      <w:r w:rsidRPr="00EB056A">
        <w:rPr>
          <w:rFonts w:ascii="Arial" w:hAnsi="Arial" w:cs="Arial"/>
          <w:sz w:val="24"/>
          <w:szCs w:val="24"/>
        </w:rPr>
        <w:t>BRAIN ANEURYSM BLOCKAGE AND VASCULAR REGENERATION.</w:t>
      </w:r>
      <w:r w:rsidR="00CB4516">
        <w:rPr>
          <w:rFonts w:ascii="Arial" w:hAnsi="Arial" w:cs="Arial"/>
          <w:sz w:val="24"/>
          <w:szCs w:val="24"/>
        </w:rPr>
        <w:t xml:space="preserve"> </w:t>
      </w:r>
    </w:p>
    <w:p w14:paraId="201E920B" w14:textId="77777777" w:rsidR="008E65DC" w:rsidRPr="00EB056A" w:rsidRDefault="008E65DC" w:rsidP="008E65DC">
      <w:pPr>
        <w:jc w:val="center"/>
        <w:rPr>
          <w:rFonts w:ascii="Arial" w:hAnsi="Arial" w:cs="Arial"/>
          <w:sz w:val="24"/>
          <w:szCs w:val="24"/>
        </w:rPr>
      </w:pPr>
    </w:p>
    <w:p w14:paraId="7657729A" w14:textId="77777777" w:rsidR="008E65DC" w:rsidRPr="00EB056A" w:rsidRDefault="008E65DC" w:rsidP="008E65DC">
      <w:pPr>
        <w:jc w:val="center"/>
        <w:rPr>
          <w:rFonts w:ascii="Arial" w:hAnsi="Arial" w:cs="Arial"/>
          <w:sz w:val="24"/>
          <w:szCs w:val="24"/>
        </w:rPr>
      </w:pPr>
    </w:p>
    <w:p w14:paraId="6FE4ECC0" w14:textId="77777777" w:rsidR="008E65DC" w:rsidRPr="00EB056A" w:rsidRDefault="008E65DC" w:rsidP="008E65DC">
      <w:pPr>
        <w:jc w:val="center"/>
        <w:rPr>
          <w:rFonts w:ascii="Arial" w:hAnsi="Arial" w:cs="Arial"/>
          <w:sz w:val="24"/>
          <w:szCs w:val="24"/>
        </w:rPr>
      </w:pPr>
    </w:p>
    <w:p w14:paraId="595D3AF2" w14:textId="77777777" w:rsidR="008E65DC" w:rsidRPr="00EB056A" w:rsidRDefault="008E65DC" w:rsidP="008E65DC">
      <w:pPr>
        <w:jc w:val="center"/>
        <w:rPr>
          <w:rFonts w:ascii="Arial" w:hAnsi="Arial" w:cs="Arial"/>
          <w:sz w:val="24"/>
          <w:szCs w:val="24"/>
        </w:rPr>
      </w:pPr>
    </w:p>
    <w:p w14:paraId="4539F612" w14:textId="77777777" w:rsidR="008E65DC" w:rsidRPr="00EB056A" w:rsidRDefault="008E65DC" w:rsidP="008E65DC">
      <w:pPr>
        <w:jc w:val="center"/>
        <w:rPr>
          <w:rFonts w:ascii="Arial" w:hAnsi="Arial" w:cs="Arial"/>
          <w:sz w:val="24"/>
          <w:szCs w:val="24"/>
        </w:rPr>
      </w:pPr>
      <w:r w:rsidRPr="00EB056A">
        <w:rPr>
          <w:rFonts w:ascii="Arial" w:hAnsi="Arial" w:cs="Arial"/>
          <w:sz w:val="24"/>
          <w:szCs w:val="24"/>
        </w:rPr>
        <w:t xml:space="preserve">A THESIS APPROVED FOR </w:t>
      </w:r>
    </w:p>
    <w:p w14:paraId="7E620DC5" w14:textId="77777777" w:rsidR="008E65DC" w:rsidRPr="00EB056A" w:rsidRDefault="008E65DC" w:rsidP="008E65DC">
      <w:pPr>
        <w:jc w:val="center"/>
        <w:rPr>
          <w:rFonts w:ascii="Arial" w:hAnsi="Arial" w:cs="Arial"/>
          <w:sz w:val="24"/>
          <w:szCs w:val="24"/>
        </w:rPr>
      </w:pPr>
      <w:r w:rsidRPr="00EB056A">
        <w:rPr>
          <w:rFonts w:ascii="Arial" w:hAnsi="Arial" w:cs="Arial"/>
          <w:sz w:val="24"/>
          <w:szCs w:val="24"/>
        </w:rPr>
        <w:t>THE STEPHENSON SCHOOL OF BIOMEDICAL ENGINEERING</w:t>
      </w:r>
    </w:p>
    <w:p w14:paraId="4AA11E1C" w14:textId="77777777" w:rsidR="008E65DC" w:rsidRPr="00EB056A" w:rsidRDefault="008E65DC" w:rsidP="008E65DC">
      <w:pPr>
        <w:jc w:val="center"/>
        <w:rPr>
          <w:rFonts w:ascii="Arial" w:hAnsi="Arial" w:cs="Arial"/>
          <w:sz w:val="24"/>
          <w:szCs w:val="24"/>
        </w:rPr>
      </w:pPr>
    </w:p>
    <w:p w14:paraId="49A45C14" w14:textId="77777777" w:rsidR="008E65DC" w:rsidRPr="00EB056A" w:rsidRDefault="008E65DC" w:rsidP="00EB056A">
      <w:pPr>
        <w:rPr>
          <w:rFonts w:ascii="Arial" w:hAnsi="Arial" w:cs="Arial"/>
          <w:sz w:val="24"/>
          <w:szCs w:val="24"/>
        </w:rPr>
      </w:pPr>
    </w:p>
    <w:p w14:paraId="124C1E89" w14:textId="77777777" w:rsidR="009B0529" w:rsidRPr="00EB056A" w:rsidRDefault="009B0529" w:rsidP="009B0529">
      <w:pPr>
        <w:rPr>
          <w:rFonts w:ascii="Arial" w:hAnsi="Arial" w:cs="Arial"/>
          <w:sz w:val="24"/>
          <w:szCs w:val="24"/>
        </w:rPr>
      </w:pPr>
    </w:p>
    <w:p w14:paraId="347704DE" w14:textId="1AAC8015" w:rsidR="009B0529" w:rsidRDefault="009B0529" w:rsidP="00EB056A">
      <w:pPr>
        <w:jc w:val="center"/>
        <w:rPr>
          <w:rFonts w:ascii="Arial" w:hAnsi="Arial" w:cs="Arial"/>
          <w:sz w:val="24"/>
          <w:szCs w:val="24"/>
        </w:rPr>
      </w:pPr>
      <w:r w:rsidRPr="00C16DD2">
        <w:rPr>
          <w:rFonts w:ascii="Arial" w:hAnsi="Arial" w:cs="Arial"/>
          <w:sz w:val="24"/>
          <w:szCs w:val="24"/>
        </w:rPr>
        <w:t>BY</w:t>
      </w:r>
      <w:r w:rsidR="006F03CE">
        <w:rPr>
          <w:rFonts w:ascii="Arial" w:hAnsi="Arial" w:cs="Arial"/>
          <w:sz w:val="24"/>
          <w:szCs w:val="24"/>
        </w:rPr>
        <w:t xml:space="preserve"> THE </w:t>
      </w:r>
      <w:r w:rsidR="00D23194">
        <w:rPr>
          <w:rFonts w:ascii="Arial" w:hAnsi="Arial" w:cs="Arial"/>
          <w:sz w:val="24"/>
          <w:szCs w:val="24"/>
        </w:rPr>
        <w:t>COMMITTEE CONSISTING OF</w:t>
      </w:r>
    </w:p>
    <w:p w14:paraId="01046EB3" w14:textId="77777777" w:rsidR="007B5959" w:rsidRPr="00C16DD2" w:rsidRDefault="007B5959" w:rsidP="009B0529">
      <w:pPr>
        <w:rPr>
          <w:rFonts w:ascii="Arial" w:hAnsi="Arial" w:cs="Arial"/>
          <w:sz w:val="24"/>
          <w:szCs w:val="24"/>
        </w:rPr>
      </w:pPr>
    </w:p>
    <w:p w14:paraId="44FE6B69" w14:textId="4ACAB2D1" w:rsidR="009B0529" w:rsidRPr="00EB056A" w:rsidRDefault="009B0529" w:rsidP="009B0529">
      <w:pPr>
        <w:rPr>
          <w:rFonts w:ascii="Arial" w:hAnsi="Arial" w:cs="Arial"/>
          <w:sz w:val="24"/>
          <w:szCs w:val="24"/>
        </w:rPr>
      </w:pPr>
      <w:r>
        <w:rPr>
          <w:rFonts w:ascii="Arial" w:hAnsi="Arial" w:cs="Arial"/>
          <w:b/>
          <w:bCs/>
          <w:sz w:val="24"/>
          <w:szCs w:val="24"/>
        </w:rPr>
        <w:t xml:space="preserve">                                                                                 </w:t>
      </w:r>
    </w:p>
    <w:p w14:paraId="38510109" w14:textId="7B279184" w:rsidR="007B5959" w:rsidRPr="00EB056A" w:rsidRDefault="007B5959" w:rsidP="009B0529">
      <w:pPr>
        <w:rPr>
          <w:rFonts w:ascii="Arial" w:hAnsi="Arial" w:cs="Arial"/>
          <w:sz w:val="24"/>
          <w:szCs w:val="24"/>
        </w:rPr>
      </w:pPr>
      <w:r w:rsidRPr="00EB056A">
        <w:rPr>
          <w:rFonts w:ascii="Arial" w:hAnsi="Arial" w:cs="Arial"/>
          <w:sz w:val="24"/>
          <w:szCs w:val="24"/>
        </w:rPr>
        <w:t xml:space="preserve">                                                                                 Prof. Rebecca Scott - Chair</w:t>
      </w:r>
    </w:p>
    <w:p w14:paraId="34357820" w14:textId="77777777" w:rsidR="007B5959" w:rsidRPr="00EB056A" w:rsidRDefault="007B5959" w:rsidP="007B5959">
      <w:pPr>
        <w:rPr>
          <w:rFonts w:ascii="Arial" w:hAnsi="Arial" w:cs="Arial"/>
          <w:sz w:val="24"/>
          <w:szCs w:val="24"/>
        </w:rPr>
      </w:pPr>
      <w:r w:rsidRPr="00EB056A">
        <w:rPr>
          <w:rFonts w:ascii="Arial" w:hAnsi="Arial" w:cs="Arial"/>
          <w:sz w:val="24"/>
          <w:szCs w:val="24"/>
        </w:rPr>
        <w:t xml:space="preserve">                                                                                </w:t>
      </w:r>
    </w:p>
    <w:p w14:paraId="525B60CA" w14:textId="1E5C354A" w:rsidR="007B5959" w:rsidRPr="00EB056A" w:rsidRDefault="007B5959" w:rsidP="007B5959">
      <w:pPr>
        <w:rPr>
          <w:rFonts w:ascii="Arial" w:hAnsi="Arial" w:cs="Arial"/>
          <w:sz w:val="24"/>
          <w:szCs w:val="24"/>
        </w:rPr>
      </w:pPr>
      <w:r w:rsidRPr="00EB056A">
        <w:rPr>
          <w:rFonts w:ascii="Arial" w:hAnsi="Arial" w:cs="Arial"/>
          <w:sz w:val="24"/>
          <w:szCs w:val="24"/>
        </w:rPr>
        <w:t xml:space="preserve">                                                                                 </w:t>
      </w:r>
    </w:p>
    <w:p w14:paraId="169D1734" w14:textId="4C38DAE9" w:rsidR="007B5959" w:rsidRPr="00EB056A" w:rsidRDefault="007B5959" w:rsidP="007B5959">
      <w:pPr>
        <w:rPr>
          <w:rFonts w:ascii="Arial" w:hAnsi="Arial" w:cs="Arial"/>
          <w:sz w:val="24"/>
          <w:szCs w:val="24"/>
        </w:rPr>
      </w:pPr>
      <w:r w:rsidRPr="00EB056A">
        <w:rPr>
          <w:rFonts w:ascii="Arial" w:hAnsi="Arial" w:cs="Arial"/>
          <w:sz w:val="24"/>
          <w:szCs w:val="24"/>
        </w:rPr>
        <w:t xml:space="preserve">                                                                                 Prof. Michael Detamore</w:t>
      </w:r>
    </w:p>
    <w:p w14:paraId="42CACAFA" w14:textId="77777777" w:rsidR="009B0529" w:rsidRPr="00EB056A" w:rsidRDefault="009B0529" w:rsidP="009B0529">
      <w:pPr>
        <w:rPr>
          <w:rFonts w:ascii="Arial" w:hAnsi="Arial" w:cs="Arial"/>
          <w:sz w:val="24"/>
          <w:szCs w:val="24"/>
        </w:rPr>
      </w:pPr>
      <w:r w:rsidRPr="00EB056A">
        <w:rPr>
          <w:rFonts w:ascii="Arial" w:hAnsi="Arial" w:cs="Arial"/>
          <w:sz w:val="24"/>
          <w:szCs w:val="24"/>
        </w:rPr>
        <w:t xml:space="preserve"> </w:t>
      </w:r>
    </w:p>
    <w:p w14:paraId="7FCC27A7" w14:textId="39122F32" w:rsidR="007B5959" w:rsidRPr="00EB056A" w:rsidRDefault="007B5959" w:rsidP="007B5959">
      <w:pPr>
        <w:rPr>
          <w:rFonts w:ascii="Arial" w:hAnsi="Arial" w:cs="Arial"/>
          <w:sz w:val="24"/>
          <w:szCs w:val="24"/>
        </w:rPr>
      </w:pPr>
      <w:r w:rsidRPr="00EB056A">
        <w:rPr>
          <w:rFonts w:ascii="Arial" w:hAnsi="Arial" w:cs="Arial"/>
          <w:sz w:val="24"/>
          <w:szCs w:val="24"/>
        </w:rPr>
        <w:t xml:space="preserve">                                                                                 </w:t>
      </w:r>
    </w:p>
    <w:p w14:paraId="561A3E62" w14:textId="1805615B" w:rsidR="007B5959" w:rsidRPr="00EB056A" w:rsidRDefault="007B5959" w:rsidP="007B5959">
      <w:pPr>
        <w:rPr>
          <w:rFonts w:ascii="Arial" w:hAnsi="Arial" w:cs="Arial"/>
          <w:sz w:val="24"/>
          <w:szCs w:val="24"/>
        </w:rPr>
      </w:pPr>
      <w:r w:rsidRPr="00EB056A">
        <w:rPr>
          <w:rFonts w:ascii="Arial" w:hAnsi="Arial" w:cs="Arial"/>
          <w:sz w:val="24"/>
          <w:szCs w:val="24"/>
        </w:rPr>
        <w:t xml:space="preserve">                                                                                 Prof. John Clegg</w:t>
      </w:r>
    </w:p>
    <w:p w14:paraId="770CED60" w14:textId="620D02D4" w:rsidR="009B0529" w:rsidRPr="00EB056A" w:rsidRDefault="009B0529" w:rsidP="009B0529">
      <w:pPr>
        <w:rPr>
          <w:rFonts w:ascii="Arial" w:hAnsi="Arial" w:cs="Arial"/>
          <w:sz w:val="24"/>
          <w:szCs w:val="24"/>
        </w:rPr>
      </w:pPr>
      <w:r w:rsidRPr="00EB056A">
        <w:rPr>
          <w:rFonts w:ascii="Arial" w:hAnsi="Arial" w:cs="Arial"/>
          <w:sz w:val="24"/>
          <w:szCs w:val="24"/>
        </w:rPr>
        <w:t xml:space="preserve"> </w:t>
      </w:r>
    </w:p>
    <w:p w14:paraId="67D456B9" w14:textId="12C813C8" w:rsidR="009A7F18" w:rsidRPr="00EB056A" w:rsidRDefault="009A7F18" w:rsidP="009A7F18">
      <w:pPr>
        <w:rPr>
          <w:rFonts w:ascii="Arial" w:hAnsi="Arial" w:cs="Arial"/>
          <w:sz w:val="24"/>
          <w:szCs w:val="24"/>
        </w:rPr>
      </w:pPr>
      <w:r w:rsidRPr="00EB056A">
        <w:rPr>
          <w:rFonts w:ascii="Arial" w:hAnsi="Arial" w:cs="Arial"/>
          <w:sz w:val="24"/>
          <w:szCs w:val="24"/>
        </w:rPr>
        <w:t xml:space="preserve">                                                                                 </w:t>
      </w:r>
    </w:p>
    <w:p w14:paraId="50AECCF8" w14:textId="75064BB7" w:rsidR="008E65DC" w:rsidRPr="00EB056A" w:rsidRDefault="007B5959">
      <w:pPr>
        <w:rPr>
          <w:rFonts w:ascii="Arial" w:hAnsi="Arial" w:cs="Arial"/>
          <w:sz w:val="24"/>
          <w:szCs w:val="24"/>
        </w:rPr>
      </w:pPr>
      <w:r w:rsidRPr="00EB056A">
        <w:rPr>
          <w:rFonts w:ascii="Arial" w:hAnsi="Arial" w:cs="Arial"/>
          <w:sz w:val="24"/>
          <w:szCs w:val="24"/>
        </w:rPr>
        <w:t xml:space="preserve">                                                                                 Prof. Marc Moore</w:t>
      </w:r>
    </w:p>
    <w:p w14:paraId="10F359A0" w14:textId="77777777" w:rsidR="008E65DC" w:rsidRDefault="008E65DC">
      <w:pPr>
        <w:rPr>
          <w:rFonts w:ascii="Arial" w:hAnsi="Arial" w:cs="Arial"/>
          <w:b/>
          <w:bCs/>
          <w:sz w:val="24"/>
          <w:szCs w:val="24"/>
        </w:rPr>
      </w:pPr>
    </w:p>
    <w:p w14:paraId="3BEA04D8" w14:textId="033B0C2A" w:rsidR="008E65DC" w:rsidRDefault="00A85FE8">
      <w:pPr>
        <w:rPr>
          <w:rFonts w:ascii="Arial" w:hAnsi="Arial" w:cs="Arial"/>
          <w:b/>
          <w:bCs/>
          <w:sz w:val="24"/>
          <w:szCs w:val="24"/>
        </w:rPr>
      </w:pPr>
      <w:r>
        <w:rPr>
          <w:rFonts w:ascii="Arial" w:hAnsi="Arial" w:cs="Arial"/>
          <w:noProof/>
          <w:sz w:val="24"/>
          <w:szCs w:val="24"/>
        </w:rPr>
        <mc:AlternateContent>
          <mc:Choice Requires="wps">
            <w:drawing>
              <wp:anchor distT="0" distB="0" distL="114300" distR="114300" simplePos="0" relativeHeight="251794432" behindDoc="0" locked="0" layoutInCell="1" allowOverlap="1" wp14:anchorId="0B4E5844" wp14:editId="58A33A4E">
                <wp:simplePos x="0" y="0"/>
                <wp:positionH relativeFrom="column">
                  <wp:posOffset>5549900</wp:posOffset>
                </wp:positionH>
                <wp:positionV relativeFrom="paragraph">
                  <wp:posOffset>342265</wp:posOffset>
                </wp:positionV>
                <wp:extent cx="317500" cy="393700"/>
                <wp:effectExtent l="0" t="0" r="25400" b="25400"/>
                <wp:wrapNone/>
                <wp:docPr id="22" name="Rectangle 22"/>
                <wp:cNvGraphicFramePr/>
                <a:graphic xmlns:a="http://schemas.openxmlformats.org/drawingml/2006/main">
                  <a:graphicData uri="http://schemas.microsoft.com/office/word/2010/wordprocessingShape">
                    <wps:wsp>
                      <wps:cNvSpPr/>
                      <wps:spPr>
                        <a:xfrm>
                          <a:off x="0" y="0"/>
                          <a:ext cx="317500" cy="3937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ex="http://schemas.microsoft.com/office/word/2018/wordml/cex" xmlns:w16="http://schemas.microsoft.com/office/word/2018/wordml" xmlns:w16sdtdh="http://schemas.microsoft.com/office/word/2020/wordml/sdtdatahash">
            <w:pict>
              <v:rect w14:anchorId="0DB4EB9E" id="Rectangle 22" o:spid="_x0000_s1026" style="position:absolute;margin-left:437pt;margin-top:26.95pt;width:25pt;height:31pt;z-index:251794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" fillcolor="white [3212]" strokecolor="white [3212]" strokeweight="2pt"/>
            </w:pict>
          </mc:Fallback>
        </mc:AlternateContent>
      </w:r>
    </w:p>
    <w:p w14:paraId="7B2951A0" w14:textId="77777777" w:rsidR="008E65DC" w:rsidRDefault="008E65DC">
      <w:pPr>
        <w:rPr>
          <w:rFonts w:ascii="Arial" w:hAnsi="Arial" w:cs="Arial"/>
          <w:b/>
          <w:bCs/>
          <w:sz w:val="24"/>
          <w:szCs w:val="24"/>
        </w:rPr>
      </w:pPr>
    </w:p>
    <w:p w14:paraId="18B86F6D" w14:textId="77777777" w:rsidR="008E65DC" w:rsidRDefault="008E65DC">
      <w:pPr>
        <w:rPr>
          <w:rFonts w:ascii="Arial" w:hAnsi="Arial" w:cs="Arial"/>
          <w:b/>
          <w:bCs/>
          <w:sz w:val="24"/>
          <w:szCs w:val="24"/>
        </w:rPr>
      </w:pPr>
    </w:p>
    <w:p w14:paraId="492D7661" w14:textId="77777777" w:rsidR="008E65DC" w:rsidRDefault="008E65DC">
      <w:pPr>
        <w:rPr>
          <w:rFonts w:ascii="Arial" w:hAnsi="Arial" w:cs="Arial"/>
          <w:b/>
          <w:bCs/>
          <w:sz w:val="24"/>
          <w:szCs w:val="24"/>
        </w:rPr>
      </w:pPr>
    </w:p>
    <w:p w14:paraId="5C228023" w14:textId="77777777" w:rsidR="008E65DC" w:rsidRDefault="008E65DC">
      <w:pPr>
        <w:rPr>
          <w:rFonts w:ascii="Arial" w:hAnsi="Arial" w:cs="Arial"/>
          <w:b/>
          <w:bCs/>
          <w:sz w:val="24"/>
          <w:szCs w:val="24"/>
        </w:rPr>
      </w:pPr>
    </w:p>
    <w:p w14:paraId="3A5D24A1" w14:textId="77777777" w:rsidR="008E65DC" w:rsidRDefault="008E65DC">
      <w:pPr>
        <w:rPr>
          <w:rFonts w:ascii="Arial" w:hAnsi="Arial" w:cs="Arial"/>
          <w:b/>
          <w:bCs/>
          <w:sz w:val="24"/>
          <w:szCs w:val="24"/>
        </w:rPr>
      </w:pPr>
    </w:p>
    <w:p w14:paraId="791BE1AC" w14:textId="77777777" w:rsidR="008E65DC" w:rsidRDefault="008E65DC">
      <w:pPr>
        <w:rPr>
          <w:rFonts w:ascii="Arial" w:hAnsi="Arial" w:cs="Arial"/>
          <w:b/>
          <w:bCs/>
          <w:sz w:val="24"/>
          <w:szCs w:val="24"/>
        </w:rPr>
      </w:pPr>
    </w:p>
    <w:p w14:paraId="42B46223" w14:textId="77777777" w:rsidR="008E65DC" w:rsidRDefault="008E65DC">
      <w:pPr>
        <w:rPr>
          <w:rFonts w:ascii="Arial" w:hAnsi="Arial" w:cs="Arial"/>
          <w:b/>
          <w:bCs/>
          <w:sz w:val="24"/>
          <w:szCs w:val="24"/>
        </w:rPr>
      </w:pPr>
    </w:p>
    <w:p w14:paraId="1315645D" w14:textId="77777777" w:rsidR="008E65DC" w:rsidRDefault="008E65DC">
      <w:pPr>
        <w:rPr>
          <w:rFonts w:ascii="Arial" w:hAnsi="Arial" w:cs="Arial"/>
          <w:b/>
          <w:bCs/>
          <w:sz w:val="24"/>
          <w:szCs w:val="24"/>
        </w:rPr>
      </w:pPr>
    </w:p>
    <w:p w14:paraId="139D390E" w14:textId="77777777" w:rsidR="008E65DC" w:rsidRDefault="008E65DC">
      <w:pPr>
        <w:rPr>
          <w:rFonts w:ascii="Arial" w:hAnsi="Arial" w:cs="Arial"/>
          <w:b/>
          <w:bCs/>
          <w:sz w:val="24"/>
          <w:szCs w:val="24"/>
        </w:rPr>
      </w:pPr>
    </w:p>
    <w:p w14:paraId="6D9E35D6" w14:textId="77777777" w:rsidR="008E65DC" w:rsidRDefault="008E65DC">
      <w:pPr>
        <w:rPr>
          <w:rFonts w:ascii="Arial" w:hAnsi="Arial" w:cs="Arial"/>
          <w:b/>
          <w:bCs/>
          <w:sz w:val="24"/>
          <w:szCs w:val="24"/>
        </w:rPr>
      </w:pPr>
    </w:p>
    <w:p w14:paraId="4EF321C4" w14:textId="77777777" w:rsidR="008E65DC" w:rsidRDefault="008E65DC">
      <w:pPr>
        <w:rPr>
          <w:rFonts w:ascii="Arial" w:hAnsi="Arial" w:cs="Arial"/>
          <w:b/>
          <w:bCs/>
          <w:sz w:val="24"/>
          <w:szCs w:val="24"/>
        </w:rPr>
      </w:pPr>
    </w:p>
    <w:p w14:paraId="0E5D6740" w14:textId="77777777" w:rsidR="008E65DC" w:rsidRDefault="008E65DC">
      <w:pPr>
        <w:rPr>
          <w:rFonts w:ascii="Arial" w:hAnsi="Arial" w:cs="Arial"/>
          <w:b/>
          <w:bCs/>
          <w:sz w:val="24"/>
          <w:szCs w:val="24"/>
        </w:rPr>
      </w:pPr>
    </w:p>
    <w:p w14:paraId="7D0FD011" w14:textId="77777777" w:rsidR="008E65DC" w:rsidRDefault="008E65DC">
      <w:pPr>
        <w:rPr>
          <w:rFonts w:ascii="Arial" w:hAnsi="Arial" w:cs="Arial"/>
          <w:b/>
          <w:bCs/>
          <w:sz w:val="24"/>
          <w:szCs w:val="24"/>
        </w:rPr>
      </w:pPr>
    </w:p>
    <w:p w14:paraId="233CD4CD" w14:textId="77777777" w:rsidR="008E65DC" w:rsidRDefault="008E65DC">
      <w:pPr>
        <w:rPr>
          <w:rFonts w:ascii="Arial" w:hAnsi="Arial" w:cs="Arial"/>
          <w:b/>
          <w:bCs/>
          <w:sz w:val="24"/>
          <w:szCs w:val="24"/>
        </w:rPr>
      </w:pPr>
    </w:p>
    <w:p w14:paraId="395336C2" w14:textId="77777777" w:rsidR="008E65DC" w:rsidRDefault="008E65DC">
      <w:pPr>
        <w:rPr>
          <w:rFonts w:ascii="Arial" w:hAnsi="Arial" w:cs="Arial"/>
          <w:b/>
          <w:bCs/>
          <w:sz w:val="24"/>
          <w:szCs w:val="24"/>
        </w:rPr>
      </w:pPr>
    </w:p>
    <w:p w14:paraId="19404B31" w14:textId="77777777" w:rsidR="008E65DC" w:rsidRDefault="008E65DC">
      <w:pPr>
        <w:rPr>
          <w:rFonts w:ascii="Arial" w:hAnsi="Arial" w:cs="Arial"/>
          <w:b/>
          <w:bCs/>
          <w:sz w:val="24"/>
          <w:szCs w:val="24"/>
        </w:rPr>
      </w:pPr>
    </w:p>
    <w:p w14:paraId="23286EEA" w14:textId="77777777" w:rsidR="008E65DC" w:rsidRDefault="008E65DC">
      <w:pPr>
        <w:rPr>
          <w:rFonts w:ascii="Arial" w:hAnsi="Arial" w:cs="Arial"/>
          <w:b/>
          <w:bCs/>
          <w:sz w:val="24"/>
          <w:szCs w:val="24"/>
        </w:rPr>
      </w:pPr>
    </w:p>
    <w:p w14:paraId="2E25E7A7" w14:textId="77777777" w:rsidR="008E65DC" w:rsidRDefault="008E65DC">
      <w:pPr>
        <w:rPr>
          <w:rFonts w:ascii="Arial" w:hAnsi="Arial" w:cs="Arial"/>
          <w:b/>
          <w:bCs/>
          <w:sz w:val="24"/>
          <w:szCs w:val="24"/>
        </w:rPr>
      </w:pPr>
    </w:p>
    <w:p w14:paraId="4F68E286" w14:textId="77777777" w:rsidR="008E65DC" w:rsidRDefault="008E65DC">
      <w:pPr>
        <w:rPr>
          <w:rFonts w:ascii="Arial" w:hAnsi="Arial" w:cs="Arial"/>
          <w:b/>
          <w:bCs/>
          <w:sz w:val="24"/>
          <w:szCs w:val="24"/>
        </w:rPr>
      </w:pPr>
    </w:p>
    <w:p w14:paraId="1270A7FD" w14:textId="77777777" w:rsidR="008E65DC" w:rsidRDefault="008E65DC">
      <w:pPr>
        <w:rPr>
          <w:rFonts w:ascii="Arial" w:hAnsi="Arial" w:cs="Arial"/>
          <w:b/>
          <w:bCs/>
          <w:sz w:val="24"/>
          <w:szCs w:val="24"/>
        </w:rPr>
      </w:pPr>
    </w:p>
    <w:p w14:paraId="51B12155" w14:textId="5FA045F3" w:rsidR="008E65DC" w:rsidRDefault="008E65DC">
      <w:pPr>
        <w:rPr>
          <w:rFonts w:ascii="Arial" w:hAnsi="Arial" w:cs="Arial"/>
          <w:b/>
          <w:bCs/>
          <w:sz w:val="24"/>
          <w:szCs w:val="24"/>
        </w:rPr>
      </w:pPr>
    </w:p>
    <w:p w14:paraId="22A86B5F" w14:textId="4490AA74" w:rsidR="007B5959" w:rsidRDefault="007B5959">
      <w:pPr>
        <w:rPr>
          <w:rFonts w:ascii="Arial" w:hAnsi="Arial" w:cs="Arial"/>
          <w:b/>
          <w:bCs/>
          <w:sz w:val="24"/>
          <w:szCs w:val="24"/>
        </w:rPr>
      </w:pPr>
    </w:p>
    <w:p w14:paraId="7CE7EDA4" w14:textId="11D57482" w:rsidR="007B5959" w:rsidRDefault="007B5959">
      <w:pPr>
        <w:rPr>
          <w:rFonts w:ascii="Arial" w:hAnsi="Arial" w:cs="Arial"/>
          <w:b/>
          <w:bCs/>
          <w:sz w:val="24"/>
          <w:szCs w:val="24"/>
        </w:rPr>
      </w:pPr>
    </w:p>
    <w:p w14:paraId="44E35A6C" w14:textId="77777777" w:rsidR="007B5959" w:rsidRDefault="007B5959">
      <w:pPr>
        <w:rPr>
          <w:rFonts w:ascii="Arial" w:hAnsi="Arial" w:cs="Arial"/>
          <w:b/>
          <w:bCs/>
          <w:sz w:val="24"/>
          <w:szCs w:val="24"/>
        </w:rPr>
      </w:pPr>
    </w:p>
    <w:p w14:paraId="124824A0" w14:textId="77777777" w:rsidR="008E65DC" w:rsidRDefault="008E65DC">
      <w:pPr>
        <w:rPr>
          <w:rFonts w:ascii="Arial" w:hAnsi="Arial" w:cs="Arial"/>
          <w:b/>
          <w:bCs/>
          <w:sz w:val="24"/>
          <w:szCs w:val="24"/>
        </w:rPr>
      </w:pPr>
    </w:p>
    <w:p w14:paraId="382E4470" w14:textId="77777777" w:rsidR="008E65DC" w:rsidRDefault="008E65DC">
      <w:pPr>
        <w:rPr>
          <w:rFonts w:ascii="Arial" w:hAnsi="Arial" w:cs="Arial"/>
          <w:b/>
          <w:bCs/>
          <w:sz w:val="24"/>
          <w:szCs w:val="24"/>
        </w:rPr>
      </w:pPr>
    </w:p>
    <w:p w14:paraId="7EEC86E5" w14:textId="4EA2F996" w:rsidR="008E65DC" w:rsidRDefault="008E65DC">
      <w:pPr>
        <w:rPr>
          <w:rFonts w:ascii="Arial" w:hAnsi="Arial" w:cs="Arial"/>
          <w:b/>
          <w:bCs/>
          <w:sz w:val="24"/>
          <w:szCs w:val="24"/>
        </w:rPr>
      </w:pPr>
    </w:p>
    <w:p w14:paraId="5A964A8C" w14:textId="3845F296" w:rsidR="008E65DC" w:rsidRDefault="008E65DC">
      <w:pPr>
        <w:rPr>
          <w:rFonts w:ascii="Arial" w:hAnsi="Arial" w:cs="Arial"/>
          <w:b/>
          <w:bCs/>
          <w:sz w:val="24"/>
          <w:szCs w:val="24"/>
        </w:rPr>
      </w:pPr>
    </w:p>
    <w:p w14:paraId="4172A980" w14:textId="38556530" w:rsidR="008E65DC" w:rsidRDefault="008E65DC" w:rsidP="008E65DC">
      <w:pPr>
        <w:jc w:val="center"/>
        <w:rPr>
          <w:rFonts w:ascii="Arial" w:hAnsi="Arial" w:cs="Arial"/>
          <w:sz w:val="24"/>
          <w:szCs w:val="24"/>
        </w:rPr>
      </w:pPr>
      <w:r w:rsidRPr="00EB056A">
        <w:rPr>
          <w:rFonts w:ascii="Arial" w:hAnsi="Arial" w:cs="Arial"/>
          <w:sz w:val="24"/>
          <w:szCs w:val="24"/>
        </w:rPr>
        <w:t xml:space="preserve">© Copyright by </w:t>
      </w:r>
      <w:r>
        <w:rPr>
          <w:rFonts w:ascii="Arial" w:hAnsi="Arial" w:cs="Arial"/>
          <w:sz w:val="24"/>
          <w:szCs w:val="24"/>
        </w:rPr>
        <w:t>KEREN FRAISSARD 2022</w:t>
      </w:r>
    </w:p>
    <w:p w14:paraId="20293577" w14:textId="77777777" w:rsidR="006B53A7" w:rsidRDefault="00A85FE8" w:rsidP="006B53A7">
      <w:pPr>
        <w:jc w:val="center"/>
        <w:rPr>
          <w:rFonts w:ascii="Arial" w:hAnsi="Arial" w:cs="Arial"/>
          <w:sz w:val="24"/>
          <w:szCs w:val="24"/>
        </w:rPr>
        <w:sectPr w:rsidR="006B53A7" w:rsidSect="00525779">
          <w:footerReference w:type="default" r:id="rId8"/>
          <w:pgSz w:w="11906" w:h="16838"/>
          <w:pgMar w:top="1440" w:right="1440" w:bottom="1440" w:left="1440" w:header="708" w:footer="708" w:gutter="0"/>
          <w:pgNumType w:fmt="lowerRoman" w:start="4"/>
          <w:cols w:space="708"/>
          <w:docGrid w:linePitch="360"/>
        </w:sectPr>
      </w:pPr>
      <w:r>
        <w:rPr>
          <w:rFonts w:ascii="Arial" w:hAnsi="Arial" w:cs="Arial"/>
          <w:noProof/>
          <w:sz w:val="24"/>
          <w:szCs w:val="24"/>
        </w:rPr>
        <mc:AlternateContent>
          <mc:Choice Requires="wps">
            <w:drawing>
              <wp:anchor distT="0" distB="0" distL="114300" distR="114300" simplePos="0" relativeHeight="251796480" behindDoc="0" locked="0" layoutInCell="1" allowOverlap="1" wp14:anchorId="7AEC740E" wp14:editId="30DD5EB9">
                <wp:simplePos x="0" y="0"/>
                <wp:positionH relativeFrom="column">
                  <wp:posOffset>5499100</wp:posOffset>
                </wp:positionH>
                <wp:positionV relativeFrom="paragraph">
                  <wp:posOffset>486410</wp:posOffset>
                </wp:positionV>
                <wp:extent cx="317500" cy="393700"/>
                <wp:effectExtent l="0" t="0" r="25400" b="25400"/>
                <wp:wrapNone/>
                <wp:docPr id="25" name="Rectangle 25"/>
                <wp:cNvGraphicFramePr/>
                <a:graphic xmlns:a="http://schemas.openxmlformats.org/drawingml/2006/main">
                  <a:graphicData uri="http://schemas.microsoft.com/office/word/2010/wordprocessingShape">
                    <wps:wsp>
                      <wps:cNvSpPr/>
                      <wps:spPr>
                        <a:xfrm>
                          <a:off x="0" y="0"/>
                          <a:ext cx="317500" cy="3937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ex="http://schemas.microsoft.com/office/word/2018/wordml/cex" xmlns:w16="http://schemas.microsoft.com/office/word/2018/wordml" xmlns:w16sdtdh="http://schemas.microsoft.com/office/word/2020/wordml/sdtdatahash">
            <w:pict>
              <v:rect w14:anchorId="7BE401FF" id="Rectangle 25" o:spid="_x0000_s1026" style="position:absolute;margin-left:433pt;margin-top:38.3pt;width:25pt;height:31pt;z-index:251796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" fillcolor="white [3212]" strokecolor="white [3212]" strokeweight="2pt"/>
            </w:pict>
          </mc:Fallback>
        </mc:AlternateContent>
      </w:r>
      <w:r w:rsidR="008E65DC">
        <w:rPr>
          <w:rFonts w:ascii="Arial" w:hAnsi="Arial" w:cs="Arial"/>
          <w:sz w:val="24"/>
          <w:szCs w:val="24"/>
        </w:rPr>
        <w:t>All Rights Reserved.</w:t>
      </w:r>
    </w:p>
    <w:p w14:paraId="4C43FA1C" w14:textId="34F7C40F" w:rsidR="008E65DC" w:rsidRDefault="0031139E" w:rsidP="006B53A7">
      <w:pPr>
        <w:jc w:val="center"/>
        <w:rPr>
          <w:rFonts w:ascii="Arial" w:hAnsi="Arial" w:cs="Arial"/>
          <w:b/>
          <w:bCs/>
          <w:sz w:val="24"/>
          <w:szCs w:val="24"/>
        </w:rPr>
      </w:pPr>
      <w:r>
        <w:rPr>
          <w:rFonts w:ascii="Arial" w:hAnsi="Arial" w:cs="Arial"/>
          <w:b/>
          <w:bCs/>
          <w:sz w:val="24"/>
          <w:szCs w:val="24"/>
        </w:rPr>
        <w:lastRenderedPageBreak/>
        <w:t>Acknowledgments</w:t>
      </w:r>
    </w:p>
    <w:p w14:paraId="3338E5DA" w14:textId="10E0D023" w:rsidR="008E65DC" w:rsidRDefault="00F11DD9" w:rsidP="003C6A25">
      <w:pPr>
        <w:spacing w:line="276" w:lineRule="auto"/>
        <w:ind w:firstLine="720"/>
        <w:jc w:val="both"/>
        <w:rPr>
          <w:rFonts w:ascii="Arial" w:hAnsi="Arial" w:cs="Arial"/>
          <w:sz w:val="24"/>
          <w:szCs w:val="24"/>
        </w:rPr>
      </w:pPr>
      <w:r w:rsidRPr="00F11DD9">
        <w:rPr>
          <w:rFonts w:ascii="Arial" w:hAnsi="Arial" w:cs="Arial"/>
          <w:sz w:val="24"/>
          <w:szCs w:val="24"/>
        </w:rPr>
        <w:t>I would</w:t>
      </w:r>
      <w:r>
        <w:rPr>
          <w:rFonts w:ascii="Arial" w:hAnsi="Arial" w:cs="Arial"/>
          <w:sz w:val="24"/>
          <w:szCs w:val="24"/>
        </w:rPr>
        <w:t xml:space="preserve"> like to thank my committee, Dr. Detamore, Dr. Clegg, Dr. Moore, and especially my advisor Dr. Scott, for their support, their advice, and for giving me the opportunity to defend this thesis in biomedical engineering. Working with Dr. Scott and Dr. Moore has been a fulfilling experience that gave me invaluable knowledge</w:t>
      </w:r>
      <w:r w:rsidR="00A22345">
        <w:rPr>
          <w:rFonts w:ascii="Arial" w:hAnsi="Arial" w:cs="Arial"/>
          <w:sz w:val="24"/>
          <w:szCs w:val="24"/>
        </w:rPr>
        <w:t>. I can’t thank you both enough for all your precious time and help.</w:t>
      </w:r>
    </w:p>
    <w:p w14:paraId="1B9D7D53" w14:textId="654C0F74" w:rsidR="00010562" w:rsidRDefault="00010562" w:rsidP="003C6A25">
      <w:pPr>
        <w:spacing w:line="276" w:lineRule="auto"/>
        <w:ind w:firstLine="720"/>
        <w:jc w:val="both"/>
        <w:rPr>
          <w:rFonts w:ascii="Arial" w:hAnsi="Arial" w:cs="Arial"/>
          <w:sz w:val="24"/>
          <w:szCs w:val="24"/>
        </w:rPr>
      </w:pPr>
      <w:r>
        <w:rPr>
          <w:rFonts w:ascii="Arial" w:hAnsi="Arial" w:cs="Arial"/>
          <w:sz w:val="24"/>
          <w:szCs w:val="24"/>
        </w:rPr>
        <w:t>I would like to thank the Department of Biomedical Engineering, the UROP grant, and Polytech Clermont for their financial support and for giving me the opportunity to participate in this research here.</w:t>
      </w:r>
    </w:p>
    <w:p w14:paraId="3F7DADEA" w14:textId="35C001C9" w:rsidR="00010562" w:rsidRDefault="00010562" w:rsidP="003C6A25">
      <w:pPr>
        <w:spacing w:line="276" w:lineRule="auto"/>
        <w:jc w:val="both"/>
        <w:rPr>
          <w:rFonts w:ascii="Arial" w:hAnsi="Arial" w:cs="Arial"/>
          <w:sz w:val="24"/>
          <w:szCs w:val="24"/>
        </w:rPr>
      </w:pPr>
      <w:r>
        <w:rPr>
          <w:rFonts w:ascii="Arial" w:hAnsi="Arial" w:cs="Arial"/>
          <w:sz w:val="24"/>
          <w:szCs w:val="24"/>
        </w:rPr>
        <w:t>I want to thank my teachers at Polytech Clermont, Dr. Roche, Dr. Audonnet, and Dr. Delattre, for their help that allowed me to come here.</w:t>
      </w:r>
    </w:p>
    <w:p w14:paraId="187F7A8C" w14:textId="3013EF17" w:rsidR="00666EB3" w:rsidRDefault="00666EB3" w:rsidP="003C6A25">
      <w:pPr>
        <w:spacing w:line="276" w:lineRule="auto"/>
        <w:ind w:firstLine="720"/>
        <w:jc w:val="both"/>
        <w:rPr>
          <w:rFonts w:ascii="Arial" w:hAnsi="Arial" w:cs="Arial"/>
          <w:sz w:val="24"/>
          <w:szCs w:val="24"/>
        </w:rPr>
      </w:pPr>
      <w:r>
        <w:rPr>
          <w:rFonts w:ascii="Arial" w:hAnsi="Arial" w:cs="Arial"/>
          <w:sz w:val="24"/>
          <w:szCs w:val="24"/>
        </w:rPr>
        <w:t xml:space="preserve">I also would like to thank Braden Barlean, my partner in this project, who dedicated his time and energy to the completion of this research. I am </w:t>
      </w:r>
      <w:r w:rsidR="00D364E1">
        <w:rPr>
          <w:rFonts w:ascii="Arial" w:hAnsi="Arial" w:cs="Arial"/>
          <w:sz w:val="24"/>
          <w:szCs w:val="24"/>
        </w:rPr>
        <w:t xml:space="preserve">very </w:t>
      </w:r>
      <w:r>
        <w:rPr>
          <w:rFonts w:ascii="Arial" w:hAnsi="Arial" w:cs="Arial"/>
          <w:sz w:val="24"/>
          <w:szCs w:val="24"/>
        </w:rPr>
        <w:t>grateful for all the help Dr. K</w:t>
      </w:r>
      <w:r w:rsidR="009B3D64">
        <w:rPr>
          <w:rFonts w:ascii="Arial" w:hAnsi="Arial" w:cs="Arial"/>
          <w:sz w:val="24"/>
          <w:szCs w:val="24"/>
        </w:rPr>
        <w:t>i</w:t>
      </w:r>
      <w:r>
        <w:rPr>
          <w:rFonts w:ascii="Arial" w:hAnsi="Arial" w:cs="Arial"/>
          <w:sz w:val="24"/>
          <w:szCs w:val="24"/>
        </w:rPr>
        <w:t xml:space="preserve">yotake and Vinit </w:t>
      </w:r>
      <w:r w:rsidR="00D364E1">
        <w:rPr>
          <w:rFonts w:ascii="Arial" w:hAnsi="Arial" w:cs="Arial"/>
          <w:sz w:val="24"/>
          <w:szCs w:val="24"/>
        </w:rPr>
        <w:t xml:space="preserve">Sheth gave us. </w:t>
      </w:r>
    </w:p>
    <w:p w14:paraId="26207B73" w14:textId="69D99D60" w:rsidR="00010562" w:rsidRDefault="00010562" w:rsidP="003C6A25">
      <w:pPr>
        <w:spacing w:line="276" w:lineRule="auto"/>
        <w:ind w:firstLine="720"/>
        <w:jc w:val="both"/>
        <w:rPr>
          <w:rFonts w:ascii="Arial" w:hAnsi="Arial" w:cs="Arial"/>
          <w:sz w:val="24"/>
          <w:szCs w:val="24"/>
        </w:rPr>
      </w:pPr>
      <w:r>
        <w:rPr>
          <w:rFonts w:ascii="Arial" w:hAnsi="Arial" w:cs="Arial"/>
          <w:sz w:val="24"/>
          <w:szCs w:val="24"/>
        </w:rPr>
        <w:t>I also want to thank Ms. Glover, Ms. Hudson, and Ms. Hurley for their help with the paperwork. I would not have been able to graduate without your answers to my constant administrative questions.</w:t>
      </w:r>
    </w:p>
    <w:p w14:paraId="159770FC" w14:textId="77777777" w:rsidR="00010562" w:rsidRDefault="00D364E1" w:rsidP="003C6A25">
      <w:pPr>
        <w:spacing w:line="276" w:lineRule="auto"/>
        <w:ind w:firstLine="720"/>
        <w:jc w:val="both"/>
        <w:rPr>
          <w:rFonts w:ascii="Arial" w:hAnsi="Arial" w:cs="Arial"/>
          <w:sz w:val="24"/>
          <w:szCs w:val="24"/>
        </w:rPr>
      </w:pPr>
      <w:r>
        <w:rPr>
          <w:rFonts w:ascii="Arial" w:hAnsi="Arial" w:cs="Arial"/>
          <w:sz w:val="24"/>
          <w:szCs w:val="24"/>
        </w:rPr>
        <w:t xml:space="preserve">I want to thank Coline Furrer for all her support from day </w:t>
      </w:r>
      <w:r w:rsidR="00010562">
        <w:rPr>
          <w:rFonts w:ascii="Arial" w:hAnsi="Arial" w:cs="Arial"/>
          <w:sz w:val="24"/>
          <w:szCs w:val="24"/>
        </w:rPr>
        <w:t>zero.</w:t>
      </w:r>
      <w:r>
        <w:rPr>
          <w:rFonts w:ascii="Arial" w:hAnsi="Arial" w:cs="Arial"/>
          <w:sz w:val="24"/>
          <w:szCs w:val="24"/>
        </w:rPr>
        <w:t xml:space="preserve"> I couldn’t have come here without </w:t>
      </w:r>
      <w:r w:rsidR="00010562">
        <w:rPr>
          <w:rFonts w:ascii="Arial" w:hAnsi="Arial" w:cs="Arial"/>
          <w:sz w:val="24"/>
          <w:szCs w:val="24"/>
        </w:rPr>
        <w:t>you</w:t>
      </w:r>
      <w:r>
        <w:rPr>
          <w:rFonts w:ascii="Arial" w:hAnsi="Arial" w:cs="Arial"/>
          <w:sz w:val="24"/>
          <w:szCs w:val="24"/>
        </w:rPr>
        <w:t>.</w:t>
      </w:r>
    </w:p>
    <w:p w14:paraId="2FDA78F6" w14:textId="5098FE0A" w:rsidR="00BB7373" w:rsidRDefault="00010562" w:rsidP="003C6A25">
      <w:pPr>
        <w:spacing w:line="276" w:lineRule="auto"/>
        <w:ind w:firstLine="720"/>
        <w:jc w:val="both"/>
        <w:rPr>
          <w:rFonts w:ascii="Arial" w:hAnsi="Arial" w:cs="Arial"/>
          <w:sz w:val="24"/>
          <w:szCs w:val="24"/>
        </w:rPr>
      </w:pPr>
      <w:r>
        <w:rPr>
          <w:rFonts w:ascii="Arial" w:hAnsi="Arial" w:cs="Arial"/>
          <w:sz w:val="24"/>
          <w:szCs w:val="24"/>
        </w:rPr>
        <w:t>Finally,</w:t>
      </w:r>
      <w:r w:rsidR="00D364E1">
        <w:rPr>
          <w:rFonts w:ascii="Arial" w:hAnsi="Arial" w:cs="Arial"/>
          <w:sz w:val="24"/>
          <w:szCs w:val="24"/>
        </w:rPr>
        <w:t xml:space="preserve"> </w:t>
      </w:r>
      <w:r w:rsidR="002B6804">
        <w:rPr>
          <w:rFonts w:ascii="Arial" w:hAnsi="Arial" w:cs="Arial"/>
          <w:sz w:val="24"/>
          <w:szCs w:val="24"/>
        </w:rPr>
        <w:t>I want to thank my family for believing in me and supporting me.</w:t>
      </w:r>
      <w:r w:rsidR="009E6C8A">
        <w:rPr>
          <w:rFonts w:ascii="Arial" w:hAnsi="Arial" w:cs="Arial"/>
          <w:sz w:val="24"/>
          <w:szCs w:val="24"/>
        </w:rPr>
        <w:t xml:space="preserve"> </w:t>
      </w:r>
      <w:r w:rsidR="00D16EC1">
        <w:rPr>
          <w:rFonts w:ascii="Arial" w:hAnsi="Arial" w:cs="Arial"/>
          <w:sz w:val="24"/>
          <w:szCs w:val="24"/>
        </w:rPr>
        <w:t>I love you.</w:t>
      </w:r>
      <w:r w:rsidR="00BF2977">
        <w:rPr>
          <w:rFonts w:ascii="Arial" w:hAnsi="Arial" w:cs="Arial"/>
          <w:sz w:val="24"/>
          <w:szCs w:val="24"/>
        </w:rPr>
        <w:t xml:space="preserve"> </w:t>
      </w:r>
    </w:p>
    <w:p w14:paraId="706AD197" w14:textId="7888E629" w:rsidR="006B53A7" w:rsidRDefault="000E29D8" w:rsidP="003D5B5A">
      <w:pPr>
        <w:pStyle w:val="En-ttedetabledesmatires"/>
        <w:spacing w:after="240" w:line="276" w:lineRule="auto"/>
        <w:jc w:val="both"/>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801600" behindDoc="0" locked="0" layoutInCell="1" allowOverlap="1" wp14:anchorId="36F2B26C" wp14:editId="11C79272">
                <wp:simplePos x="0" y="0"/>
                <wp:positionH relativeFrom="margin">
                  <wp:posOffset>5512435</wp:posOffset>
                </wp:positionH>
                <wp:positionV relativeFrom="paragraph">
                  <wp:posOffset>3848100</wp:posOffset>
                </wp:positionV>
                <wp:extent cx="371475" cy="333375"/>
                <wp:effectExtent l="0" t="0" r="0" b="0"/>
                <wp:wrapNone/>
                <wp:docPr id="20" name="Rectangle 20"/>
                <wp:cNvGraphicFramePr/>
                <a:graphic xmlns:a="http://schemas.openxmlformats.org/drawingml/2006/main">
                  <a:graphicData uri="http://schemas.microsoft.com/office/word/2010/wordprocessingShape">
                    <wps:wsp>
                      <wps:cNvSpPr/>
                      <wps:spPr>
                        <a:xfrm>
                          <a:off x="0" y="0"/>
                          <a:ext cx="371475" cy="3333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A7E4F6A" w14:textId="3D8E6A1C" w:rsidR="000E29D8" w:rsidRPr="000E29D8" w:rsidRDefault="000E29D8" w:rsidP="000E29D8">
                            <w:pPr>
                              <w:jc w:val="center"/>
                              <w:rPr>
                                <w:color w:val="000000" w:themeColor="text1"/>
                                <w:lang w:val="fr-FR"/>
                              </w:rPr>
                            </w:pPr>
                            <w:r w:rsidRPr="000E29D8">
                              <w:rPr>
                                <w:color w:val="000000" w:themeColor="text1"/>
                                <w:lang w:val="fr-FR"/>
                              </w:rPr>
                              <w:t>iv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6F2B26C" id="Rectangle 20" o:spid="_x0000_s1026" style="position:absolute;left:0;text-align:left;margin-left:434.05pt;margin-top:303pt;width:29.25pt;height:26.25pt;z-index:25180160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" filled="f" stroked="f" strokeweight="2pt">
                <v:textbox>
                  <w:txbxContent>
                    <w:p w14:paraId="4A7E4F6A" w14:textId="3D8E6A1C" w:rsidR="000E29D8" w:rsidRPr="000E29D8" w:rsidRDefault="000E29D8" w:rsidP="000E29D8">
                      <w:pPr>
                        <w:jc w:val="center"/>
                        <w:rPr>
                          <w:color w:val="000000" w:themeColor="text1"/>
                          <w:lang w:val="fr-FR"/>
                        </w:rPr>
                      </w:pPr>
                      <w:r w:rsidRPr="000E29D8">
                        <w:rPr>
                          <w:color w:val="000000" w:themeColor="text1"/>
                          <w:lang w:val="fr-FR"/>
                        </w:rPr>
                        <w:t>iv</w:t>
                      </w:r>
                    </w:p>
                  </w:txbxContent>
                </v:textbox>
                <w10:wrap anchorx="margin"/>
              </v:rect>
            </w:pict>
          </mc:Fallback>
        </mc:AlternateContent>
      </w:r>
      <w:r w:rsidR="00A85FE8">
        <w:rPr>
          <w:rFonts w:ascii="Arial" w:hAnsi="Arial" w:cs="Arial"/>
          <w:noProof/>
          <w:sz w:val="24"/>
          <w:szCs w:val="24"/>
        </w:rPr>
        <mc:AlternateContent>
          <mc:Choice Requires="wps">
            <w:drawing>
              <wp:anchor distT="0" distB="0" distL="114300" distR="114300" simplePos="0" relativeHeight="251798528" behindDoc="0" locked="0" layoutInCell="1" allowOverlap="1" wp14:anchorId="7690DA9D" wp14:editId="53B1E891">
                <wp:simplePos x="0" y="0"/>
                <wp:positionH relativeFrom="column">
                  <wp:posOffset>5543550</wp:posOffset>
                </wp:positionH>
                <wp:positionV relativeFrom="paragraph">
                  <wp:posOffset>3816350</wp:posOffset>
                </wp:positionV>
                <wp:extent cx="317500" cy="393700"/>
                <wp:effectExtent l="0" t="0" r="25400" b="25400"/>
                <wp:wrapNone/>
                <wp:docPr id="37" name="Rectangle 37"/>
                <wp:cNvGraphicFramePr/>
                <a:graphic xmlns:a="http://schemas.openxmlformats.org/drawingml/2006/main">
                  <a:graphicData uri="http://schemas.microsoft.com/office/word/2010/wordprocessingShape">
                    <wps:wsp>
                      <wps:cNvSpPr/>
                      <wps:spPr>
                        <a:xfrm>
                          <a:off x="0" y="0"/>
                          <a:ext cx="317500" cy="3937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ex="http://schemas.microsoft.com/office/word/2018/wordml/cex" xmlns:w16="http://schemas.microsoft.com/office/word/2018/wordml" xmlns:w16sdtdh="http://schemas.microsoft.com/office/word/2020/wordml/sdtdatahash">
            <w:pict>
              <v:rect w14:anchorId="6D530EBC" id="Rectangle 37" o:spid="_x0000_s1026" style="position:absolute;margin-left:436.5pt;margin-top:300.5pt;width:25pt;height:31pt;z-index:251798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" fillcolor="white [3212]" strokecolor="white [3212]" strokeweight="2pt"/>
            </w:pict>
          </mc:Fallback>
        </mc:AlternateContent>
      </w:r>
      <w:r w:rsidR="00BB7373">
        <w:rPr>
          <w:rFonts w:ascii="Arial" w:hAnsi="Arial" w:cs="Arial"/>
          <w:sz w:val="24"/>
          <w:szCs w:val="24"/>
        </w:rPr>
        <w:br w:type="page"/>
      </w:r>
    </w:p>
    <w:sdt>
      <w:sdtPr>
        <w:rPr>
          <w:rFonts w:ascii="Arial" w:hAnsi="Arial" w:cs="Arial"/>
          <w:b/>
          <w:bCs/>
          <w:sz w:val="24"/>
          <w:szCs w:val="24"/>
        </w:rPr>
        <w:id w:val="-1912912961"/>
        <w:docPartObj>
          <w:docPartGallery w:val="Table of Contents"/>
          <w:docPartUnique/>
        </w:docPartObj>
      </w:sdtPr>
      <w:sdtEndPr>
        <w:rPr>
          <w:noProof/>
        </w:rPr>
      </w:sdtEndPr>
      <w:sdtContent>
        <w:p w14:paraId="4C504D0B" w14:textId="03E7D88A" w:rsidR="003D5B5A" w:rsidRPr="003D5B5A" w:rsidRDefault="00372107" w:rsidP="006B53A7">
          <w:pPr>
            <w:rPr>
              <w:rFonts w:ascii="Arial" w:hAnsi="Arial" w:cs="Arial"/>
              <w:b/>
              <w:bCs/>
              <w:sz w:val="24"/>
              <w:szCs w:val="24"/>
            </w:rPr>
          </w:pPr>
          <w:r w:rsidRPr="00EB056A">
            <w:rPr>
              <w:rFonts w:ascii="Arial" w:hAnsi="Arial" w:cs="Arial"/>
              <w:b/>
              <w:bCs/>
              <w:sz w:val="24"/>
              <w:szCs w:val="24"/>
            </w:rPr>
            <w:t>Table of Contents</w:t>
          </w:r>
        </w:p>
        <w:p w14:paraId="0ABA4FA6" w14:textId="5A579893" w:rsidR="006343BD" w:rsidRDefault="00372107">
          <w:pPr>
            <w:pStyle w:val="TM1"/>
            <w:rPr>
              <w:rFonts w:eastAsiaTheme="minorEastAsia"/>
              <w:noProof/>
            </w:rPr>
          </w:pPr>
          <w:r w:rsidRPr="007D2589">
            <w:rPr>
              <w:rFonts w:ascii="Arial" w:hAnsi="Arial" w:cs="Arial"/>
              <w:sz w:val="24"/>
              <w:szCs w:val="24"/>
            </w:rPr>
            <w:fldChar w:fldCharType="begin"/>
          </w:r>
          <w:r w:rsidRPr="007D2589">
            <w:rPr>
              <w:rFonts w:ascii="Arial" w:hAnsi="Arial" w:cs="Arial"/>
              <w:sz w:val="24"/>
              <w:szCs w:val="24"/>
              <w:lang w:val="fr-FR"/>
            </w:rPr>
            <w:instrText xml:space="preserve"> TOC \o "1-3" \h \z \u </w:instrText>
          </w:r>
          <w:r w:rsidRPr="007D2589">
            <w:rPr>
              <w:rFonts w:ascii="Arial" w:hAnsi="Arial" w:cs="Arial"/>
              <w:sz w:val="24"/>
              <w:szCs w:val="24"/>
            </w:rPr>
            <w:fldChar w:fldCharType="separate"/>
          </w:r>
          <w:hyperlink w:anchor="_Toc106903202" w:history="1">
            <w:r w:rsidR="006343BD" w:rsidRPr="007B4E31">
              <w:rPr>
                <w:rStyle w:val="Lienhypertexte"/>
                <w:rFonts w:ascii="Arial" w:hAnsi="Arial" w:cs="Arial"/>
                <w:b/>
                <w:bCs/>
                <w:noProof/>
              </w:rPr>
              <w:t>Abstract</w:t>
            </w:r>
            <w:r w:rsidR="006343BD">
              <w:rPr>
                <w:noProof/>
                <w:webHidden/>
              </w:rPr>
              <w:tab/>
            </w:r>
            <w:r w:rsidR="006343BD">
              <w:rPr>
                <w:noProof/>
                <w:webHidden/>
              </w:rPr>
              <w:fldChar w:fldCharType="begin"/>
            </w:r>
            <w:r w:rsidR="006343BD">
              <w:rPr>
                <w:noProof/>
                <w:webHidden/>
              </w:rPr>
              <w:instrText xml:space="preserve"> PAGEREF _Toc106903202 \h </w:instrText>
            </w:r>
            <w:r w:rsidR="006343BD">
              <w:rPr>
                <w:noProof/>
                <w:webHidden/>
              </w:rPr>
            </w:r>
            <w:r w:rsidR="006343BD">
              <w:rPr>
                <w:noProof/>
                <w:webHidden/>
              </w:rPr>
              <w:fldChar w:fldCharType="separate"/>
            </w:r>
            <w:r w:rsidR="005C4791">
              <w:rPr>
                <w:noProof/>
                <w:webHidden/>
              </w:rPr>
              <w:t>ix</w:t>
            </w:r>
            <w:r w:rsidR="006343BD">
              <w:rPr>
                <w:noProof/>
                <w:webHidden/>
              </w:rPr>
              <w:fldChar w:fldCharType="end"/>
            </w:r>
          </w:hyperlink>
        </w:p>
        <w:p w14:paraId="288E53F8" w14:textId="77868B75" w:rsidR="006343BD" w:rsidRDefault="00CA1C92">
          <w:pPr>
            <w:pStyle w:val="TM1"/>
            <w:rPr>
              <w:rFonts w:eastAsiaTheme="minorEastAsia"/>
              <w:noProof/>
            </w:rPr>
          </w:pPr>
          <w:hyperlink w:anchor="_Toc106903203" w:history="1">
            <w:r w:rsidR="006343BD" w:rsidRPr="007B4E31">
              <w:rPr>
                <w:rStyle w:val="Lienhypertexte"/>
                <w:rFonts w:ascii="Arial" w:hAnsi="Arial" w:cs="Arial"/>
                <w:b/>
                <w:bCs/>
                <w:noProof/>
              </w:rPr>
              <w:t>Chapter 1: Motivation and literature review</w:t>
            </w:r>
            <w:r w:rsidR="006343BD">
              <w:rPr>
                <w:noProof/>
                <w:webHidden/>
              </w:rPr>
              <w:tab/>
            </w:r>
            <w:r w:rsidR="006343BD">
              <w:rPr>
                <w:noProof/>
                <w:webHidden/>
              </w:rPr>
              <w:fldChar w:fldCharType="begin"/>
            </w:r>
            <w:r w:rsidR="006343BD">
              <w:rPr>
                <w:noProof/>
                <w:webHidden/>
              </w:rPr>
              <w:instrText xml:space="preserve"> PAGEREF _Toc106903203 \h </w:instrText>
            </w:r>
            <w:r w:rsidR="006343BD">
              <w:rPr>
                <w:noProof/>
                <w:webHidden/>
              </w:rPr>
            </w:r>
            <w:r w:rsidR="006343BD">
              <w:rPr>
                <w:noProof/>
                <w:webHidden/>
              </w:rPr>
              <w:fldChar w:fldCharType="separate"/>
            </w:r>
            <w:r w:rsidR="005C4791">
              <w:rPr>
                <w:noProof/>
                <w:webHidden/>
              </w:rPr>
              <w:t>1</w:t>
            </w:r>
            <w:r w:rsidR="006343BD">
              <w:rPr>
                <w:noProof/>
                <w:webHidden/>
              </w:rPr>
              <w:fldChar w:fldCharType="end"/>
            </w:r>
          </w:hyperlink>
        </w:p>
        <w:p w14:paraId="77382190" w14:textId="5E69CB3E" w:rsidR="006343BD" w:rsidRDefault="00CA1C92">
          <w:pPr>
            <w:pStyle w:val="TM2"/>
            <w:tabs>
              <w:tab w:val="left" w:pos="880"/>
            </w:tabs>
            <w:rPr>
              <w:rFonts w:eastAsiaTheme="minorEastAsia"/>
              <w:noProof/>
            </w:rPr>
          </w:pPr>
          <w:hyperlink w:anchor="_Toc106903204" w:history="1">
            <w:r w:rsidR="006343BD" w:rsidRPr="007B4E31">
              <w:rPr>
                <w:rStyle w:val="Lienhypertexte"/>
                <w:rFonts w:ascii="Arial" w:hAnsi="Arial" w:cs="Arial"/>
                <w:b/>
                <w:bCs/>
                <w:noProof/>
              </w:rPr>
              <w:t>1.1</w:t>
            </w:r>
            <w:r w:rsidR="0071245D">
              <w:rPr>
                <w:rFonts w:eastAsiaTheme="minorEastAsia"/>
                <w:noProof/>
              </w:rPr>
              <w:t xml:space="preserve"> </w:t>
            </w:r>
            <w:r w:rsidR="006343BD" w:rsidRPr="007B4E31">
              <w:rPr>
                <w:rStyle w:val="Lienhypertexte"/>
                <w:rFonts w:ascii="Arial" w:hAnsi="Arial" w:cs="Arial"/>
                <w:b/>
                <w:bCs/>
                <w:noProof/>
              </w:rPr>
              <w:t>Overview</w:t>
            </w:r>
            <w:r w:rsidR="006343BD">
              <w:rPr>
                <w:noProof/>
                <w:webHidden/>
              </w:rPr>
              <w:tab/>
            </w:r>
            <w:r w:rsidR="006343BD">
              <w:rPr>
                <w:noProof/>
                <w:webHidden/>
              </w:rPr>
              <w:fldChar w:fldCharType="begin"/>
            </w:r>
            <w:r w:rsidR="006343BD">
              <w:rPr>
                <w:noProof/>
                <w:webHidden/>
              </w:rPr>
              <w:instrText xml:space="preserve"> PAGEREF _Toc106903204 \h </w:instrText>
            </w:r>
            <w:r w:rsidR="006343BD">
              <w:rPr>
                <w:noProof/>
                <w:webHidden/>
              </w:rPr>
            </w:r>
            <w:r w:rsidR="006343BD">
              <w:rPr>
                <w:noProof/>
                <w:webHidden/>
              </w:rPr>
              <w:fldChar w:fldCharType="separate"/>
            </w:r>
            <w:r w:rsidR="005C4791">
              <w:rPr>
                <w:noProof/>
                <w:webHidden/>
              </w:rPr>
              <w:t>1</w:t>
            </w:r>
            <w:r w:rsidR="006343BD">
              <w:rPr>
                <w:noProof/>
                <w:webHidden/>
              </w:rPr>
              <w:fldChar w:fldCharType="end"/>
            </w:r>
          </w:hyperlink>
        </w:p>
        <w:p w14:paraId="3F6C94AA" w14:textId="6ED45CC7" w:rsidR="006343BD" w:rsidRDefault="009D3993" w:rsidP="009D3993">
          <w:pPr>
            <w:pStyle w:val="TM3"/>
            <w:tabs>
              <w:tab w:val="left" w:pos="1100"/>
            </w:tabs>
            <w:ind w:left="0"/>
            <w:rPr>
              <w:rFonts w:eastAsiaTheme="minorEastAsia"/>
              <w:noProof/>
            </w:rPr>
          </w:pPr>
          <w:r w:rsidRPr="009D3993">
            <w:rPr>
              <w:rStyle w:val="Lienhypertexte"/>
              <w:noProof/>
              <w:u w:val="none"/>
            </w:rPr>
            <w:t xml:space="preserve">   </w:t>
          </w:r>
          <w:r w:rsidR="007B5561">
            <w:rPr>
              <w:rStyle w:val="Lienhypertexte"/>
              <w:noProof/>
              <w:u w:val="none"/>
            </w:rPr>
            <w:t xml:space="preserve"> </w:t>
          </w:r>
          <w:hyperlink w:anchor="_Toc106903205" w:history="1">
            <w:r w:rsidR="006343BD" w:rsidRPr="007B4E31">
              <w:rPr>
                <w:rStyle w:val="Lienhypertexte"/>
                <w:rFonts w:ascii="Arial" w:hAnsi="Arial" w:cs="Arial"/>
                <w:b/>
                <w:bCs/>
                <w:noProof/>
              </w:rPr>
              <w:t>1.2</w:t>
            </w:r>
            <w:r w:rsidR="0071245D">
              <w:rPr>
                <w:rFonts w:eastAsiaTheme="minorEastAsia"/>
                <w:noProof/>
              </w:rPr>
              <w:t xml:space="preserve"> </w:t>
            </w:r>
            <w:r w:rsidR="006343BD" w:rsidRPr="007B4E31">
              <w:rPr>
                <w:rStyle w:val="Lienhypertexte"/>
                <w:rFonts w:ascii="Arial" w:hAnsi="Arial" w:cs="Arial"/>
                <w:b/>
                <w:bCs/>
                <w:noProof/>
              </w:rPr>
              <w:t>Properties of brain blood vessels</w:t>
            </w:r>
            <w:r w:rsidR="006343BD">
              <w:rPr>
                <w:noProof/>
                <w:webHidden/>
              </w:rPr>
              <w:tab/>
            </w:r>
            <w:r w:rsidR="006343BD">
              <w:rPr>
                <w:noProof/>
                <w:webHidden/>
              </w:rPr>
              <w:fldChar w:fldCharType="begin"/>
            </w:r>
            <w:r w:rsidR="006343BD">
              <w:rPr>
                <w:noProof/>
                <w:webHidden/>
              </w:rPr>
              <w:instrText xml:space="preserve"> PAGEREF _Toc106903205 \h </w:instrText>
            </w:r>
            <w:r w:rsidR="006343BD">
              <w:rPr>
                <w:noProof/>
                <w:webHidden/>
              </w:rPr>
            </w:r>
            <w:r w:rsidR="006343BD">
              <w:rPr>
                <w:noProof/>
                <w:webHidden/>
              </w:rPr>
              <w:fldChar w:fldCharType="separate"/>
            </w:r>
            <w:r w:rsidR="005C4791">
              <w:rPr>
                <w:noProof/>
                <w:webHidden/>
              </w:rPr>
              <w:t>2</w:t>
            </w:r>
            <w:r w:rsidR="006343BD">
              <w:rPr>
                <w:noProof/>
                <w:webHidden/>
              </w:rPr>
              <w:fldChar w:fldCharType="end"/>
            </w:r>
          </w:hyperlink>
        </w:p>
        <w:p w14:paraId="43900145" w14:textId="45825FE2" w:rsidR="006343BD" w:rsidRDefault="00CA1C92">
          <w:pPr>
            <w:pStyle w:val="TM3"/>
            <w:rPr>
              <w:rFonts w:eastAsiaTheme="minorEastAsia"/>
              <w:noProof/>
            </w:rPr>
          </w:pPr>
          <w:hyperlink w:anchor="_Toc106903206" w:history="1">
            <w:r w:rsidR="006343BD" w:rsidRPr="007B4E31">
              <w:rPr>
                <w:rStyle w:val="Lienhypertexte"/>
                <w:rFonts w:ascii="Arial" w:hAnsi="Arial" w:cs="Arial"/>
                <w:b/>
                <w:bCs/>
                <w:noProof/>
              </w:rPr>
              <w:t>1.2.1 Blood vessel structure</w:t>
            </w:r>
            <w:r w:rsidR="006343BD">
              <w:rPr>
                <w:noProof/>
                <w:webHidden/>
              </w:rPr>
              <w:tab/>
            </w:r>
            <w:r w:rsidR="006343BD">
              <w:rPr>
                <w:noProof/>
                <w:webHidden/>
              </w:rPr>
              <w:fldChar w:fldCharType="begin"/>
            </w:r>
            <w:r w:rsidR="006343BD">
              <w:rPr>
                <w:noProof/>
                <w:webHidden/>
              </w:rPr>
              <w:instrText xml:space="preserve"> PAGEREF _Toc106903206 \h </w:instrText>
            </w:r>
            <w:r w:rsidR="006343BD">
              <w:rPr>
                <w:noProof/>
                <w:webHidden/>
              </w:rPr>
            </w:r>
            <w:r w:rsidR="006343BD">
              <w:rPr>
                <w:noProof/>
                <w:webHidden/>
              </w:rPr>
              <w:fldChar w:fldCharType="separate"/>
            </w:r>
            <w:r w:rsidR="005C4791">
              <w:rPr>
                <w:noProof/>
                <w:webHidden/>
              </w:rPr>
              <w:t>2</w:t>
            </w:r>
            <w:r w:rsidR="006343BD">
              <w:rPr>
                <w:noProof/>
                <w:webHidden/>
              </w:rPr>
              <w:fldChar w:fldCharType="end"/>
            </w:r>
          </w:hyperlink>
        </w:p>
        <w:p w14:paraId="068D80CC" w14:textId="1FCD15F9" w:rsidR="006343BD" w:rsidRDefault="00CA1C92">
          <w:pPr>
            <w:pStyle w:val="TM3"/>
            <w:rPr>
              <w:rFonts w:eastAsiaTheme="minorEastAsia"/>
              <w:noProof/>
            </w:rPr>
          </w:pPr>
          <w:hyperlink w:anchor="_Toc106903207" w:history="1">
            <w:r w:rsidR="006343BD" w:rsidRPr="007B4E31">
              <w:rPr>
                <w:rStyle w:val="Lienhypertexte"/>
                <w:rFonts w:ascii="Arial" w:hAnsi="Arial" w:cs="Arial"/>
                <w:b/>
                <w:bCs/>
                <w:noProof/>
              </w:rPr>
              <w:t>1.2.2 Composition of blood vessels</w:t>
            </w:r>
            <w:r w:rsidR="006343BD">
              <w:rPr>
                <w:noProof/>
                <w:webHidden/>
              </w:rPr>
              <w:tab/>
            </w:r>
            <w:r w:rsidR="006343BD">
              <w:rPr>
                <w:noProof/>
                <w:webHidden/>
              </w:rPr>
              <w:fldChar w:fldCharType="begin"/>
            </w:r>
            <w:r w:rsidR="006343BD">
              <w:rPr>
                <w:noProof/>
                <w:webHidden/>
              </w:rPr>
              <w:instrText xml:space="preserve"> PAGEREF _Toc106903207 \h </w:instrText>
            </w:r>
            <w:r w:rsidR="006343BD">
              <w:rPr>
                <w:noProof/>
                <w:webHidden/>
              </w:rPr>
            </w:r>
            <w:r w:rsidR="006343BD">
              <w:rPr>
                <w:noProof/>
                <w:webHidden/>
              </w:rPr>
              <w:fldChar w:fldCharType="separate"/>
            </w:r>
            <w:r w:rsidR="005C4791">
              <w:rPr>
                <w:noProof/>
                <w:webHidden/>
              </w:rPr>
              <w:t>3</w:t>
            </w:r>
            <w:r w:rsidR="006343BD">
              <w:rPr>
                <w:noProof/>
                <w:webHidden/>
              </w:rPr>
              <w:fldChar w:fldCharType="end"/>
            </w:r>
          </w:hyperlink>
        </w:p>
        <w:p w14:paraId="7D92C595" w14:textId="7805EBF2" w:rsidR="006343BD" w:rsidRDefault="00CA1C92">
          <w:pPr>
            <w:pStyle w:val="TM2"/>
            <w:tabs>
              <w:tab w:val="left" w:pos="880"/>
            </w:tabs>
            <w:rPr>
              <w:rFonts w:eastAsiaTheme="minorEastAsia"/>
              <w:noProof/>
            </w:rPr>
          </w:pPr>
          <w:hyperlink w:anchor="_Toc106903208" w:history="1">
            <w:r w:rsidR="006343BD" w:rsidRPr="007B4E31">
              <w:rPr>
                <w:rStyle w:val="Lienhypertexte"/>
                <w:rFonts w:ascii="Arial" w:hAnsi="Arial" w:cs="Arial"/>
                <w:b/>
                <w:bCs/>
                <w:noProof/>
              </w:rPr>
              <w:t>1.3</w:t>
            </w:r>
            <w:r w:rsidR="0071245D">
              <w:rPr>
                <w:rFonts w:eastAsiaTheme="minorEastAsia"/>
                <w:noProof/>
              </w:rPr>
              <w:t xml:space="preserve"> </w:t>
            </w:r>
            <w:r w:rsidR="006343BD" w:rsidRPr="007B4E31">
              <w:rPr>
                <w:rStyle w:val="Lienhypertexte"/>
                <w:rFonts w:ascii="Arial" w:hAnsi="Arial" w:cs="Arial"/>
                <w:b/>
                <w:bCs/>
                <w:noProof/>
              </w:rPr>
              <w:t>Brain aneurysm formation and aneurysm types</w:t>
            </w:r>
            <w:r w:rsidR="006343BD">
              <w:rPr>
                <w:noProof/>
                <w:webHidden/>
              </w:rPr>
              <w:tab/>
            </w:r>
            <w:r w:rsidR="006343BD">
              <w:rPr>
                <w:noProof/>
                <w:webHidden/>
              </w:rPr>
              <w:fldChar w:fldCharType="begin"/>
            </w:r>
            <w:r w:rsidR="006343BD">
              <w:rPr>
                <w:noProof/>
                <w:webHidden/>
              </w:rPr>
              <w:instrText xml:space="preserve"> PAGEREF _Toc106903208 \h </w:instrText>
            </w:r>
            <w:r w:rsidR="006343BD">
              <w:rPr>
                <w:noProof/>
                <w:webHidden/>
              </w:rPr>
            </w:r>
            <w:r w:rsidR="006343BD">
              <w:rPr>
                <w:noProof/>
                <w:webHidden/>
              </w:rPr>
              <w:fldChar w:fldCharType="separate"/>
            </w:r>
            <w:r w:rsidR="005C4791">
              <w:rPr>
                <w:noProof/>
                <w:webHidden/>
              </w:rPr>
              <w:t>5</w:t>
            </w:r>
            <w:r w:rsidR="006343BD">
              <w:rPr>
                <w:noProof/>
                <w:webHidden/>
              </w:rPr>
              <w:fldChar w:fldCharType="end"/>
            </w:r>
          </w:hyperlink>
        </w:p>
        <w:p w14:paraId="02B2DD2B" w14:textId="3A2B3F21" w:rsidR="006343BD" w:rsidRDefault="00CA1C92">
          <w:pPr>
            <w:pStyle w:val="TM2"/>
            <w:tabs>
              <w:tab w:val="left" w:pos="880"/>
            </w:tabs>
            <w:rPr>
              <w:rFonts w:eastAsiaTheme="minorEastAsia"/>
              <w:noProof/>
            </w:rPr>
          </w:pPr>
          <w:hyperlink w:anchor="_Toc106903209" w:history="1">
            <w:r w:rsidR="006343BD" w:rsidRPr="007B4E31">
              <w:rPr>
                <w:rStyle w:val="Lienhypertexte"/>
                <w:rFonts w:ascii="Arial" w:hAnsi="Arial" w:cs="Arial"/>
                <w:b/>
                <w:bCs/>
                <w:noProof/>
              </w:rPr>
              <w:t>1.4</w:t>
            </w:r>
            <w:r w:rsidR="0071245D">
              <w:rPr>
                <w:rFonts w:eastAsiaTheme="minorEastAsia"/>
                <w:noProof/>
              </w:rPr>
              <w:t xml:space="preserve"> </w:t>
            </w:r>
            <w:r w:rsidR="006343BD" w:rsidRPr="007B4E31">
              <w:rPr>
                <w:rStyle w:val="Lienhypertexte"/>
                <w:rFonts w:ascii="Arial" w:hAnsi="Arial" w:cs="Arial"/>
                <w:b/>
                <w:bCs/>
                <w:noProof/>
              </w:rPr>
              <w:t>Current treatments</w:t>
            </w:r>
            <w:r w:rsidR="006343BD">
              <w:rPr>
                <w:noProof/>
                <w:webHidden/>
              </w:rPr>
              <w:tab/>
            </w:r>
            <w:r w:rsidR="006343BD">
              <w:rPr>
                <w:noProof/>
                <w:webHidden/>
              </w:rPr>
              <w:fldChar w:fldCharType="begin"/>
            </w:r>
            <w:r w:rsidR="006343BD">
              <w:rPr>
                <w:noProof/>
                <w:webHidden/>
              </w:rPr>
              <w:instrText xml:space="preserve"> PAGEREF _Toc106903209 \h </w:instrText>
            </w:r>
            <w:r w:rsidR="006343BD">
              <w:rPr>
                <w:noProof/>
                <w:webHidden/>
              </w:rPr>
            </w:r>
            <w:r w:rsidR="006343BD">
              <w:rPr>
                <w:noProof/>
                <w:webHidden/>
              </w:rPr>
              <w:fldChar w:fldCharType="separate"/>
            </w:r>
            <w:r w:rsidR="005C4791">
              <w:rPr>
                <w:noProof/>
                <w:webHidden/>
              </w:rPr>
              <w:t>8</w:t>
            </w:r>
            <w:r w:rsidR="006343BD">
              <w:rPr>
                <w:noProof/>
                <w:webHidden/>
              </w:rPr>
              <w:fldChar w:fldCharType="end"/>
            </w:r>
          </w:hyperlink>
        </w:p>
        <w:p w14:paraId="22DB6DCD" w14:textId="2E0EFA45" w:rsidR="006343BD" w:rsidRDefault="00CA1C92">
          <w:pPr>
            <w:pStyle w:val="TM3"/>
            <w:rPr>
              <w:rFonts w:eastAsiaTheme="minorEastAsia"/>
              <w:noProof/>
            </w:rPr>
          </w:pPr>
          <w:hyperlink w:anchor="_Toc106903210" w:history="1">
            <w:r w:rsidR="006343BD" w:rsidRPr="007B4E31">
              <w:rPr>
                <w:rStyle w:val="Lienhypertexte"/>
                <w:rFonts w:ascii="Arial" w:hAnsi="Arial" w:cs="Arial"/>
                <w:b/>
                <w:bCs/>
                <w:noProof/>
              </w:rPr>
              <w:t>1.4.1 Surgical clipping</w:t>
            </w:r>
            <w:r w:rsidR="006343BD">
              <w:rPr>
                <w:noProof/>
                <w:webHidden/>
              </w:rPr>
              <w:tab/>
            </w:r>
            <w:r w:rsidR="006343BD">
              <w:rPr>
                <w:noProof/>
                <w:webHidden/>
              </w:rPr>
              <w:fldChar w:fldCharType="begin"/>
            </w:r>
            <w:r w:rsidR="006343BD">
              <w:rPr>
                <w:noProof/>
                <w:webHidden/>
              </w:rPr>
              <w:instrText xml:space="preserve"> PAGEREF _Toc106903210 \h </w:instrText>
            </w:r>
            <w:r w:rsidR="006343BD">
              <w:rPr>
                <w:noProof/>
                <w:webHidden/>
              </w:rPr>
            </w:r>
            <w:r w:rsidR="006343BD">
              <w:rPr>
                <w:noProof/>
                <w:webHidden/>
              </w:rPr>
              <w:fldChar w:fldCharType="separate"/>
            </w:r>
            <w:r w:rsidR="005C4791">
              <w:rPr>
                <w:noProof/>
                <w:webHidden/>
              </w:rPr>
              <w:t>9</w:t>
            </w:r>
            <w:r w:rsidR="006343BD">
              <w:rPr>
                <w:noProof/>
                <w:webHidden/>
              </w:rPr>
              <w:fldChar w:fldCharType="end"/>
            </w:r>
          </w:hyperlink>
        </w:p>
        <w:p w14:paraId="57100746" w14:textId="1DDA6074" w:rsidR="006343BD" w:rsidRDefault="00CA1C92">
          <w:pPr>
            <w:pStyle w:val="TM3"/>
            <w:rPr>
              <w:rFonts w:eastAsiaTheme="minorEastAsia"/>
              <w:noProof/>
            </w:rPr>
          </w:pPr>
          <w:hyperlink w:anchor="_Toc106903211" w:history="1">
            <w:r w:rsidR="006343BD" w:rsidRPr="007B4E31">
              <w:rPr>
                <w:rStyle w:val="Lienhypertexte"/>
                <w:rFonts w:ascii="Arial" w:hAnsi="Arial" w:cs="Arial"/>
                <w:b/>
                <w:bCs/>
                <w:noProof/>
              </w:rPr>
              <w:t>1.4.2 Coiling</w:t>
            </w:r>
            <w:r w:rsidR="006343BD">
              <w:rPr>
                <w:noProof/>
                <w:webHidden/>
              </w:rPr>
              <w:tab/>
            </w:r>
            <w:r w:rsidR="006343BD">
              <w:rPr>
                <w:noProof/>
                <w:webHidden/>
              </w:rPr>
              <w:fldChar w:fldCharType="begin"/>
            </w:r>
            <w:r w:rsidR="006343BD">
              <w:rPr>
                <w:noProof/>
                <w:webHidden/>
              </w:rPr>
              <w:instrText xml:space="preserve"> PAGEREF _Toc106903211 \h </w:instrText>
            </w:r>
            <w:r w:rsidR="006343BD">
              <w:rPr>
                <w:noProof/>
                <w:webHidden/>
              </w:rPr>
            </w:r>
            <w:r w:rsidR="006343BD">
              <w:rPr>
                <w:noProof/>
                <w:webHidden/>
              </w:rPr>
              <w:fldChar w:fldCharType="separate"/>
            </w:r>
            <w:r w:rsidR="005C4791">
              <w:rPr>
                <w:noProof/>
                <w:webHidden/>
              </w:rPr>
              <w:t>10</w:t>
            </w:r>
            <w:r w:rsidR="006343BD">
              <w:rPr>
                <w:noProof/>
                <w:webHidden/>
              </w:rPr>
              <w:fldChar w:fldCharType="end"/>
            </w:r>
          </w:hyperlink>
        </w:p>
        <w:p w14:paraId="1CF3E2F2" w14:textId="37150E18" w:rsidR="006343BD" w:rsidRDefault="00CA1C92">
          <w:pPr>
            <w:pStyle w:val="TM3"/>
            <w:rPr>
              <w:rFonts w:eastAsiaTheme="minorEastAsia"/>
              <w:noProof/>
            </w:rPr>
          </w:pPr>
          <w:hyperlink w:anchor="_Toc106903212" w:history="1">
            <w:r w:rsidR="006343BD" w:rsidRPr="007B4E31">
              <w:rPr>
                <w:rStyle w:val="Lienhypertexte"/>
                <w:rFonts w:ascii="Arial" w:hAnsi="Arial" w:cs="Arial"/>
                <w:b/>
                <w:bCs/>
                <w:noProof/>
              </w:rPr>
              <w:t>1.4.3 Stents</w:t>
            </w:r>
            <w:r w:rsidR="006343BD">
              <w:rPr>
                <w:noProof/>
                <w:webHidden/>
              </w:rPr>
              <w:tab/>
            </w:r>
            <w:r w:rsidR="006343BD">
              <w:rPr>
                <w:noProof/>
                <w:webHidden/>
              </w:rPr>
              <w:fldChar w:fldCharType="begin"/>
            </w:r>
            <w:r w:rsidR="006343BD">
              <w:rPr>
                <w:noProof/>
                <w:webHidden/>
              </w:rPr>
              <w:instrText xml:space="preserve"> PAGEREF _Toc106903212 \h </w:instrText>
            </w:r>
            <w:r w:rsidR="006343BD">
              <w:rPr>
                <w:noProof/>
                <w:webHidden/>
              </w:rPr>
            </w:r>
            <w:r w:rsidR="006343BD">
              <w:rPr>
                <w:noProof/>
                <w:webHidden/>
              </w:rPr>
              <w:fldChar w:fldCharType="separate"/>
            </w:r>
            <w:r w:rsidR="005C4791">
              <w:rPr>
                <w:noProof/>
                <w:webHidden/>
              </w:rPr>
              <w:t>11</w:t>
            </w:r>
            <w:r w:rsidR="006343BD">
              <w:rPr>
                <w:noProof/>
                <w:webHidden/>
              </w:rPr>
              <w:fldChar w:fldCharType="end"/>
            </w:r>
          </w:hyperlink>
        </w:p>
        <w:p w14:paraId="53562193" w14:textId="1E3903DF" w:rsidR="006343BD" w:rsidRDefault="00CA1C92">
          <w:pPr>
            <w:pStyle w:val="TM3"/>
            <w:rPr>
              <w:rFonts w:eastAsiaTheme="minorEastAsia"/>
              <w:noProof/>
            </w:rPr>
          </w:pPr>
          <w:hyperlink w:anchor="_Toc106903213" w:history="1">
            <w:r w:rsidR="006343BD" w:rsidRPr="007B4E31">
              <w:rPr>
                <w:rStyle w:val="Lienhypertexte"/>
                <w:rFonts w:ascii="Arial" w:hAnsi="Arial" w:cs="Arial"/>
                <w:b/>
                <w:bCs/>
                <w:noProof/>
              </w:rPr>
              <w:t>1.4.4 Liquid fillers</w:t>
            </w:r>
            <w:r w:rsidR="006343BD">
              <w:rPr>
                <w:noProof/>
                <w:webHidden/>
              </w:rPr>
              <w:tab/>
            </w:r>
            <w:r w:rsidR="006343BD">
              <w:rPr>
                <w:noProof/>
                <w:webHidden/>
              </w:rPr>
              <w:fldChar w:fldCharType="begin"/>
            </w:r>
            <w:r w:rsidR="006343BD">
              <w:rPr>
                <w:noProof/>
                <w:webHidden/>
              </w:rPr>
              <w:instrText xml:space="preserve"> PAGEREF _Toc106903213 \h </w:instrText>
            </w:r>
            <w:r w:rsidR="006343BD">
              <w:rPr>
                <w:noProof/>
                <w:webHidden/>
              </w:rPr>
            </w:r>
            <w:r w:rsidR="006343BD">
              <w:rPr>
                <w:noProof/>
                <w:webHidden/>
              </w:rPr>
              <w:fldChar w:fldCharType="separate"/>
            </w:r>
            <w:r w:rsidR="005C4791">
              <w:rPr>
                <w:noProof/>
                <w:webHidden/>
              </w:rPr>
              <w:t>15</w:t>
            </w:r>
            <w:r w:rsidR="006343BD">
              <w:rPr>
                <w:noProof/>
                <w:webHidden/>
              </w:rPr>
              <w:fldChar w:fldCharType="end"/>
            </w:r>
          </w:hyperlink>
        </w:p>
        <w:p w14:paraId="2A52DF11" w14:textId="6753B445" w:rsidR="006343BD" w:rsidRDefault="00CA1C92">
          <w:pPr>
            <w:pStyle w:val="TM2"/>
            <w:rPr>
              <w:rFonts w:eastAsiaTheme="minorEastAsia"/>
              <w:noProof/>
            </w:rPr>
          </w:pPr>
          <w:hyperlink w:anchor="_Toc106903214" w:history="1">
            <w:r w:rsidR="006343BD" w:rsidRPr="007B4E31">
              <w:rPr>
                <w:rStyle w:val="Lienhypertexte"/>
                <w:rFonts w:ascii="Arial" w:hAnsi="Arial" w:cs="Arial"/>
                <w:b/>
                <w:bCs/>
                <w:noProof/>
              </w:rPr>
              <w:t>1.5 Conclusion &amp; Clinical Need</w:t>
            </w:r>
            <w:r w:rsidR="006343BD">
              <w:rPr>
                <w:noProof/>
                <w:webHidden/>
              </w:rPr>
              <w:tab/>
            </w:r>
            <w:r w:rsidR="006343BD">
              <w:rPr>
                <w:noProof/>
                <w:webHidden/>
              </w:rPr>
              <w:fldChar w:fldCharType="begin"/>
            </w:r>
            <w:r w:rsidR="006343BD">
              <w:rPr>
                <w:noProof/>
                <w:webHidden/>
              </w:rPr>
              <w:instrText xml:space="preserve"> PAGEREF _Toc106903214 \h </w:instrText>
            </w:r>
            <w:r w:rsidR="006343BD">
              <w:rPr>
                <w:noProof/>
                <w:webHidden/>
              </w:rPr>
            </w:r>
            <w:r w:rsidR="006343BD">
              <w:rPr>
                <w:noProof/>
                <w:webHidden/>
              </w:rPr>
              <w:fldChar w:fldCharType="separate"/>
            </w:r>
            <w:r w:rsidR="005C4791">
              <w:rPr>
                <w:noProof/>
                <w:webHidden/>
              </w:rPr>
              <w:t>16</w:t>
            </w:r>
            <w:r w:rsidR="006343BD">
              <w:rPr>
                <w:noProof/>
                <w:webHidden/>
              </w:rPr>
              <w:fldChar w:fldCharType="end"/>
            </w:r>
          </w:hyperlink>
        </w:p>
        <w:p w14:paraId="484460C6" w14:textId="21ECF9AE" w:rsidR="006343BD" w:rsidRDefault="00CA1C92">
          <w:pPr>
            <w:pStyle w:val="TM1"/>
            <w:rPr>
              <w:rFonts w:eastAsiaTheme="minorEastAsia"/>
              <w:noProof/>
            </w:rPr>
          </w:pPr>
          <w:hyperlink w:anchor="_Toc106903215" w:history="1">
            <w:r w:rsidR="006343BD" w:rsidRPr="007B4E31">
              <w:rPr>
                <w:rStyle w:val="Lienhypertexte"/>
                <w:rFonts w:ascii="Arial" w:hAnsi="Arial" w:cs="Arial"/>
                <w:b/>
                <w:bCs/>
                <w:noProof/>
              </w:rPr>
              <w:t>Chapter 2: Novel method for potential aneurysm treatment</w:t>
            </w:r>
            <w:r w:rsidR="006343BD">
              <w:rPr>
                <w:noProof/>
                <w:webHidden/>
              </w:rPr>
              <w:tab/>
            </w:r>
            <w:r w:rsidR="006343BD">
              <w:rPr>
                <w:noProof/>
                <w:webHidden/>
              </w:rPr>
              <w:fldChar w:fldCharType="begin"/>
            </w:r>
            <w:r w:rsidR="006343BD">
              <w:rPr>
                <w:noProof/>
                <w:webHidden/>
              </w:rPr>
              <w:instrText xml:space="preserve"> PAGEREF _Toc106903215 \h </w:instrText>
            </w:r>
            <w:r w:rsidR="006343BD">
              <w:rPr>
                <w:noProof/>
                <w:webHidden/>
              </w:rPr>
            </w:r>
            <w:r w:rsidR="006343BD">
              <w:rPr>
                <w:noProof/>
                <w:webHidden/>
              </w:rPr>
              <w:fldChar w:fldCharType="separate"/>
            </w:r>
            <w:r w:rsidR="005C4791">
              <w:rPr>
                <w:noProof/>
                <w:webHidden/>
              </w:rPr>
              <w:t>18</w:t>
            </w:r>
            <w:r w:rsidR="006343BD">
              <w:rPr>
                <w:noProof/>
                <w:webHidden/>
              </w:rPr>
              <w:fldChar w:fldCharType="end"/>
            </w:r>
          </w:hyperlink>
        </w:p>
        <w:p w14:paraId="02415E5B" w14:textId="1AF818E9" w:rsidR="006343BD" w:rsidRDefault="00CA1C92">
          <w:pPr>
            <w:pStyle w:val="TM2"/>
            <w:rPr>
              <w:rFonts w:eastAsiaTheme="minorEastAsia"/>
              <w:noProof/>
            </w:rPr>
          </w:pPr>
          <w:hyperlink w:anchor="_Toc106903216" w:history="1">
            <w:r w:rsidR="006343BD" w:rsidRPr="007B4E31">
              <w:rPr>
                <w:rStyle w:val="Lienhypertexte"/>
                <w:rFonts w:ascii="Arial" w:hAnsi="Arial" w:cs="Arial"/>
                <w:b/>
                <w:bCs/>
                <w:noProof/>
              </w:rPr>
              <w:t>2.1 Introduction and treatment characteristics</w:t>
            </w:r>
            <w:r w:rsidR="006343BD">
              <w:rPr>
                <w:noProof/>
                <w:webHidden/>
              </w:rPr>
              <w:tab/>
            </w:r>
            <w:r w:rsidR="006343BD">
              <w:rPr>
                <w:noProof/>
                <w:webHidden/>
              </w:rPr>
              <w:fldChar w:fldCharType="begin"/>
            </w:r>
            <w:r w:rsidR="006343BD">
              <w:rPr>
                <w:noProof/>
                <w:webHidden/>
              </w:rPr>
              <w:instrText xml:space="preserve"> PAGEREF _Toc106903216 \h </w:instrText>
            </w:r>
            <w:r w:rsidR="006343BD">
              <w:rPr>
                <w:noProof/>
                <w:webHidden/>
              </w:rPr>
            </w:r>
            <w:r w:rsidR="006343BD">
              <w:rPr>
                <w:noProof/>
                <w:webHidden/>
              </w:rPr>
              <w:fldChar w:fldCharType="separate"/>
            </w:r>
            <w:r w:rsidR="005C4791">
              <w:rPr>
                <w:noProof/>
                <w:webHidden/>
              </w:rPr>
              <w:t>18</w:t>
            </w:r>
            <w:r w:rsidR="006343BD">
              <w:rPr>
                <w:noProof/>
                <w:webHidden/>
              </w:rPr>
              <w:fldChar w:fldCharType="end"/>
            </w:r>
          </w:hyperlink>
        </w:p>
        <w:p w14:paraId="20CD750B" w14:textId="4B631449" w:rsidR="006343BD" w:rsidRDefault="00CA1C92">
          <w:pPr>
            <w:pStyle w:val="TM3"/>
            <w:rPr>
              <w:rFonts w:eastAsiaTheme="minorEastAsia"/>
              <w:noProof/>
            </w:rPr>
          </w:pPr>
          <w:hyperlink w:anchor="_Toc106903217" w:history="1">
            <w:r w:rsidR="006343BD" w:rsidRPr="007B4E31">
              <w:rPr>
                <w:rStyle w:val="Lienhypertexte"/>
                <w:rFonts w:ascii="Arial" w:hAnsi="Arial" w:cs="Arial"/>
                <w:b/>
                <w:bCs/>
                <w:noProof/>
              </w:rPr>
              <w:t>2.1.1 Potential wound repair and resorption of HA</w:t>
            </w:r>
            <w:r w:rsidR="006343BD">
              <w:rPr>
                <w:noProof/>
                <w:webHidden/>
              </w:rPr>
              <w:tab/>
            </w:r>
            <w:r w:rsidR="006343BD">
              <w:rPr>
                <w:noProof/>
                <w:webHidden/>
              </w:rPr>
              <w:fldChar w:fldCharType="begin"/>
            </w:r>
            <w:r w:rsidR="006343BD">
              <w:rPr>
                <w:noProof/>
                <w:webHidden/>
              </w:rPr>
              <w:instrText xml:space="preserve"> PAGEREF _Toc106903217 \h </w:instrText>
            </w:r>
            <w:r w:rsidR="006343BD">
              <w:rPr>
                <w:noProof/>
                <w:webHidden/>
              </w:rPr>
            </w:r>
            <w:r w:rsidR="006343BD">
              <w:rPr>
                <w:noProof/>
                <w:webHidden/>
              </w:rPr>
              <w:fldChar w:fldCharType="separate"/>
            </w:r>
            <w:r w:rsidR="005C4791">
              <w:rPr>
                <w:noProof/>
                <w:webHidden/>
              </w:rPr>
              <w:t>20</w:t>
            </w:r>
            <w:r w:rsidR="006343BD">
              <w:rPr>
                <w:noProof/>
                <w:webHidden/>
              </w:rPr>
              <w:fldChar w:fldCharType="end"/>
            </w:r>
          </w:hyperlink>
        </w:p>
        <w:p w14:paraId="050FF261" w14:textId="3FE1B338" w:rsidR="006343BD" w:rsidRDefault="00CA1C92">
          <w:pPr>
            <w:pStyle w:val="TM3"/>
            <w:rPr>
              <w:rFonts w:eastAsiaTheme="minorEastAsia"/>
              <w:noProof/>
            </w:rPr>
          </w:pPr>
          <w:hyperlink w:anchor="_Toc106903218" w:history="1">
            <w:r w:rsidR="006343BD" w:rsidRPr="007B4E31">
              <w:rPr>
                <w:rStyle w:val="Lienhypertexte"/>
                <w:rFonts w:ascii="Arial" w:hAnsi="Arial" w:cs="Arial"/>
                <w:b/>
                <w:bCs/>
                <w:noProof/>
              </w:rPr>
              <w:t>2.1.2 Safe crosslinking and photo-initiating</w:t>
            </w:r>
            <w:r w:rsidR="006343BD">
              <w:rPr>
                <w:noProof/>
                <w:webHidden/>
              </w:rPr>
              <w:tab/>
            </w:r>
            <w:r w:rsidR="006343BD">
              <w:rPr>
                <w:noProof/>
                <w:webHidden/>
              </w:rPr>
              <w:fldChar w:fldCharType="begin"/>
            </w:r>
            <w:r w:rsidR="006343BD">
              <w:rPr>
                <w:noProof/>
                <w:webHidden/>
              </w:rPr>
              <w:instrText xml:space="preserve"> PAGEREF _Toc106903218 \h </w:instrText>
            </w:r>
            <w:r w:rsidR="006343BD">
              <w:rPr>
                <w:noProof/>
                <w:webHidden/>
              </w:rPr>
            </w:r>
            <w:r w:rsidR="006343BD">
              <w:rPr>
                <w:noProof/>
                <w:webHidden/>
              </w:rPr>
              <w:fldChar w:fldCharType="separate"/>
            </w:r>
            <w:r w:rsidR="005C4791">
              <w:rPr>
                <w:noProof/>
                <w:webHidden/>
              </w:rPr>
              <w:t>21</w:t>
            </w:r>
            <w:r w:rsidR="006343BD">
              <w:rPr>
                <w:noProof/>
                <w:webHidden/>
              </w:rPr>
              <w:fldChar w:fldCharType="end"/>
            </w:r>
          </w:hyperlink>
        </w:p>
        <w:p w14:paraId="4FD23360" w14:textId="705BC23C" w:rsidR="006343BD" w:rsidRDefault="00CA1C92">
          <w:pPr>
            <w:pStyle w:val="TM3"/>
            <w:rPr>
              <w:rFonts w:eastAsiaTheme="minorEastAsia"/>
              <w:noProof/>
            </w:rPr>
          </w:pPr>
          <w:hyperlink w:anchor="_Toc106903219" w:history="1">
            <w:r w:rsidR="006343BD" w:rsidRPr="007B4E31">
              <w:rPr>
                <w:rStyle w:val="Lienhypertexte"/>
                <w:rFonts w:ascii="Arial" w:hAnsi="Arial" w:cs="Arial"/>
                <w:b/>
                <w:bCs/>
                <w:noProof/>
              </w:rPr>
              <w:t>2.1.3 Easy and safe imaging</w:t>
            </w:r>
            <w:r w:rsidR="006343BD">
              <w:rPr>
                <w:noProof/>
                <w:webHidden/>
              </w:rPr>
              <w:tab/>
            </w:r>
            <w:r w:rsidR="006343BD">
              <w:rPr>
                <w:noProof/>
                <w:webHidden/>
              </w:rPr>
              <w:fldChar w:fldCharType="begin"/>
            </w:r>
            <w:r w:rsidR="006343BD">
              <w:rPr>
                <w:noProof/>
                <w:webHidden/>
              </w:rPr>
              <w:instrText xml:space="preserve"> PAGEREF _Toc106903219 \h </w:instrText>
            </w:r>
            <w:r w:rsidR="006343BD">
              <w:rPr>
                <w:noProof/>
                <w:webHidden/>
              </w:rPr>
            </w:r>
            <w:r w:rsidR="006343BD">
              <w:rPr>
                <w:noProof/>
                <w:webHidden/>
              </w:rPr>
              <w:fldChar w:fldCharType="separate"/>
            </w:r>
            <w:r w:rsidR="005C4791">
              <w:rPr>
                <w:noProof/>
                <w:webHidden/>
              </w:rPr>
              <w:t>23</w:t>
            </w:r>
            <w:r w:rsidR="006343BD">
              <w:rPr>
                <w:noProof/>
                <w:webHidden/>
              </w:rPr>
              <w:fldChar w:fldCharType="end"/>
            </w:r>
          </w:hyperlink>
        </w:p>
        <w:p w14:paraId="4E09D64C" w14:textId="66B92FB6" w:rsidR="006343BD" w:rsidRDefault="00CA1C92">
          <w:pPr>
            <w:pStyle w:val="TM2"/>
            <w:rPr>
              <w:rFonts w:eastAsiaTheme="minorEastAsia"/>
              <w:noProof/>
            </w:rPr>
          </w:pPr>
          <w:hyperlink w:anchor="_Toc106903220" w:history="1">
            <w:r w:rsidR="006343BD" w:rsidRPr="007B4E31">
              <w:rPr>
                <w:rStyle w:val="Lienhypertexte"/>
                <w:rFonts w:ascii="Arial" w:hAnsi="Arial" w:cs="Arial"/>
                <w:b/>
                <w:bCs/>
                <w:noProof/>
              </w:rPr>
              <w:t>2.2 Materials &amp; Methods</w:t>
            </w:r>
            <w:r w:rsidR="006343BD">
              <w:rPr>
                <w:noProof/>
                <w:webHidden/>
              </w:rPr>
              <w:tab/>
            </w:r>
            <w:r w:rsidR="006343BD">
              <w:rPr>
                <w:noProof/>
                <w:webHidden/>
              </w:rPr>
              <w:fldChar w:fldCharType="begin"/>
            </w:r>
            <w:r w:rsidR="006343BD">
              <w:rPr>
                <w:noProof/>
                <w:webHidden/>
              </w:rPr>
              <w:instrText xml:space="preserve"> PAGEREF _Toc106903220 \h </w:instrText>
            </w:r>
            <w:r w:rsidR="006343BD">
              <w:rPr>
                <w:noProof/>
                <w:webHidden/>
              </w:rPr>
            </w:r>
            <w:r w:rsidR="006343BD">
              <w:rPr>
                <w:noProof/>
                <w:webHidden/>
              </w:rPr>
              <w:fldChar w:fldCharType="separate"/>
            </w:r>
            <w:r w:rsidR="005C4791">
              <w:rPr>
                <w:noProof/>
                <w:webHidden/>
              </w:rPr>
              <w:t>25</w:t>
            </w:r>
            <w:r w:rsidR="006343BD">
              <w:rPr>
                <w:noProof/>
                <w:webHidden/>
              </w:rPr>
              <w:fldChar w:fldCharType="end"/>
            </w:r>
          </w:hyperlink>
        </w:p>
        <w:p w14:paraId="6A6EF514" w14:textId="62379BF8" w:rsidR="006343BD" w:rsidRDefault="00CA1C92">
          <w:pPr>
            <w:pStyle w:val="TM3"/>
            <w:rPr>
              <w:rFonts w:eastAsiaTheme="minorEastAsia"/>
              <w:noProof/>
            </w:rPr>
          </w:pPr>
          <w:hyperlink w:anchor="_Toc106903221" w:history="1">
            <w:r w:rsidR="006343BD" w:rsidRPr="007B4E31">
              <w:rPr>
                <w:rStyle w:val="Lienhypertexte"/>
                <w:rFonts w:ascii="Arial" w:hAnsi="Arial" w:cs="Arial"/>
                <w:b/>
                <w:bCs/>
                <w:noProof/>
              </w:rPr>
              <w:t>2.2.1 Materials</w:t>
            </w:r>
            <w:r w:rsidR="006343BD">
              <w:rPr>
                <w:noProof/>
                <w:webHidden/>
              </w:rPr>
              <w:tab/>
            </w:r>
            <w:r w:rsidR="006343BD">
              <w:rPr>
                <w:noProof/>
                <w:webHidden/>
              </w:rPr>
              <w:fldChar w:fldCharType="begin"/>
            </w:r>
            <w:r w:rsidR="006343BD">
              <w:rPr>
                <w:noProof/>
                <w:webHidden/>
              </w:rPr>
              <w:instrText xml:space="preserve"> PAGEREF _Toc106903221 \h </w:instrText>
            </w:r>
            <w:r w:rsidR="006343BD">
              <w:rPr>
                <w:noProof/>
                <w:webHidden/>
              </w:rPr>
            </w:r>
            <w:r w:rsidR="006343BD">
              <w:rPr>
                <w:noProof/>
                <w:webHidden/>
              </w:rPr>
              <w:fldChar w:fldCharType="separate"/>
            </w:r>
            <w:r w:rsidR="005C4791">
              <w:rPr>
                <w:noProof/>
                <w:webHidden/>
              </w:rPr>
              <w:t>25</w:t>
            </w:r>
            <w:r w:rsidR="006343BD">
              <w:rPr>
                <w:noProof/>
                <w:webHidden/>
              </w:rPr>
              <w:fldChar w:fldCharType="end"/>
            </w:r>
          </w:hyperlink>
        </w:p>
        <w:p w14:paraId="3DBCE771" w14:textId="3C0D2828" w:rsidR="006343BD" w:rsidRDefault="00CA1C92">
          <w:pPr>
            <w:pStyle w:val="TM3"/>
            <w:rPr>
              <w:rFonts w:eastAsiaTheme="minorEastAsia"/>
              <w:noProof/>
            </w:rPr>
          </w:pPr>
          <w:hyperlink w:anchor="_Toc106903222" w:history="1">
            <w:r w:rsidR="006343BD" w:rsidRPr="007B4E31">
              <w:rPr>
                <w:rStyle w:val="Lienhypertexte"/>
                <w:rFonts w:ascii="Arial" w:hAnsi="Arial" w:cs="Arial"/>
                <w:b/>
                <w:bCs/>
                <w:noProof/>
              </w:rPr>
              <w:t>2.2.2 PHA synthesis</w:t>
            </w:r>
            <w:r w:rsidR="006343BD">
              <w:rPr>
                <w:noProof/>
                <w:webHidden/>
              </w:rPr>
              <w:tab/>
            </w:r>
            <w:r w:rsidR="006343BD">
              <w:rPr>
                <w:noProof/>
                <w:webHidden/>
              </w:rPr>
              <w:fldChar w:fldCharType="begin"/>
            </w:r>
            <w:r w:rsidR="006343BD">
              <w:rPr>
                <w:noProof/>
                <w:webHidden/>
              </w:rPr>
              <w:instrText xml:space="preserve"> PAGEREF _Toc106903222 \h </w:instrText>
            </w:r>
            <w:r w:rsidR="006343BD">
              <w:rPr>
                <w:noProof/>
                <w:webHidden/>
              </w:rPr>
            </w:r>
            <w:r w:rsidR="006343BD">
              <w:rPr>
                <w:noProof/>
                <w:webHidden/>
              </w:rPr>
              <w:fldChar w:fldCharType="separate"/>
            </w:r>
            <w:r w:rsidR="005C4791">
              <w:rPr>
                <w:noProof/>
                <w:webHidden/>
              </w:rPr>
              <w:t>26</w:t>
            </w:r>
            <w:r w:rsidR="006343BD">
              <w:rPr>
                <w:noProof/>
                <w:webHidden/>
              </w:rPr>
              <w:fldChar w:fldCharType="end"/>
            </w:r>
          </w:hyperlink>
        </w:p>
        <w:p w14:paraId="1307B877" w14:textId="70BD9B3E" w:rsidR="006343BD" w:rsidRDefault="00CA1C92">
          <w:pPr>
            <w:pStyle w:val="TM3"/>
            <w:rPr>
              <w:rFonts w:eastAsiaTheme="minorEastAsia"/>
              <w:noProof/>
            </w:rPr>
          </w:pPr>
          <w:hyperlink w:anchor="_Toc106903223" w:history="1">
            <w:r w:rsidR="006343BD" w:rsidRPr="007B4E31">
              <w:rPr>
                <w:rStyle w:val="Lienhypertexte"/>
                <w:rFonts w:ascii="Arial" w:hAnsi="Arial" w:cs="Arial"/>
                <w:b/>
                <w:bCs/>
                <w:noProof/>
              </w:rPr>
              <w:t>2.2.3 PHA structural analysis</w:t>
            </w:r>
            <w:r w:rsidR="006343BD">
              <w:rPr>
                <w:noProof/>
                <w:webHidden/>
              </w:rPr>
              <w:tab/>
            </w:r>
            <w:r w:rsidR="006343BD">
              <w:rPr>
                <w:noProof/>
                <w:webHidden/>
              </w:rPr>
              <w:fldChar w:fldCharType="begin"/>
            </w:r>
            <w:r w:rsidR="006343BD">
              <w:rPr>
                <w:noProof/>
                <w:webHidden/>
              </w:rPr>
              <w:instrText xml:space="preserve"> PAGEREF _Toc106903223 \h </w:instrText>
            </w:r>
            <w:r w:rsidR="006343BD">
              <w:rPr>
                <w:noProof/>
                <w:webHidden/>
              </w:rPr>
            </w:r>
            <w:r w:rsidR="006343BD">
              <w:rPr>
                <w:noProof/>
                <w:webHidden/>
              </w:rPr>
              <w:fldChar w:fldCharType="separate"/>
            </w:r>
            <w:r w:rsidR="005C4791">
              <w:rPr>
                <w:noProof/>
                <w:webHidden/>
              </w:rPr>
              <w:t>26</w:t>
            </w:r>
            <w:r w:rsidR="006343BD">
              <w:rPr>
                <w:noProof/>
                <w:webHidden/>
              </w:rPr>
              <w:fldChar w:fldCharType="end"/>
            </w:r>
          </w:hyperlink>
        </w:p>
        <w:p w14:paraId="2A3C5B9D" w14:textId="659CB0F9" w:rsidR="006343BD" w:rsidRDefault="00CA1C92">
          <w:pPr>
            <w:pStyle w:val="TM3"/>
            <w:rPr>
              <w:rFonts w:eastAsiaTheme="minorEastAsia"/>
              <w:noProof/>
            </w:rPr>
          </w:pPr>
          <w:hyperlink w:anchor="_Toc106903224" w:history="1">
            <w:r w:rsidR="006343BD" w:rsidRPr="007B4E31">
              <w:rPr>
                <w:rStyle w:val="Lienhypertexte"/>
                <w:rFonts w:ascii="Arial" w:hAnsi="Arial" w:cs="Arial"/>
                <w:b/>
                <w:bCs/>
                <w:noProof/>
              </w:rPr>
              <w:t>2.2.4 PHA hydrogels formation</w:t>
            </w:r>
            <w:r w:rsidR="006343BD">
              <w:rPr>
                <w:noProof/>
                <w:webHidden/>
              </w:rPr>
              <w:tab/>
            </w:r>
            <w:r w:rsidR="006343BD">
              <w:rPr>
                <w:noProof/>
                <w:webHidden/>
              </w:rPr>
              <w:fldChar w:fldCharType="begin"/>
            </w:r>
            <w:r w:rsidR="006343BD">
              <w:rPr>
                <w:noProof/>
                <w:webHidden/>
              </w:rPr>
              <w:instrText xml:space="preserve"> PAGEREF _Toc106903224 \h </w:instrText>
            </w:r>
            <w:r w:rsidR="006343BD">
              <w:rPr>
                <w:noProof/>
                <w:webHidden/>
              </w:rPr>
            </w:r>
            <w:r w:rsidR="006343BD">
              <w:rPr>
                <w:noProof/>
                <w:webHidden/>
              </w:rPr>
              <w:fldChar w:fldCharType="separate"/>
            </w:r>
            <w:r w:rsidR="005C4791">
              <w:rPr>
                <w:noProof/>
                <w:webHidden/>
              </w:rPr>
              <w:t>27</w:t>
            </w:r>
            <w:r w:rsidR="006343BD">
              <w:rPr>
                <w:noProof/>
                <w:webHidden/>
              </w:rPr>
              <w:fldChar w:fldCharType="end"/>
            </w:r>
          </w:hyperlink>
        </w:p>
        <w:p w14:paraId="68935A38" w14:textId="39B68B67" w:rsidR="006343BD" w:rsidRDefault="00CA1C92">
          <w:pPr>
            <w:pStyle w:val="TM3"/>
            <w:rPr>
              <w:rFonts w:eastAsiaTheme="minorEastAsia"/>
              <w:noProof/>
            </w:rPr>
          </w:pPr>
          <w:hyperlink w:anchor="_Toc106903225" w:history="1">
            <w:r w:rsidR="006343BD" w:rsidRPr="007B4E31">
              <w:rPr>
                <w:rStyle w:val="Lienhypertexte"/>
                <w:rFonts w:ascii="Arial" w:hAnsi="Arial" w:cs="Arial"/>
                <w:b/>
                <w:bCs/>
                <w:noProof/>
              </w:rPr>
              <w:t>2.2.5 Viscosity and flow</w:t>
            </w:r>
            <w:r w:rsidR="006343BD">
              <w:rPr>
                <w:noProof/>
                <w:webHidden/>
              </w:rPr>
              <w:tab/>
            </w:r>
            <w:r w:rsidR="006343BD">
              <w:rPr>
                <w:noProof/>
                <w:webHidden/>
              </w:rPr>
              <w:fldChar w:fldCharType="begin"/>
            </w:r>
            <w:r w:rsidR="006343BD">
              <w:rPr>
                <w:noProof/>
                <w:webHidden/>
              </w:rPr>
              <w:instrText xml:space="preserve"> PAGEREF _Toc106903225 \h </w:instrText>
            </w:r>
            <w:r w:rsidR="006343BD">
              <w:rPr>
                <w:noProof/>
                <w:webHidden/>
              </w:rPr>
            </w:r>
            <w:r w:rsidR="006343BD">
              <w:rPr>
                <w:noProof/>
                <w:webHidden/>
              </w:rPr>
              <w:fldChar w:fldCharType="separate"/>
            </w:r>
            <w:r w:rsidR="005C4791">
              <w:rPr>
                <w:noProof/>
                <w:webHidden/>
              </w:rPr>
              <w:t>28</w:t>
            </w:r>
            <w:r w:rsidR="006343BD">
              <w:rPr>
                <w:noProof/>
                <w:webHidden/>
              </w:rPr>
              <w:fldChar w:fldCharType="end"/>
            </w:r>
          </w:hyperlink>
        </w:p>
        <w:p w14:paraId="77F8FB6B" w14:textId="72982CF6" w:rsidR="006343BD" w:rsidRDefault="00CA1C92">
          <w:pPr>
            <w:pStyle w:val="TM3"/>
            <w:rPr>
              <w:rFonts w:eastAsiaTheme="minorEastAsia"/>
              <w:noProof/>
            </w:rPr>
          </w:pPr>
          <w:hyperlink w:anchor="_Toc106903226" w:history="1">
            <w:r w:rsidR="006343BD" w:rsidRPr="007B4E31">
              <w:rPr>
                <w:rStyle w:val="Lienhypertexte"/>
                <w:rFonts w:ascii="Arial" w:hAnsi="Arial" w:cs="Arial"/>
                <w:b/>
                <w:bCs/>
                <w:noProof/>
              </w:rPr>
              <w:t>2.2.6 Mechanical testing</w:t>
            </w:r>
            <w:r w:rsidR="006343BD">
              <w:rPr>
                <w:noProof/>
                <w:webHidden/>
              </w:rPr>
              <w:tab/>
            </w:r>
            <w:r w:rsidR="006343BD">
              <w:rPr>
                <w:noProof/>
                <w:webHidden/>
              </w:rPr>
              <w:fldChar w:fldCharType="begin"/>
            </w:r>
            <w:r w:rsidR="006343BD">
              <w:rPr>
                <w:noProof/>
                <w:webHidden/>
              </w:rPr>
              <w:instrText xml:space="preserve"> PAGEREF _Toc106903226 \h </w:instrText>
            </w:r>
            <w:r w:rsidR="006343BD">
              <w:rPr>
                <w:noProof/>
                <w:webHidden/>
              </w:rPr>
            </w:r>
            <w:r w:rsidR="006343BD">
              <w:rPr>
                <w:noProof/>
                <w:webHidden/>
              </w:rPr>
              <w:fldChar w:fldCharType="separate"/>
            </w:r>
            <w:r w:rsidR="005C4791">
              <w:rPr>
                <w:noProof/>
                <w:webHidden/>
              </w:rPr>
              <w:t>28</w:t>
            </w:r>
            <w:r w:rsidR="006343BD">
              <w:rPr>
                <w:noProof/>
                <w:webHidden/>
              </w:rPr>
              <w:fldChar w:fldCharType="end"/>
            </w:r>
          </w:hyperlink>
        </w:p>
        <w:p w14:paraId="25D23959" w14:textId="09C51F33" w:rsidR="006343BD" w:rsidRDefault="00CA1C92">
          <w:pPr>
            <w:pStyle w:val="TM3"/>
            <w:rPr>
              <w:rFonts w:eastAsiaTheme="minorEastAsia"/>
              <w:noProof/>
            </w:rPr>
          </w:pPr>
          <w:hyperlink w:anchor="_Toc106903227" w:history="1">
            <w:r w:rsidR="006343BD" w:rsidRPr="007B4E31">
              <w:rPr>
                <w:rStyle w:val="Lienhypertexte"/>
                <w:rFonts w:ascii="Arial" w:hAnsi="Arial" w:cs="Arial"/>
                <w:b/>
                <w:bCs/>
                <w:noProof/>
              </w:rPr>
              <w:t>2.2.7 Swelling capacity</w:t>
            </w:r>
            <w:r w:rsidR="006343BD">
              <w:rPr>
                <w:noProof/>
                <w:webHidden/>
              </w:rPr>
              <w:tab/>
            </w:r>
            <w:r w:rsidR="006343BD">
              <w:rPr>
                <w:noProof/>
                <w:webHidden/>
              </w:rPr>
              <w:fldChar w:fldCharType="begin"/>
            </w:r>
            <w:r w:rsidR="006343BD">
              <w:rPr>
                <w:noProof/>
                <w:webHidden/>
              </w:rPr>
              <w:instrText xml:space="preserve"> PAGEREF _Toc106903227 \h </w:instrText>
            </w:r>
            <w:r w:rsidR="006343BD">
              <w:rPr>
                <w:noProof/>
                <w:webHidden/>
              </w:rPr>
            </w:r>
            <w:r w:rsidR="006343BD">
              <w:rPr>
                <w:noProof/>
                <w:webHidden/>
              </w:rPr>
              <w:fldChar w:fldCharType="separate"/>
            </w:r>
            <w:r w:rsidR="005C4791">
              <w:rPr>
                <w:noProof/>
                <w:webHidden/>
              </w:rPr>
              <w:t>28</w:t>
            </w:r>
            <w:r w:rsidR="006343BD">
              <w:rPr>
                <w:noProof/>
                <w:webHidden/>
              </w:rPr>
              <w:fldChar w:fldCharType="end"/>
            </w:r>
          </w:hyperlink>
        </w:p>
        <w:p w14:paraId="0CEEE061" w14:textId="4C0C5CD1" w:rsidR="006343BD" w:rsidRDefault="00CA1C92">
          <w:pPr>
            <w:pStyle w:val="TM3"/>
            <w:rPr>
              <w:rFonts w:eastAsiaTheme="minorEastAsia"/>
              <w:noProof/>
            </w:rPr>
          </w:pPr>
          <w:hyperlink w:anchor="_Toc106903228" w:history="1">
            <w:r w:rsidR="006343BD" w:rsidRPr="007B4E31">
              <w:rPr>
                <w:rStyle w:val="Lienhypertexte"/>
                <w:rFonts w:ascii="Arial" w:hAnsi="Arial" w:cs="Arial"/>
                <w:b/>
                <w:bCs/>
                <w:noProof/>
              </w:rPr>
              <w:t>2.2.8 Tantalum visibility in hydrogels</w:t>
            </w:r>
            <w:r w:rsidR="006343BD">
              <w:rPr>
                <w:noProof/>
                <w:webHidden/>
              </w:rPr>
              <w:tab/>
            </w:r>
            <w:r w:rsidR="006343BD">
              <w:rPr>
                <w:noProof/>
                <w:webHidden/>
              </w:rPr>
              <w:fldChar w:fldCharType="begin"/>
            </w:r>
            <w:r w:rsidR="006343BD">
              <w:rPr>
                <w:noProof/>
                <w:webHidden/>
              </w:rPr>
              <w:instrText xml:space="preserve"> PAGEREF _Toc106903228 \h </w:instrText>
            </w:r>
            <w:r w:rsidR="006343BD">
              <w:rPr>
                <w:noProof/>
                <w:webHidden/>
              </w:rPr>
            </w:r>
            <w:r w:rsidR="006343BD">
              <w:rPr>
                <w:noProof/>
                <w:webHidden/>
              </w:rPr>
              <w:fldChar w:fldCharType="separate"/>
            </w:r>
            <w:r w:rsidR="005C4791">
              <w:rPr>
                <w:noProof/>
                <w:webHidden/>
              </w:rPr>
              <w:t>29</w:t>
            </w:r>
            <w:r w:rsidR="006343BD">
              <w:rPr>
                <w:noProof/>
                <w:webHidden/>
              </w:rPr>
              <w:fldChar w:fldCharType="end"/>
            </w:r>
          </w:hyperlink>
        </w:p>
        <w:p w14:paraId="4322A2EF" w14:textId="051ACAA4" w:rsidR="006343BD" w:rsidRDefault="00CA1C92">
          <w:pPr>
            <w:pStyle w:val="TM3"/>
            <w:rPr>
              <w:rFonts w:eastAsiaTheme="minorEastAsia"/>
              <w:noProof/>
            </w:rPr>
          </w:pPr>
          <w:hyperlink w:anchor="_Toc106903229" w:history="1">
            <w:r w:rsidR="006343BD" w:rsidRPr="007B4E31">
              <w:rPr>
                <w:rStyle w:val="Lienhypertexte"/>
                <w:rFonts w:ascii="Arial" w:hAnsi="Arial" w:cs="Arial"/>
                <w:b/>
                <w:bCs/>
                <w:noProof/>
              </w:rPr>
              <w:t>2.2.9 Cell upkeep</w:t>
            </w:r>
            <w:r w:rsidR="006343BD">
              <w:rPr>
                <w:noProof/>
                <w:webHidden/>
              </w:rPr>
              <w:tab/>
            </w:r>
            <w:r w:rsidR="006343BD">
              <w:rPr>
                <w:noProof/>
                <w:webHidden/>
              </w:rPr>
              <w:fldChar w:fldCharType="begin"/>
            </w:r>
            <w:r w:rsidR="006343BD">
              <w:rPr>
                <w:noProof/>
                <w:webHidden/>
              </w:rPr>
              <w:instrText xml:space="preserve"> PAGEREF _Toc106903229 \h </w:instrText>
            </w:r>
            <w:r w:rsidR="006343BD">
              <w:rPr>
                <w:noProof/>
                <w:webHidden/>
              </w:rPr>
            </w:r>
            <w:r w:rsidR="006343BD">
              <w:rPr>
                <w:noProof/>
                <w:webHidden/>
              </w:rPr>
              <w:fldChar w:fldCharType="separate"/>
            </w:r>
            <w:r w:rsidR="005C4791">
              <w:rPr>
                <w:noProof/>
                <w:webHidden/>
              </w:rPr>
              <w:t>30</w:t>
            </w:r>
            <w:r w:rsidR="006343BD">
              <w:rPr>
                <w:noProof/>
                <w:webHidden/>
              </w:rPr>
              <w:fldChar w:fldCharType="end"/>
            </w:r>
          </w:hyperlink>
        </w:p>
        <w:p w14:paraId="22D17F6C" w14:textId="017ED68B" w:rsidR="006343BD" w:rsidRDefault="00CA1C92">
          <w:pPr>
            <w:pStyle w:val="TM3"/>
            <w:rPr>
              <w:rFonts w:eastAsiaTheme="minorEastAsia"/>
              <w:noProof/>
            </w:rPr>
          </w:pPr>
          <w:hyperlink w:anchor="_Toc106903230" w:history="1">
            <w:r w:rsidR="006343BD" w:rsidRPr="007B4E31">
              <w:rPr>
                <w:rStyle w:val="Lienhypertexte"/>
                <w:rFonts w:ascii="Arial" w:hAnsi="Arial" w:cs="Arial"/>
                <w:b/>
                <w:bCs/>
                <w:noProof/>
              </w:rPr>
              <w:t>2.2.10 Cell assays</w:t>
            </w:r>
            <w:r w:rsidR="006343BD">
              <w:rPr>
                <w:noProof/>
                <w:webHidden/>
              </w:rPr>
              <w:tab/>
            </w:r>
            <w:r w:rsidR="006343BD">
              <w:rPr>
                <w:noProof/>
                <w:webHidden/>
              </w:rPr>
              <w:fldChar w:fldCharType="begin"/>
            </w:r>
            <w:r w:rsidR="006343BD">
              <w:rPr>
                <w:noProof/>
                <w:webHidden/>
              </w:rPr>
              <w:instrText xml:space="preserve"> PAGEREF _Toc106903230 \h </w:instrText>
            </w:r>
            <w:r w:rsidR="006343BD">
              <w:rPr>
                <w:noProof/>
                <w:webHidden/>
              </w:rPr>
            </w:r>
            <w:r w:rsidR="006343BD">
              <w:rPr>
                <w:noProof/>
                <w:webHidden/>
              </w:rPr>
              <w:fldChar w:fldCharType="separate"/>
            </w:r>
            <w:r w:rsidR="005C4791">
              <w:rPr>
                <w:noProof/>
                <w:webHidden/>
              </w:rPr>
              <w:t>30</w:t>
            </w:r>
            <w:r w:rsidR="006343BD">
              <w:rPr>
                <w:noProof/>
                <w:webHidden/>
              </w:rPr>
              <w:fldChar w:fldCharType="end"/>
            </w:r>
          </w:hyperlink>
        </w:p>
        <w:p w14:paraId="5A12087B" w14:textId="6B3D7048" w:rsidR="006343BD" w:rsidRDefault="00CA1C92">
          <w:pPr>
            <w:pStyle w:val="TM3"/>
            <w:rPr>
              <w:rFonts w:eastAsiaTheme="minorEastAsia"/>
              <w:noProof/>
            </w:rPr>
          </w:pPr>
          <w:hyperlink w:anchor="_Toc106903231" w:history="1">
            <w:r w:rsidR="006343BD" w:rsidRPr="007B4E31">
              <w:rPr>
                <w:rStyle w:val="Lienhypertexte"/>
                <w:rFonts w:ascii="Arial" w:hAnsi="Arial" w:cs="Arial"/>
                <w:b/>
                <w:bCs/>
                <w:noProof/>
              </w:rPr>
              <w:t>2.2.11 Live dead assay</w:t>
            </w:r>
            <w:r w:rsidR="006343BD">
              <w:rPr>
                <w:noProof/>
                <w:webHidden/>
              </w:rPr>
              <w:tab/>
            </w:r>
            <w:r w:rsidR="006343BD">
              <w:rPr>
                <w:noProof/>
                <w:webHidden/>
              </w:rPr>
              <w:fldChar w:fldCharType="begin"/>
            </w:r>
            <w:r w:rsidR="006343BD">
              <w:rPr>
                <w:noProof/>
                <w:webHidden/>
              </w:rPr>
              <w:instrText xml:space="preserve"> PAGEREF _Toc106903231 \h </w:instrText>
            </w:r>
            <w:r w:rsidR="006343BD">
              <w:rPr>
                <w:noProof/>
                <w:webHidden/>
              </w:rPr>
            </w:r>
            <w:r w:rsidR="006343BD">
              <w:rPr>
                <w:noProof/>
                <w:webHidden/>
              </w:rPr>
              <w:fldChar w:fldCharType="separate"/>
            </w:r>
            <w:r w:rsidR="005C4791">
              <w:rPr>
                <w:noProof/>
                <w:webHidden/>
              </w:rPr>
              <w:t>31</w:t>
            </w:r>
            <w:r w:rsidR="006343BD">
              <w:rPr>
                <w:noProof/>
                <w:webHidden/>
              </w:rPr>
              <w:fldChar w:fldCharType="end"/>
            </w:r>
          </w:hyperlink>
        </w:p>
        <w:p w14:paraId="00DC4402" w14:textId="193AB216" w:rsidR="006343BD" w:rsidRDefault="00CA1C92">
          <w:pPr>
            <w:pStyle w:val="TM3"/>
            <w:rPr>
              <w:rFonts w:eastAsiaTheme="minorEastAsia"/>
              <w:noProof/>
            </w:rPr>
          </w:pPr>
          <w:hyperlink w:anchor="_Toc106903232" w:history="1">
            <w:r w:rsidR="006343BD" w:rsidRPr="007B4E31">
              <w:rPr>
                <w:rStyle w:val="Lienhypertexte"/>
                <w:rFonts w:ascii="Arial" w:hAnsi="Arial" w:cs="Arial"/>
                <w:b/>
                <w:bCs/>
                <w:noProof/>
              </w:rPr>
              <w:t>2.2.12 Statistical analysis</w:t>
            </w:r>
            <w:r w:rsidR="006343BD">
              <w:rPr>
                <w:noProof/>
                <w:webHidden/>
              </w:rPr>
              <w:tab/>
            </w:r>
            <w:r w:rsidR="006343BD">
              <w:rPr>
                <w:noProof/>
                <w:webHidden/>
              </w:rPr>
              <w:fldChar w:fldCharType="begin"/>
            </w:r>
            <w:r w:rsidR="006343BD">
              <w:rPr>
                <w:noProof/>
                <w:webHidden/>
              </w:rPr>
              <w:instrText xml:space="preserve"> PAGEREF _Toc106903232 \h </w:instrText>
            </w:r>
            <w:r w:rsidR="006343BD">
              <w:rPr>
                <w:noProof/>
                <w:webHidden/>
              </w:rPr>
            </w:r>
            <w:r w:rsidR="006343BD">
              <w:rPr>
                <w:noProof/>
                <w:webHidden/>
              </w:rPr>
              <w:fldChar w:fldCharType="separate"/>
            </w:r>
            <w:r w:rsidR="005C4791">
              <w:rPr>
                <w:noProof/>
                <w:webHidden/>
              </w:rPr>
              <w:t>31</w:t>
            </w:r>
            <w:r w:rsidR="006343BD">
              <w:rPr>
                <w:noProof/>
                <w:webHidden/>
              </w:rPr>
              <w:fldChar w:fldCharType="end"/>
            </w:r>
          </w:hyperlink>
        </w:p>
        <w:p w14:paraId="1D29B4BB" w14:textId="43BB0195" w:rsidR="006343BD" w:rsidRDefault="00CA1C92">
          <w:pPr>
            <w:pStyle w:val="TM2"/>
            <w:rPr>
              <w:rFonts w:eastAsiaTheme="minorEastAsia"/>
              <w:noProof/>
            </w:rPr>
          </w:pPr>
          <w:hyperlink w:anchor="_Toc106903233" w:history="1">
            <w:r w:rsidR="006343BD" w:rsidRPr="007B4E31">
              <w:rPr>
                <w:rStyle w:val="Lienhypertexte"/>
                <w:rFonts w:ascii="Arial" w:hAnsi="Arial" w:cs="Arial"/>
                <w:b/>
                <w:bCs/>
                <w:noProof/>
              </w:rPr>
              <w:t>2.3 Results</w:t>
            </w:r>
            <w:r w:rsidR="006343BD">
              <w:rPr>
                <w:noProof/>
                <w:webHidden/>
              </w:rPr>
              <w:tab/>
            </w:r>
            <w:r w:rsidR="006343BD">
              <w:rPr>
                <w:noProof/>
                <w:webHidden/>
              </w:rPr>
              <w:fldChar w:fldCharType="begin"/>
            </w:r>
            <w:r w:rsidR="006343BD">
              <w:rPr>
                <w:noProof/>
                <w:webHidden/>
              </w:rPr>
              <w:instrText xml:space="preserve"> PAGEREF _Toc106903233 \h </w:instrText>
            </w:r>
            <w:r w:rsidR="006343BD">
              <w:rPr>
                <w:noProof/>
                <w:webHidden/>
              </w:rPr>
            </w:r>
            <w:r w:rsidR="006343BD">
              <w:rPr>
                <w:noProof/>
                <w:webHidden/>
              </w:rPr>
              <w:fldChar w:fldCharType="separate"/>
            </w:r>
            <w:r w:rsidR="005C4791">
              <w:rPr>
                <w:noProof/>
                <w:webHidden/>
              </w:rPr>
              <w:t>32</w:t>
            </w:r>
            <w:r w:rsidR="006343BD">
              <w:rPr>
                <w:noProof/>
                <w:webHidden/>
              </w:rPr>
              <w:fldChar w:fldCharType="end"/>
            </w:r>
          </w:hyperlink>
        </w:p>
        <w:p w14:paraId="64071FA8" w14:textId="2CFB94F9" w:rsidR="006343BD" w:rsidRDefault="00CA1C92">
          <w:pPr>
            <w:pStyle w:val="TM3"/>
            <w:rPr>
              <w:rFonts w:eastAsiaTheme="minorEastAsia"/>
              <w:noProof/>
            </w:rPr>
          </w:pPr>
          <w:hyperlink w:anchor="_Toc106903234" w:history="1">
            <w:r w:rsidR="006343BD" w:rsidRPr="007B4E31">
              <w:rPr>
                <w:rStyle w:val="Lienhypertexte"/>
                <w:rFonts w:ascii="Arial" w:hAnsi="Arial" w:cs="Arial"/>
                <w:b/>
                <w:bCs/>
                <w:noProof/>
              </w:rPr>
              <w:t>2.3.1 Characterization of PHA</w:t>
            </w:r>
            <w:r w:rsidR="006343BD">
              <w:rPr>
                <w:noProof/>
                <w:webHidden/>
              </w:rPr>
              <w:tab/>
            </w:r>
            <w:r w:rsidR="006343BD">
              <w:rPr>
                <w:noProof/>
                <w:webHidden/>
              </w:rPr>
              <w:fldChar w:fldCharType="begin"/>
            </w:r>
            <w:r w:rsidR="006343BD">
              <w:rPr>
                <w:noProof/>
                <w:webHidden/>
              </w:rPr>
              <w:instrText xml:space="preserve"> PAGEREF _Toc106903234 \h </w:instrText>
            </w:r>
            <w:r w:rsidR="006343BD">
              <w:rPr>
                <w:noProof/>
                <w:webHidden/>
              </w:rPr>
            </w:r>
            <w:r w:rsidR="006343BD">
              <w:rPr>
                <w:noProof/>
                <w:webHidden/>
              </w:rPr>
              <w:fldChar w:fldCharType="separate"/>
            </w:r>
            <w:r w:rsidR="005C4791">
              <w:rPr>
                <w:noProof/>
                <w:webHidden/>
              </w:rPr>
              <w:t>32</w:t>
            </w:r>
            <w:r w:rsidR="006343BD">
              <w:rPr>
                <w:noProof/>
                <w:webHidden/>
              </w:rPr>
              <w:fldChar w:fldCharType="end"/>
            </w:r>
          </w:hyperlink>
        </w:p>
        <w:p w14:paraId="00565E71" w14:textId="668CBFF9" w:rsidR="006343BD" w:rsidRDefault="00CA1C92">
          <w:pPr>
            <w:pStyle w:val="TM3"/>
            <w:rPr>
              <w:rFonts w:eastAsiaTheme="minorEastAsia"/>
              <w:noProof/>
            </w:rPr>
          </w:pPr>
          <w:hyperlink w:anchor="_Toc106903235" w:history="1">
            <w:r w:rsidR="006343BD" w:rsidRPr="007B4E31">
              <w:rPr>
                <w:rStyle w:val="Lienhypertexte"/>
                <w:rFonts w:ascii="Arial" w:hAnsi="Arial" w:cs="Arial"/>
                <w:b/>
                <w:bCs/>
                <w:noProof/>
              </w:rPr>
              <w:t>2.3.2 Viscosity of PHA solutions</w:t>
            </w:r>
            <w:r w:rsidR="006343BD">
              <w:rPr>
                <w:noProof/>
                <w:webHidden/>
              </w:rPr>
              <w:tab/>
            </w:r>
            <w:r w:rsidR="006343BD">
              <w:rPr>
                <w:noProof/>
                <w:webHidden/>
              </w:rPr>
              <w:fldChar w:fldCharType="begin"/>
            </w:r>
            <w:r w:rsidR="006343BD">
              <w:rPr>
                <w:noProof/>
                <w:webHidden/>
              </w:rPr>
              <w:instrText xml:space="preserve"> PAGEREF _Toc106903235 \h </w:instrText>
            </w:r>
            <w:r w:rsidR="006343BD">
              <w:rPr>
                <w:noProof/>
                <w:webHidden/>
              </w:rPr>
            </w:r>
            <w:r w:rsidR="006343BD">
              <w:rPr>
                <w:noProof/>
                <w:webHidden/>
              </w:rPr>
              <w:fldChar w:fldCharType="separate"/>
            </w:r>
            <w:r w:rsidR="005C4791">
              <w:rPr>
                <w:noProof/>
                <w:webHidden/>
              </w:rPr>
              <w:t>33</w:t>
            </w:r>
            <w:r w:rsidR="006343BD">
              <w:rPr>
                <w:noProof/>
                <w:webHidden/>
              </w:rPr>
              <w:fldChar w:fldCharType="end"/>
            </w:r>
          </w:hyperlink>
        </w:p>
        <w:p w14:paraId="0C71CE26" w14:textId="5E1522A4" w:rsidR="006343BD" w:rsidRDefault="00CA1C92">
          <w:pPr>
            <w:pStyle w:val="TM3"/>
            <w:rPr>
              <w:rFonts w:eastAsiaTheme="minorEastAsia"/>
              <w:noProof/>
            </w:rPr>
          </w:pPr>
          <w:hyperlink w:anchor="_Toc106903236" w:history="1">
            <w:r w:rsidR="006343BD" w:rsidRPr="007B4E31">
              <w:rPr>
                <w:rStyle w:val="Lienhypertexte"/>
                <w:rFonts w:ascii="Arial" w:hAnsi="Arial" w:cs="Arial"/>
                <w:b/>
                <w:bCs/>
                <w:noProof/>
              </w:rPr>
              <w:t>2.3.3 X-rays to assess tantalum visibility</w:t>
            </w:r>
            <w:r w:rsidR="006343BD">
              <w:rPr>
                <w:noProof/>
                <w:webHidden/>
              </w:rPr>
              <w:tab/>
            </w:r>
            <w:r w:rsidR="006343BD">
              <w:rPr>
                <w:noProof/>
                <w:webHidden/>
              </w:rPr>
              <w:fldChar w:fldCharType="begin"/>
            </w:r>
            <w:r w:rsidR="006343BD">
              <w:rPr>
                <w:noProof/>
                <w:webHidden/>
              </w:rPr>
              <w:instrText xml:space="preserve"> PAGEREF _Toc106903236 \h </w:instrText>
            </w:r>
            <w:r w:rsidR="006343BD">
              <w:rPr>
                <w:noProof/>
                <w:webHidden/>
              </w:rPr>
            </w:r>
            <w:r w:rsidR="006343BD">
              <w:rPr>
                <w:noProof/>
                <w:webHidden/>
              </w:rPr>
              <w:fldChar w:fldCharType="separate"/>
            </w:r>
            <w:r w:rsidR="005C4791">
              <w:rPr>
                <w:noProof/>
                <w:webHidden/>
              </w:rPr>
              <w:t>35</w:t>
            </w:r>
            <w:r w:rsidR="006343BD">
              <w:rPr>
                <w:noProof/>
                <w:webHidden/>
              </w:rPr>
              <w:fldChar w:fldCharType="end"/>
            </w:r>
          </w:hyperlink>
        </w:p>
        <w:p w14:paraId="04FE4B05" w14:textId="5E6C9055" w:rsidR="006343BD" w:rsidRDefault="00CA1C92">
          <w:pPr>
            <w:pStyle w:val="TM3"/>
            <w:rPr>
              <w:rFonts w:eastAsiaTheme="minorEastAsia"/>
              <w:noProof/>
            </w:rPr>
          </w:pPr>
          <w:hyperlink w:anchor="_Toc106903237" w:history="1">
            <w:r w:rsidR="006343BD" w:rsidRPr="007B4E31">
              <w:rPr>
                <w:rStyle w:val="Lienhypertexte"/>
                <w:rFonts w:ascii="Arial" w:hAnsi="Arial" w:cs="Arial"/>
                <w:b/>
                <w:bCs/>
                <w:noProof/>
              </w:rPr>
              <w:t>2.3.4 Mechanical properties of hydrogels</w:t>
            </w:r>
            <w:r w:rsidR="006343BD">
              <w:rPr>
                <w:noProof/>
                <w:webHidden/>
              </w:rPr>
              <w:tab/>
            </w:r>
            <w:r w:rsidR="006343BD">
              <w:rPr>
                <w:noProof/>
                <w:webHidden/>
              </w:rPr>
              <w:fldChar w:fldCharType="begin"/>
            </w:r>
            <w:r w:rsidR="006343BD">
              <w:rPr>
                <w:noProof/>
                <w:webHidden/>
              </w:rPr>
              <w:instrText xml:space="preserve"> PAGEREF _Toc106903237 \h </w:instrText>
            </w:r>
            <w:r w:rsidR="006343BD">
              <w:rPr>
                <w:noProof/>
                <w:webHidden/>
              </w:rPr>
            </w:r>
            <w:r w:rsidR="006343BD">
              <w:rPr>
                <w:noProof/>
                <w:webHidden/>
              </w:rPr>
              <w:fldChar w:fldCharType="separate"/>
            </w:r>
            <w:r w:rsidR="005C4791">
              <w:rPr>
                <w:noProof/>
                <w:webHidden/>
              </w:rPr>
              <w:t>37</w:t>
            </w:r>
            <w:r w:rsidR="006343BD">
              <w:rPr>
                <w:noProof/>
                <w:webHidden/>
              </w:rPr>
              <w:fldChar w:fldCharType="end"/>
            </w:r>
          </w:hyperlink>
        </w:p>
        <w:p w14:paraId="2A90BE0C" w14:textId="7B6CD9AF" w:rsidR="006343BD" w:rsidRDefault="00CA1C92">
          <w:pPr>
            <w:pStyle w:val="TM3"/>
            <w:rPr>
              <w:rFonts w:eastAsiaTheme="minorEastAsia"/>
              <w:noProof/>
            </w:rPr>
          </w:pPr>
          <w:hyperlink w:anchor="_Toc106903238" w:history="1">
            <w:r w:rsidR="006343BD" w:rsidRPr="007B4E31">
              <w:rPr>
                <w:rStyle w:val="Lienhypertexte"/>
                <w:rFonts w:ascii="Arial" w:hAnsi="Arial" w:cs="Arial"/>
                <w:b/>
                <w:bCs/>
                <w:noProof/>
              </w:rPr>
              <w:t>2.3.5 Swelling Capacity</w:t>
            </w:r>
            <w:r w:rsidR="006343BD">
              <w:rPr>
                <w:noProof/>
                <w:webHidden/>
              </w:rPr>
              <w:tab/>
            </w:r>
            <w:r w:rsidR="006343BD">
              <w:rPr>
                <w:noProof/>
                <w:webHidden/>
              </w:rPr>
              <w:fldChar w:fldCharType="begin"/>
            </w:r>
            <w:r w:rsidR="006343BD">
              <w:rPr>
                <w:noProof/>
                <w:webHidden/>
              </w:rPr>
              <w:instrText xml:space="preserve"> PAGEREF _Toc106903238 \h </w:instrText>
            </w:r>
            <w:r w:rsidR="006343BD">
              <w:rPr>
                <w:noProof/>
                <w:webHidden/>
              </w:rPr>
            </w:r>
            <w:r w:rsidR="006343BD">
              <w:rPr>
                <w:noProof/>
                <w:webHidden/>
              </w:rPr>
              <w:fldChar w:fldCharType="separate"/>
            </w:r>
            <w:r w:rsidR="005C4791">
              <w:rPr>
                <w:noProof/>
                <w:webHidden/>
              </w:rPr>
              <w:t>39</w:t>
            </w:r>
            <w:r w:rsidR="006343BD">
              <w:rPr>
                <w:noProof/>
                <w:webHidden/>
              </w:rPr>
              <w:fldChar w:fldCharType="end"/>
            </w:r>
          </w:hyperlink>
        </w:p>
        <w:p w14:paraId="0DD7A8A2" w14:textId="72E2A432" w:rsidR="006343BD" w:rsidRDefault="00CA1C92">
          <w:pPr>
            <w:pStyle w:val="TM3"/>
            <w:rPr>
              <w:rFonts w:eastAsiaTheme="minorEastAsia"/>
              <w:noProof/>
            </w:rPr>
          </w:pPr>
          <w:hyperlink w:anchor="_Toc106903239" w:history="1">
            <w:r w:rsidR="006343BD" w:rsidRPr="007B4E31">
              <w:rPr>
                <w:rStyle w:val="Lienhypertexte"/>
                <w:rFonts w:ascii="Arial" w:hAnsi="Arial" w:cs="Arial"/>
                <w:b/>
                <w:bCs/>
                <w:noProof/>
              </w:rPr>
              <w:t>2.3.6 Cell Viability</w:t>
            </w:r>
            <w:r w:rsidR="006343BD">
              <w:rPr>
                <w:noProof/>
                <w:webHidden/>
              </w:rPr>
              <w:tab/>
            </w:r>
            <w:r w:rsidR="006343BD">
              <w:rPr>
                <w:noProof/>
                <w:webHidden/>
              </w:rPr>
              <w:fldChar w:fldCharType="begin"/>
            </w:r>
            <w:r w:rsidR="006343BD">
              <w:rPr>
                <w:noProof/>
                <w:webHidden/>
              </w:rPr>
              <w:instrText xml:space="preserve"> PAGEREF _Toc106903239 \h </w:instrText>
            </w:r>
            <w:r w:rsidR="006343BD">
              <w:rPr>
                <w:noProof/>
                <w:webHidden/>
              </w:rPr>
            </w:r>
            <w:r w:rsidR="006343BD">
              <w:rPr>
                <w:noProof/>
                <w:webHidden/>
              </w:rPr>
              <w:fldChar w:fldCharType="separate"/>
            </w:r>
            <w:r w:rsidR="005C4791">
              <w:rPr>
                <w:noProof/>
                <w:webHidden/>
              </w:rPr>
              <w:t>41</w:t>
            </w:r>
            <w:r w:rsidR="006343BD">
              <w:rPr>
                <w:noProof/>
                <w:webHidden/>
              </w:rPr>
              <w:fldChar w:fldCharType="end"/>
            </w:r>
          </w:hyperlink>
        </w:p>
        <w:p w14:paraId="256D0C5F" w14:textId="605E4546" w:rsidR="006343BD" w:rsidRDefault="00CA1C92">
          <w:pPr>
            <w:pStyle w:val="TM2"/>
            <w:rPr>
              <w:rFonts w:eastAsiaTheme="minorEastAsia"/>
              <w:noProof/>
            </w:rPr>
          </w:pPr>
          <w:hyperlink w:anchor="_Toc106903240" w:history="1">
            <w:r w:rsidR="006343BD" w:rsidRPr="007B4E31">
              <w:rPr>
                <w:rStyle w:val="Lienhypertexte"/>
                <w:rFonts w:ascii="Arial" w:hAnsi="Arial" w:cs="Arial"/>
                <w:b/>
                <w:bCs/>
                <w:noProof/>
              </w:rPr>
              <w:t>2.4 Discussion</w:t>
            </w:r>
            <w:r w:rsidR="006343BD">
              <w:rPr>
                <w:noProof/>
                <w:webHidden/>
              </w:rPr>
              <w:tab/>
            </w:r>
            <w:r w:rsidR="006343BD">
              <w:rPr>
                <w:noProof/>
                <w:webHidden/>
              </w:rPr>
              <w:fldChar w:fldCharType="begin"/>
            </w:r>
            <w:r w:rsidR="006343BD">
              <w:rPr>
                <w:noProof/>
                <w:webHidden/>
              </w:rPr>
              <w:instrText xml:space="preserve"> PAGEREF _Toc106903240 \h </w:instrText>
            </w:r>
            <w:r w:rsidR="006343BD">
              <w:rPr>
                <w:noProof/>
                <w:webHidden/>
              </w:rPr>
            </w:r>
            <w:r w:rsidR="006343BD">
              <w:rPr>
                <w:noProof/>
                <w:webHidden/>
              </w:rPr>
              <w:fldChar w:fldCharType="separate"/>
            </w:r>
            <w:r w:rsidR="005C4791">
              <w:rPr>
                <w:noProof/>
                <w:webHidden/>
              </w:rPr>
              <w:t>42</w:t>
            </w:r>
            <w:r w:rsidR="006343BD">
              <w:rPr>
                <w:noProof/>
                <w:webHidden/>
              </w:rPr>
              <w:fldChar w:fldCharType="end"/>
            </w:r>
          </w:hyperlink>
        </w:p>
        <w:p w14:paraId="638050DB" w14:textId="2AB84AFA" w:rsidR="006343BD" w:rsidRDefault="00CA1C92">
          <w:pPr>
            <w:pStyle w:val="TM1"/>
            <w:rPr>
              <w:rFonts w:eastAsiaTheme="minorEastAsia"/>
              <w:noProof/>
            </w:rPr>
          </w:pPr>
          <w:hyperlink w:anchor="_Toc106903241" w:history="1">
            <w:r w:rsidR="006343BD" w:rsidRPr="007B4E31">
              <w:rPr>
                <w:rStyle w:val="Lienhypertexte"/>
                <w:rFonts w:ascii="Arial" w:hAnsi="Arial" w:cs="Arial"/>
                <w:b/>
                <w:bCs/>
                <w:noProof/>
              </w:rPr>
              <w:t>Chapter 3: Conclusions and recommendations</w:t>
            </w:r>
            <w:r w:rsidR="006343BD">
              <w:rPr>
                <w:noProof/>
                <w:webHidden/>
              </w:rPr>
              <w:tab/>
            </w:r>
            <w:r w:rsidR="006343BD">
              <w:rPr>
                <w:noProof/>
                <w:webHidden/>
              </w:rPr>
              <w:fldChar w:fldCharType="begin"/>
            </w:r>
            <w:r w:rsidR="006343BD">
              <w:rPr>
                <w:noProof/>
                <w:webHidden/>
              </w:rPr>
              <w:instrText xml:space="preserve"> PAGEREF _Toc106903241 \h </w:instrText>
            </w:r>
            <w:r w:rsidR="006343BD">
              <w:rPr>
                <w:noProof/>
                <w:webHidden/>
              </w:rPr>
            </w:r>
            <w:r w:rsidR="006343BD">
              <w:rPr>
                <w:noProof/>
                <w:webHidden/>
              </w:rPr>
              <w:fldChar w:fldCharType="separate"/>
            </w:r>
            <w:r w:rsidR="005C4791">
              <w:rPr>
                <w:noProof/>
                <w:webHidden/>
              </w:rPr>
              <w:t>48</w:t>
            </w:r>
            <w:r w:rsidR="006343BD">
              <w:rPr>
                <w:noProof/>
                <w:webHidden/>
              </w:rPr>
              <w:fldChar w:fldCharType="end"/>
            </w:r>
          </w:hyperlink>
        </w:p>
        <w:p w14:paraId="4CAAD22D" w14:textId="4173A828" w:rsidR="006343BD" w:rsidRDefault="006C49C5">
          <w:pPr>
            <w:pStyle w:val="TM1"/>
            <w:rPr>
              <w:rFonts w:eastAsiaTheme="minorEastAsia"/>
              <w:noProof/>
            </w:rPr>
          </w:pPr>
          <w:r w:rsidRPr="006C49C5">
            <w:rPr>
              <w:rStyle w:val="Lienhypertexte"/>
              <w:noProof/>
              <w:u w:val="none"/>
            </w:rPr>
            <w:t xml:space="preserve">    </w:t>
          </w:r>
          <w:hyperlink w:anchor="_Toc106903242" w:history="1">
            <w:r w:rsidR="006343BD" w:rsidRPr="007B4E31">
              <w:rPr>
                <w:rStyle w:val="Lienhypertexte"/>
                <w:rFonts w:ascii="Arial" w:hAnsi="Arial" w:cs="Arial"/>
                <w:b/>
                <w:bCs/>
                <w:noProof/>
              </w:rPr>
              <w:t>3.1 Conclusions</w:t>
            </w:r>
            <w:r w:rsidR="006343BD">
              <w:rPr>
                <w:noProof/>
                <w:webHidden/>
              </w:rPr>
              <w:tab/>
            </w:r>
            <w:r w:rsidR="006343BD">
              <w:rPr>
                <w:noProof/>
                <w:webHidden/>
              </w:rPr>
              <w:fldChar w:fldCharType="begin"/>
            </w:r>
            <w:r w:rsidR="006343BD">
              <w:rPr>
                <w:noProof/>
                <w:webHidden/>
              </w:rPr>
              <w:instrText xml:space="preserve"> PAGEREF _Toc106903242 \h </w:instrText>
            </w:r>
            <w:r w:rsidR="006343BD">
              <w:rPr>
                <w:noProof/>
                <w:webHidden/>
              </w:rPr>
            </w:r>
            <w:r w:rsidR="006343BD">
              <w:rPr>
                <w:noProof/>
                <w:webHidden/>
              </w:rPr>
              <w:fldChar w:fldCharType="separate"/>
            </w:r>
            <w:r w:rsidR="005C4791">
              <w:rPr>
                <w:noProof/>
                <w:webHidden/>
              </w:rPr>
              <w:t>48</w:t>
            </w:r>
            <w:r w:rsidR="006343BD">
              <w:rPr>
                <w:noProof/>
                <w:webHidden/>
              </w:rPr>
              <w:fldChar w:fldCharType="end"/>
            </w:r>
          </w:hyperlink>
        </w:p>
        <w:p w14:paraId="504DE269" w14:textId="5ADD7990" w:rsidR="006343BD" w:rsidRDefault="006C49C5">
          <w:pPr>
            <w:pStyle w:val="TM1"/>
            <w:rPr>
              <w:rFonts w:eastAsiaTheme="minorEastAsia"/>
              <w:noProof/>
            </w:rPr>
          </w:pPr>
          <w:r w:rsidRPr="006C49C5">
            <w:rPr>
              <w:rStyle w:val="Lienhypertexte"/>
              <w:noProof/>
              <w:u w:val="none"/>
            </w:rPr>
            <w:t xml:space="preserve">    </w:t>
          </w:r>
          <w:hyperlink w:anchor="_Toc106903243" w:history="1">
            <w:r w:rsidR="006343BD" w:rsidRPr="007B4E31">
              <w:rPr>
                <w:rStyle w:val="Lienhypertexte"/>
                <w:rFonts w:ascii="Arial" w:hAnsi="Arial" w:cs="Arial"/>
                <w:b/>
                <w:bCs/>
                <w:noProof/>
              </w:rPr>
              <w:t>3.2 Recommendations</w:t>
            </w:r>
            <w:r w:rsidR="006343BD">
              <w:rPr>
                <w:noProof/>
                <w:webHidden/>
              </w:rPr>
              <w:tab/>
            </w:r>
            <w:r w:rsidR="006343BD">
              <w:rPr>
                <w:noProof/>
                <w:webHidden/>
              </w:rPr>
              <w:fldChar w:fldCharType="begin"/>
            </w:r>
            <w:r w:rsidR="006343BD">
              <w:rPr>
                <w:noProof/>
                <w:webHidden/>
              </w:rPr>
              <w:instrText xml:space="preserve"> PAGEREF _Toc106903243 \h </w:instrText>
            </w:r>
            <w:r w:rsidR="006343BD">
              <w:rPr>
                <w:noProof/>
                <w:webHidden/>
              </w:rPr>
            </w:r>
            <w:r w:rsidR="006343BD">
              <w:rPr>
                <w:noProof/>
                <w:webHidden/>
              </w:rPr>
              <w:fldChar w:fldCharType="separate"/>
            </w:r>
            <w:r w:rsidR="005C4791">
              <w:rPr>
                <w:noProof/>
                <w:webHidden/>
              </w:rPr>
              <w:t>49</w:t>
            </w:r>
            <w:r w:rsidR="006343BD">
              <w:rPr>
                <w:noProof/>
                <w:webHidden/>
              </w:rPr>
              <w:fldChar w:fldCharType="end"/>
            </w:r>
          </w:hyperlink>
        </w:p>
        <w:p w14:paraId="56F3BCB8" w14:textId="36AB439D" w:rsidR="006343BD" w:rsidRDefault="00CA1C92">
          <w:pPr>
            <w:pStyle w:val="TM1"/>
            <w:rPr>
              <w:rFonts w:eastAsiaTheme="minorEastAsia"/>
              <w:noProof/>
            </w:rPr>
          </w:pPr>
          <w:hyperlink w:anchor="_Toc106903244" w:history="1">
            <w:r w:rsidR="006343BD" w:rsidRPr="007B4E31">
              <w:rPr>
                <w:rStyle w:val="Lienhypertexte"/>
                <w:rFonts w:ascii="Arial" w:hAnsi="Arial" w:cs="Arial"/>
                <w:b/>
                <w:bCs/>
                <w:noProof/>
              </w:rPr>
              <w:t>References</w:t>
            </w:r>
            <w:r w:rsidR="006343BD">
              <w:rPr>
                <w:noProof/>
                <w:webHidden/>
              </w:rPr>
              <w:tab/>
            </w:r>
            <w:r w:rsidR="006343BD">
              <w:rPr>
                <w:noProof/>
                <w:webHidden/>
              </w:rPr>
              <w:fldChar w:fldCharType="begin"/>
            </w:r>
            <w:r w:rsidR="006343BD">
              <w:rPr>
                <w:noProof/>
                <w:webHidden/>
              </w:rPr>
              <w:instrText xml:space="preserve"> PAGEREF _Toc106903244 \h </w:instrText>
            </w:r>
            <w:r w:rsidR="006343BD">
              <w:rPr>
                <w:noProof/>
                <w:webHidden/>
              </w:rPr>
            </w:r>
            <w:r w:rsidR="006343BD">
              <w:rPr>
                <w:noProof/>
                <w:webHidden/>
              </w:rPr>
              <w:fldChar w:fldCharType="separate"/>
            </w:r>
            <w:r w:rsidR="005C4791">
              <w:rPr>
                <w:noProof/>
                <w:webHidden/>
              </w:rPr>
              <w:t>51</w:t>
            </w:r>
            <w:r w:rsidR="006343BD">
              <w:rPr>
                <w:noProof/>
                <w:webHidden/>
              </w:rPr>
              <w:fldChar w:fldCharType="end"/>
            </w:r>
          </w:hyperlink>
        </w:p>
        <w:p w14:paraId="4F994EE5" w14:textId="5F9BD23B" w:rsidR="00372107" w:rsidRPr="007D2589" w:rsidRDefault="00372107" w:rsidP="003D5B5A">
          <w:pPr>
            <w:pStyle w:val="TM1"/>
            <w:spacing w:line="276" w:lineRule="auto"/>
            <w:rPr>
              <w:rFonts w:ascii="Arial" w:hAnsi="Arial" w:cs="Arial"/>
              <w:b/>
              <w:bCs/>
              <w:noProof/>
              <w:sz w:val="24"/>
              <w:szCs w:val="24"/>
            </w:rPr>
          </w:pPr>
          <w:r w:rsidRPr="007D2589">
            <w:rPr>
              <w:rFonts w:ascii="Arial" w:hAnsi="Arial" w:cs="Arial"/>
              <w:b/>
              <w:bCs/>
              <w:noProof/>
              <w:sz w:val="24"/>
              <w:szCs w:val="24"/>
            </w:rPr>
            <w:fldChar w:fldCharType="end"/>
          </w:r>
        </w:p>
      </w:sdtContent>
    </w:sdt>
    <w:p w14:paraId="44241094" w14:textId="77777777" w:rsidR="005F7609" w:rsidRDefault="005F7609">
      <w:pPr>
        <w:rPr>
          <w:rStyle w:val="lev"/>
          <w:rFonts w:ascii="Arial" w:hAnsi="Arial" w:cs="Arial"/>
          <w:sz w:val="24"/>
          <w:szCs w:val="24"/>
        </w:rPr>
      </w:pPr>
      <w:bookmarkStart w:id="0" w:name="_Toc77701655"/>
      <w:r>
        <w:rPr>
          <w:rStyle w:val="lev"/>
          <w:rFonts w:ascii="Arial" w:hAnsi="Arial" w:cs="Arial"/>
          <w:sz w:val="24"/>
          <w:szCs w:val="24"/>
        </w:rPr>
        <w:br w:type="page"/>
      </w:r>
    </w:p>
    <w:p w14:paraId="71ED2732" w14:textId="054AE6D6" w:rsidR="003D5B5A" w:rsidRPr="003D5B5A" w:rsidRDefault="005F7609" w:rsidP="003D5B5A">
      <w:pPr>
        <w:spacing w:line="276" w:lineRule="auto"/>
      </w:pPr>
      <w:r>
        <w:rPr>
          <w:rStyle w:val="lev"/>
          <w:rFonts w:ascii="Arial" w:hAnsi="Arial" w:cs="Arial"/>
          <w:sz w:val="24"/>
          <w:szCs w:val="24"/>
        </w:rPr>
        <w:lastRenderedPageBreak/>
        <w:t>List</w:t>
      </w:r>
      <w:r w:rsidRPr="00751598">
        <w:rPr>
          <w:rStyle w:val="lev"/>
          <w:rFonts w:ascii="Arial" w:hAnsi="Arial" w:cs="Arial"/>
          <w:sz w:val="24"/>
          <w:szCs w:val="24"/>
        </w:rPr>
        <w:t xml:space="preserve"> </w:t>
      </w:r>
      <w:r w:rsidR="003B6F7B" w:rsidRPr="00751598">
        <w:rPr>
          <w:rStyle w:val="lev"/>
          <w:rFonts w:ascii="Arial" w:hAnsi="Arial" w:cs="Arial"/>
          <w:sz w:val="24"/>
          <w:szCs w:val="24"/>
        </w:rPr>
        <w:t>of Figures</w:t>
      </w:r>
    </w:p>
    <w:p w14:paraId="06212228" w14:textId="2B65C390" w:rsidR="000C733F" w:rsidRDefault="003B6F7B">
      <w:pPr>
        <w:pStyle w:val="Tabledesillustrations"/>
        <w:tabs>
          <w:tab w:val="right" w:leader="dot" w:pos="9016"/>
        </w:tabs>
        <w:rPr>
          <w:rFonts w:eastAsiaTheme="minorEastAsia"/>
          <w:noProof/>
        </w:rPr>
      </w:pPr>
      <w:r w:rsidRPr="00751598">
        <w:rPr>
          <w:rStyle w:val="lev"/>
          <w:rFonts w:ascii="Arial" w:hAnsi="Arial" w:cs="Arial"/>
          <w:sz w:val="24"/>
          <w:szCs w:val="24"/>
        </w:rPr>
        <w:fldChar w:fldCharType="begin"/>
      </w:r>
      <w:r w:rsidRPr="00751598">
        <w:rPr>
          <w:rStyle w:val="lev"/>
          <w:rFonts w:ascii="Arial" w:hAnsi="Arial" w:cs="Arial"/>
          <w:sz w:val="24"/>
          <w:szCs w:val="24"/>
        </w:rPr>
        <w:instrText xml:space="preserve"> TOC \h \z \c "Figure" </w:instrText>
      </w:r>
      <w:r w:rsidRPr="00751598">
        <w:rPr>
          <w:rStyle w:val="lev"/>
          <w:rFonts w:ascii="Arial" w:hAnsi="Arial" w:cs="Arial"/>
          <w:sz w:val="24"/>
          <w:szCs w:val="24"/>
        </w:rPr>
        <w:fldChar w:fldCharType="separate"/>
      </w:r>
      <w:hyperlink w:anchor="_Toc105918966" w:history="1">
        <w:r w:rsidR="000C733F" w:rsidRPr="00060329">
          <w:rPr>
            <w:rStyle w:val="Lienhypertexte"/>
            <w:rFonts w:ascii="Arial" w:hAnsi="Arial" w:cs="Arial"/>
            <w:b/>
            <w:bCs/>
            <w:noProof/>
          </w:rPr>
          <w:t>Figure 1: Anatomy of a human artery</w:t>
        </w:r>
        <w:r w:rsidR="000C733F" w:rsidRPr="00060329">
          <w:rPr>
            <w:rStyle w:val="Lienhypertexte"/>
            <w:rFonts w:ascii="Arial" w:hAnsi="Arial" w:cs="Arial"/>
            <w:noProof/>
          </w:rPr>
          <w:t xml:space="preserve"> .</w:t>
        </w:r>
        <w:r w:rsidR="000C733F">
          <w:rPr>
            <w:noProof/>
            <w:webHidden/>
          </w:rPr>
          <w:tab/>
        </w:r>
        <w:r w:rsidR="000C733F">
          <w:rPr>
            <w:noProof/>
            <w:webHidden/>
          </w:rPr>
          <w:fldChar w:fldCharType="begin"/>
        </w:r>
        <w:r w:rsidR="000C733F">
          <w:rPr>
            <w:noProof/>
            <w:webHidden/>
          </w:rPr>
          <w:instrText xml:space="preserve"> PAGEREF _Toc105918966 \h </w:instrText>
        </w:r>
        <w:r w:rsidR="000C733F">
          <w:rPr>
            <w:noProof/>
            <w:webHidden/>
          </w:rPr>
        </w:r>
        <w:r w:rsidR="000C733F">
          <w:rPr>
            <w:noProof/>
            <w:webHidden/>
          </w:rPr>
          <w:fldChar w:fldCharType="separate"/>
        </w:r>
        <w:r w:rsidR="005C4791">
          <w:rPr>
            <w:noProof/>
            <w:webHidden/>
          </w:rPr>
          <w:t>2</w:t>
        </w:r>
        <w:r w:rsidR="000C733F">
          <w:rPr>
            <w:noProof/>
            <w:webHidden/>
          </w:rPr>
          <w:fldChar w:fldCharType="end"/>
        </w:r>
      </w:hyperlink>
    </w:p>
    <w:p w14:paraId="4027FF7F" w14:textId="3F02F1AD" w:rsidR="000C733F" w:rsidRDefault="00CA1C92">
      <w:pPr>
        <w:pStyle w:val="Tabledesillustrations"/>
        <w:tabs>
          <w:tab w:val="right" w:leader="dot" w:pos="9016"/>
        </w:tabs>
        <w:rPr>
          <w:rFonts w:eastAsiaTheme="minorEastAsia"/>
          <w:noProof/>
        </w:rPr>
      </w:pPr>
      <w:hyperlink w:anchor="_Toc105918967" w:history="1">
        <w:r w:rsidR="000C733F" w:rsidRPr="00060329">
          <w:rPr>
            <w:rStyle w:val="Lienhypertexte"/>
            <w:rFonts w:ascii="Arial" w:hAnsi="Arial" w:cs="Arial"/>
            <w:b/>
            <w:bCs/>
            <w:noProof/>
          </w:rPr>
          <w:t>Figure 2: Structural modifications in the tunica intima at an arterial bifurcation</w:t>
        </w:r>
        <w:r w:rsidR="000C733F">
          <w:rPr>
            <w:noProof/>
            <w:webHidden/>
          </w:rPr>
          <w:tab/>
        </w:r>
        <w:r w:rsidR="000C733F">
          <w:rPr>
            <w:noProof/>
            <w:webHidden/>
          </w:rPr>
          <w:fldChar w:fldCharType="begin"/>
        </w:r>
        <w:r w:rsidR="000C733F">
          <w:rPr>
            <w:noProof/>
            <w:webHidden/>
          </w:rPr>
          <w:instrText xml:space="preserve"> PAGEREF _Toc105918967 \h </w:instrText>
        </w:r>
        <w:r w:rsidR="000C733F">
          <w:rPr>
            <w:noProof/>
            <w:webHidden/>
          </w:rPr>
        </w:r>
        <w:r w:rsidR="000C733F">
          <w:rPr>
            <w:noProof/>
            <w:webHidden/>
          </w:rPr>
          <w:fldChar w:fldCharType="separate"/>
        </w:r>
        <w:r w:rsidR="005C4791">
          <w:rPr>
            <w:noProof/>
            <w:webHidden/>
          </w:rPr>
          <w:t>7</w:t>
        </w:r>
        <w:r w:rsidR="000C733F">
          <w:rPr>
            <w:noProof/>
            <w:webHidden/>
          </w:rPr>
          <w:fldChar w:fldCharType="end"/>
        </w:r>
      </w:hyperlink>
    </w:p>
    <w:p w14:paraId="59816FFF" w14:textId="2B36F722" w:rsidR="000C733F" w:rsidRDefault="00CA1C92">
      <w:pPr>
        <w:pStyle w:val="Tabledesillustrations"/>
        <w:tabs>
          <w:tab w:val="right" w:leader="dot" w:pos="9016"/>
        </w:tabs>
        <w:rPr>
          <w:rFonts w:eastAsiaTheme="minorEastAsia"/>
          <w:noProof/>
        </w:rPr>
      </w:pPr>
      <w:hyperlink w:anchor="_Toc105918968" w:history="1">
        <w:r w:rsidR="000C733F" w:rsidRPr="00060329">
          <w:rPr>
            <w:rStyle w:val="Lienhypertexte"/>
            <w:rFonts w:ascii="Arial" w:hAnsi="Arial" w:cs="Arial"/>
            <w:b/>
            <w:bCs/>
            <w:noProof/>
          </w:rPr>
          <w:t>Figure 3: Main brain aneurysm types</w:t>
        </w:r>
        <w:r w:rsidR="000C733F">
          <w:rPr>
            <w:noProof/>
            <w:webHidden/>
          </w:rPr>
          <w:tab/>
        </w:r>
        <w:r w:rsidR="000C733F">
          <w:rPr>
            <w:noProof/>
            <w:webHidden/>
          </w:rPr>
          <w:fldChar w:fldCharType="begin"/>
        </w:r>
        <w:r w:rsidR="000C733F">
          <w:rPr>
            <w:noProof/>
            <w:webHidden/>
          </w:rPr>
          <w:instrText xml:space="preserve"> PAGEREF _Toc105918968 \h </w:instrText>
        </w:r>
        <w:r w:rsidR="000C733F">
          <w:rPr>
            <w:noProof/>
            <w:webHidden/>
          </w:rPr>
        </w:r>
        <w:r w:rsidR="000C733F">
          <w:rPr>
            <w:noProof/>
            <w:webHidden/>
          </w:rPr>
          <w:fldChar w:fldCharType="separate"/>
        </w:r>
        <w:r w:rsidR="005C4791">
          <w:rPr>
            <w:noProof/>
            <w:webHidden/>
          </w:rPr>
          <w:t>8</w:t>
        </w:r>
        <w:r w:rsidR="000C733F">
          <w:rPr>
            <w:noProof/>
            <w:webHidden/>
          </w:rPr>
          <w:fldChar w:fldCharType="end"/>
        </w:r>
      </w:hyperlink>
    </w:p>
    <w:p w14:paraId="55B260B4" w14:textId="62422DED" w:rsidR="000C733F" w:rsidRDefault="00CA1C92">
      <w:pPr>
        <w:pStyle w:val="Tabledesillustrations"/>
        <w:tabs>
          <w:tab w:val="right" w:leader="dot" w:pos="9016"/>
        </w:tabs>
        <w:rPr>
          <w:rFonts w:eastAsiaTheme="minorEastAsia"/>
          <w:noProof/>
        </w:rPr>
      </w:pPr>
      <w:hyperlink w:anchor="_Toc105918969" w:history="1">
        <w:r w:rsidR="000C733F" w:rsidRPr="00060329">
          <w:rPr>
            <w:rStyle w:val="Lienhypertexte"/>
            <w:rFonts w:ascii="Arial" w:hAnsi="Arial" w:cs="Arial"/>
            <w:b/>
            <w:bCs/>
            <w:noProof/>
          </w:rPr>
          <w:t>Figure 4: Representation of a surgical clip on a saccular aneurysm neck</w:t>
        </w:r>
        <w:r w:rsidR="000C733F">
          <w:rPr>
            <w:rStyle w:val="Lienhypertexte"/>
            <w:rFonts w:ascii="Arial" w:hAnsi="Arial" w:cs="Arial"/>
            <w:b/>
            <w:bCs/>
            <w:noProof/>
          </w:rPr>
          <w:t xml:space="preserve"> </w:t>
        </w:r>
        <w:r w:rsidR="000C733F">
          <w:rPr>
            <w:noProof/>
            <w:webHidden/>
          </w:rPr>
          <w:tab/>
        </w:r>
        <w:r w:rsidR="000C733F">
          <w:rPr>
            <w:noProof/>
            <w:webHidden/>
          </w:rPr>
          <w:fldChar w:fldCharType="begin"/>
        </w:r>
        <w:r w:rsidR="000C733F">
          <w:rPr>
            <w:noProof/>
            <w:webHidden/>
          </w:rPr>
          <w:instrText xml:space="preserve"> PAGEREF _Toc105918969 \h </w:instrText>
        </w:r>
        <w:r w:rsidR="000C733F">
          <w:rPr>
            <w:noProof/>
            <w:webHidden/>
          </w:rPr>
        </w:r>
        <w:r w:rsidR="000C733F">
          <w:rPr>
            <w:noProof/>
            <w:webHidden/>
          </w:rPr>
          <w:fldChar w:fldCharType="separate"/>
        </w:r>
        <w:r w:rsidR="005C4791">
          <w:rPr>
            <w:noProof/>
            <w:webHidden/>
          </w:rPr>
          <w:t>9</w:t>
        </w:r>
        <w:r w:rsidR="000C733F">
          <w:rPr>
            <w:noProof/>
            <w:webHidden/>
          </w:rPr>
          <w:fldChar w:fldCharType="end"/>
        </w:r>
      </w:hyperlink>
    </w:p>
    <w:p w14:paraId="3734B5C7" w14:textId="3E3D612B" w:rsidR="000C733F" w:rsidRDefault="00CA1C92">
      <w:pPr>
        <w:pStyle w:val="Tabledesillustrations"/>
        <w:tabs>
          <w:tab w:val="right" w:leader="dot" w:pos="9016"/>
        </w:tabs>
        <w:rPr>
          <w:rFonts w:eastAsiaTheme="minorEastAsia"/>
          <w:noProof/>
        </w:rPr>
      </w:pPr>
      <w:hyperlink w:anchor="_Toc105918970" w:history="1">
        <w:r w:rsidR="000C733F" w:rsidRPr="00060329">
          <w:rPr>
            <w:rStyle w:val="Lienhypertexte"/>
            <w:rFonts w:ascii="Arial" w:hAnsi="Arial" w:cs="Arial"/>
            <w:b/>
            <w:bCs/>
            <w:noProof/>
          </w:rPr>
          <w:t>Figure 5: Representation of the insertion of a coil in a saccular aneurysm</w:t>
        </w:r>
        <w:r w:rsidR="001A14CF">
          <w:rPr>
            <w:rStyle w:val="Lienhypertexte"/>
            <w:rFonts w:ascii="Arial" w:hAnsi="Arial" w:cs="Arial"/>
            <w:b/>
            <w:bCs/>
            <w:noProof/>
          </w:rPr>
          <w:t xml:space="preserve"> </w:t>
        </w:r>
        <w:r w:rsidR="000C733F">
          <w:rPr>
            <w:noProof/>
            <w:webHidden/>
          </w:rPr>
          <w:tab/>
        </w:r>
        <w:r w:rsidR="000C733F">
          <w:rPr>
            <w:noProof/>
            <w:webHidden/>
          </w:rPr>
          <w:fldChar w:fldCharType="begin"/>
        </w:r>
        <w:r w:rsidR="000C733F">
          <w:rPr>
            <w:noProof/>
            <w:webHidden/>
          </w:rPr>
          <w:instrText xml:space="preserve"> PAGEREF _Toc105918970 \h </w:instrText>
        </w:r>
        <w:r w:rsidR="000C733F">
          <w:rPr>
            <w:noProof/>
            <w:webHidden/>
          </w:rPr>
        </w:r>
        <w:r w:rsidR="000C733F">
          <w:rPr>
            <w:noProof/>
            <w:webHidden/>
          </w:rPr>
          <w:fldChar w:fldCharType="separate"/>
        </w:r>
        <w:r w:rsidR="005C4791">
          <w:rPr>
            <w:noProof/>
            <w:webHidden/>
          </w:rPr>
          <w:t>10</w:t>
        </w:r>
        <w:r w:rsidR="000C733F">
          <w:rPr>
            <w:noProof/>
            <w:webHidden/>
          </w:rPr>
          <w:fldChar w:fldCharType="end"/>
        </w:r>
      </w:hyperlink>
    </w:p>
    <w:p w14:paraId="7C2E6BB4" w14:textId="5D921735" w:rsidR="000C733F" w:rsidRDefault="00CA1C92">
      <w:pPr>
        <w:pStyle w:val="Tabledesillustrations"/>
        <w:tabs>
          <w:tab w:val="right" w:leader="dot" w:pos="9016"/>
        </w:tabs>
        <w:rPr>
          <w:rFonts w:eastAsiaTheme="minorEastAsia"/>
          <w:noProof/>
        </w:rPr>
      </w:pPr>
      <w:hyperlink w:anchor="_Toc105918971" w:history="1">
        <w:r w:rsidR="000C733F" w:rsidRPr="00060329">
          <w:rPr>
            <w:rStyle w:val="Lienhypertexte"/>
            <w:rFonts w:ascii="Arial" w:hAnsi="Arial" w:cs="Arial"/>
            <w:b/>
            <w:bCs/>
            <w:noProof/>
          </w:rPr>
          <w:t>Figure 6: Representation of a stent</w:t>
        </w:r>
        <w:r w:rsidR="001C2B62">
          <w:rPr>
            <w:rStyle w:val="Lienhypertexte"/>
            <w:rFonts w:ascii="Arial" w:hAnsi="Arial" w:cs="Arial"/>
            <w:b/>
            <w:bCs/>
            <w:noProof/>
          </w:rPr>
          <w:t xml:space="preserve"> </w:t>
        </w:r>
        <w:r w:rsidR="000C733F">
          <w:rPr>
            <w:noProof/>
            <w:webHidden/>
          </w:rPr>
          <w:tab/>
        </w:r>
        <w:r w:rsidR="000C733F">
          <w:rPr>
            <w:noProof/>
            <w:webHidden/>
          </w:rPr>
          <w:fldChar w:fldCharType="begin"/>
        </w:r>
        <w:r w:rsidR="000C733F">
          <w:rPr>
            <w:noProof/>
            <w:webHidden/>
          </w:rPr>
          <w:instrText xml:space="preserve"> PAGEREF _Toc105918971 \h </w:instrText>
        </w:r>
        <w:r w:rsidR="000C733F">
          <w:rPr>
            <w:noProof/>
            <w:webHidden/>
          </w:rPr>
        </w:r>
        <w:r w:rsidR="000C733F">
          <w:rPr>
            <w:noProof/>
            <w:webHidden/>
          </w:rPr>
          <w:fldChar w:fldCharType="separate"/>
        </w:r>
        <w:r w:rsidR="005C4791">
          <w:rPr>
            <w:noProof/>
            <w:webHidden/>
          </w:rPr>
          <w:t>12</w:t>
        </w:r>
        <w:r w:rsidR="000C733F">
          <w:rPr>
            <w:noProof/>
            <w:webHidden/>
          </w:rPr>
          <w:fldChar w:fldCharType="end"/>
        </w:r>
      </w:hyperlink>
    </w:p>
    <w:p w14:paraId="1BE6E57C" w14:textId="0B12B5EE" w:rsidR="000C733F" w:rsidRDefault="00CA1C92">
      <w:pPr>
        <w:pStyle w:val="Tabledesillustrations"/>
        <w:tabs>
          <w:tab w:val="right" w:leader="dot" w:pos="9016"/>
        </w:tabs>
        <w:rPr>
          <w:rFonts w:eastAsiaTheme="minorEastAsia"/>
          <w:noProof/>
        </w:rPr>
      </w:pPr>
      <w:hyperlink w:anchor="_Toc105918972" w:history="1">
        <w:r w:rsidR="000C733F" w:rsidRPr="00060329">
          <w:rPr>
            <w:rStyle w:val="Lienhypertexte"/>
            <w:rFonts w:ascii="Arial" w:hAnsi="Arial" w:cs="Arial"/>
            <w:b/>
            <w:bCs/>
            <w:noProof/>
          </w:rPr>
          <w:t>Figure 7: Representative schematics depict</w:t>
        </w:r>
        <w:r w:rsidR="000C733F" w:rsidRPr="00060329">
          <w:rPr>
            <w:rStyle w:val="Lienhypertexte"/>
            <w:rFonts w:ascii="Arial" w:hAnsi="Arial" w:cs="Arial"/>
            <w:b/>
            <w:bCs/>
            <w:noProof/>
          </w:rPr>
          <w:t>i</w:t>
        </w:r>
        <w:r w:rsidR="000C733F" w:rsidRPr="00060329">
          <w:rPr>
            <w:rStyle w:val="Lienhypertexte"/>
            <w:rFonts w:ascii="Arial" w:hAnsi="Arial" w:cs="Arial"/>
            <w:b/>
            <w:bCs/>
            <w:noProof/>
          </w:rPr>
          <w:t>ng stent types</w:t>
        </w:r>
        <w:r w:rsidR="000C733F">
          <w:rPr>
            <w:noProof/>
            <w:webHidden/>
          </w:rPr>
          <w:tab/>
        </w:r>
      </w:hyperlink>
      <w:r w:rsidR="00497F4F">
        <w:rPr>
          <w:noProof/>
        </w:rPr>
        <w:t>13</w:t>
      </w:r>
    </w:p>
    <w:p w14:paraId="03FE7ABA" w14:textId="06D91114" w:rsidR="000C733F" w:rsidRDefault="00CA1C92">
      <w:pPr>
        <w:pStyle w:val="Tabledesillustrations"/>
        <w:tabs>
          <w:tab w:val="right" w:leader="dot" w:pos="9016"/>
        </w:tabs>
        <w:rPr>
          <w:rFonts w:eastAsiaTheme="minorEastAsia"/>
          <w:noProof/>
        </w:rPr>
      </w:pPr>
      <w:hyperlink w:anchor="_Toc105918973" w:history="1">
        <w:r w:rsidR="000C733F" w:rsidRPr="00060329">
          <w:rPr>
            <w:rStyle w:val="Lienhypertexte"/>
            <w:rFonts w:ascii="Arial" w:hAnsi="Arial" w:cs="Arial"/>
            <w:b/>
            <w:bCs/>
            <w:noProof/>
          </w:rPr>
          <w:t>Figure 8: Method of insertion of a liquid filler</w:t>
        </w:r>
        <w:r w:rsidR="000C733F">
          <w:rPr>
            <w:noProof/>
            <w:webHidden/>
          </w:rPr>
          <w:tab/>
        </w:r>
        <w:r w:rsidR="000C733F">
          <w:rPr>
            <w:noProof/>
            <w:webHidden/>
          </w:rPr>
          <w:fldChar w:fldCharType="begin"/>
        </w:r>
        <w:r w:rsidR="000C733F">
          <w:rPr>
            <w:noProof/>
            <w:webHidden/>
          </w:rPr>
          <w:instrText xml:space="preserve"> PAGEREF _Toc105918973 \h </w:instrText>
        </w:r>
        <w:r w:rsidR="000C733F">
          <w:rPr>
            <w:noProof/>
            <w:webHidden/>
          </w:rPr>
        </w:r>
        <w:r w:rsidR="000C733F">
          <w:rPr>
            <w:noProof/>
            <w:webHidden/>
          </w:rPr>
          <w:fldChar w:fldCharType="separate"/>
        </w:r>
        <w:r w:rsidR="005C4791">
          <w:rPr>
            <w:noProof/>
            <w:webHidden/>
          </w:rPr>
          <w:t>16</w:t>
        </w:r>
        <w:r w:rsidR="000C733F">
          <w:rPr>
            <w:noProof/>
            <w:webHidden/>
          </w:rPr>
          <w:fldChar w:fldCharType="end"/>
        </w:r>
      </w:hyperlink>
    </w:p>
    <w:p w14:paraId="54B6D948" w14:textId="172CF7B6" w:rsidR="000C733F" w:rsidRDefault="00CA1C92">
      <w:pPr>
        <w:pStyle w:val="Tabledesillustrations"/>
        <w:tabs>
          <w:tab w:val="right" w:leader="dot" w:pos="9016"/>
        </w:tabs>
        <w:rPr>
          <w:rFonts w:eastAsiaTheme="minorEastAsia"/>
          <w:noProof/>
        </w:rPr>
      </w:pPr>
      <w:hyperlink w:anchor="_Toc105918974" w:history="1">
        <w:r w:rsidR="000C733F" w:rsidRPr="00060329">
          <w:rPr>
            <w:rStyle w:val="Lienhypertexte"/>
            <w:rFonts w:ascii="Arial" w:hAnsi="Arial" w:cs="Arial"/>
            <w:b/>
            <w:bCs/>
            <w:noProof/>
          </w:rPr>
          <w:t>Figure 9: Injection method and functioning of our material</w:t>
        </w:r>
        <w:r w:rsidR="000C733F">
          <w:rPr>
            <w:noProof/>
            <w:webHidden/>
          </w:rPr>
          <w:tab/>
        </w:r>
        <w:r w:rsidR="000C733F">
          <w:rPr>
            <w:noProof/>
            <w:webHidden/>
          </w:rPr>
          <w:fldChar w:fldCharType="begin"/>
        </w:r>
        <w:r w:rsidR="000C733F">
          <w:rPr>
            <w:noProof/>
            <w:webHidden/>
          </w:rPr>
          <w:instrText xml:space="preserve"> PAGEREF _Toc105918974 \h </w:instrText>
        </w:r>
        <w:r w:rsidR="000C733F">
          <w:rPr>
            <w:noProof/>
            <w:webHidden/>
          </w:rPr>
        </w:r>
        <w:r w:rsidR="000C733F">
          <w:rPr>
            <w:noProof/>
            <w:webHidden/>
          </w:rPr>
          <w:fldChar w:fldCharType="separate"/>
        </w:r>
        <w:r w:rsidR="005C4791">
          <w:rPr>
            <w:noProof/>
            <w:webHidden/>
          </w:rPr>
          <w:t>19</w:t>
        </w:r>
        <w:r w:rsidR="000C733F">
          <w:rPr>
            <w:noProof/>
            <w:webHidden/>
          </w:rPr>
          <w:fldChar w:fldCharType="end"/>
        </w:r>
      </w:hyperlink>
    </w:p>
    <w:p w14:paraId="05BA8357" w14:textId="19754CC9" w:rsidR="000C733F" w:rsidRDefault="00CA1C92">
      <w:pPr>
        <w:pStyle w:val="Tabledesillustrations"/>
        <w:tabs>
          <w:tab w:val="right" w:leader="dot" w:pos="9016"/>
        </w:tabs>
        <w:rPr>
          <w:rFonts w:eastAsiaTheme="minorEastAsia"/>
          <w:noProof/>
        </w:rPr>
      </w:pPr>
      <w:hyperlink w:anchor="_Toc105918975" w:history="1">
        <w:r w:rsidR="000C733F" w:rsidRPr="00060329">
          <w:rPr>
            <w:rStyle w:val="Lienhypertexte"/>
            <w:rFonts w:ascii="Arial" w:hAnsi="Arial" w:cs="Arial"/>
            <w:b/>
            <w:bCs/>
            <w:noProof/>
          </w:rPr>
          <w:t>Figure 10: Formation of PHA</w:t>
        </w:r>
        <w:r w:rsidR="000C733F">
          <w:rPr>
            <w:noProof/>
            <w:webHidden/>
          </w:rPr>
          <w:tab/>
        </w:r>
        <w:r w:rsidR="000C733F">
          <w:rPr>
            <w:noProof/>
            <w:webHidden/>
          </w:rPr>
          <w:fldChar w:fldCharType="begin"/>
        </w:r>
        <w:r w:rsidR="000C733F">
          <w:rPr>
            <w:noProof/>
            <w:webHidden/>
          </w:rPr>
          <w:instrText xml:space="preserve"> PAGEREF _Toc105918975 \h </w:instrText>
        </w:r>
        <w:r w:rsidR="000C733F">
          <w:rPr>
            <w:noProof/>
            <w:webHidden/>
          </w:rPr>
        </w:r>
        <w:r w:rsidR="000C733F">
          <w:rPr>
            <w:noProof/>
            <w:webHidden/>
          </w:rPr>
          <w:fldChar w:fldCharType="separate"/>
        </w:r>
        <w:r w:rsidR="005C4791">
          <w:rPr>
            <w:noProof/>
            <w:webHidden/>
          </w:rPr>
          <w:t>32</w:t>
        </w:r>
        <w:r w:rsidR="000C733F">
          <w:rPr>
            <w:noProof/>
            <w:webHidden/>
          </w:rPr>
          <w:fldChar w:fldCharType="end"/>
        </w:r>
      </w:hyperlink>
    </w:p>
    <w:p w14:paraId="5F4D4E76" w14:textId="1F370E00" w:rsidR="000C733F" w:rsidRDefault="00CA1C92">
      <w:pPr>
        <w:pStyle w:val="Tabledesillustrations"/>
        <w:tabs>
          <w:tab w:val="right" w:leader="dot" w:pos="9016"/>
        </w:tabs>
        <w:rPr>
          <w:rFonts w:eastAsiaTheme="minorEastAsia"/>
          <w:noProof/>
        </w:rPr>
      </w:pPr>
      <w:hyperlink w:anchor="_Toc105918976" w:history="1">
        <w:r w:rsidR="000C733F" w:rsidRPr="00060329">
          <w:rPr>
            <w:rStyle w:val="Lienhypertexte"/>
            <w:rFonts w:ascii="Arial" w:hAnsi="Arial" w:cs="Arial"/>
            <w:b/>
            <w:bCs/>
            <w:noProof/>
          </w:rPr>
          <w:t>Figure 11: 1H-NMR for PHA Characterization</w:t>
        </w:r>
        <w:r w:rsidR="00062011">
          <w:rPr>
            <w:rStyle w:val="Lienhypertexte"/>
            <w:rFonts w:ascii="Arial" w:hAnsi="Arial" w:cs="Arial"/>
            <w:b/>
            <w:bCs/>
            <w:noProof/>
          </w:rPr>
          <w:t xml:space="preserve"> </w:t>
        </w:r>
        <w:r w:rsidR="000C733F">
          <w:rPr>
            <w:noProof/>
            <w:webHidden/>
          </w:rPr>
          <w:tab/>
        </w:r>
        <w:r w:rsidR="000C733F">
          <w:rPr>
            <w:noProof/>
            <w:webHidden/>
          </w:rPr>
          <w:fldChar w:fldCharType="begin"/>
        </w:r>
        <w:r w:rsidR="000C733F">
          <w:rPr>
            <w:noProof/>
            <w:webHidden/>
          </w:rPr>
          <w:instrText xml:space="preserve"> PAGEREF _Toc105918976 \h </w:instrText>
        </w:r>
        <w:r w:rsidR="000C733F">
          <w:rPr>
            <w:noProof/>
            <w:webHidden/>
          </w:rPr>
        </w:r>
        <w:r w:rsidR="000C733F">
          <w:rPr>
            <w:noProof/>
            <w:webHidden/>
          </w:rPr>
          <w:fldChar w:fldCharType="separate"/>
        </w:r>
        <w:r w:rsidR="005C4791">
          <w:rPr>
            <w:noProof/>
            <w:webHidden/>
          </w:rPr>
          <w:t>33</w:t>
        </w:r>
        <w:r w:rsidR="000C733F">
          <w:rPr>
            <w:noProof/>
            <w:webHidden/>
          </w:rPr>
          <w:fldChar w:fldCharType="end"/>
        </w:r>
      </w:hyperlink>
    </w:p>
    <w:p w14:paraId="33C7E500" w14:textId="6DA6FEEB" w:rsidR="000C733F" w:rsidRDefault="00CA1C92">
      <w:pPr>
        <w:pStyle w:val="Tabledesillustrations"/>
        <w:tabs>
          <w:tab w:val="right" w:leader="dot" w:pos="9016"/>
        </w:tabs>
        <w:rPr>
          <w:rFonts w:eastAsiaTheme="minorEastAsia"/>
          <w:noProof/>
        </w:rPr>
      </w:pPr>
      <w:hyperlink w:anchor="_Toc105918977" w:history="1">
        <w:r w:rsidR="000C733F" w:rsidRPr="00060329">
          <w:rPr>
            <w:rStyle w:val="Lienhypertexte"/>
            <w:rFonts w:ascii="Arial" w:hAnsi="Arial" w:cs="Arial"/>
            <w:b/>
            <w:bCs/>
            <w:noProof/>
          </w:rPr>
          <w:t>Figure 12: Viscosity and capacity to go through a catheter of our 40 kDa PHA/Tantalum material</w:t>
        </w:r>
        <w:r w:rsidR="004C49BD">
          <w:rPr>
            <w:rStyle w:val="Lienhypertexte"/>
            <w:rFonts w:ascii="Arial" w:hAnsi="Arial" w:cs="Arial"/>
            <w:b/>
            <w:bCs/>
            <w:noProof/>
          </w:rPr>
          <w:t xml:space="preserve"> </w:t>
        </w:r>
        <w:r w:rsidR="000C733F">
          <w:rPr>
            <w:noProof/>
            <w:webHidden/>
          </w:rPr>
          <w:tab/>
        </w:r>
        <w:r w:rsidR="000C733F">
          <w:rPr>
            <w:noProof/>
            <w:webHidden/>
          </w:rPr>
          <w:fldChar w:fldCharType="begin"/>
        </w:r>
        <w:r w:rsidR="000C733F">
          <w:rPr>
            <w:noProof/>
            <w:webHidden/>
          </w:rPr>
          <w:instrText xml:space="preserve"> PAGEREF _Toc105918977 \h </w:instrText>
        </w:r>
        <w:r w:rsidR="000C733F">
          <w:rPr>
            <w:noProof/>
            <w:webHidden/>
          </w:rPr>
        </w:r>
        <w:r w:rsidR="000C733F">
          <w:rPr>
            <w:noProof/>
            <w:webHidden/>
          </w:rPr>
          <w:fldChar w:fldCharType="separate"/>
        </w:r>
        <w:r w:rsidR="005C4791">
          <w:rPr>
            <w:noProof/>
            <w:webHidden/>
          </w:rPr>
          <w:t>34</w:t>
        </w:r>
        <w:r w:rsidR="000C733F">
          <w:rPr>
            <w:noProof/>
            <w:webHidden/>
          </w:rPr>
          <w:fldChar w:fldCharType="end"/>
        </w:r>
      </w:hyperlink>
    </w:p>
    <w:p w14:paraId="16A90C91" w14:textId="03B42D59" w:rsidR="000C733F" w:rsidRDefault="00CA1C92">
      <w:pPr>
        <w:pStyle w:val="Tabledesillustrations"/>
        <w:tabs>
          <w:tab w:val="right" w:leader="dot" w:pos="9016"/>
        </w:tabs>
        <w:rPr>
          <w:rFonts w:eastAsiaTheme="minorEastAsia"/>
          <w:noProof/>
        </w:rPr>
      </w:pPr>
      <w:hyperlink w:anchor="_Toc105918978" w:history="1">
        <w:r w:rsidR="000C733F" w:rsidRPr="00060329">
          <w:rPr>
            <w:rStyle w:val="Lienhypertexte"/>
            <w:rFonts w:ascii="Arial" w:hAnsi="Arial" w:cs="Arial"/>
            <w:b/>
            <w:bCs/>
            <w:noProof/>
          </w:rPr>
          <w:t>Figure 13: Tantalum visibility in dental X-rays depending on tantalum concentration and cover on top of PHA</w:t>
        </w:r>
        <w:r w:rsidR="00445333">
          <w:rPr>
            <w:rStyle w:val="Lienhypertexte"/>
            <w:rFonts w:ascii="Arial" w:hAnsi="Arial" w:cs="Arial"/>
            <w:b/>
            <w:bCs/>
            <w:noProof/>
          </w:rPr>
          <w:t xml:space="preserve"> </w:t>
        </w:r>
        <w:r w:rsidR="000C733F">
          <w:rPr>
            <w:noProof/>
            <w:webHidden/>
          </w:rPr>
          <w:tab/>
        </w:r>
        <w:r w:rsidR="000C733F">
          <w:rPr>
            <w:noProof/>
            <w:webHidden/>
          </w:rPr>
          <w:fldChar w:fldCharType="begin"/>
        </w:r>
        <w:r w:rsidR="000C733F">
          <w:rPr>
            <w:noProof/>
            <w:webHidden/>
          </w:rPr>
          <w:instrText xml:space="preserve"> PAGEREF _Toc105918978 \h </w:instrText>
        </w:r>
        <w:r w:rsidR="000C733F">
          <w:rPr>
            <w:noProof/>
            <w:webHidden/>
          </w:rPr>
        </w:r>
        <w:r w:rsidR="000C733F">
          <w:rPr>
            <w:noProof/>
            <w:webHidden/>
          </w:rPr>
          <w:fldChar w:fldCharType="separate"/>
        </w:r>
        <w:r w:rsidR="005C4791">
          <w:rPr>
            <w:noProof/>
            <w:webHidden/>
          </w:rPr>
          <w:t>36</w:t>
        </w:r>
        <w:r w:rsidR="000C733F">
          <w:rPr>
            <w:noProof/>
            <w:webHidden/>
          </w:rPr>
          <w:fldChar w:fldCharType="end"/>
        </w:r>
      </w:hyperlink>
    </w:p>
    <w:p w14:paraId="6E53C8CD" w14:textId="51EF4DA3" w:rsidR="000C733F" w:rsidRDefault="00CA1C92">
      <w:pPr>
        <w:pStyle w:val="Tabledesillustrations"/>
        <w:tabs>
          <w:tab w:val="right" w:leader="dot" w:pos="9016"/>
        </w:tabs>
        <w:rPr>
          <w:rFonts w:eastAsiaTheme="minorEastAsia"/>
          <w:noProof/>
        </w:rPr>
      </w:pPr>
      <w:hyperlink w:anchor="_Toc105918979" w:history="1">
        <w:r w:rsidR="000C733F" w:rsidRPr="00060329">
          <w:rPr>
            <w:rStyle w:val="Lienhypertexte"/>
            <w:rFonts w:ascii="Arial" w:hAnsi="Arial" w:cs="Arial"/>
            <w:b/>
            <w:bCs/>
            <w:noProof/>
          </w:rPr>
          <w:t>Figure 14: PHA hydrogels formation</w:t>
        </w:r>
        <w:r w:rsidR="000C733F">
          <w:rPr>
            <w:noProof/>
            <w:webHidden/>
          </w:rPr>
          <w:tab/>
        </w:r>
        <w:r w:rsidR="000C733F">
          <w:rPr>
            <w:noProof/>
            <w:webHidden/>
          </w:rPr>
          <w:fldChar w:fldCharType="begin"/>
        </w:r>
        <w:r w:rsidR="000C733F">
          <w:rPr>
            <w:noProof/>
            <w:webHidden/>
          </w:rPr>
          <w:instrText xml:space="preserve"> PAGEREF _Toc105918979 \h </w:instrText>
        </w:r>
        <w:r w:rsidR="000C733F">
          <w:rPr>
            <w:noProof/>
            <w:webHidden/>
          </w:rPr>
        </w:r>
        <w:r w:rsidR="000C733F">
          <w:rPr>
            <w:noProof/>
            <w:webHidden/>
          </w:rPr>
          <w:fldChar w:fldCharType="separate"/>
        </w:r>
        <w:r w:rsidR="005C4791">
          <w:rPr>
            <w:noProof/>
            <w:webHidden/>
          </w:rPr>
          <w:t>37</w:t>
        </w:r>
        <w:r w:rsidR="000C733F">
          <w:rPr>
            <w:noProof/>
            <w:webHidden/>
          </w:rPr>
          <w:fldChar w:fldCharType="end"/>
        </w:r>
      </w:hyperlink>
    </w:p>
    <w:p w14:paraId="1F4B4E2C" w14:textId="759DB6B6" w:rsidR="000C733F" w:rsidRDefault="00CA1C92">
      <w:pPr>
        <w:pStyle w:val="Tabledesillustrations"/>
        <w:tabs>
          <w:tab w:val="right" w:leader="dot" w:pos="9016"/>
        </w:tabs>
        <w:rPr>
          <w:rFonts w:eastAsiaTheme="minorEastAsia"/>
          <w:noProof/>
        </w:rPr>
      </w:pPr>
      <w:hyperlink w:anchor="_Toc105918980" w:history="1">
        <w:r w:rsidR="000C733F" w:rsidRPr="00060329">
          <w:rPr>
            <w:rStyle w:val="Lienhypertexte"/>
            <w:rFonts w:ascii="Arial" w:hAnsi="Arial" w:cs="Arial"/>
            <w:b/>
            <w:bCs/>
            <w:noProof/>
          </w:rPr>
          <w:t>Figure 15: Mechanical characterization of 40 kDa 5</w:t>
        </w:r>
        <w:r w:rsidR="00644157">
          <w:rPr>
            <w:rStyle w:val="Lienhypertexte"/>
            <w:rFonts w:ascii="Arial" w:hAnsi="Arial" w:cs="Arial"/>
            <w:b/>
            <w:bCs/>
            <w:noProof/>
          </w:rPr>
          <w:t xml:space="preserve"> </w:t>
        </w:r>
        <w:r w:rsidR="000C733F" w:rsidRPr="00060329">
          <w:rPr>
            <w:rStyle w:val="Lienhypertexte"/>
            <w:rFonts w:ascii="Arial" w:hAnsi="Arial" w:cs="Arial"/>
            <w:b/>
            <w:bCs/>
            <w:noProof/>
          </w:rPr>
          <w:t>wt%, 7.5</w:t>
        </w:r>
        <w:r w:rsidR="00644157">
          <w:rPr>
            <w:rStyle w:val="Lienhypertexte"/>
            <w:rFonts w:ascii="Arial" w:hAnsi="Arial" w:cs="Arial"/>
            <w:b/>
            <w:bCs/>
            <w:noProof/>
          </w:rPr>
          <w:t xml:space="preserve"> </w:t>
        </w:r>
        <w:r w:rsidR="000C733F" w:rsidRPr="00060329">
          <w:rPr>
            <w:rStyle w:val="Lienhypertexte"/>
            <w:rFonts w:ascii="Arial" w:hAnsi="Arial" w:cs="Arial"/>
            <w:b/>
            <w:bCs/>
            <w:noProof/>
          </w:rPr>
          <w:t>wt%. and 10</w:t>
        </w:r>
        <w:r w:rsidR="00644157">
          <w:rPr>
            <w:rStyle w:val="Lienhypertexte"/>
            <w:rFonts w:ascii="Arial" w:hAnsi="Arial" w:cs="Arial"/>
            <w:b/>
            <w:bCs/>
            <w:noProof/>
          </w:rPr>
          <w:t xml:space="preserve"> </w:t>
        </w:r>
        <w:r w:rsidR="000C733F" w:rsidRPr="00060329">
          <w:rPr>
            <w:rStyle w:val="Lienhypertexte"/>
            <w:rFonts w:ascii="Arial" w:hAnsi="Arial" w:cs="Arial"/>
            <w:b/>
            <w:bCs/>
            <w:noProof/>
          </w:rPr>
          <w:t>wt% PHA hydrogels with absence or presence of tantalum powder</w:t>
        </w:r>
        <w:r w:rsidR="00F00A9E">
          <w:rPr>
            <w:rStyle w:val="Lienhypertexte"/>
            <w:rFonts w:ascii="Arial" w:hAnsi="Arial" w:cs="Arial"/>
            <w:b/>
            <w:bCs/>
            <w:noProof/>
          </w:rPr>
          <w:t xml:space="preserve"> </w:t>
        </w:r>
        <w:r w:rsidR="000C733F">
          <w:rPr>
            <w:noProof/>
            <w:webHidden/>
          </w:rPr>
          <w:tab/>
        </w:r>
        <w:r w:rsidR="000C733F">
          <w:rPr>
            <w:noProof/>
            <w:webHidden/>
          </w:rPr>
          <w:fldChar w:fldCharType="begin"/>
        </w:r>
        <w:r w:rsidR="000C733F">
          <w:rPr>
            <w:noProof/>
            <w:webHidden/>
          </w:rPr>
          <w:instrText xml:space="preserve"> PAGEREF _Toc105918980 \h </w:instrText>
        </w:r>
        <w:r w:rsidR="000C733F">
          <w:rPr>
            <w:noProof/>
            <w:webHidden/>
          </w:rPr>
        </w:r>
        <w:r w:rsidR="000C733F">
          <w:rPr>
            <w:noProof/>
            <w:webHidden/>
          </w:rPr>
          <w:fldChar w:fldCharType="separate"/>
        </w:r>
        <w:r w:rsidR="005C4791">
          <w:rPr>
            <w:noProof/>
            <w:webHidden/>
          </w:rPr>
          <w:t>38</w:t>
        </w:r>
        <w:r w:rsidR="000C733F">
          <w:rPr>
            <w:noProof/>
            <w:webHidden/>
          </w:rPr>
          <w:fldChar w:fldCharType="end"/>
        </w:r>
      </w:hyperlink>
    </w:p>
    <w:p w14:paraId="27029E77" w14:textId="0181FB4E" w:rsidR="000C733F" w:rsidRDefault="00CA1C92">
      <w:pPr>
        <w:pStyle w:val="Tabledesillustrations"/>
        <w:tabs>
          <w:tab w:val="right" w:leader="dot" w:pos="9016"/>
        </w:tabs>
        <w:rPr>
          <w:rFonts w:eastAsiaTheme="minorEastAsia"/>
          <w:noProof/>
        </w:rPr>
      </w:pPr>
      <w:hyperlink w:anchor="_Toc105918981" w:history="1">
        <w:r w:rsidR="000C733F" w:rsidRPr="00060329">
          <w:rPr>
            <w:rStyle w:val="Lienhypertexte"/>
            <w:rFonts w:ascii="Arial" w:hAnsi="Arial" w:cs="Arial"/>
            <w:b/>
            <w:bCs/>
            <w:noProof/>
          </w:rPr>
          <w:t>Figure 16: Water absorption of 40 kDa 5</w:t>
        </w:r>
        <w:r w:rsidR="00644157">
          <w:rPr>
            <w:rStyle w:val="Lienhypertexte"/>
            <w:rFonts w:ascii="Arial" w:hAnsi="Arial" w:cs="Arial"/>
            <w:b/>
            <w:bCs/>
            <w:noProof/>
          </w:rPr>
          <w:t xml:space="preserve"> </w:t>
        </w:r>
        <w:r w:rsidR="000C733F" w:rsidRPr="00060329">
          <w:rPr>
            <w:rStyle w:val="Lienhypertexte"/>
            <w:rFonts w:ascii="Arial" w:hAnsi="Arial" w:cs="Arial"/>
            <w:b/>
            <w:bCs/>
            <w:noProof/>
          </w:rPr>
          <w:t>wt%, 7.5</w:t>
        </w:r>
        <w:r w:rsidR="00644157">
          <w:rPr>
            <w:rStyle w:val="Lienhypertexte"/>
            <w:rFonts w:ascii="Arial" w:hAnsi="Arial" w:cs="Arial"/>
            <w:b/>
            <w:bCs/>
            <w:noProof/>
          </w:rPr>
          <w:t xml:space="preserve"> </w:t>
        </w:r>
        <w:r w:rsidR="000C733F" w:rsidRPr="00060329">
          <w:rPr>
            <w:rStyle w:val="Lienhypertexte"/>
            <w:rFonts w:ascii="Arial" w:hAnsi="Arial" w:cs="Arial"/>
            <w:b/>
            <w:bCs/>
            <w:noProof/>
          </w:rPr>
          <w:t>wt%. and 10</w:t>
        </w:r>
        <w:r w:rsidR="00644157">
          <w:rPr>
            <w:rStyle w:val="Lienhypertexte"/>
            <w:rFonts w:ascii="Arial" w:hAnsi="Arial" w:cs="Arial"/>
            <w:b/>
            <w:bCs/>
            <w:noProof/>
          </w:rPr>
          <w:t xml:space="preserve"> </w:t>
        </w:r>
        <w:r w:rsidR="000C733F" w:rsidRPr="00060329">
          <w:rPr>
            <w:rStyle w:val="Lienhypertexte"/>
            <w:rFonts w:ascii="Arial" w:hAnsi="Arial" w:cs="Arial"/>
            <w:b/>
            <w:bCs/>
            <w:noProof/>
          </w:rPr>
          <w:t>wt% PHA hydrogels with absence or presence of tantalum powder</w:t>
        </w:r>
        <w:r w:rsidR="00C0602D">
          <w:rPr>
            <w:rStyle w:val="Lienhypertexte"/>
            <w:rFonts w:ascii="Arial" w:hAnsi="Arial" w:cs="Arial"/>
            <w:b/>
            <w:bCs/>
            <w:noProof/>
          </w:rPr>
          <w:t xml:space="preserve"> </w:t>
        </w:r>
        <w:r w:rsidR="000C733F">
          <w:rPr>
            <w:noProof/>
            <w:webHidden/>
          </w:rPr>
          <w:tab/>
        </w:r>
        <w:r w:rsidR="000C733F">
          <w:rPr>
            <w:noProof/>
            <w:webHidden/>
          </w:rPr>
          <w:fldChar w:fldCharType="begin"/>
        </w:r>
        <w:r w:rsidR="000C733F">
          <w:rPr>
            <w:noProof/>
            <w:webHidden/>
          </w:rPr>
          <w:instrText xml:space="preserve"> PAGEREF _Toc105918981 \h </w:instrText>
        </w:r>
        <w:r w:rsidR="000C733F">
          <w:rPr>
            <w:noProof/>
            <w:webHidden/>
          </w:rPr>
        </w:r>
        <w:r w:rsidR="000C733F">
          <w:rPr>
            <w:noProof/>
            <w:webHidden/>
          </w:rPr>
          <w:fldChar w:fldCharType="separate"/>
        </w:r>
        <w:r w:rsidR="005C4791">
          <w:rPr>
            <w:noProof/>
            <w:webHidden/>
          </w:rPr>
          <w:t>39</w:t>
        </w:r>
        <w:r w:rsidR="000C733F">
          <w:rPr>
            <w:noProof/>
            <w:webHidden/>
          </w:rPr>
          <w:fldChar w:fldCharType="end"/>
        </w:r>
      </w:hyperlink>
    </w:p>
    <w:p w14:paraId="2A8602B7" w14:textId="7E6A0C76" w:rsidR="000C733F" w:rsidRPr="00556AF3" w:rsidRDefault="00CA1C92">
      <w:pPr>
        <w:pStyle w:val="Tabledesillustrations"/>
        <w:tabs>
          <w:tab w:val="right" w:leader="dot" w:pos="9016"/>
        </w:tabs>
        <w:rPr>
          <w:rFonts w:eastAsiaTheme="minorEastAsia"/>
          <w:noProof/>
        </w:rPr>
      </w:pPr>
      <w:hyperlink w:anchor="_Toc105918982" w:history="1">
        <w:r w:rsidR="000C733F" w:rsidRPr="00556AF3">
          <w:rPr>
            <w:rStyle w:val="Lienhypertexte"/>
            <w:rFonts w:ascii="Arial" w:eastAsiaTheme="majorEastAsia" w:hAnsi="Arial" w:cs="Arial"/>
            <w:b/>
            <w:bCs/>
            <w:noProof/>
          </w:rPr>
          <w:t>Figure 17:</w:t>
        </w:r>
        <w:r w:rsidR="000C733F" w:rsidRPr="00556AF3">
          <w:rPr>
            <w:rStyle w:val="Lienhypertexte"/>
            <w:noProof/>
          </w:rPr>
          <w:t xml:space="preserve"> </w:t>
        </w:r>
        <w:r w:rsidR="000C733F" w:rsidRPr="00556AF3">
          <w:rPr>
            <w:rStyle w:val="Lienhypertexte"/>
            <w:rFonts w:ascii="Arial" w:hAnsi="Arial" w:cs="Arial"/>
            <w:b/>
            <w:bCs/>
            <w:noProof/>
          </w:rPr>
          <w:t>Swelling ratio of 40 kDa 5</w:t>
        </w:r>
        <w:r w:rsidR="00644157">
          <w:rPr>
            <w:rStyle w:val="Lienhypertexte"/>
            <w:rFonts w:ascii="Arial" w:hAnsi="Arial" w:cs="Arial"/>
            <w:b/>
            <w:bCs/>
            <w:noProof/>
          </w:rPr>
          <w:t xml:space="preserve"> </w:t>
        </w:r>
        <w:r w:rsidR="000C733F" w:rsidRPr="00556AF3">
          <w:rPr>
            <w:rStyle w:val="Lienhypertexte"/>
            <w:rFonts w:ascii="Arial" w:hAnsi="Arial" w:cs="Arial"/>
            <w:b/>
            <w:bCs/>
            <w:noProof/>
          </w:rPr>
          <w:t>wt%, 7.5</w:t>
        </w:r>
        <w:r w:rsidR="00644157">
          <w:rPr>
            <w:rStyle w:val="Lienhypertexte"/>
            <w:rFonts w:ascii="Arial" w:hAnsi="Arial" w:cs="Arial"/>
            <w:b/>
            <w:bCs/>
            <w:noProof/>
          </w:rPr>
          <w:t xml:space="preserve"> </w:t>
        </w:r>
        <w:r w:rsidR="000C733F" w:rsidRPr="00556AF3">
          <w:rPr>
            <w:rStyle w:val="Lienhypertexte"/>
            <w:rFonts w:ascii="Arial" w:hAnsi="Arial" w:cs="Arial"/>
            <w:b/>
            <w:bCs/>
            <w:noProof/>
          </w:rPr>
          <w:t>wt%. and 10</w:t>
        </w:r>
        <w:r w:rsidR="00644157">
          <w:rPr>
            <w:rStyle w:val="Lienhypertexte"/>
            <w:rFonts w:ascii="Arial" w:hAnsi="Arial" w:cs="Arial"/>
            <w:b/>
            <w:bCs/>
            <w:noProof/>
          </w:rPr>
          <w:t xml:space="preserve"> </w:t>
        </w:r>
        <w:r w:rsidR="000C733F" w:rsidRPr="00556AF3">
          <w:rPr>
            <w:rStyle w:val="Lienhypertexte"/>
            <w:rFonts w:ascii="Arial" w:hAnsi="Arial" w:cs="Arial"/>
            <w:b/>
            <w:bCs/>
            <w:noProof/>
          </w:rPr>
          <w:t>wt% PHA hydrogels with absence or presence of tantalum powder</w:t>
        </w:r>
        <w:r w:rsidR="00C0602D" w:rsidRPr="00556AF3">
          <w:rPr>
            <w:rStyle w:val="Lienhypertexte"/>
            <w:rFonts w:ascii="Arial" w:hAnsi="Arial" w:cs="Arial"/>
            <w:b/>
            <w:bCs/>
            <w:noProof/>
          </w:rPr>
          <w:t xml:space="preserve"> </w:t>
        </w:r>
        <w:r w:rsidR="000C733F" w:rsidRPr="00556AF3">
          <w:rPr>
            <w:noProof/>
            <w:webHidden/>
          </w:rPr>
          <w:tab/>
        </w:r>
        <w:r w:rsidR="000C733F" w:rsidRPr="00556AF3">
          <w:rPr>
            <w:noProof/>
            <w:webHidden/>
          </w:rPr>
          <w:fldChar w:fldCharType="begin"/>
        </w:r>
        <w:r w:rsidR="000C733F" w:rsidRPr="00556AF3">
          <w:rPr>
            <w:noProof/>
            <w:webHidden/>
          </w:rPr>
          <w:instrText xml:space="preserve"> PAGEREF _Toc105918982 \h </w:instrText>
        </w:r>
        <w:r w:rsidR="000C733F" w:rsidRPr="00556AF3">
          <w:rPr>
            <w:noProof/>
            <w:webHidden/>
          </w:rPr>
        </w:r>
        <w:r w:rsidR="000C733F" w:rsidRPr="00556AF3">
          <w:rPr>
            <w:noProof/>
            <w:webHidden/>
          </w:rPr>
          <w:fldChar w:fldCharType="separate"/>
        </w:r>
        <w:r w:rsidR="005C4791">
          <w:rPr>
            <w:noProof/>
            <w:webHidden/>
          </w:rPr>
          <w:t>40</w:t>
        </w:r>
        <w:r w:rsidR="000C733F" w:rsidRPr="00556AF3">
          <w:rPr>
            <w:noProof/>
            <w:webHidden/>
          </w:rPr>
          <w:fldChar w:fldCharType="end"/>
        </w:r>
      </w:hyperlink>
    </w:p>
    <w:p w14:paraId="7222E4E5" w14:textId="039EFFAB" w:rsidR="000C733F" w:rsidRDefault="00CA1C92">
      <w:pPr>
        <w:pStyle w:val="Tabledesillustrations"/>
        <w:tabs>
          <w:tab w:val="right" w:leader="dot" w:pos="9016"/>
        </w:tabs>
        <w:rPr>
          <w:rFonts w:eastAsiaTheme="minorEastAsia"/>
          <w:noProof/>
        </w:rPr>
      </w:pPr>
      <w:hyperlink w:anchor="_Toc105918983" w:history="1">
        <w:r w:rsidR="000C733F" w:rsidRPr="00060329">
          <w:rPr>
            <w:rStyle w:val="Lienhypertexte"/>
            <w:noProof/>
          </w:rPr>
          <w:t xml:space="preserve"> </w:t>
        </w:r>
        <w:r w:rsidR="000C733F" w:rsidRPr="00060329">
          <w:rPr>
            <w:rStyle w:val="Lienhypertexte"/>
            <w:rFonts w:ascii="Arial" w:hAnsi="Arial" w:cs="Arial"/>
            <w:b/>
            <w:bCs/>
            <w:noProof/>
          </w:rPr>
          <w:t>Figure 18: Cell viability of human umbilical vein endothelial cells after 24 hours in contact with PHA hydrogel-soaked medi</w:t>
        </w:r>
        <w:r w:rsidR="0060219D">
          <w:rPr>
            <w:rStyle w:val="Lienhypertexte"/>
            <w:rFonts w:ascii="Arial" w:hAnsi="Arial" w:cs="Arial"/>
            <w:b/>
            <w:bCs/>
            <w:noProof/>
          </w:rPr>
          <w:t>um</w:t>
        </w:r>
        <w:r w:rsidR="000C733F">
          <w:rPr>
            <w:noProof/>
            <w:webHidden/>
          </w:rPr>
          <w:tab/>
        </w:r>
        <w:r w:rsidR="000C733F">
          <w:rPr>
            <w:noProof/>
            <w:webHidden/>
          </w:rPr>
          <w:fldChar w:fldCharType="begin"/>
        </w:r>
        <w:r w:rsidR="000C733F">
          <w:rPr>
            <w:noProof/>
            <w:webHidden/>
          </w:rPr>
          <w:instrText xml:space="preserve"> PAGEREF _Toc105918983 \h </w:instrText>
        </w:r>
        <w:r w:rsidR="000C733F">
          <w:rPr>
            <w:noProof/>
            <w:webHidden/>
          </w:rPr>
        </w:r>
        <w:r w:rsidR="000C733F">
          <w:rPr>
            <w:noProof/>
            <w:webHidden/>
          </w:rPr>
          <w:fldChar w:fldCharType="separate"/>
        </w:r>
        <w:r w:rsidR="005C4791">
          <w:rPr>
            <w:noProof/>
            <w:webHidden/>
          </w:rPr>
          <w:t>41</w:t>
        </w:r>
        <w:r w:rsidR="000C733F">
          <w:rPr>
            <w:noProof/>
            <w:webHidden/>
          </w:rPr>
          <w:fldChar w:fldCharType="end"/>
        </w:r>
      </w:hyperlink>
    </w:p>
    <w:p w14:paraId="1D02F524" w14:textId="3FB40ACB" w:rsidR="00022247" w:rsidRPr="00751598" w:rsidRDefault="003B6F7B" w:rsidP="003D5B5A">
      <w:pPr>
        <w:spacing w:line="276" w:lineRule="auto"/>
        <w:rPr>
          <w:rStyle w:val="lev"/>
          <w:rFonts w:ascii="Arial" w:hAnsi="Arial" w:cs="Arial"/>
          <w:sz w:val="24"/>
          <w:szCs w:val="24"/>
        </w:rPr>
      </w:pPr>
      <w:r w:rsidRPr="00751598">
        <w:rPr>
          <w:rStyle w:val="lev"/>
          <w:rFonts w:ascii="Arial" w:hAnsi="Arial" w:cs="Arial"/>
          <w:sz w:val="24"/>
          <w:szCs w:val="24"/>
        </w:rPr>
        <w:fldChar w:fldCharType="end"/>
      </w:r>
    </w:p>
    <w:p w14:paraId="1F3BAEA0" w14:textId="77777777" w:rsidR="005F7609" w:rsidRDefault="005F7609">
      <w:pPr>
        <w:rPr>
          <w:rStyle w:val="lev"/>
          <w:rFonts w:ascii="Arial" w:hAnsi="Arial" w:cs="Arial"/>
          <w:sz w:val="24"/>
          <w:szCs w:val="24"/>
        </w:rPr>
      </w:pPr>
      <w:r>
        <w:rPr>
          <w:rStyle w:val="lev"/>
          <w:rFonts w:ascii="Arial" w:hAnsi="Arial" w:cs="Arial"/>
          <w:sz w:val="24"/>
          <w:szCs w:val="24"/>
        </w:rPr>
        <w:br w:type="page"/>
      </w:r>
    </w:p>
    <w:p w14:paraId="73E74CE6" w14:textId="0545AF11" w:rsidR="009A7F18" w:rsidRDefault="005F7609" w:rsidP="00022247">
      <w:pPr>
        <w:rPr>
          <w:rStyle w:val="lev"/>
          <w:rFonts w:ascii="Arial" w:hAnsi="Arial" w:cs="Arial"/>
          <w:sz w:val="24"/>
          <w:szCs w:val="24"/>
        </w:rPr>
      </w:pPr>
      <w:r>
        <w:rPr>
          <w:rStyle w:val="lev"/>
          <w:rFonts w:ascii="Arial" w:hAnsi="Arial" w:cs="Arial"/>
          <w:sz w:val="24"/>
          <w:szCs w:val="24"/>
        </w:rPr>
        <w:lastRenderedPageBreak/>
        <w:t xml:space="preserve">List </w:t>
      </w:r>
      <w:r w:rsidR="0041679F" w:rsidRPr="00751598">
        <w:rPr>
          <w:rStyle w:val="lev"/>
          <w:rFonts w:ascii="Arial" w:hAnsi="Arial" w:cs="Arial"/>
          <w:sz w:val="24"/>
          <w:szCs w:val="24"/>
        </w:rPr>
        <w:t>of Tables</w:t>
      </w:r>
    </w:p>
    <w:p w14:paraId="26427C45" w14:textId="2469B286" w:rsidR="00EE3356" w:rsidRPr="006E40AF" w:rsidRDefault="0041679F" w:rsidP="00834360">
      <w:pPr>
        <w:pStyle w:val="Tabledesillustrations"/>
        <w:tabs>
          <w:tab w:val="right" w:leader="dot" w:pos="9062"/>
        </w:tabs>
        <w:spacing w:line="276" w:lineRule="auto"/>
        <w:rPr>
          <w:rFonts w:eastAsiaTheme="minorEastAsia"/>
          <w:b/>
          <w:bCs/>
          <w:noProof/>
        </w:rPr>
      </w:pPr>
      <w:r w:rsidRPr="00751598">
        <w:rPr>
          <w:rStyle w:val="lev"/>
          <w:rFonts w:ascii="Arial" w:hAnsi="Arial" w:cs="Arial"/>
          <w:sz w:val="24"/>
          <w:szCs w:val="24"/>
        </w:rPr>
        <w:fldChar w:fldCharType="begin"/>
      </w:r>
      <w:r w:rsidRPr="00751598">
        <w:rPr>
          <w:rStyle w:val="lev"/>
          <w:rFonts w:ascii="Arial" w:hAnsi="Arial" w:cs="Arial"/>
          <w:sz w:val="24"/>
          <w:szCs w:val="24"/>
        </w:rPr>
        <w:instrText xml:space="preserve"> TOC \h \z \c "Table" </w:instrText>
      </w:r>
      <w:r w:rsidRPr="00751598">
        <w:rPr>
          <w:rStyle w:val="lev"/>
          <w:rFonts w:ascii="Arial" w:hAnsi="Arial" w:cs="Arial"/>
          <w:sz w:val="24"/>
          <w:szCs w:val="24"/>
        </w:rPr>
        <w:fldChar w:fldCharType="separate"/>
      </w:r>
      <w:hyperlink w:anchor="_Toc105072723" w:history="1">
        <w:r w:rsidR="00EE3356" w:rsidRPr="006E40AF">
          <w:rPr>
            <w:rStyle w:val="Lienhypertexte"/>
            <w:rFonts w:ascii="Arial" w:hAnsi="Arial" w:cs="Arial"/>
            <w:b/>
            <w:bCs/>
            <w:noProof/>
          </w:rPr>
          <w:t>Table 1: Comparison of brain aneurysm treatments</w:t>
        </w:r>
        <w:r w:rsidR="00EE3356" w:rsidRPr="006E40AF">
          <w:rPr>
            <w:b/>
            <w:bCs/>
            <w:noProof/>
            <w:webHidden/>
          </w:rPr>
          <w:tab/>
        </w:r>
        <w:r w:rsidR="00EE3356" w:rsidRPr="006E40AF">
          <w:rPr>
            <w:b/>
            <w:bCs/>
            <w:noProof/>
            <w:webHidden/>
          </w:rPr>
          <w:fldChar w:fldCharType="begin"/>
        </w:r>
        <w:r w:rsidR="00EE3356" w:rsidRPr="006E40AF">
          <w:rPr>
            <w:b/>
            <w:bCs/>
            <w:noProof/>
            <w:webHidden/>
          </w:rPr>
          <w:instrText xml:space="preserve"> PAGEREF _Toc105072723 \h </w:instrText>
        </w:r>
        <w:r w:rsidR="00EE3356" w:rsidRPr="006E40AF">
          <w:rPr>
            <w:b/>
            <w:bCs/>
            <w:noProof/>
            <w:webHidden/>
          </w:rPr>
        </w:r>
        <w:r w:rsidR="00EE3356" w:rsidRPr="006E40AF">
          <w:rPr>
            <w:b/>
            <w:bCs/>
            <w:noProof/>
            <w:webHidden/>
          </w:rPr>
          <w:fldChar w:fldCharType="separate"/>
        </w:r>
        <w:r w:rsidR="005C4791">
          <w:rPr>
            <w:b/>
            <w:bCs/>
            <w:noProof/>
            <w:webHidden/>
          </w:rPr>
          <w:t>17</w:t>
        </w:r>
        <w:r w:rsidR="00EE3356" w:rsidRPr="006E40AF">
          <w:rPr>
            <w:b/>
            <w:bCs/>
            <w:noProof/>
            <w:webHidden/>
          </w:rPr>
          <w:fldChar w:fldCharType="end"/>
        </w:r>
      </w:hyperlink>
    </w:p>
    <w:p w14:paraId="5FA6308A" w14:textId="417C956B" w:rsidR="00EE3356" w:rsidRPr="00EE3356" w:rsidRDefault="00CA1C92" w:rsidP="00834360">
      <w:pPr>
        <w:pStyle w:val="Tabledesillustrations"/>
        <w:tabs>
          <w:tab w:val="right" w:leader="dot" w:pos="9062"/>
        </w:tabs>
        <w:spacing w:line="276" w:lineRule="auto"/>
        <w:rPr>
          <w:rFonts w:eastAsiaTheme="minorEastAsia"/>
          <w:noProof/>
        </w:rPr>
      </w:pPr>
      <w:hyperlink w:anchor="_Toc105072724" w:history="1">
        <w:r w:rsidR="00EE3356" w:rsidRPr="006E40AF">
          <w:rPr>
            <w:rStyle w:val="Lienhypertexte"/>
            <w:rFonts w:ascii="Arial" w:hAnsi="Arial" w:cs="Arial"/>
            <w:b/>
            <w:bCs/>
            <w:noProof/>
          </w:rPr>
          <w:t>Table 2: Concentrations of tantalum as an imaging agent found in the literature</w:t>
        </w:r>
        <w:r w:rsidR="00EE3356" w:rsidRPr="006E40AF">
          <w:rPr>
            <w:b/>
            <w:bCs/>
            <w:noProof/>
            <w:webHidden/>
          </w:rPr>
          <w:tab/>
        </w:r>
        <w:r w:rsidR="00EE3356" w:rsidRPr="006E40AF">
          <w:rPr>
            <w:b/>
            <w:bCs/>
            <w:noProof/>
            <w:webHidden/>
          </w:rPr>
          <w:fldChar w:fldCharType="begin"/>
        </w:r>
        <w:r w:rsidR="00EE3356" w:rsidRPr="006E40AF">
          <w:rPr>
            <w:b/>
            <w:bCs/>
            <w:noProof/>
            <w:webHidden/>
          </w:rPr>
          <w:instrText xml:space="preserve"> PAGEREF _Toc105072724 \h </w:instrText>
        </w:r>
        <w:r w:rsidR="00EE3356" w:rsidRPr="006E40AF">
          <w:rPr>
            <w:b/>
            <w:bCs/>
            <w:noProof/>
            <w:webHidden/>
          </w:rPr>
        </w:r>
        <w:r w:rsidR="00EE3356" w:rsidRPr="006E40AF">
          <w:rPr>
            <w:b/>
            <w:bCs/>
            <w:noProof/>
            <w:webHidden/>
          </w:rPr>
          <w:fldChar w:fldCharType="separate"/>
        </w:r>
        <w:r w:rsidR="005C4791">
          <w:rPr>
            <w:b/>
            <w:bCs/>
            <w:noProof/>
            <w:webHidden/>
          </w:rPr>
          <w:t>24</w:t>
        </w:r>
        <w:r w:rsidR="00EE3356" w:rsidRPr="006E40AF">
          <w:rPr>
            <w:b/>
            <w:bCs/>
            <w:noProof/>
            <w:webHidden/>
          </w:rPr>
          <w:fldChar w:fldCharType="end"/>
        </w:r>
      </w:hyperlink>
    </w:p>
    <w:p w14:paraId="36859A15" w14:textId="24B1C181" w:rsidR="00B84576" w:rsidRPr="00EB056A" w:rsidRDefault="0041679F" w:rsidP="00212930">
      <w:pPr>
        <w:pStyle w:val="Titre1"/>
        <w:jc w:val="both"/>
        <w:rPr>
          <w:rStyle w:val="lev"/>
          <w:rFonts w:ascii="Arial" w:hAnsi="Arial" w:cs="Arial"/>
          <w:color w:val="auto"/>
        </w:rPr>
      </w:pPr>
      <w:r w:rsidRPr="00751598">
        <w:rPr>
          <w:rStyle w:val="lev"/>
          <w:rFonts w:ascii="Arial" w:hAnsi="Arial" w:cs="Arial"/>
          <w:color w:val="auto"/>
          <w:sz w:val="24"/>
          <w:szCs w:val="24"/>
        </w:rPr>
        <w:fldChar w:fldCharType="end"/>
      </w:r>
    </w:p>
    <w:p w14:paraId="729CF1A6" w14:textId="70F02A9E" w:rsidR="00B84576" w:rsidRPr="00EB056A" w:rsidRDefault="00B84576" w:rsidP="00212930">
      <w:pPr>
        <w:pStyle w:val="Titre1"/>
        <w:jc w:val="both"/>
        <w:rPr>
          <w:rStyle w:val="lev"/>
          <w:rFonts w:ascii="Arial" w:hAnsi="Arial" w:cs="Arial"/>
          <w:color w:val="auto"/>
        </w:rPr>
      </w:pPr>
    </w:p>
    <w:p w14:paraId="489FE6AF" w14:textId="7330BBCF" w:rsidR="00B84576" w:rsidRPr="00EB056A" w:rsidRDefault="00B84576" w:rsidP="00B84576">
      <w:pPr>
        <w:rPr>
          <w:rFonts w:ascii="Arial" w:hAnsi="Arial" w:cs="Arial"/>
        </w:rPr>
      </w:pPr>
    </w:p>
    <w:p w14:paraId="2FA1F873" w14:textId="2C3303A4" w:rsidR="00B84576" w:rsidRPr="00EB056A" w:rsidRDefault="00B84576" w:rsidP="00B84576">
      <w:pPr>
        <w:rPr>
          <w:rFonts w:ascii="Arial" w:hAnsi="Arial" w:cs="Arial"/>
        </w:rPr>
      </w:pPr>
    </w:p>
    <w:p w14:paraId="3C1F779B" w14:textId="396C2D09" w:rsidR="00B84576" w:rsidRPr="00EB056A" w:rsidRDefault="00B84576" w:rsidP="00B84576">
      <w:pPr>
        <w:rPr>
          <w:rFonts w:ascii="Arial" w:hAnsi="Arial" w:cs="Arial"/>
        </w:rPr>
      </w:pPr>
    </w:p>
    <w:p w14:paraId="06088884" w14:textId="49F300C4" w:rsidR="00B84576" w:rsidRPr="00EB056A" w:rsidRDefault="00B84576" w:rsidP="00B84576">
      <w:pPr>
        <w:rPr>
          <w:rFonts w:ascii="Arial" w:hAnsi="Arial" w:cs="Arial"/>
        </w:rPr>
      </w:pPr>
    </w:p>
    <w:p w14:paraId="0A713A65" w14:textId="173B9849" w:rsidR="00B84576" w:rsidRPr="00EB056A" w:rsidRDefault="00B84576" w:rsidP="00B84576">
      <w:pPr>
        <w:rPr>
          <w:rFonts w:ascii="Arial" w:hAnsi="Arial" w:cs="Arial"/>
        </w:rPr>
      </w:pPr>
    </w:p>
    <w:p w14:paraId="644DE4FC" w14:textId="3E36FFDF" w:rsidR="00B84576" w:rsidRPr="00EB056A" w:rsidRDefault="00B84576" w:rsidP="00B84576">
      <w:pPr>
        <w:rPr>
          <w:rFonts w:ascii="Arial" w:hAnsi="Arial" w:cs="Arial"/>
        </w:rPr>
      </w:pPr>
    </w:p>
    <w:p w14:paraId="5F02F423" w14:textId="486F698A" w:rsidR="00B84576" w:rsidRPr="00EB056A" w:rsidRDefault="00B84576" w:rsidP="00B84576">
      <w:pPr>
        <w:rPr>
          <w:rFonts w:ascii="Arial" w:hAnsi="Arial" w:cs="Arial"/>
        </w:rPr>
      </w:pPr>
    </w:p>
    <w:p w14:paraId="7530B01E" w14:textId="32F5FA7C" w:rsidR="00B84576" w:rsidRPr="00EB056A" w:rsidRDefault="00B84576" w:rsidP="00B84576">
      <w:pPr>
        <w:rPr>
          <w:rFonts w:ascii="Arial" w:hAnsi="Arial" w:cs="Arial"/>
        </w:rPr>
      </w:pPr>
    </w:p>
    <w:p w14:paraId="219733B3" w14:textId="77777777" w:rsidR="00B84576" w:rsidRPr="00EB056A" w:rsidRDefault="00B84576" w:rsidP="00EB056A">
      <w:pPr>
        <w:rPr>
          <w:rFonts w:ascii="Arial" w:hAnsi="Arial" w:cs="Arial"/>
        </w:rPr>
      </w:pPr>
    </w:p>
    <w:p w14:paraId="1FADC1F8" w14:textId="77777777" w:rsidR="005F7609" w:rsidRDefault="005F7609">
      <w:pPr>
        <w:rPr>
          <w:rStyle w:val="lev"/>
          <w:rFonts w:ascii="Arial" w:eastAsiaTheme="majorEastAsia" w:hAnsi="Arial" w:cs="Arial"/>
          <w:sz w:val="32"/>
          <w:szCs w:val="32"/>
        </w:rPr>
      </w:pPr>
      <w:r>
        <w:rPr>
          <w:rStyle w:val="lev"/>
          <w:rFonts w:ascii="Arial" w:hAnsi="Arial" w:cs="Arial"/>
        </w:rPr>
        <w:br w:type="page"/>
      </w:r>
    </w:p>
    <w:p w14:paraId="701A402F" w14:textId="0FED5A4C" w:rsidR="008E153C" w:rsidRPr="00EB056A" w:rsidRDefault="008E153C" w:rsidP="00212930">
      <w:pPr>
        <w:pStyle w:val="Titre1"/>
        <w:jc w:val="both"/>
        <w:rPr>
          <w:rStyle w:val="lev"/>
          <w:rFonts w:ascii="Arial" w:hAnsi="Arial" w:cs="Arial"/>
          <w:color w:val="auto"/>
        </w:rPr>
      </w:pPr>
      <w:bookmarkStart w:id="1" w:name="_Toc106903202"/>
      <w:r w:rsidRPr="00EB056A">
        <w:rPr>
          <w:rStyle w:val="lev"/>
          <w:rFonts w:ascii="Arial" w:hAnsi="Arial" w:cs="Arial"/>
          <w:color w:val="auto"/>
        </w:rPr>
        <w:lastRenderedPageBreak/>
        <w:t>Abstract</w:t>
      </w:r>
      <w:bookmarkEnd w:id="0"/>
      <w:bookmarkEnd w:id="1"/>
    </w:p>
    <w:p w14:paraId="5D415558" w14:textId="2516B100" w:rsidR="00B84576" w:rsidRPr="00D54CE6" w:rsidRDefault="00B84576" w:rsidP="00B84576">
      <w:pPr>
        <w:rPr>
          <w:rFonts w:ascii="Arial" w:hAnsi="Arial" w:cs="Arial"/>
        </w:rPr>
      </w:pPr>
    </w:p>
    <w:p w14:paraId="3C99917F" w14:textId="34637B8D" w:rsidR="00934A74" w:rsidRDefault="00FB7DAB" w:rsidP="00206C0F">
      <w:pPr>
        <w:spacing w:line="480" w:lineRule="auto"/>
        <w:jc w:val="both"/>
        <w:rPr>
          <w:rFonts w:ascii="Arial" w:hAnsi="Arial" w:cs="Arial"/>
          <w:sz w:val="24"/>
          <w:szCs w:val="24"/>
        </w:rPr>
        <w:sectPr w:rsidR="00934A74" w:rsidSect="003E1598">
          <w:pgSz w:w="11906" w:h="16838"/>
          <w:pgMar w:top="1440" w:right="1440" w:bottom="1440" w:left="1440" w:header="709" w:footer="709" w:gutter="0"/>
          <w:pgNumType w:fmt="lowerRoman" w:start="4"/>
          <w:cols w:space="708"/>
          <w:docGrid w:linePitch="360"/>
        </w:sectPr>
      </w:pPr>
      <w:r w:rsidRPr="00FB7DAB">
        <w:rPr>
          <w:rFonts w:ascii="Arial" w:hAnsi="Arial" w:cs="Arial"/>
          <w:sz w:val="24"/>
          <w:szCs w:val="24"/>
        </w:rPr>
        <w:t xml:space="preserve">Brain aneurysms are blood vessel wall deformations that affect 240 million people worldwide and their rupture causes the death of a fourth of the patients each year. Current brain aneurysm treatments, like surgical clips or coils, allow only partial aneurysm occlusion and partial blood vessel wall reconstruction. These treatments stay in the patient ad vitam, thus having a high risk of causing vessel wall inflammation. </w:t>
      </w:r>
      <w:bookmarkStart w:id="2" w:name="_Hlk105540111"/>
      <w:r w:rsidRPr="00FB7DAB">
        <w:rPr>
          <w:rFonts w:ascii="Arial" w:hAnsi="Arial" w:cs="Arial"/>
          <w:sz w:val="24"/>
          <w:szCs w:val="24"/>
        </w:rPr>
        <w:t>To address these issues, our approach is catheter-based delivery of an injectable, hyaluronic acid-based material that is compatible with radiographic and magnetic resonance medical imaging techniques. This material can be used to plug saccular brain aneurysms and induce vascular regeneration.</w:t>
      </w:r>
      <w:r w:rsidR="00E716F6">
        <w:rPr>
          <w:rFonts w:ascii="Arial" w:hAnsi="Arial" w:cs="Arial"/>
          <w:sz w:val="24"/>
          <w:szCs w:val="24"/>
        </w:rPr>
        <w:t xml:space="preserve"> To make our PHA hydrogels visible via brain imaging technique</w:t>
      </w:r>
      <w:r w:rsidR="00291BC7">
        <w:rPr>
          <w:rFonts w:ascii="Arial" w:hAnsi="Arial" w:cs="Arial"/>
          <w:sz w:val="24"/>
          <w:szCs w:val="24"/>
        </w:rPr>
        <w:t>s</w:t>
      </w:r>
      <w:r w:rsidR="00E716F6">
        <w:rPr>
          <w:rFonts w:ascii="Arial" w:hAnsi="Arial" w:cs="Arial"/>
          <w:sz w:val="24"/>
          <w:szCs w:val="24"/>
        </w:rPr>
        <w:t xml:space="preserve"> to assess correct delivery and provide a control of the aneurysm degradation overtime, 50 mg/mL of tantalum powder</w:t>
      </w:r>
      <w:r w:rsidR="001E15CD">
        <w:rPr>
          <w:rFonts w:ascii="Arial" w:hAnsi="Arial" w:cs="Arial"/>
          <w:sz w:val="24"/>
          <w:szCs w:val="24"/>
        </w:rPr>
        <w:t xml:space="preserve"> (Ta)</w:t>
      </w:r>
      <w:r w:rsidR="00E716F6">
        <w:rPr>
          <w:rFonts w:ascii="Arial" w:hAnsi="Arial" w:cs="Arial"/>
          <w:sz w:val="24"/>
          <w:szCs w:val="24"/>
        </w:rPr>
        <w:t xml:space="preserve"> was incorporated to PHA hydrogels.</w:t>
      </w:r>
      <w:r w:rsidRPr="00FB7DAB">
        <w:rPr>
          <w:rFonts w:ascii="Arial" w:hAnsi="Arial" w:cs="Arial"/>
          <w:sz w:val="24"/>
          <w:szCs w:val="24"/>
        </w:rPr>
        <w:t xml:space="preserve"> To assess whether PHA hydrogel matches the compressive resistance of vessel walls, compressive moduli of 5, 7.5, and 10% PHA hydrogels without or with 50 mg of Ta per g of PHA were measured. The compressive moduli of 5, 7.5, and 10% PHA hydrogels without or with 50 mg of Ta per g of PHA increased with weight percent and were comprised within a 50 to 100 kPa range, which is the range of brain tissues’ compressive moduli. To verify the biocompatibility of PHA hydrogels with blood vessels, the cell viability of human umbilical vein endothelial cells (HUVEC) in contact with medi</w:t>
      </w:r>
      <w:r w:rsidR="009B3D64">
        <w:rPr>
          <w:rFonts w:ascii="Arial" w:hAnsi="Arial" w:cs="Arial"/>
          <w:sz w:val="24"/>
          <w:szCs w:val="24"/>
        </w:rPr>
        <w:t>um</w:t>
      </w:r>
      <w:r w:rsidRPr="00FB7DAB">
        <w:rPr>
          <w:rFonts w:ascii="Arial" w:hAnsi="Arial" w:cs="Arial"/>
          <w:sz w:val="24"/>
          <w:szCs w:val="24"/>
        </w:rPr>
        <w:t xml:space="preserve"> infused for 24 hours with 5, 7.5, and 10% PHA hydrogels without or with 50 mg of Ta per g of PHA was quantified. The viability of HUVEC exposed to 5, 7.5, and 10% PHA hydrogels without or with 50 mg of Ta per g of PHA was a 100%. These data point out that injectable 5 and 7.5% PHA hydrogels with compressive moduli similar to brain tissues and good viability with endothelial cells can be made to potentially plug brain aneurysms.</w:t>
      </w:r>
    </w:p>
    <w:p w14:paraId="2F6E8714" w14:textId="2F64C4A3" w:rsidR="005F7609" w:rsidRPr="00EB056A" w:rsidRDefault="005F7609" w:rsidP="00EB056A">
      <w:pPr>
        <w:pStyle w:val="Titre1"/>
        <w:rPr>
          <w:rStyle w:val="lev"/>
          <w:rFonts w:ascii="Arial" w:hAnsi="Arial" w:cs="Arial"/>
          <w:color w:val="000000" w:themeColor="text1"/>
        </w:rPr>
      </w:pPr>
      <w:bookmarkStart w:id="3" w:name="_Toc106903203"/>
      <w:bookmarkEnd w:id="2"/>
      <w:r w:rsidRPr="00EB056A">
        <w:rPr>
          <w:rStyle w:val="lev"/>
          <w:rFonts w:ascii="Arial" w:hAnsi="Arial" w:cs="Arial"/>
          <w:color w:val="000000" w:themeColor="text1"/>
        </w:rPr>
        <w:lastRenderedPageBreak/>
        <w:t>Chapter 1: Motivation and literature review</w:t>
      </w:r>
      <w:bookmarkEnd w:id="3"/>
    </w:p>
    <w:p w14:paraId="009D1272" w14:textId="77777777" w:rsidR="005F7609" w:rsidRPr="00EB056A" w:rsidRDefault="005F7609" w:rsidP="00784FF5"/>
    <w:p w14:paraId="1763D003" w14:textId="428F588C" w:rsidR="005F7609" w:rsidRPr="00EB056A" w:rsidRDefault="00261F64" w:rsidP="00EB056A">
      <w:pPr>
        <w:pStyle w:val="Titre2"/>
        <w:numPr>
          <w:ilvl w:val="1"/>
          <w:numId w:val="6"/>
        </w:numPr>
        <w:spacing w:line="480" w:lineRule="auto"/>
        <w:jc w:val="both"/>
        <w:rPr>
          <w:rFonts w:ascii="Arial" w:hAnsi="Arial" w:cs="Arial"/>
          <w:b/>
          <w:bCs/>
          <w:color w:val="auto"/>
        </w:rPr>
      </w:pPr>
      <w:bookmarkStart w:id="4" w:name="_Toc106903204"/>
      <w:r w:rsidRPr="00EB056A">
        <w:rPr>
          <w:rFonts w:ascii="Arial" w:hAnsi="Arial" w:cs="Arial"/>
          <w:b/>
          <w:bCs/>
          <w:color w:val="auto"/>
        </w:rPr>
        <w:t>Overview</w:t>
      </w:r>
      <w:bookmarkEnd w:id="4"/>
    </w:p>
    <w:p w14:paraId="78C0EECB" w14:textId="5BC32CC3" w:rsidR="005F7609" w:rsidRPr="00EB056A" w:rsidRDefault="00376291" w:rsidP="00EB056A">
      <w:pPr>
        <w:spacing w:line="480" w:lineRule="auto"/>
        <w:ind w:firstLine="435"/>
        <w:jc w:val="both"/>
        <w:rPr>
          <w:rFonts w:ascii="Arial" w:hAnsi="Arial" w:cs="Arial"/>
          <w:sz w:val="24"/>
          <w:szCs w:val="24"/>
        </w:rPr>
      </w:pPr>
      <w:r w:rsidRPr="00EB056A">
        <w:rPr>
          <w:rFonts w:ascii="Arial" w:hAnsi="Arial" w:cs="Arial"/>
          <w:sz w:val="24"/>
          <w:szCs w:val="24"/>
        </w:rPr>
        <w:t xml:space="preserve">Around 240 million people worldwide and 6.5 million in the </w:t>
      </w:r>
      <w:r w:rsidR="00120E9D">
        <w:rPr>
          <w:rFonts w:ascii="Arial" w:hAnsi="Arial" w:cs="Arial"/>
          <w:sz w:val="24"/>
          <w:szCs w:val="24"/>
        </w:rPr>
        <w:t>United States</w:t>
      </w:r>
      <w:r w:rsidR="002A4FB5">
        <w:rPr>
          <w:rFonts w:ascii="Arial" w:hAnsi="Arial" w:cs="Arial"/>
          <w:sz w:val="24"/>
          <w:szCs w:val="24"/>
        </w:rPr>
        <w:t xml:space="preserve"> (US)</w:t>
      </w:r>
      <w:r w:rsidR="00120E9D">
        <w:rPr>
          <w:rFonts w:ascii="Arial" w:hAnsi="Arial" w:cs="Arial"/>
          <w:sz w:val="24"/>
          <w:szCs w:val="24"/>
        </w:rPr>
        <w:t xml:space="preserve"> </w:t>
      </w:r>
      <w:r w:rsidRPr="00EB056A">
        <w:rPr>
          <w:rFonts w:ascii="Arial" w:hAnsi="Arial" w:cs="Arial"/>
          <w:sz w:val="24"/>
          <w:szCs w:val="24"/>
        </w:rPr>
        <w:t>live with at least one unruptured brain aneurysm</w:t>
      </w:r>
      <w:r w:rsidRPr="00EB056A">
        <w:rPr>
          <w:rFonts w:ascii="Arial" w:hAnsi="Arial" w:cs="Arial"/>
          <w:sz w:val="24"/>
          <w:szCs w:val="28"/>
          <w:vertAlign w:val="superscript"/>
        </w:rPr>
        <w:fldChar w:fldCharType="begin"/>
      </w:r>
      <w:r w:rsidR="005B4F59">
        <w:rPr>
          <w:rFonts w:ascii="Arial" w:hAnsi="Arial" w:cs="Arial"/>
          <w:sz w:val="24"/>
          <w:szCs w:val="28"/>
          <w:vertAlign w:val="superscript"/>
        </w:rPr>
        <w:instrText xml:space="preserve"> ADDIN ZOTERO_ITEM CSL_CITATION {"citationID":"fKyMet8L","properties":{"formattedCitation":"\\super 1,2\\nosupersub{}","plainCitation":"1,2","noteIndex":0},"citationItems":[{"id":20,"uris":["http://zotero.org/users/6508478/items/G28ISB97"],"itemData":{"id":20,"type":"article-journal","abstract":"Ideal management of unruptured intracranial aneurysms (UIAs) and ruptured intracranial aneurysms (RIAs) is a controversial issue. Over the last few decades, a significant paradigm shift has occurred away from open microsurgical clipping toward endovascular coil embolization. Multiple studies have been performed with mixed results. Some studies suggest that endovascular treatment produces better clinical and functional outcomes, but is associated with increased need for retreatment. Other studies report increased durability in aneurysms treated with microsurgical clipping, but that clipping may be associated with worse functional outcomes in some cases. Further complicating the dialogue are variable costs associated with different treatment modalities, including country-dependent cost differences. Here we provide a review of some of the major studies comparing open surgery versus endovascular treatment for both RIAs and UIAs to distill their key findings and corresponding implications for clinical practice. We relate these research results to our institution's experience with RIAs and UIAs and describe our approach to treatment of these conditions. Finally, we discuss implications of the paradigm shift for both open and endovascular surgery, including educational initiatives directed toward preserving important microsurgical tenets in the setting of diminishing surgical volume.","container-title":"World Neurosurgery","DOI":"10.1016/j.wneu.2019.12.127","ISSN":"1878-8750","journalAbbreviation":"World Neurosurgery","language":"en","page":"17-27","source":"ScienceDirect","title":"Surgical Versus Endovascular Management of Ruptured and Unruptured Intracranial Aneurysms: Emergent Issues and Future Directions","title-short":"Surgical Versus Endovascular Management of Ruptured and Unruptured Intracranial Aneurysms","volume":"136","author":[{"family":"Abecassis","given":"Isaac Josh"},{"family":"Zeeshan","given":"Qazi"},{"family":"Ghodke","given":"Basavaraj V."},{"family":"Levitt","given":"Michael R."},{"family":"Ellenbogen","given":"Richard G."},{"family":"Sekhar","given":"Laligam N."}],"issued":{"date-parts":[["2020",4,1]]}}},{"id":17,"uris":["http://zotero.org/users/6508478/items/DYNB9T7V"],"itemData":{"id":17,"type":"post-weblog","abstract":"An estimated 6.5 million people in the United States have an unruptured brain aneurysm, or 1 in 50 people. The annual rate of rupture is approximately 8 – 10 per 100,000 people. About 30,000 people in the United States suffer a brain aneurysm rupture each year. A brain aneurysm ruptures every 18 minutes. Women are … Continue reading \"Statistics and Facts\"","container-title":"Brain Aneurysm Foundation","language":"en","title":"Statistics and Facts","URL":"https://bafound.org/about-brain-aneurysms/brain-aneurysm-basics/brain-aneurysm-statistics-and-facts/","accessed":{"date-parts":[["2021",6,21]]}}}],"schema":"https://github.com/citation-style-language/schema/raw/master/csl-citation.json"} </w:instrText>
      </w:r>
      <w:r w:rsidRPr="00EB056A">
        <w:rPr>
          <w:rFonts w:ascii="Arial" w:hAnsi="Arial" w:cs="Arial"/>
          <w:sz w:val="24"/>
          <w:szCs w:val="28"/>
          <w:vertAlign w:val="superscript"/>
        </w:rPr>
        <w:fldChar w:fldCharType="separate"/>
      </w:r>
      <w:r w:rsidRPr="00EB056A">
        <w:rPr>
          <w:rFonts w:ascii="Arial" w:hAnsi="Arial" w:cs="Arial"/>
          <w:sz w:val="24"/>
          <w:szCs w:val="28"/>
          <w:vertAlign w:val="superscript"/>
        </w:rPr>
        <w:t>1,2</w:t>
      </w:r>
      <w:r w:rsidRPr="00EB056A">
        <w:rPr>
          <w:rFonts w:ascii="Arial" w:hAnsi="Arial" w:cs="Arial"/>
          <w:sz w:val="24"/>
          <w:szCs w:val="28"/>
          <w:vertAlign w:val="superscript"/>
        </w:rPr>
        <w:fldChar w:fldCharType="end"/>
      </w:r>
      <w:r w:rsidRPr="00EB056A">
        <w:rPr>
          <w:rFonts w:ascii="Arial" w:hAnsi="Arial" w:cs="Arial"/>
          <w:sz w:val="24"/>
          <w:szCs w:val="24"/>
        </w:rPr>
        <w:t xml:space="preserve">. </w:t>
      </w:r>
      <w:r w:rsidR="00120E9D">
        <w:rPr>
          <w:rFonts w:ascii="Arial" w:hAnsi="Arial" w:cs="Arial"/>
          <w:sz w:val="24"/>
          <w:szCs w:val="24"/>
        </w:rPr>
        <w:t>Moreover,</w:t>
      </w:r>
      <w:r w:rsidR="00652249" w:rsidRPr="00EB056A">
        <w:rPr>
          <w:rFonts w:ascii="Arial" w:hAnsi="Arial" w:cs="Arial"/>
          <w:sz w:val="24"/>
          <w:szCs w:val="24"/>
        </w:rPr>
        <w:t xml:space="preserve"> </w:t>
      </w:r>
      <w:r w:rsidR="00120E9D">
        <w:rPr>
          <w:rFonts w:ascii="Arial" w:hAnsi="Arial" w:cs="Arial"/>
          <w:sz w:val="24"/>
          <w:szCs w:val="24"/>
        </w:rPr>
        <w:t>approximately</w:t>
      </w:r>
      <w:r w:rsidR="00120E9D" w:rsidRPr="00EB056A">
        <w:rPr>
          <w:rFonts w:ascii="Arial" w:hAnsi="Arial" w:cs="Arial"/>
          <w:sz w:val="24"/>
          <w:szCs w:val="24"/>
        </w:rPr>
        <w:t xml:space="preserve"> </w:t>
      </w:r>
      <w:r w:rsidRPr="00EB056A">
        <w:rPr>
          <w:rFonts w:ascii="Arial" w:hAnsi="Arial" w:cs="Arial"/>
          <w:sz w:val="24"/>
          <w:szCs w:val="24"/>
        </w:rPr>
        <w:t xml:space="preserve">6,500 </w:t>
      </w:r>
      <w:r w:rsidR="00652249" w:rsidRPr="00EB056A">
        <w:rPr>
          <w:rFonts w:ascii="Arial" w:hAnsi="Arial" w:cs="Arial"/>
          <w:sz w:val="24"/>
          <w:szCs w:val="24"/>
        </w:rPr>
        <w:t>Americans have</w:t>
      </w:r>
      <w:r w:rsidR="00145857" w:rsidRPr="00EB056A">
        <w:rPr>
          <w:rFonts w:ascii="Arial" w:hAnsi="Arial" w:cs="Arial"/>
          <w:sz w:val="24"/>
          <w:szCs w:val="24"/>
        </w:rPr>
        <w:t xml:space="preserve"> </w:t>
      </w:r>
      <w:r w:rsidRPr="00EB056A">
        <w:rPr>
          <w:rFonts w:ascii="Arial" w:hAnsi="Arial" w:cs="Arial"/>
          <w:sz w:val="24"/>
          <w:szCs w:val="24"/>
        </w:rPr>
        <w:t>aneurysms ruptur</w:t>
      </w:r>
      <w:r w:rsidR="00652249" w:rsidRPr="00EB056A">
        <w:rPr>
          <w:rFonts w:ascii="Arial" w:hAnsi="Arial" w:cs="Arial"/>
          <w:sz w:val="24"/>
          <w:szCs w:val="24"/>
        </w:rPr>
        <w:t>e</w:t>
      </w:r>
      <w:r w:rsidR="00120E9D">
        <w:rPr>
          <w:rFonts w:ascii="Arial" w:hAnsi="Arial" w:cs="Arial"/>
          <w:sz w:val="24"/>
          <w:szCs w:val="24"/>
        </w:rPr>
        <w:t xml:space="preserve"> each year</w:t>
      </w:r>
      <w:r w:rsidRPr="00EB056A">
        <w:rPr>
          <w:rFonts w:ascii="Arial" w:hAnsi="Arial" w:cs="Arial"/>
          <w:sz w:val="24"/>
          <w:szCs w:val="24"/>
        </w:rPr>
        <w:t>,</w:t>
      </w:r>
      <w:r w:rsidR="00652249" w:rsidRPr="00EB056A">
        <w:rPr>
          <w:rFonts w:ascii="Arial" w:hAnsi="Arial" w:cs="Arial"/>
          <w:sz w:val="24"/>
          <w:szCs w:val="24"/>
        </w:rPr>
        <w:t xml:space="preserve"> with half resulting in death</w:t>
      </w:r>
      <w:r w:rsidR="00007AE7">
        <w:rPr>
          <w:rFonts w:ascii="Arial" w:hAnsi="Arial" w:cs="Arial"/>
          <w:sz w:val="24"/>
          <w:szCs w:val="24"/>
        </w:rPr>
        <w:t xml:space="preserve"> because of brain hemorragies</w:t>
      </w:r>
      <w:r w:rsidRPr="00EB056A">
        <w:rPr>
          <w:rFonts w:ascii="Arial" w:hAnsi="Arial" w:cs="Arial"/>
          <w:sz w:val="24"/>
          <w:szCs w:val="28"/>
          <w:vertAlign w:val="superscript"/>
        </w:rPr>
        <w:fldChar w:fldCharType="begin"/>
      </w:r>
      <w:r w:rsidR="005B4F59">
        <w:rPr>
          <w:rFonts w:ascii="Arial" w:hAnsi="Arial" w:cs="Arial"/>
          <w:sz w:val="24"/>
          <w:szCs w:val="28"/>
          <w:vertAlign w:val="superscript"/>
        </w:rPr>
        <w:instrText xml:space="preserve"> ADDIN ZOTERO_ITEM CSL_CITATION {"citationID":"2WrsOklP","properties":{"formattedCitation":"\\super 2\\nosupersub{}","plainCitation":"2","noteIndex":0},"citationItems":[{"id":17,"uris":["http://zotero.org/users/6508478/items/DYNB9T7V"],"itemData":{"id":17,"type":"post-weblog","abstract":"An estimated 6.5 million people in the United States have an unruptured brain aneurysm, or 1 in 50 people. The annual rate of rupture is approximately 8 – 10 per 100,000 people. About 30,000 people in the United States suffer a brain aneurysm rupture each year. A brain aneurysm ruptures every 18 minutes. Women are … Continue reading \"Statistics and Facts\"","container-title":"Brain Aneurysm Foundation","language":"en","title":"Statistics and Facts","URL":"https://bafound.org/about-brain-aneurysms/brain-aneurysm-basics/brain-aneurysm-statistics-and-facts/","accessed":{"date-parts":[["2021",6,21]]}}}],"schema":"https://github.com/citation-style-language/schema/raw/master/csl-citation.json"} </w:instrText>
      </w:r>
      <w:r w:rsidRPr="00EB056A">
        <w:rPr>
          <w:rFonts w:ascii="Arial" w:hAnsi="Arial" w:cs="Arial"/>
          <w:sz w:val="24"/>
          <w:szCs w:val="28"/>
          <w:vertAlign w:val="superscript"/>
        </w:rPr>
        <w:fldChar w:fldCharType="separate"/>
      </w:r>
      <w:r w:rsidRPr="00EB056A">
        <w:rPr>
          <w:rFonts w:ascii="Arial" w:hAnsi="Arial" w:cs="Arial"/>
          <w:sz w:val="24"/>
          <w:szCs w:val="28"/>
          <w:vertAlign w:val="superscript"/>
        </w:rPr>
        <w:t>2</w:t>
      </w:r>
      <w:r w:rsidRPr="00EB056A">
        <w:rPr>
          <w:rFonts w:ascii="Arial" w:hAnsi="Arial" w:cs="Arial"/>
          <w:sz w:val="24"/>
          <w:szCs w:val="28"/>
          <w:vertAlign w:val="superscript"/>
        </w:rPr>
        <w:fldChar w:fldCharType="end"/>
      </w:r>
      <w:r w:rsidRPr="00EB056A">
        <w:rPr>
          <w:rFonts w:ascii="Arial" w:hAnsi="Arial" w:cs="Arial"/>
          <w:sz w:val="24"/>
          <w:szCs w:val="24"/>
        </w:rPr>
        <w:t>. Popular treatments like coils and surgical clip</w:t>
      </w:r>
      <w:r w:rsidR="001E21FC">
        <w:rPr>
          <w:rFonts w:ascii="Arial" w:hAnsi="Arial" w:cs="Arial"/>
          <w:sz w:val="24"/>
          <w:szCs w:val="24"/>
        </w:rPr>
        <w:t>s</w:t>
      </w:r>
      <w:r w:rsidRPr="00EB056A">
        <w:rPr>
          <w:rFonts w:ascii="Arial" w:hAnsi="Arial" w:cs="Arial"/>
          <w:sz w:val="24"/>
          <w:szCs w:val="24"/>
        </w:rPr>
        <w:t xml:space="preserve"> efficient</w:t>
      </w:r>
      <w:r w:rsidR="00BF6FBE">
        <w:rPr>
          <w:rFonts w:ascii="Arial" w:hAnsi="Arial" w:cs="Arial"/>
          <w:sz w:val="24"/>
          <w:szCs w:val="24"/>
        </w:rPr>
        <w:t>ly</w:t>
      </w:r>
      <w:r w:rsidR="00103AB6">
        <w:rPr>
          <w:rFonts w:ascii="Arial" w:hAnsi="Arial" w:cs="Arial"/>
          <w:sz w:val="24"/>
          <w:szCs w:val="24"/>
        </w:rPr>
        <w:t xml:space="preserve"> seal aneurysms</w:t>
      </w:r>
      <w:r w:rsidRPr="00EB056A">
        <w:rPr>
          <w:rFonts w:ascii="Arial" w:hAnsi="Arial" w:cs="Arial"/>
          <w:sz w:val="24"/>
          <w:szCs w:val="24"/>
        </w:rPr>
        <w:t xml:space="preserve"> but</w:t>
      </w:r>
      <w:r w:rsidR="00103AB6">
        <w:rPr>
          <w:rFonts w:ascii="Arial" w:hAnsi="Arial" w:cs="Arial"/>
          <w:sz w:val="24"/>
          <w:szCs w:val="24"/>
        </w:rPr>
        <w:t xml:space="preserve"> they are</w:t>
      </w:r>
      <w:r w:rsidRPr="00EB056A">
        <w:rPr>
          <w:rFonts w:ascii="Arial" w:hAnsi="Arial" w:cs="Arial"/>
          <w:sz w:val="24"/>
          <w:szCs w:val="24"/>
        </w:rPr>
        <w:t xml:space="preserve"> costly, and</w:t>
      </w:r>
      <w:r w:rsidR="00652249" w:rsidRPr="00EB056A">
        <w:rPr>
          <w:rFonts w:ascii="Arial" w:hAnsi="Arial" w:cs="Arial"/>
          <w:sz w:val="24"/>
          <w:szCs w:val="24"/>
        </w:rPr>
        <w:t xml:space="preserve"> they</w:t>
      </w:r>
      <w:r w:rsidRPr="00EB056A">
        <w:rPr>
          <w:rFonts w:ascii="Arial" w:hAnsi="Arial" w:cs="Arial"/>
          <w:sz w:val="24"/>
          <w:szCs w:val="24"/>
        </w:rPr>
        <w:t xml:space="preserve"> do not systematically make aneurysms disappear</w:t>
      </w:r>
      <w:r w:rsidRPr="00EB056A">
        <w:rPr>
          <w:rFonts w:ascii="Arial" w:hAnsi="Arial" w:cs="Arial"/>
          <w:sz w:val="24"/>
          <w:szCs w:val="28"/>
          <w:vertAlign w:val="superscript"/>
        </w:rPr>
        <w:fldChar w:fldCharType="begin"/>
      </w:r>
      <w:r w:rsidR="005B4F59">
        <w:rPr>
          <w:rFonts w:ascii="Arial" w:hAnsi="Arial" w:cs="Arial"/>
          <w:sz w:val="24"/>
          <w:szCs w:val="28"/>
          <w:vertAlign w:val="superscript"/>
        </w:rPr>
        <w:instrText xml:space="preserve"> ADDIN ZOTERO_ITEM CSL_CITATION {"citationID":"AvuBNoYg","properties":{"formattedCitation":"\\super 3,4\\nosupersub{}","plainCitation":"3,4","noteIndex":0},"citationItems":[{"id":22,"uris":["http://zotero.org/users/6508478/items/EKMLKFBH"],"itemData":{"id":22,"type":"article-journal","abstract":"BACKGROUND AND PURPOSE: Both endovascular and surgical options are available for treatment of unruptured cerebral aneurysms. We conducted a study to determine the costs versus Medicare reimbursement for hospitalization of these patients, which is important information for understanding the economic impact of these patients on hospitals.\nMATERIALS AND METHODS: Using the NIS, we identified hospitalizations for clipping and coiling of unruptured cerebral aneurysms from 2001 to 2008 by cross-matching ICD-9 codes for diagnosis of unruptured aneurysm with procedure codes for clipping or coiling of cerebral aneurysms and excluding all patients with subarachnoid hemorrhage and intracerebral hemorrhage. Hospital costs for 2008 were correlated with age, sex, and discharge status and compared with Medicare payments.\nRESULTS: Costs of both clipping and coiling have increased from 2001 to 2008. The median 2008 hospital costs were $23,574 (IQR, $18,233-$29,941) for clipping and $25,734 (IQR, $17,436-$35,846) for coiling without complications, which were higher than the average Medicare payment of $12,599. The median hospital costs were $36,188 (IQR, $21,831-$55,308) for clipping and $40,502 (IQR, $24,289-$50,108) for coiling treatments complicated by major morbidity and $68,165 (IQR, $32,972-$100,211) for clipping and $56,020 for coiling treatments complicated by mortality, which were higher than the average Medicare payment for patients with major complications and comorbidities of $22,946. In multivariate analysis, female sex was associated with higher costs for coiling (P = .02), and poor discharge status was associated with higher costs for both clipping (P &lt; .001) and coiling (P &lt; .001).\nCONCLUSIONS: Hospitalization costs for patients undergoing clipping and coiling of unruptured cerebral aneurysms are substantially higher than Medicare payments.","container-title":"AJNR. American journal of neuroradiology","DOI":"10.3174/ajnr.A2739","ISSN":"1936-959X","issue":"1","journalAbbreviation":"AJNR Am J Neuroradiol","language":"eng","note":"PMID: 22033718\nPMCID: PMC7966155","page":"49-51","source":"PubMed","title":"Hospitalization costs for endovascular and surgical treatment of unruptured cerebral aneurysms in the United States are substantially higher than medicare payments","volume":"33","author":[{"family":"Brinjikji","given":"W."},{"family":"Kallmes","given":"D. F."},{"family":"Lanzino","given":"G."},{"family":"Cloft","given":"H. J."}],"issued":{"date-parts":[["2012",1]]}}},{"id":6,"uris":["http://zotero.org/users/6508478/items/JVVJZL89"],"itemData":{"id":6,"type":"article-journal","abstract":"BACKGROUND: Previous analyses of the International Subarachnoid Aneurysm Trial (ISAT) cohort have reported on the risks of recurrent subarachnoid haemorrhage and death or dependency for a minimum of 5 years and up to a maximum of 14 years after treatment of a ruptured intracranial aneurysm with either neurosurgical clipping or endovascular coiling. At 1 year there was a 7% absolute and a 24% relative risk reduction of death and dependency in the coiling group compared with the clipping group, but the medium-term results showed the increased need for re-treatment of the target aneurysm in the patients given coiling. We report the long-term follow-up of patients in this UK cohort.\nMETHODS: In ISAT, patients were randomly allocated to either neurosurgical clipping or endovascular coiling after a subarachnoid haemorrhage, assuming treatment equipoise, between Sept 12, 1994, and May 1, 2002. We followed up 1644 patients in 22 UK neurosurgical centres for death and clinical outcomes for 10·0-18·5 years. We assessed dependency as self-reported modified Rankin scale score obtained through yearly questionnaires. Data for recurrent aneurysms and rebleeding events were collected from questionnaires and from hospital and general practitioner records. The Office for National Statistics supplied data on deaths. This study is registered, number ISRCTN49866681.\nFINDINGS: At 10 years, 674 (83%) of 809 patients allocated endovascular coiling and 657 (79%) of 835 patients allocated neurosurgical clipping were alive (odds ratio [OR] 1·35, 95% CI 1·06-1·73). Of 1003 individuals who returned a questionnaire at 10 years, 435 (82%) patients treated with endovascular coiling and 370 (78%) patients treated with neurosurgical clipping were independent (modified Rankin scale score 0-2; OR 1·25; 95% CI 0·92-1·71). Patients in the endovascular treatment group were more likely to be alive and independent at 10 years than were patients in the neurosurgery group (OR 1·34, 95% CI 1·07-1·67). 33 patients had a recurrent subarachnoid haemorrhage more than 1 year after their initial haemorrhage (17 from the target aneurysm).\nINTERPRETATION: Although rates of increased dependency alone did not differ between groups, the probability of death or dependency was significantly greater in the neurosurgical group than in the endovascular group. Rebleeding was more likely after endovascular coiling than after neurosurgical clipping, but the risk was small and the probability of disability-free survival was significantly greater in the endovascular group than in the neurosurgical group at 10 years.\nFUNDING: UK Medical Research Council.","container-title":"Lancet (London, England)","DOI":"10.1016/S0140-6736(14)60975-2","ISSN":"1474-547X","issue":"9969","journalAbbreviation":"Lancet","language":"eng","note":"PMID: 25465111\nPMCID: PMC4356153","page":"691-697","source":"PubMed","title":"The durability of endovascular coiling versus neurosurgical clipping of ruptured cerebral aneurysms: 18 year follow-up of the UK cohort of the International Subarachnoid Aneurysm Trial (ISAT)","title-short":"The durability of endovascular coiling versus neurosurgical clipping of ruptured cerebral aneurysms","volume":"385","author":[{"family":"Molyneux","given":"Andrew J."},{"family":"Birks","given":"Jacqueline"},{"family":"Clarke","given":"Alison"},{"family":"Sneade","given":"Mary"},{"family":"Kerr","given":"Richard S. C."}],"issued":{"date-parts":[["2015",2,21]]}}}],"schema":"https://github.com/citation-style-language/schema/raw/master/csl-citation.json"} </w:instrText>
      </w:r>
      <w:r w:rsidRPr="00EB056A">
        <w:rPr>
          <w:rFonts w:ascii="Arial" w:hAnsi="Arial" w:cs="Arial"/>
          <w:sz w:val="24"/>
          <w:szCs w:val="28"/>
          <w:vertAlign w:val="superscript"/>
        </w:rPr>
        <w:fldChar w:fldCharType="separate"/>
      </w:r>
      <w:r w:rsidRPr="00EB056A">
        <w:rPr>
          <w:rFonts w:ascii="Arial" w:hAnsi="Arial" w:cs="Arial"/>
          <w:sz w:val="24"/>
          <w:szCs w:val="28"/>
          <w:vertAlign w:val="superscript"/>
        </w:rPr>
        <w:t>3,4</w:t>
      </w:r>
      <w:r w:rsidRPr="00EB056A">
        <w:rPr>
          <w:rFonts w:ascii="Arial" w:hAnsi="Arial" w:cs="Arial"/>
          <w:sz w:val="24"/>
          <w:szCs w:val="28"/>
          <w:vertAlign w:val="superscript"/>
        </w:rPr>
        <w:fldChar w:fldCharType="end"/>
      </w:r>
      <w:r w:rsidRPr="00EB056A">
        <w:rPr>
          <w:rFonts w:ascii="Arial" w:hAnsi="Arial" w:cs="Arial"/>
          <w:sz w:val="24"/>
          <w:szCs w:val="24"/>
        </w:rPr>
        <w:t xml:space="preserve">. Moreover, </w:t>
      </w:r>
      <w:r w:rsidR="00C6320A">
        <w:rPr>
          <w:rFonts w:ascii="Arial" w:hAnsi="Arial" w:cs="Arial"/>
          <w:sz w:val="24"/>
          <w:szCs w:val="24"/>
        </w:rPr>
        <w:t>many</w:t>
      </w:r>
      <w:r w:rsidRPr="00EB056A">
        <w:rPr>
          <w:rFonts w:ascii="Arial" w:hAnsi="Arial" w:cs="Arial"/>
          <w:sz w:val="24"/>
          <w:szCs w:val="24"/>
        </w:rPr>
        <w:t xml:space="preserve"> patients need</w:t>
      </w:r>
      <w:r w:rsidR="00145857" w:rsidRPr="00EB056A">
        <w:rPr>
          <w:rFonts w:ascii="Arial" w:hAnsi="Arial" w:cs="Arial"/>
          <w:sz w:val="24"/>
          <w:szCs w:val="24"/>
        </w:rPr>
        <w:t xml:space="preserve"> </w:t>
      </w:r>
      <w:r w:rsidRPr="00EB056A">
        <w:rPr>
          <w:rFonts w:ascii="Arial" w:hAnsi="Arial" w:cs="Arial"/>
          <w:sz w:val="24"/>
          <w:szCs w:val="24"/>
        </w:rPr>
        <w:t>second intervention</w:t>
      </w:r>
      <w:r w:rsidR="00652249" w:rsidRPr="00EB056A">
        <w:rPr>
          <w:rFonts w:ascii="Arial" w:hAnsi="Arial" w:cs="Arial"/>
          <w:sz w:val="24"/>
          <w:szCs w:val="24"/>
        </w:rPr>
        <w:t>s</w:t>
      </w:r>
      <w:r w:rsidR="001807EC">
        <w:rPr>
          <w:rFonts w:ascii="Arial" w:hAnsi="Arial" w:cs="Arial"/>
          <w:sz w:val="24"/>
          <w:szCs w:val="24"/>
        </w:rPr>
        <w:t xml:space="preserve"> </w:t>
      </w:r>
      <w:r w:rsidR="00AC2DB8">
        <w:rPr>
          <w:rFonts w:ascii="Arial" w:hAnsi="Arial" w:cs="Arial"/>
          <w:sz w:val="24"/>
          <w:szCs w:val="24"/>
        </w:rPr>
        <w:t xml:space="preserve">because of aneurysm rupture </w:t>
      </w:r>
      <w:r w:rsidR="00DA7456">
        <w:rPr>
          <w:rFonts w:ascii="Arial" w:hAnsi="Arial" w:cs="Arial"/>
          <w:sz w:val="24"/>
          <w:szCs w:val="24"/>
        </w:rPr>
        <w:t>or</w:t>
      </w:r>
      <w:r w:rsidR="005B2B07">
        <w:rPr>
          <w:rFonts w:ascii="Arial" w:hAnsi="Arial" w:cs="Arial"/>
          <w:sz w:val="24"/>
          <w:szCs w:val="24"/>
        </w:rPr>
        <w:t xml:space="preserve"> displacement of the treating tool</w:t>
      </w:r>
      <w:r w:rsidRPr="00EB056A">
        <w:rPr>
          <w:rFonts w:ascii="Arial" w:hAnsi="Arial" w:cs="Arial"/>
          <w:sz w:val="24"/>
          <w:szCs w:val="24"/>
        </w:rPr>
        <w:t>, which increases the already-high costs</w:t>
      </w:r>
      <w:r w:rsidRPr="00EB056A">
        <w:rPr>
          <w:rFonts w:ascii="Arial" w:hAnsi="Arial" w:cs="Arial"/>
          <w:sz w:val="24"/>
          <w:szCs w:val="28"/>
          <w:vertAlign w:val="superscript"/>
        </w:rPr>
        <w:fldChar w:fldCharType="begin"/>
      </w:r>
      <w:r w:rsidR="005B4F59">
        <w:rPr>
          <w:rFonts w:ascii="Arial" w:hAnsi="Arial" w:cs="Arial"/>
          <w:sz w:val="24"/>
          <w:szCs w:val="28"/>
          <w:vertAlign w:val="superscript"/>
        </w:rPr>
        <w:instrText xml:space="preserve"> ADDIN ZOTERO_ITEM CSL_CITATION {"citationID":"cQ1t5xWr","properties":{"formattedCitation":"\\super 2,3\\nosupersub{}","plainCitation":"2,3","noteIndex":0},"citationItems":[{"id":17,"uris":["http://zotero.org/users/6508478/items/DYNB9T7V"],"itemData":{"id":17,"type":"post-weblog","abstract":"An estimated 6.5 million people in the United States have an unruptured brain aneurysm, or 1 in 50 people. The annual rate of rupture is approximately 8 – 10 per 100,000 people. About 30,000 people in the United States suffer a brain aneurysm rupture each year. A brain aneurysm ruptures every 18 minutes. Women are … Continue reading \"Statistics and Facts\"","container-title":"Brain Aneurysm Foundation","language":"en","title":"Statistics and Facts","URL":"https://bafound.org/about-brain-aneurysms/brain-aneurysm-basics/brain-aneurysm-statistics-and-facts/","accessed":{"date-parts":[["2021",6,21]]}}},{"id":22,"uris":["http://zotero.org/users/6508478/items/EKMLKFBH"],"itemData":{"id":22,"type":"article-journal","abstract":"BACKGROUND AND PURPOSE: Both endovascular and surgical options are available for treatment of unruptured cerebral aneurysms. We conducted a study to determine the costs versus Medicare reimbursement for hospitalization of these patients, which is important information for understanding the economic impact of these patients on hospitals.\nMATERIALS AND METHODS: Using the NIS, we identified hospitalizations for clipping and coiling of unruptured cerebral aneurysms from 2001 to 2008 by cross-matching ICD-9 codes for diagnosis of unruptured aneurysm with procedure codes for clipping or coiling of cerebral aneurysms and excluding all patients with subarachnoid hemorrhage and intracerebral hemorrhage. Hospital costs for 2008 were correlated with age, sex, and discharge status and compared with Medicare payments.\nRESULTS: Costs of both clipping and coiling have increased from 2001 to 2008. The median 2008 hospital costs were $23,574 (IQR, $18,233-$29,941) for clipping and $25,734 (IQR, $17,436-$35,846) for coiling without complications, which were higher than the average Medicare payment of $12,599. The median hospital costs were $36,188 (IQR, $21,831-$55,308) for clipping and $40,502 (IQR, $24,289-$50,108) for coiling treatments complicated by major morbidity and $68,165 (IQR, $32,972-$100,211) for clipping and $56,020 for coiling treatments complicated by mortality, which were higher than the average Medicare payment for patients with major complications and comorbidities of $22,946. In multivariate analysis, female sex was associated with higher costs for coiling (P = .02), and poor discharge status was associated with higher costs for both clipping (P &lt; .001) and coiling (P &lt; .001).\nCONCLUSIONS: Hospitalization costs for patients undergoing clipping and coiling of unruptured cerebral aneurysms are substantially higher than Medicare payments.","container-title":"AJNR. American journal of neuroradiology","DOI":"10.3174/ajnr.A2739","ISSN":"1936-959X","issue":"1","journalAbbreviation":"AJNR Am J Neuroradiol","language":"eng","note":"PMID: 22033718\nPMCID: PMC7966155","page":"49-51","source":"PubMed","title":"Hospitalization costs for endovascular and surgical treatment of unruptured cerebral aneurysms in the United States are substantially higher than medicare payments","volume":"33","author":[{"family":"Brinjikji","given":"W."},{"family":"Kallmes","given":"D. F."},{"family":"Lanzino","given":"G."},{"family":"Cloft","given":"H. J."}],"issued":{"date-parts":[["2012",1]]}}}],"schema":"https://github.com/citation-style-language/schema/raw/master/csl-citation.json"} </w:instrText>
      </w:r>
      <w:r w:rsidRPr="00EB056A">
        <w:rPr>
          <w:rFonts w:ascii="Arial" w:hAnsi="Arial" w:cs="Arial"/>
          <w:sz w:val="24"/>
          <w:szCs w:val="28"/>
          <w:vertAlign w:val="superscript"/>
        </w:rPr>
        <w:fldChar w:fldCharType="separate"/>
      </w:r>
      <w:r w:rsidRPr="00EB056A">
        <w:rPr>
          <w:rFonts w:ascii="Arial" w:hAnsi="Arial" w:cs="Arial"/>
          <w:sz w:val="24"/>
          <w:szCs w:val="28"/>
          <w:vertAlign w:val="superscript"/>
        </w:rPr>
        <w:t>2,3</w:t>
      </w:r>
      <w:r w:rsidRPr="00EB056A">
        <w:rPr>
          <w:rFonts w:ascii="Arial" w:hAnsi="Arial" w:cs="Arial"/>
          <w:sz w:val="24"/>
          <w:szCs w:val="28"/>
          <w:vertAlign w:val="superscript"/>
        </w:rPr>
        <w:fldChar w:fldCharType="end"/>
      </w:r>
      <w:r w:rsidRPr="00EB056A">
        <w:rPr>
          <w:rFonts w:ascii="Arial" w:hAnsi="Arial" w:cs="Arial"/>
          <w:sz w:val="24"/>
          <w:szCs w:val="24"/>
        </w:rPr>
        <w:t xml:space="preserve">.   </w:t>
      </w:r>
    </w:p>
    <w:p w14:paraId="2873D714" w14:textId="7C287894" w:rsidR="00376291" w:rsidRPr="00EB056A" w:rsidRDefault="00376291" w:rsidP="00EB056A">
      <w:pPr>
        <w:spacing w:line="480" w:lineRule="auto"/>
        <w:ind w:firstLine="720"/>
        <w:jc w:val="both"/>
        <w:rPr>
          <w:rFonts w:ascii="Arial" w:hAnsi="Arial" w:cs="Arial"/>
          <w:sz w:val="24"/>
          <w:szCs w:val="24"/>
        </w:rPr>
      </w:pPr>
      <w:r w:rsidRPr="00EB056A">
        <w:rPr>
          <w:rFonts w:ascii="Arial" w:hAnsi="Arial" w:cs="Arial"/>
          <w:sz w:val="24"/>
          <w:szCs w:val="24"/>
        </w:rPr>
        <w:t xml:space="preserve">To address these issues, </w:t>
      </w:r>
      <w:r w:rsidR="00983F71" w:rsidRPr="00EB056A">
        <w:rPr>
          <w:rFonts w:ascii="Arial" w:hAnsi="Arial" w:cs="Arial"/>
          <w:sz w:val="24"/>
          <w:szCs w:val="24"/>
        </w:rPr>
        <w:t>our novel approach is</w:t>
      </w:r>
      <w:r w:rsidR="00652249" w:rsidRPr="00EB056A">
        <w:rPr>
          <w:rFonts w:ascii="Arial" w:hAnsi="Arial" w:cs="Arial"/>
          <w:sz w:val="24"/>
          <w:szCs w:val="24"/>
        </w:rPr>
        <w:t xml:space="preserve"> catheter-based delivery of an</w:t>
      </w:r>
      <w:r w:rsidRPr="00EB056A">
        <w:rPr>
          <w:rFonts w:ascii="Arial" w:hAnsi="Arial" w:cs="Arial"/>
          <w:sz w:val="24"/>
          <w:szCs w:val="24"/>
        </w:rPr>
        <w:t xml:space="preserve"> inject</w:t>
      </w:r>
      <w:r w:rsidR="00652249" w:rsidRPr="00EB056A">
        <w:rPr>
          <w:rFonts w:ascii="Arial" w:hAnsi="Arial" w:cs="Arial"/>
          <w:sz w:val="24"/>
          <w:szCs w:val="24"/>
        </w:rPr>
        <w:t>able</w:t>
      </w:r>
      <w:r w:rsidR="00983F71" w:rsidRPr="00EB056A">
        <w:rPr>
          <w:rFonts w:ascii="Arial" w:hAnsi="Arial" w:cs="Arial"/>
          <w:sz w:val="24"/>
          <w:szCs w:val="24"/>
        </w:rPr>
        <w:t>, biodegradable,</w:t>
      </w:r>
      <w:r w:rsidR="00652249" w:rsidRPr="00EB056A">
        <w:rPr>
          <w:rFonts w:ascii="Arial" w:hAnsi="Arial" w:cs="Arial"/>
          <w:sz w:val="24"/>
          <w:szCs w:val="24"/>
        </w:rPr>
        <w:t xml:space="preserve"> hyaluronic acid-based</w:t>
      </w:r>
      <w:r w:rsidR="00983F71" w:rsidRPr="00EB056A">
        <w:rPr>
          <w:rFonts w:ascii="Arial" w:hAnsi="Arial" w:cs="Arial"/>
          <w:sz w:val="24"/>
          <w:szCs w:val="24"/>
        </w:rPr>
        <w:t xml:space="preserve"> material that is</w:t>
      </w:r>
      <w:r w:rsidR="00652249" w:rsidRPr="00EB056A">
        <w:rPr>
          <w:rFonts w:ascii="Arial" w:hAnsi="Arial" w:cs="Arial"/>
          <w:sz w:val="24"/>
          <w:szCs w:val="24"/>
        </w:rPr>
        <w:t xml:space="preserve"> </w:t>
      </w:r>
      <w:r w:rsidR="00145857" w:rsidRPr="00EB056A">
        <w:rPr>
          <w:rFonts w:ascii="Arial" w:hAnsi="Arial" w:cs="Arial"/>
          <w:sz w:val="24"/>
          <w:szCs w:val="24"/>
        </w:rPr>
        <w:t>compatible with</w:t>
      </w:r>
      <w:r w:rsidR="009C75E9" w:rsidRPr="00EB056A">
        <w:rPr>
          <w:rFonts w:ascii="Arial" w:hAnsi="Arial" w:cs="Arial"/>
          <w:sz w:val="24"/>
          <w:szCs w:val="24"/>
        </w:rPr>
        <w:t xml:space="preserve"> radiographic and magnetic resonance medical</w:t>
      </w:r>
      <w:r w:rsidR="00145857" w:rsidRPr="00EB056A">
        <w:rPr>
          <w:rFonts w:ascii="Arial" w:hAnsi="Arial" w:cs="Arial"/>
          <w:sz w:val="24"/>
          <w:szCs w:val="24"/>
        </w:rPr>
        <w:t xml:space="preserve"> imaging </w:t>
      </w:r>
      <w:r w:rsidR="00404501" w:rsidRPr="00EB056A">
        <w:rPr>
          <w:rFonts w:ascii="Arial" w:hAnsi="Arial" w:cs="Arial"/>
          <w:sz w:val="24"/>
          <w:szCs w:val="24"/>
        </w:rPr>
        <w:t>techniques</w:t>
      </w:r>
      <w:r w:rsidR="00E558B5">
        <w:rPr>
          <w:rFonts w:ascii="Arial" w:hAnsi="Arial" w:cs="Arial"/>
          <w:sz w:val="24"/>
          <w:szCs w:val="24"/>
        </w:rPr>
        <w:t>,</w:t>
      </w:r>
      <w:r w:rsidR="00404501" w:rsidRPr="00EB056A">
        <w:rPr>
          <w:rFonts w:ascii="Arial" w:hAnsi="Arial" w:cs="Arial"/>
          <w:sz w:val="24"/>
          <w:szCs w:val="24"/>
        </w:rPr>
        <w:t xml:space="preserve"> </w:t>
      </w:r>
      <w:r w:rsidR="00A30768">
        <w:rPr>
          <w:rFonts w:ascii="Arial" w:hAnsi="Arial" w:cs="Arial"/>
          <w:sz w:val="24"/>
          <w:szCs w:val="24"/>
        </w:rPr>
        <w:t>that</w:t>
      </w:r>
      <w:r w:rsidR="00A30768" w:rsidRPr="00EB056A">
        <w:rPr>
          <w:rFonts w:ascii="Arial" w:hAnsi="Arial" w:cs="Arial"/>
          <w:sz w:val="24"/>
          <w:szCs w:val="24"/>
        </w:rPr>
        <w:t xml:space="preserve"> </w:t>
      </w:r>
      <w:r w:rsidR="00983F71" w:rsidRPr="00EB056A">
        <w:rPr>
          <w:rFonts w:ascii="Arial" w:hAnsi="Arial" w:cs="Arial"/>
          <w:sz w:val="24"/>
          <w:szCs w:val="24"/>
        </w:rPr>
        <w:t xml:space="preserve">can be used to plug </w:t>
      </w:r>
      <w:r w:rsidRPr="00EB056A">
        <w:rPr>
          <w:rFonts w:ascii="Arial" w:hAnsi="Arial" w:cs="Arial"/>
          <w:sz w:val="24"/>
          <w:szCs w:val="24"/>
        </w:rPr>
        <w:t xml:space="preserve">saccular brain </w:t>
      </w:r>
      <w:r w:rsidRPr="00542C05">
        <w:rPr>
          <w:rFonts w:ascii="Arial" w:hAnsi="Arial" w:cs="Arial"/>
          <w:sz w:val="24"/>
          <w:szCs w:val="24"/>
        </w:rPr>
        <w:t>aneurysm</w:t>
      </w:r>
      <w:r w:rsidR="006A2E53" w:rsidRPr="00542C05">
        <w:rPr>
          <w:rFonts w:ascii="Arial" w:hAnsi="Arial" w:cs="Arial"/>
          <w:sz w:val="24"/>
          <w:szCs w:val="24"/>
        </w:rPr>
        <w:t>s</w:t>
      </w:r>
      <w:r w:rsidRPr="00542C05">
        <w:rPr>
          <w:rFonts w:ascii="Arial" w:hAnsi="Arial" w:cs="Arial"/>
          <w:sz w:val="24"/>
          <w:szCs w:val="24"/>
        </w:rPr>
        <w:t xml:space="preserve"> and</w:t>
      </w:r>
      <w:r w:rsidR="00983F71" w:rsidRPr="00542C05">
        <w:rPr>
          <w:rFonts w:ascii="Arial" w:hAnsi="Arial" w:cs="Arial"/>
          <w:sz w:val="24"/>
          <w:szCs w:val="24"/>
        </w:rPr>
        <w:t xml:space="preserve"> </w:t>
      </w:r>
      <w:r w:rsidR="00983F71" w:rsidRPr="00EB056A">
        <w:rPr>
          <w:rFonts w:ascii="Arial" w:hAnsi="Arial" w:cs="Arial"/>
          <w:sz w:val="24"/>
          <w:szCs w:val="24"/>
        </w:rPr>
        <w:t>induce</w:t>
      </w:r>
      <w:r w:rsidRPr="00EB056A">
        <w:rPr>
          <w:rFonts w:ascii="Arial" w:hAnsi="Arial" w:cs="Arial"/>
          <w:sz w:val="24"/>
          <w:szCs w:val="24"/>
        </w:rPr>
        <w:t xml:space="preserve"> </w:t>
      </w:r>
      <w:r w:rsidR="00652249" w:rsidRPr="00EB056A">
        <w:rPr>
          <w:rFonts w:ascii="Arial" w:hAnsi="Arial" w:cs="Arial"/>
          <w:sz w:val="24"/>
          <w:szCs w:val="24"/>
        </w:rPr>
        <w:t xml:space="preserve">vascular </w:t>
      </w:r>
      <w:r w:rsidRPr="00EB056A">
        <w:rPr>
          <w:rFonts w:ascii="Arial" w:hAnsi="Arial" w:cs="Arial"/>
          <w:sz w:val="24"/>
          <w:szCs w:val="24"/>
        </w:rPr>
        <w:t>regeneration.</w:t>
      </w:r>
    </w:p>
    <w:p w14:paraId="06C70029" w14:textId="134DACB1" w:rsidR="005F7609" w:rsidRPr="00A972B6" w:rsidRDefault="00376291" w:rsidP="003B7652">
      <w:pPr>
        <w:spacing w:line="480" w:lineRule="auto"/>
        <w:ind w:firstLine="720"/>
        <w:jc w:val="both"/>
      </w:pPr>
      <w:r w:rsidRPr="00EB056A">
        <w:rPr>
          <w:rFonts w:ascii="Arial" w:hAnsi="Arial" w:cs="Arial"/>
          <w:sz w:val="24"/>
          <w:szCs w:val="24"/>
        </w:rPr>
        <w:t>This introductory chapter describe</w:t>
      </w:r>
      <w:r w:rsidR="0051668F" w:rsidRPr="00EB056A">
        <w:rPr>
          <w:rFonts w:ascii="Arial" w:hAnsi="Arial" w:cs="Arial"/>
          <w:sz w:val="24"/>
          <w:szCs w:val="24"/>
        </w:rPr>
        <w:t>s</w:t>
      </w:r>
      <w:r w:rsidRPr="00EB056A">
        <w:rPr>
          <w:rFonts w:ascii="Arial" w:hAnsi="Arial" w:cs="Arial"/>
          <w:sz w:val="24"/>
          <w:szCs w:val="24"/>
        </w:rPr>
        <w:t xml:space="preserve"> the anatomy of brain blood vessels and aneurysms</w:t>
      </w:r>
      <w:r w:rsidR="0051668F" w:rsidRPr="00EB056A">
        <w:rPr>
          <w:rFonts w:ascii="Arial" w:hAnsi="Arial" w:cs="Arial"/>
          <w:sz w:val="24"/>
          <w:szCs w:val="24"/>
        </w:rPr>
        <w:t>, and c</w:t>
      </w:r>
      <w:r w:rsidRPr="00EB056A">
        <w:rPr>
          <w:rFonts w:ascii="Arial" w:hAnsi="Arial" w:cs="Arial"/>
          <w:sz w:val="24"/>
          <w:szCs w:val="24"/>
        </w:rPr>
        <w:t>urrent treatments for brain aneurysms</w:t>
      </w:r>
      <w:r w:rsidR="00652249" w:rsidRPr="00EB056A">
        <w:rPr>
          <w:rFonts w:ascii="Arial" w:hAnsi="Arial" w:cs="Arial"/>
          <w:sz w:val="24"/>
          <w:szCs w:val="24"/>
        </w:rPr>
        <w:t>.</w:t>
      </w:r>
      <w:r w:rsidR="00132B73" w:rsidRPr="00EB056A">
        <w:rPr>
          <w:rFonts w:ascii="Arial" w:hAnsi="Arial" w:cs="Arial"/>
          <w:sz w:val="24"/>
          <w:szCs w:val="24"/>
        </w:rPr>
        <w:t xml:space="preserve"> </w:t>
      </w:r>
      <w:r w:rsidR="00F116EC" w:rsidRPr="00EB056A">
        <w:rPr>
          <w:rFonts w:ascii="Arial" w:hAnsi="Arial" w:cs="Arial"/>
          <w:sz w:val="24"/>
          <w:szCs w:val="24"/>
        </w:rPr>
        <w:t>Then,</w:t>
      </w:r>
      <w:r w:rsidRPr="00EB056A">
        <w:rPr>
          <w:rFonts w:ascii="Arial" w:hAnsi="Arial" w:cs="Arial"/>
          <w:sz w:val="24"/>
          <w:szCs w:val="24"/>
        </w:rPr>
        <w:t xml:space="preserve"> components of </w:t>
      </w:r>
      <w:r w:rsidR="00F116EC" w:rsidRPr="00EB056A">
        <w:rPr>
          <w:rFonts w:ascii="Arial" w:hAnsi="Arial" w:cs="Arial"/>
          <w:sz w:val="24"/>
          <w:szCs w:val="24"/>
        </w:rPr>
        <w:t xml:space="preserve">our novel </w:t>
      </w:r>
      <w:r w:rsidR="00641604" w:rsidRPr="00EB056A">
        <w:rPr>
          <w:rFonts w:ascii="Arial" w:hAnsi="Arial" w:cs="Arial"/>
          <w:sz w:val="24"/>
          <w:szCs w:val="24"/>
        </w:rPr>
        <w:t>hyaluronic</w:t>
      </w:r>
      <w:r w:rsidR="00F116EC" w:rsidRPr="00EB056A">
        <w:rPr>
          <w:rFonts w:ascii="Arial" w:hAnsi="Arial" w:cs="Arial"/>
          <w:sz w:val="24"/>
          <w:szCs w:val="24"/>
        </w:rPr>
        <w:t xml:space="preserve">-based biomaterial </w:t>
      </w:r>
      <w:r w:rsidR="0051668F" w:rsidRPr="00EB056A">
        <w:rPr>
          <w:rFonts w:ascii="Arial" w:hAnsi="Arial" w:cs="Arial"/>
          <w:sz w:val="24"/>
          <w:szCs w:val="24"/>
        </w:rPr>
        <w:t>are</w:t>
      </w:r>
      <w:r w:rsidR="00F116EC" w:rsidRPr="00EB056A">
        <w:rPr>
          <w:rFonts w:ascii="Arial" w:hAnsi="Arial" w:cs="Arial"/>
          <w:sz w:val="24"/>
          <w:szCs w:val="24"/>
        </w:rPr>
        <w:t xml:space="preserve"> discussed, including how it improves upon current treatments.</w:t>
      </w:r>
    </w:p>
    <w:p w14:paraId="41E9CBE7" w14:textId="10A2F9B4" w:rsidR="00784FF5" w:rsidRPr="003B7652" w:rsidRDefault="00784FF5" w:rsidP="003B7652">
      <w:pPr>
        <w:pStyle w:val="Titre3"/>
        <w:numPr>
          <w:ilvl w:val="1"/>
          <w:numId w:val="6"/>
        </w:numPr>
        <w:spacing w:before="0" w:after="160" w:line="480" w:lineRule="auto"/>
        <w:ind w:left="432" w:hanging="432"/>
        <w:jc w:val="both"/>
        <w:rPr>
          <w:rFonts w:ascii="Arial" w:hAnsi="Arial" w:cs="Arial"/>
          <w:b/>
          <w:bCs/>
          <w:color w:val="auto"/>
          <w:sz w:val="26"/>
          <w:szCs w:val="26"/>
        </w:rPr>
      </w:pPr>
      <w:bookmarkStart w:id="5" w:name="_Toc77701658"/>
      <w:bookmarkStart w:id="6" w:name="_Toc106903205"/>
      <w:r w:rsidRPr="003B7652">
        <w:rPr>
          <w:rFonts w:ascii="Arial" w:hAnsi="Arial" w:cs="Arial"/>
          <w:b/>
          <w:bCs/>
          <w:color w:val="auto"/>
          <w:sz w:val="26"/>
          <w:szCs w:val="26"/>
        </w:rPr>
        <w:lastRenderedPageBreak/>
        <w:t>Properties of b</w:t>
      </w:r>
      <w:r w:rsidR="00433213" w:rsidRPr="003B7652">
        <w:rPr>
          <w:rFonts w:ascii="Arial" w:hAnsi="Arial" w:cs="Arial"/>
          <w:b/>
          <w:bCs/>
          <w:color w:val="auto"/>
          <w:sz w:val="26"/>
          <w:szCs w:val="26"/>
        </w:rPr>
        <w:t>rain blood vessel</w:t>
      </w:r>
      <w:bookmarkEnd w:id="5"/>
      <w:r w:rsidRPr="003B7652">
        <w:rPr>
          <w:rFonts w:ascii="Arial" w:hAnsi="Arial" w:cs="Arial"/>
          <w:b/>
          <w:bCs/>
          <w:color w:val="auto"/>
          <w:sz w:val="26"/>
          <w:szCs w:val="26"/>
        </w:rPr>
        <w:t>s</w:t>
      </w:r>
      <w:bookmarkEnd w:id="6"/>
    </w:p>
    <w:p w14:paraId="00844B6C" w14:textId="20866C3C" w:rsidR="00784FF5" w:rsidRPr="00A71A59" w:rsidRDefault="00784FF5" w:rsidP="00834360">
      <w:pPr>
        <w:pStyle w:val="Titre3"/>
        <w:spacing w:after="240"/>
        <w:rPr>
          <w:rFonts w:ascii="Arial" w:hAnsi="Arial" w:cs="Arial"/>
          <w:b/>
          <w:bCs/>
        </w:rPr>
      </w:pPr>
      <w:bookmarkStart w:id="7" w:name="_Toc106903206"/>
      <w:r w:rsidRPr="00A71A59">
        <w:rPr>
          <w:rFonts w:ascii="Arial" w:hAnsi="Arial" w:cs="Arial"/>
          <w:b/>
          <w:bCs/>
          <w:color w:val="auto"/>
        </w:rPr>
        <w:t>1.2.1 Blood vessel structure</w:t>
      </w:r>
      <w:bookmarkEnd w:id="7"/>
    </w:p>
    <w:p w14:paraId="7C852C5C" w14:textId="6DE27DDE" w:rsidR="007864BB" w:rsidRPr="00EB056A" w:rsidRDefault="007864BB" w:rsidP="00A972B6">
      <w:pPr>
        <w:spacing w:line="480" w:lineRule="auto"/>
        <w:ind w:firstLine="720"/>
        <w:jc w:val="both"/>
        <w:rPr>
          <w:rFonts w:ascii="Arial" w:hAnsi="Arial" w:cs="Arial"/>
          <w:sz w:val="24"/>
          <w:szCs w:val="24"/>
        </w:rPr>
      </w:pPr>
      <w:r w:rsidRPr="00A972B6">
        <w:rPr>
          <w:rFonts w:ascii="Arial" w:hAnsi="Arial" w:cs="Arial"/>
          <w:sz w:val="24"/>
          <w:szCs w:val="24"/>
        </w:rPr>
        <w:t>B</w:t>
      </w:r>
      <w:r w:rsidR="0032060D" w:rsidRPr="00A972B6">
        <w:rPr>
          <w:rFonts w:ascii="Arial" w:hAnsi="Arial" w:cs="Arial"/>
          <w:sz w:val="24"/>
          <w:szCs w:val="24"/>
        </w:rPr>
        <w:t xml:space="preserve">rain </w:t>
      </w:r>
      <w:r w:rsidR="001219D5">
        <w:rPr>
          <w:rFonts w:ascii="Arial" w:hAnsi="Arial" w:cs="Arial"/>
          <w:sz w:val="24"/>
          <w:szCs w:val="24"/>
        </w:rPr>
        <w:t>vessels</w:t>
      </w:r>
      <w:r w:rsidR="001219D5" w:rsidRPr="00A972B6">
        <w:rPr>
          <w:rFonts w:ascii="Arial" w:hAnsi="Arial" w:cs="Arial"/>
          <w:sz w:val="24"/>
          <w:szCs w:val="24"/>
        </w:rPr>
        <w:t xml:space="preserve"> </w:t>
      </w:r>
      <w:r w:rsidR="006A2E53" w:rsidRPr="00A972B6">
        <w:rPr>
          <w:rFonts w:ascii="Arial" w:hAnsi="Arial" w:cs="Arial"/>
          <w:sz w:val="24"/>
          <w:szCs w:val="24"/>
        </w:rPr>
        <w:t xml:space="preserve">consist </w:t>
      </w:r>
      <w:r w:rsidRPr="00A972B6">
        <w:rPr>
          <w:rFonts w:ascii="Arial" w:hAnsi="Arial" w:cs="Arial"/>
          <w:sz w:val="24"/>
          <w:szCs w:val="24"/>
        </w:rPr>
        <w:t xml:space="preserve">of 3 layers </w:t>
      </w:r>
      <w:r w:rsidR="002223D0" w:rsidRPr="00A972B6">
        <w:rPr>
          <w:rFonts w:ascii="Arial" w:hAnsi="Arial" w:cs="Arial"/>
          <w:sz w:val="24"/>
          <w:szCs w:val="24"/>
        </w:rPr>
        <w:t>that</w:t>
      </w:r>
      <w:r w:rsidRPr="00A972B6">
        <w:rPr>
          <w:rFonts w:ascii="Arial" w:hAnsi="Arial" w:cs="Arial"/>
          <w:sz w:val="24"/>
          <w:szCs w:val="24"/>
        </w:rPr>
        <w:t xml:space="preserve"> provide both </w:t>
      </w:r>
      <w:r w:rsidRPr="00EB056A">
        <w:rPr>
          <w:rFonts w:ascii="Arial" w:hAnsi="Arial" w:cs="Arial"/>
          <w:sz w:val="24"/>
          <w:szCs w:val="24"/>
        </w:rPr>
        <w:t>elasticity and rigidity and which are, from inner to outer, the tunica intima (which include</w:t>
      </w:r>
      <w:r w:rsidR="00C6320A">
        <w:rPr>
          <w:rFonts w:ascii="Arial" w:hAnsi="Arial" w:cs="Arial"/>
          <w:sz w:val="24"/>
          <w:szCs w:val="24"/>
        </w:rPr>
        <w:t>s</w:t>
      </w:r>
      <w:r w:rsidRPr="00EB056A">
        <w:rPr>
          <w:rFonts w:ascii="Arial" w:hAnsi="Arial" w:cs="Arial"/>
          <w:sz w:val="24"/>
          <w:szCs w:val="24"/>
        </w:rPr>
        <w:t xml:space="preserve"> the internal elastic lamina), the tunica media and the tunica adventitia (</w:t>
      </w:r>
      <w:r w:rsidR="0003744F" w:rsidRPr="0003744F">
        <w:rPr>
          <w:rFonts w:ascii="Arial" w:hAnsi="Arial" w:cs="Arial"/>
          <w:sz w:val="24"/>
          <w:szCs w:val="24"/>
        </w:rPr>
        <w:fldChar w:fldCharType="begin"/>
      </w:r>
      <w:r w:rsidR="0003744F" w:rsidRPr="0003744F">
        <w:rPr>
          <w:rFonts w:ascii="Arial" w:hAnsi="Arial" w:cs="Arial"/>
          <w:sz w:val="24"/>
          <w:szCs w:val="24"/>
        </w:rPr>
        <w:instrText xml:space="preserve"> REF _Ref109766246 \h </w:instrText>
      </w:r>
      <w:r w:rsidR="0003744F" w:rsidRPr="0003744F">
        <w:rPr>
          <w:rFonts w:ascii="Arial" w:hAnsi="Arial" w:cs="Arial"/>
          <w:sz w:val="24"/>
          <w:szCs w:val="24"/>
        </w:rPr>
      </w:r>
      <w:r w:rsidR="0003744F" w:rsidRPr="0003744F">
        <w:rPr>
          <w:rFonts w:ascii="Arial" w:hAnsi="Arial" w:cs="Arial"/>
          <w:sz w:val="24"/>
          <w:szCs w:val="24"/>
        </w:rPr>
        <w:instrText xml:space="preserve"> \* MERGEFORMAT </w:instrText>
      </w:r>
      <w:r w:rsidR="0003744F" w:rsidRPr="0003744F">
        <w:rPr>
          <w:rFonts w:ascii="Arial" w:hAnsi="Arial" w:cs="Arial"/>
          <w:sz w:val="24"/>
          <w:szCs w:val="24"/>
        </w:rPr>
        <w:fldChar w:fldCharType="separate"/>
      </w:r>
      <w:r w:rsidR="005C4791" w:rsidRPr="005C4791">
        <w:rPr>
          <w:rFonts w:ascii="Arial" w:hAnsi="Arial" w:cs="Arial"/>
          <w:sz w:val="24"/>
          <w:szCs w:val="24"/>
        </w:rPr>
        <w:t xml:space="preserve">Figure </w:t>
      </w:r>
      <w:r w:rsidR="005C4791" w:rsidRPr="005C4791">
        <w:rPr>
          <w:rFonts w:ascii="Arial" w:hAnsi="Arial" w:cs="Arial"/>
          <w:noProof/>
          <w:sz w:val="24"/>
          <w:szCs w:val="24"/>
        </w:rPr>
        <w:t>1</w:t>
      </w:r>
      <w:r w:rsidR="0003744F" w:rsidRPr="0003744F">
        <w:rPr>
          <w:rFonts w:ascii="Arial" w:hAnsi="Arial" w:cs="Arial"/>
          <w:sz w:val="24"/>
          <w:szCs w:val="24"/>
        </w:rPr>
        <w:fldChar w:fldCharType="end"/>
      </w:r>
      <w:r w:rsidRPr="00EB056A">
        <w:rPr>
          <w:rFonts w:ascii="Arial" w:hAnsi="Arial" w:cs="Arial"/>
          <w:sz w:val="24"/>
          <w:szCs w:val="24"/>
        </w:rPr>
        <w:t>)</w:t>
      </w:r>
      <w:r w:rsidRPr="00EB056A">
        <w:rPr>
          <w:rFonts w:ascii="Arial" w:hAnsi="Arial" w:cs="Arial"/>
          <w:sz w:val="24"/>
          <w:szCs w:val="24"/>
          <w:vertAlign w:val="superscript"/>
        </w:rPr>
        <w:fldChar w:fldCharType="begin"/>
      </w:r>
      <w:r w:rsidR="005B4F59">
        <w:rPr>
          <w:rFonts w:ascii="Arial" w:hAnsi="Arial" w:cs="Arial"/>
          <w:sz w:val="24"/>
          <w:szCs w:val="24"/>
          <w:vertAlign w:val="superscript"/>
        </w:rPr>
        <w:instrText xml:space="preserve"> ADDIN ZOTERO_ITEM CSL_CITATION {"citationID":"eTCbiJHp","properties":{"formattedCitation":"\\super 5,6\\nosupersub{}","plainCitation":"5,6","noteIndex":0},"citationItems":[{"id":49,"uris":["http://zotero.org/users/6508478/items/JURIAMZZ"],"itemData":{"id":49,"type":"chapter","abstract":"The peripheral vascular system (PVS) includes all the blood vessels that exist outside the heart. The peripheral vascular system is classified as follows: The aorta and its branches: The arterioles. The capillaries. The venules and veins returning blood to the heart. The function and structure of each segment of the peripheral vascular system vary depending on the organ it supplies. Aside from capillaries, blood vessels are all made of three layers:  The adventitia or outer layer which provides structural support and shape to the vessel. The tunica media or a middle layer composed of elastic and muscular tissue which regulates the internal diameter of the vessel. The tunic intima or an inner layer consisting of an endothelial lining which provides a frictionless pathway for the movement of blood. Within each layer, the amount of muscle and collagen fibrils varies, depending on the size and location of the vessel.  Arteries  Arteries play a major role in nourishing organs with blood and nutrients. Arteries are always under high pressure. To accommodate this stress, they have an abundance of elastic tissue and less smooth muscle. The presence of elastin in the large blood vessels enables these vessels to increase in size and alter their diameter. When an artery reaches a particular organ, it undergoes a further division into smaller vessels that have more smooth muscle and less elastic tissue. As the diameter of the blood vessels decreases, the velocity of blood flow also diminishes. Estimates are that about 10% to 15% of the total blood volume is contained in the arterial system. This feature of high systemic pressure and low volume is typical of the arterial system.    There are two main types of arteries found in the body: (1) the elastic arteries, and (2) the muscular arteries. Muscular arteries include the anatomically named arteries like the brachial artery, the radial artery, and the femoral artery, for example. Muscular arteries contain more smooth muscle cells in the tunica media layer than the elastic arteries. Elastic arteries are those nearest the heart (aorta and pulmonary arteries) that contain much more elastic tissue in the tunica media than muscular arteries. This feature of the elastic arteries allows them to maintain a relatively constant pressure gradient despite the constant pumping action of the heart.   Arterioles  Arterioles provide blood to the organs and are chiefly composed of smooth muscle. The autonomic nervous system influences the diameter and shape of arterioles. They respond to the tissue's need for more nutrients/oxygen. Arterioles play a significant role in the systemic vascular resistance because of the lack of significant elastic tissue in the walls.  The arterioles vary from 8 to 60 micrometers. The arterioles further subdivide into meta-arterioles.  Capillaries  Capillaries are thin-walled vessels composed of a single endothelial layer. Because of the thin walls of the capillary, the exchange of nutrients and metabolites occurs primarily via diffusion. The arteriolar lumen regulates the flow of blood through the capillaries.  Venules  Venules are the smallest veins and receive blood from capillaries. They also play a role in the exchange of oxygen and nutrients for water products. There are post-capillary sphincters located between the capillaries and venules. The venule is very thin-walled and easily prone to rupture with excessive volume.  Veins  Blood flows from venules into larger veins. Just like the arterial system, three layers make up the vein walls. But unlike the arteries, the venous pressure is low. Veins are thin-walled and are less elastic. This feature permits the veins to hold a very high percentage of the blood in circulation. The venous system can accommodate a large volume of blood at relatively low pressures, a feature termed high capacitance. At any point in time, nearly three-fourths of the circulating blood volume is contained in the venous system. One can also find one-way valves inside veins that allow for blood flow, toward the heart, in a forward direction. Muscle contractions aid the blood flow in the leg veins. The forward blood flow from the lower extremities to the heart is also influenced by respiratory changes that affect pressure gradients in the abdomen and chest cavity. This pressure differential is highest during deep inspiration, but a small pressure differential is observable during the entire respiratory cycle.","call-number":"NBK470401","container-title":"StatPearls","event-place":"Treasure Island (FL)","language":"eng","note":"PMID: 29262226","publisher":"StatPearls Publishing","publisher-place":"Treasure Island (FL)","source":"PubMed","title":"Anatomy, Blood Vessels","URL":"http://www.ncbi.nlm.nih.gov/books/NBK470401/","author":[{"family":"Tucker","given":"William D."},{"family":"Arora","given":"Yingyot"},{"family":"Mahajan","given":"Kunal"}],"accessed":{"date-parts":[["2021",5,21]]},"issued":{"date-parts":[["2021"]]}}},{"id":48,"uris":["http://zotero.org/users/6508478/items/QJQ7QB22"],"itemData":{"id":48,"type":"webpage","title":"Classification &amp; Structure of Blood Vessels | SEER Training","URL":"https://training.seer.cancer.gov/anatomy/cardiovascular/blood/classification.html","accessed":{"date-parts":[["2021",5,21]]}}}],"schema":"https://github.com/citation-style-language/schema/raw/master/csl-citation.json"} </w:instrText>
      </w:r>
      <w:r w:rsidRPr="00EB056A">
        <w:rPr>
          <w:rFonts w:ascii="Arial" w:hAnsi="Arial" w:cs="Arial"/>
          <w:sz w:val="24"/>
          <w:szCs w:val="24"/>
          <w:vertAlign w:val="superscript"/>
        </w:rPr>
        <w:fldChar w:fldCharType="separate"/>
      </w:r>
      <w:r w:rsidR="001A1650" w:rsidRPr="00EB056A">
        <w:rPr>
          <w:rFonts w:ascii="Arial" w:hAnsi="Arial" w:cs="Arial"/>
          <w:sz w:val="24"/>
          <w:szCs w:val="24"/>
          <w:vertAlign w:val="superscript"/>
        </w:rPr>
        <w:t>5,6</w:t>
      </w:r>
      <w:r w:rsidRPr="00EB056A">
        <w:rPr>
          <w:rFonts w:ascii="Arial" w:hAnsi="Arial" w:cs="Arial"/>
          <w:sz w:val="24"/>
          <w:szCs w:val="24"/>
          <w:vertAlign w:val="superscript"/>
        </w:rPr>
        <w:fldChar w:fldCharType="end"/>
      </w:r>
      <w:r w:rsidRPr="00EB056A">
        <w:rPr>
          <w:rFonts w:ascii="Arial" w:hAnsi="Arial" w:cs="Arial"/>
          <w:sz w:val="24"/>
          <w:szCs w:val="24"/>
        </w:rPr>
        <w:t xml:space="preserve">. </w:t>
      </w:r>
      <w:r w:rsidR="007D2A95" w:rsidRPr="00EB056A">
        <w:rPr>
          <w:rFonts w:ascii="Arial" w:hAnsi="Arial" w:cs="Arial"/>
          <w:sz w:val="24"/>
          <w:szCs w:val="24"/>
        </w:rPr>
        <w:t>The structure of b</w:t>
      </w:r>
      <w:r w:rsidR="00EE239F" w:rsidRPr="00EB056A">
        <w:rPr>
          <w:rFonts w:ascii="Arial" w:hAnsi="Arial" w:cs="Arial"/>
          <w:sz w:val="24"/>
          <w:szCs w:val="24"/>
        </w:rPr>
        <w:t xml:space="preserve">rain </w:t>
      </w:r>
      <w:r w:rsidR="008B0767">
        <w:rPr>
          <w:rFonts w:ascii="Arial" w:hAnsi="Arial" w:cs="Arial"/>
          <w:sz w:val="24"/>
          <w:szCs w:val="24"/>
        </w:rPr>
        <w:t>vessels</w:t>
      </w:r>
      <w:r w:rsidR="008B0767" w:rsidRPr="00EB056A">
        <w:rPr>
          <w:rFonts w:ascii="Arial" w:hAnsi="Arial" w:cs="Arial"/>
          <w:sz w:val="24"/>
          <w:szCs w:val="24"/>
        </w:rPr>
        <w:t xml:space="preserve"> </w:t>
      </w:r>
      <w:r w:rsidR="007D2A95" w:rsidRPr="00EB056A">
        <w:rPr>
          <w:rFonts w:ascii="Arial" w:hAnsi="Arial" w:cs="Arial"/>
          <w:sz w:val="24"/>
          <w:szCs w:val="24"/>
        </w:rPr>
        <w:t>is different from extracranial</w:t>
      </w:r>
      <w:r w:rsidR="00AA1199" w:rsidRPr="00EB056A">
        <w:rPr>
          <w:rFonts w:ascii="Arial" w:hAnsi="Arial" w:cs="Arial"/>
          <w:sz w:val="24"/>
          <w:szCs w:val="24"/>
        </w:rPr>
        <w:t xml:space="preserve"> </w:t>
      </w:r>
      <w:r w:rsidR="00AA2632">
        <w:rPr>
          <w:rFonts w:ascii="Arial" w:hAnsi="Arial" w:cs="Arial"/>
          <w:sz w:val="24"/>
          <w:szCs w:val="24"/>
        </w:rPr>
        <w:t>vessels</w:t>
      </w:r>
      <w:r w:rsidR="00AA2632" w:rsidRPr="00EB056A">
        <w:rPr>
          <w:rFonts w:ascii="Arial" w:hAnsi="Arial" w:cs="Arial"/>
          <w:sz w:val="24"/>
          <w:szCs w:val="24"/>
        </w:rPr>
        <w:t xml:space="preserve"> </w:t>
      </w:r>
      <w:r w:rsidR="00AA1199" w:rsidRPr="00EB056A">
        <w:rPr>
          <w:rFonts w:ascii="Arial" w:hAnsi="Arial" w:cs="Arial"/>
          <w:sz w:val="24"/>
          <w:szCs w:val="24"/>
        </w:rPr>
        <w:t>because the former have a thinner layer of smooth muscle cells constitu</w:t>
      </w:r>
      <w:r w:rsidR="0065030B" w:rsidRPr="00EB056A">
        <w:rPr>
          <w:rFonts w:ascii="Arial" w:hAnsi="Arial" w:cs="Arial"/>
          <w:sz w:val="24"/>
          <w:szCs w:val="24"/>
        </w:rPr>
        <w:t xml:space="preserve">ting their </w:t>
      </w:r>
      <w:r w:rsidR="002F3F9E" w:rsidRPr="00EB056A">
        <w:rPr>
          <w:rFonts w:ascii="Arial" w:hAnsi="Arial" w:cs="Arial"/>
          <w:sz w:val="24"/>
          <w:szCs w:val="24"/>
        </w:rPr>
        <w:t>tunica media</w:t>
      </w:r>
      <w:r w:rsidR="0065030B" w:rsidRPr="00EB056A">
        <w:rPr>
          <w:rFonts w:ascii="Arial" w:hAnsi="Arial" w:cs="Arial"/>
          <w:sz w:val="24"/>
          <w:szCs w:val="24"/>
        </w:rPr>
        <w:t xml:space="preserve"> and are surrounded by cerebrospinal fluid instead of connective tissue</w:t>
      </w:r>
      <w:r w:rsidR="00933AA0" w:rsidRPr="00EB056A">
        <w:rPr>
          <w:rFonts w:ascii="Arial" w:hAnsi="Arial" w:cs="Arial"/>
          <w:sz w:val="24"/>
          <w:szCs w:val="24"/>
        </w:rPr>
        <w:fldChar w:fldCharType="begin"/>
      </w:r>
      <w:r w:rsidR="005B4F59">
        <w:rPr>
          <w:rFonts w:ascii="Arial" w:hAnsi="Arial" w:cs="Arial"/>
          <w:sz w:val="24"/>
          <w:szCs w:val="24"/>
        </w:rPr>
        <w:instrText xml:space="preserve"> ADDIN ZOTERO_ITEM CSL_CITATION {"citationID":"8Ry5ZOOr","properties":{"formattedCitation":"\\super 7\\nosupersub{}","plainCitation":"7","noteIndex":0},"citationItems":[{"id":16,"uris":["http://zotero.org/users/6508478/items/FAFYHU6P"],"itemData":{"id":16,"type":"article-journal","abstract":"Saccular unruptured intracranial aneurysms (UIAs) have a prevalence of 3% in the adult population, and are being increasingly detected because of improved quality and higher frequency of cranial imaging. Large amounts of data, providing varying levels of evidence, have been published on aneurysm development, progression and rupture, but less information is available on the risks and efficacy of preventive treatment. When deciding how to best manage UIAs, clinicians must consider the age and life expectancy of the patient, the estimated risk of rupture, the risk of complications attributed to preventive treatment, and the level of anxiety caused by the awareness of having an aneurysm. This Review highlights the latest human data on the formation, progression and rupture of intracranial aneurysms, as well as risks associated with preventive treatment. Considering these we discuss the implication for clinical management. Furthermore, we highlight pivotal questions arising from current data on intracranial aneurysms and the implications the data have for future experimental or clinical research. We also discuss data on novel radiological surrogates for rupture for those aneurysms that do not require preventive occlusion. Finally, we provide guidance for clinicians who are confronted with patients with incidentally detected UIAs.","container-title":"Nature Reviews. Neurology","DOI":"10.1038/nrneurol.2016.150","ISSN":"1759-4766","issue":"12","journalAbbreviation":"Nat Rev Neurol","language":"eng","note":"PMID: 27808265","page":"699-713","source":"PubMed","title":"Unruptured intracranial aneurysms: development, rupture and preventive management","title-short":"Unruptured intracranial aneurysms","volume":"12","author":[{"family":"Etminan","given":"Nima"},{"family":"Rinkel","given":"Gabriel J."}],"issued":{"date-parts":[["2016",12]]}}}],"schema":"https://github.com/citation-style-language/schema/raw/master/csl-citation.json"} </w:instrText>
      </w:r>
      <w:r w:rsidR="00933AA0" w:rsidRPr="00EB056A">
        <w:rPr>
          <w:rFonts w:ascii="Arial" w:hAnsi="Arial" w:cs="Arial"/>
          <w:sz w:val="24"/>
          <w:szCs w:val="24"/>
        </w:rPr>
        <w:fldChar w:fldCharType="separate"/>
      </w:r>
      <w:r w:rsidR="00933AA0" w:rsidRPr="00EB056A">
        <w:rPr>
          <w:rFonts w:ascii="Arial" w:hAnsi="Arial" w:cs="Arial"/>
          <w:sz w:val="24"/>
          <w:szCs w:val="24"/>
          <w:vertAlign w:val="superscript"/>
        </w:rPr>
        <w:t>7</w:t>
      </w:r>
      <w:r w:rsidR="00933AA0" w:rsidRPr="00EB056A">
        <w:rPr>
          <w:rFonts w:ascii="Arial" w:hAnsi="Arial" w:cs="Arial"/>
          <w:sz w:val="24"/>
          <w:szCs w:val="24"/>
        </w:rPr>
        <w:fldChar w:fldCharType="end"/>
      </w:r>
      <w:r w:rsidR="00ED4358" w:rsidRPr="00EB056A">
        <w:rPr>
          <w:rFonts w:ascii="Arial" w:hAnsi="Arial" w:cs="Arial"/>
          <w:sz w:val="24"/>
          <w:szCs w:val="24"/>
        </w:rPr>
        <w:t>.</w:t>
      </w:r>
    </w:p>
    <w:p w14:paraId="77609E6F" w14:textId="1BEB1CD5" w:rsidR="00592BC4" w:rsidRPr="00EB056A" w:rsidRDefault="0003744F" w:rsidP="00EB056A">
      <w:pPr>
        <w:spacing w:line="480" w:lineRule="auto"/>
        <w:jc w:val="center"/>
        <w:rPr>
          <w:rFonts w:ascii="Arial" w:hAnsi="Arial" w:cs="Arial"/>
        </w:rPr>
      </w:pPr>
      <w:r>
        <w:rPr>
          <w:rFonts w:ascii="Arial" w:hAnsi="Arial" w:cs="Arial"/>
          <w:noProof/>
        </w:rPr>
        <mc:AlternateContent>
          <mc:Choice Requires="wps">
            <w:drawing>
              <wp:anchor distT="0" distB="0" distL="114300" distR="114300" simplePos="0" relativeHeight="251688960" behindDoc="0" locked="0" layoutInCell="1" allowOverlap="1" wp14:anchorId="2ACEEBBC" wp14:editId="3BA6615B">
                <wp:simplePos x="0" y="0"/>
                <wp:positionH relativeFrom="margin">
                  <wp:posOffset>2865755</wp:posOffset>
                </wp:positionH>
                <wp:positionV relativeFrom="paragraph">
                  <wp:posOffset>487045</wp:posOffset>
                </wp:positionV>
                <wp:extent cx="434340" cy="365760"/>
                <wp:effectExtent l="0" t="0" r="0" b="0"/>
                <wp:wrapNone/>
                <wp:docPr id="15" name="Rectangle 15"/>
                <wp:cNvGraphicFramePr/>
                <a:graphic xmlns:a="http://schemas.openxmlformats.org/drawingml/2006/main">
                  <a:graphicData uri="http://schemas.microsoft.com/office/word/2010/wordprocessingShape">
                    <wps:wsp>
                      <wps:cNvSpPr/>
                      <wps:spPr>
                        <a:xfrm>
                          <a:off x="0" y="0"/>
                          <a:ext cx="434340" cy="36576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2D530D4" w14:textId="671DA055" w:rsidR="003F6E85" w:rsidRPr="009C48AC" w:rsidRDefault="003F6E85" w:rsidP="00CD0B84">
                            <w:pPr>
                              <w:jc w:val="center"/>
                              <w:rPr>
                                <w:b/>
                                <w:bCs/>
                                <w:color w:val="000000" w:themeColor="text1"/>
                                <w:sz w:val="28"/>
                                <w:szCs w:val="28"/>
                              </w:rPr>
                            </w:pPr>
                            <w:r w:rsidRPr="009C48AC">
                              <w:rPr>
                                <w:b/>
                                <w:bCs/>
                                <w:color w:val="000000" w:themeColor="text1"/>
                                <w:sz w:val="28"/>
                                <w:szCs w:val="28"/>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CEEBBC" id="Rectangle 15" o:spid="_x0000_s1027" style="position:absolute;left:0;text-align:left;margin-left:225.65pt;margin-top:38.35pt;width:34.2pt;height:28.8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" filled="f" stroked="f" strokeweight="2pt">
                <v:textbox>
                  <w:txbxContent>
                    <w:p w14:paraId="12D530D4" w14:textId="671DA055" w:rsidR="003F6E85" w:rsidRPr="009C48AC" w:rsidRDefault="003F6E85" w:rsidP="00CD0B84">
                      <w:pPr>
                        <w:jc w:val="center"/>
                        <w:rPr>
                          <w:b/>
                          <w:bCs/>
                          <w:color w:val="000000" w:themeColor="text1"/>
                          <w:sz w:val="28"/>
                          <w:szCs w:val="28"/>
                        </w:rPr>
                      </w:pPr>
                      <w:r w:rsidRPr="009C48AC">
                        <w:rPr>
                          <w:b/>
                          <w:bCs/>
                          <w:color w:val="000000" w:themeColor="text1"/>
                          <w:sz w:val="28"/>
                          <w:szCs w:val="28"/>
                        </w:rPr>
                        <w:t>E</w:t>
                      </w:r>
                    </w:p>
                  </w:txbxContent>
                </v:textbox>
                <w10:wrap anchorx="margin"/>
              </v:rect>
            </w:pict>
          </mc:Fallback>
        </mc:AlternateContent>
      </w:r>
      <w:r>
        <w:rPr>
          <w:rFonts w:ascii="Arial" w:hAnsi="Arial" w:cs="Arial"/>
          <w:noProof/>
        </w:rPr>
        <mc:AlternateContent>
          <mc:Choice Requires="wps">
            <w:drawing>
              <wp:anchor distT="0" distB="0" distL="114300" distR="114300" simplePos="0" relativeHeight="251686912" behindDoc="0" locked="0" layoutInCell="1" allowOverlap="1" wp14:anchorId="2F3F8EC6" wp14:editId="1B739F2F">
                <wp:simplePos x="0" y="0"/>
                <wp:positionH relativeFrom="margin">
                  <wp:posOffset>2563495</wp:posOffset>
                </wp:positionH>
                <wp:positionV relativeFrom="paragraph">
                  <wp:posOffset>372110</wp:posOffset>
                </wp:positionV>
                <wp:extent cx="411480" cy="397764"/>
                <wp:effectExtent l="0" t="0" r="0" b="0"/>
                <wp:wrapNone/>
                <wp:docPr id="13" name="Rectangle 13"/>
                <wp:cNvGraphicFramePr/>
                <a:graphic xmlns:a="http://schemas.openxmlformats.org/drawingml/2006/main">
                  <a:graphicData uri="http://schemas.microsoft.com/office/word/2010/wordprocessingShape">
                    <wps:wsp>
                      <wps:cNvSpPr/>
                      <wps:spPr>
                        <a:xfrm>
                          <a:off x="0" y="0"/>
                          <a:ext cx="411480" cy="397764"/>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5546E96" w14:textId="0E5422D0" w:rsidR="003F6E85" w:rsidRPr="009C48AC" w:rsidRDefault="003F6E85" w:rsidP="00CD0B84">
                            <w:pPr>
                              <w:jc w:val="center"/>
                              <w:rPr>
                                <w:b/>
                                <w:bCs/>
                                <w:color w:val="000000" w:themeColor="text1"/>
                                <w:sz w:val="28"/>
                                <w:szCs w:val="28"/>
                              </w:rPr>
                            </w:pPr>
                            <w:r w:rsidRPr="009C48AC">
                              <w:rPr>
                                <w:b/>
                                <w:bCs/>
                                <w:color w:val="000000" w:themeColor="text1"/>
                                <w:sz w:val="28"/>
                                <w:szCs w:val="28"/>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3F8EC6" id="Rectangle 13" o:spid="_x0000_s1028" style="position:absolute;left:0;text-align:left;margin-left:201.85pt;margin-top:29.3pt;width:32.4pt;height:31.3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" filled="f" stroked="f" strokeweight="2pt">
                <v:textbox>
                  <w:txbxContent>
                    <w:p w14:paraId="65546E96" w14:textId="0E5422D0" w:rsidR="003F6E85" w:rsidRPr="009C48AC" w:rsidRDefault="003F6E85" w:rsidP="00CD0B84">
                      <w:pPr>
                        <w:jc w:val="center"/>
                        <w:rPr>
                          <w:b/>
                          <w:bCs/>
                          <w:color w:val="000000" w:themeColor="text1"/>
                          <w:sz w:val="28"/>
                          <w:szCs w:val="28"/>
                        </w:rPr>
                      </w:pPr>
                      <w:r w:rsidRPr="009C48AC">
                        <w:rPr>
                          <w:b/>
                          <w:bCs/>
                          <w:color w:val="000000" w:themeColor="text1"/>
                          <w:sz w:val="28"/>
                          <w:szCs w:val="28"/>
                        </w:rPr>
                        <w:t>D</w:t>
                      </w:r>
                    </w:p>
                  </w:txbxContent>
                </v:textbox>
                <w10:wrap anchorx="margin"/>
              </v:rect>
            </w:pict>
          </mc:Fallback>
        </mc:AlternateContent>
      </w:r>
      <w:r>
        <w:rPr>
          <w:rFonts w:ascii="Arial" w:hAnsi="Arial" w:cs="Arial"/>
          <w:noProof/>
        </w:rPr>
        <mc:AlternateContent>
          <mc:Choice Requires="wps">
            <w:drawing>
              <wp:anchor distT="0" distB="0" distL="114300" distR="114300" simplePos="0" relativeHeight="251680768" behindDoc="0" locked="0" layoutInCell="1" allowOverlap="1" wp14:anchorId="4A388809" wp14:editId="7CB30D0D">
                <wp:simplePos x="0" y="0"/>
                <wp:positionH relativeFrom="column">
                  <wp:posOffset>1689735</wp:posOffset>
                </wp:positionH>
                <wp:positionV relativeFrom="paragraph">
                  <wp:posOffset>988695</wp:posOffset>
                </wp:positionV>
                <wp:extent cx="406908" cy="480060"/>
                <wp:effectExtent l="0" t="0" r="0" b="0"/>
                <wp:wrapNone/>
                <wp:docPr id="9" name="Rectangle 9"/>
                <wp:cNvGraphicFramePr/>
                <a:graphic xmlns:a="http://schemas.openxmlformats.org/drawingml/2006/main">
                  <a:graphicData uri="http://schemas.microsoft.com/office/word/2010/wordprocessingShape">
                    <wps:wsp>
                      <wps:cNvSpPr/>
                      <wps:spPr>
                        <a:xfrm>
                          <a:off x="0" y="0"/>
                          <a:ext cx="406908" cy="48006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D531DCD" w14:textId="27B3B8B1" w:rsidR="003F6E85" w:rsidRPr="009C48AC" w:rsidRDefault="003F6E85" w:rsidP="00CD0B84">
                            <w:pPr>
                              <w:jc w:val="center"/>
                              <w:rPr>
                                <w:b/>
                                <w:bCs/>
                                <w:color w:val="000000" w:themeColor="text1"/>
                                <w:sz w:val="28"/>
                                <w:szCs w:val="28"/>
                              </w:rPr>
                            </w:pPr>
                            <w:r w:rsidRPr="009C48AC">
                              <w:rPr>
                                <w:b/>
                                <w:bCs/>
                                <w:color w:val="000000" w:themeColor="text1"/>
                                <w:sz w:val="28"/>
                                <w:szCs w:val="28"/>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388809" id="Rectangle 9" o:spid="_x0000_s1029" style="position:absolute;left:0;text-align:left;margin-left:133.05pt;margin-top:77.85pt;width:32.05pt;height:37.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" filled="f" stroked="f" strokeweight="2pt">
                <v:textbox>
                  <w:txbxContent>
                    <w:p w14:paraId="4D531DCD" w14:textId="27B3B8B1" w:rsidR="003F6E85" w:rsidRPr="009C48AC" w:rsidRDefault="003F6E85" w:rsidP="00CD0B84">
                      <w:pPr>
                        <w:jc w:val="center"/>
                        <w:rPr>
                          <w:b/>
                          <w:bCs/>
                          <w:color w:val="000000" w:themeColor="text1"/>
                          <w:sz w:val="28"/>
                          <w:szCs w:val="28"/>
                        </w:rPr>
                      </w:pPr>
                      <w:r w:rsidRPr="009C48AC">
                        <w:rPr>
                          <w:b/>
                          <w:bCs/>
                          <w:color w:val="000000" w:themeColor="text1"/>
                          <w:sz w:val="28"/>
                          <w:szCs w:val="28"/>
                        </w:rPr>
                        <w:t>A</w:t>
                      </w:r>
                    </w:p>
                  </w:txbxContent>
                </v:textbox>
              </v:rect>
            </w:pict>
          </mc:Fallback>
        </mc:AlternateContent>
      </w:r>
      <w:r>
        <w:rPr>
          <w:rFonts w:ascii="Arial" w:hAnsi="Arial" w:cs="Arial"/>
          <w:noProof/>
        </w:rPr>
        <mc:AlternateContent>
          <mc:Choice Requires="wps">
            <w:drawing>
              <wp:anchor distT="0" distB="0" distL="114300" distR="114300" simplePos="0" relativeHeight="251689984" behindDoc="0" locked="0" layoutInCell="1" allowOverlap="1" wp14:anchorId="198218F2" wp14:editId="1BC3B732">
                <wp:simplePos x="0" y="0"/>
                <wp:positionH relativeFrom="column">
                  <wp:posOffset>1915795</wp:posOffset>
                </wp:positionH>
                <wp:positionV relativeFrom="paragraph">
                  <wp:posOffset>947420</wp:posOffset>
                </wp:positionV>
                <wp:extent cx="48768" cy="138303"/>
                <wp:effectExtent l="19050" t="38100" r="66040" b="14605"/>
                <wp:wrapNone/>
                <wp:docPr id="16" name="Straight Arrow Connector 16"/>
                <wp:cNvGraphicFramePr/>
                <a:graphic xmlns:a="http://schemas.openxmlformats.org/drawingml/2006/main">
                  <a:graphicData uri="http://schemas.microsoft.com/office/word/2010/wordprocessingShape">
                    <wps:wsp>
                      <wps:cNvCnPr/>
                      <wps:spPr>
                        <a:xfrm flipV="1">
                          <a:off x="0" y="0"/>
                          <a:ext cx="48768" cy="13830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39D36FD" id="_x0000_t32" coordsize="21600,21600" o:spt="32" o:oned="t" path="m,l21600,21600e" filled="f">
                <v:path arrowok="t" fillok="f" o:connecttype="none"/>
                <o:lock v:ext="edit" shapetype="t"/>
              </v:shapetype>
              <v:shape id="Straight Arrow Connector 16" o:spid="_x0000_s1026" type="#_x0000_t32" style="position:absolute;margin-left:150.85pt;margin-top:74.6pt;width:3.85pt;height:10.9pt;flip: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" strokecolor="black [3040]">
                <v:stroke endarrow="block"/>
              </v:shape>
            </w:pict>
          </mc:Fallback>
        </mc:AlternateContent>
      </w:r>
      <w:r>
        <w:rPr>
          <w:rFonts w:ascii="Arial" w:hAnsi="Arial" w:cs="Arial"/>
          <w:noProof/>
        </w:rPr>
        <mc:AlternateContent>
          <mc:Choice Requires="wps">
            <w:drawing>
              <wp:anchor distT="0" distB="0" distL="114300" distR="114300" simplePos="0" relativeHeight="251682816" behindDoc="0" locked="0" layoutInCell="1" allowOverlap="1" wp14:anchorId="1BE4B343" wp14:editId="4212B105">
                <wp:simplePos x="0" y="0"/>
                <wp:positionH relativeFrom="margin">
                  <wp:posOffset>2001520</wp:posOffset>
                </wp:positionH>
                <wp:positionV relativeFrom="paragraph">
                  <wp:posOffset>638175</wp:posOffset>
                </wp:positionV>
                <wp:extent cx="297180" cy="301752"/>
                <wp:effectExtent l="0" t="0" r="0" b="0"/>
                <wp:wrapNone/>
                <wp:docPr id="10" name="Rectangle 10"/>
                <wp:cNvGraphicFramePr/>
                <a:graphic xmlns:a="http://schemas.openxmlformats.org/drawingml/2006/main">
                  <a:graphicData uri="http://schemas.microsoft.com/office/word/2010/wordprocessingShape">
                    <wps:wsp>
                      <wps:cNvSpPr/>
                      <wps:spPr>
                        <a:xfrm>
                          <a:off x="0" y="0"/>
                          <a:ext cx="297180" cy="301752"/>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7B2D1B1" w14:textId="0FE681E7" w:rsidR="003F6E85" w:rsidRPr="009C48AC" w:rsidRDefault="003F6E85" w:rsidP="00CD0B84">
                            <w:pPr>
                              <w:jc w:val="center"/>
                              <w:rPr>
                                <w:b/>
                                <w:bCs/>
                                <w:color w:val="000000" w:themeColor="text1"/>
                                <w:sz w:val="28"/>
                                <w:szCs w:val="28"/>
                              </w:rPr>
                            </w:pPr>
                            <w:r w:rsidRPr="009C48AC">
                              <w:rPr>
                                <w:b/>
                                <w:bCs/>
                                <w:color w:val="000000" w:themeColor="text1"/>
                                <w:sz w:val="28"/>
                                <w:szCs w:val="28"/>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E4B343" id="Rectangle 10" o:spid="_x0000_s1030" style="position:absolute;left:0;text-align:left;margin-left:157.6pt;margin-top:50.25pt;width:23.4pt;height:23.75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" filled="f" stroked="f" strokeweight="2pt">
                <v:textbox>
                  <w:txbxContent>
                    <w:p w14:paraId="57B2D1B1" w14:textId="0FE681E7" w:rsidR="003F6E85" w:rsidRPr="009C48AC" w:rsidRDefault="003F6E85" w:rsidP="00CD0B84">
                      <w:pPr>
                        <w:jc w:val="center"/>
                        <w:rPr>
                          <w:b/>
                          <w:bCs/>
                          <w:color w:val="000000" w:themeColor="text1"/>
                          <w:sz w:val="28"/>
                          <w:szCs w:val="28"/>
                        </w:rPr>
                      </w:pPr>
                      <w:r w:rsidRPr="009C48AC">
                        <w:rPr>
                          <w:b/>
                          <w:bCs/>
                          <w:color w:val="000000" w:themeColor="text1"/>
                          <w:sz w:val="28"/>
                          <w:szCs w:val="28"/>
                        </w:rPr>
                        <w:t>B</w:t>
                      </w:r>
                    </w:p>
                  </w:txbxContent>
                </v:textbox>
                <w10:wrap anchorx="margin"/>
              </v:rect>
            </w:pict>
          </mc:Fallback>
        </mc:AlternateContent>
      </w:r>
      <w:r w:rsidR="002E6A60">
        <w:rPr>
          <w:rFonts w:ascii="Arial" w:hAnsi="Arial" w:cs="Arial"/>
          <w:noProof/>
        </w:rPr>
        <mc:AlternateContent>
          <mc:Choice Requires="wps">
            <w:drawing>
              <wp:anchor distT="0" distB="0" distL="114300" distR="114300" simplePos="0" relativeHeight="251678720" behindDoc="0" locked="0" layoutInCell="1" allowOverlap="1" wp14:anchorId="08EF7688" wp14:editId="60382FDC">
                <wp:simplePos x="0" y="0"/>
                <wp:positionH relativeFrom="column">
                  <wp:posOffset>2187575</wp:posOffset>
                </wp:positionH>
                <wp:positionV relativeFrom="paragraph">
                  <wp:posOffset>3064510</wp:posOffset>
                </wp:positionV>
                <wp:extent cx="964565" cy="45085"/>
                <wp:effectExtent l="0" t="0" r="6985" b="0"/>
                <wp:wrapNone/>
                <wp:docPr id="7" name="Rectangle 7"/>
                <wp:cNvGraphicFramePr/>
                <a:graphic xmlns:a="http://schemas.openxmlformats.org/drawingml/2006/main">
                  <a:graphicData uri="http://schemas.microsoft.com/office/word/2010/wordprocessingShape">
                    <wps:wsp>
                      <wps:cNvSpPr/>
                      <wps:spPr>
                        <a:xfrm>
                          <a:off x="0" y="0"/>
                          <a:ext cx="964565" cy="45085"/>
                        </a:xfrm>
                        <a:prstGeom prst="rect">
                          <a:avLst/>
                        </a:prstGeom>
                        <a:ln>
                          <a:no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146FFBBF" id="Rectangle 7" o:spid="_x0000_s1026" style="position:absolute;margin-left:172.25pt;margin-top:241.3pt;width:75.95pt;height:3.55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" fillcolor="black [3200]" stroked="f" strokeweight="2pt"/>
            </w:pict>
          </mc:Fallback>
        </mc:AlternateContent>
      </w:r>
      <w:r w:rsidR="002E6A60">
        <w:rPr>
          <w:rFonts w:ascii="Arial" w:hAnsi="Arial" w:cs="Arial"/>
          <w:noProof/>
        </w:rPr>
        <mc:AlternateContent>
          <mc:Choice Requires="wps">
            <w:drawing>
              <wp:anchor distT="0" distB="0" distL="114300" distR="114300" simplePos="0" relativeHeight="251679744" behindDoc="0" locked="0" layoutInCell="1" allowOverlap="1" wp14:anchorId="17949D8A" wp14:editId="34D4F86C">
                <wp:simplePos x="0" y="0"/>
                <wp:positionH relativeFrom="column">
                  <wp:posOffset>2135505</wp:posOffset>
                </wp:positionH>
                <wp:positionV relativeFrom="paragraph">
                  <wp:posOffset>2706370</wp:posOffset>
                </wp:positionV>
                <wp:extent cx="978408" cy="306324"/>
                <wp:effectExtent l="0" t="0" r="0" b="0"/>
                <wp:wrapNone/>
                <wp:docPr id="8" name="Rectangle 8"/>
                <wp:cNvGraphicFramePr/>
                <a:graphic xmlns:a="http://schemas.openxmlformats.org/drawingml/2006/main">
                  <a:graphicData uri="http://schemas.microsoft.com/office/word/2010/wordprocessingShape">
                    <wps:wsp>
                      <wps:cNvSpPr/>
                      <wps:spPr>
                        <a:xfrm>
                          <a:off x="0" y="0"/>
                          <a:ext cx="978408" cy="306324"/>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9B983DB" w14:textId="093E7175" w:rsidR="003F6E85" w:rsidRPr="009C48AC" w:rsidRDefault="003F6E85" w:rsidP="009C48AC">
                            <w:pPr>
                              <w:jc w:val="center"/>
                              <w:rPr>
                                <w:color w:val="000000" w:themeColor="text1"/>
                                <w14:textOutline w14:w="9525" w14:cap="rnd" w14:cmpd="sng" w14:algn="ctr">
                                  <w14:noFill/>
                                  <w14:prstDash w14:val="solid"/>
                                  <w14:bevel/>
                                </w14:textOutline>
                              </w:rPr>
                            </w:pPr>
                            <w:r w:rsidRPr="009C48AC">
                              <w:rPr>
                                <w:color w:val="000000" w:themeColor="text1"/>
                                <w14:textOutline w14:w="9525" w14:cap="rnd" w14:cmpd="sng" w14:algn="ctr">
                                  <w14:noFill/>
                                  <w14:prstDash w14:val="solid"/>
                                  <w14:bevel/>
                                </w14:textOutline>
                              </w:rPr>
                              <w:t>0.03 mm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7949D8A" id="Rectangle 8" o:spid="_x0000_s1031" style="position:absolute;left:0;text-align:left;margin-left:168.15pt;margin-top:213.1pt;width:77.05pt;height:24.1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" filled="f" stroked="f" strokeweight="2pt">
                <v:textbox>
                  <w:txbxContent>
                    <w:p w14:paraId="79B983DB" w14:textId="093E7175" w:rsidR="003F6E85" w:rsidRPr="009C48AC" w:rsidRDefault="003F6E85" w:rsidP="009C48AC">
                      <w:pPr>
                        <w:jc w:val="center"/>
                        <w:rPr>
                          <w:color w:val="000000" w:themeColor="text1"/>
                          <w14:textOutline w14:w="9525" w14:cap="rnd" w14:cmpd="sng" w14:algn="ctr">
                            <w14:noFill/>
                            <w14:prstDash w14:val="solid"/>
                            <w14:bevel/>
                          </w14:textOutline>
                        </w:rPr>
                      </w:pPr>
                      <w:r w:rsidRPr="009C48AC">
                        <w:rPr>
                          <w:color w:val="000000" w:themeColor="text1"/>
                          <w14:textOutline w14:w="9525" w14:cap="rnd" w14:cmpd="sng" w14:algn="ctr">
                            <w14:noFill/>
                            <w14:prstDash w14:val="solid"/>
                            <w14:bevel/>
                          </w14:textOutline>
                        </w:rPr>
                        <w:t>0.03 mm</w:t>
                      </w:r>
                    </w:p>
                  </w:txbxContent>
                </v:textbox>
              </v:rect>
            </w:pict>
          </mc:Fallback>
        </mc:AlternateContent>
      </w:r>
      <w:r w:rsidR="00CD0B84">
        <w:rPr>
          <w:rFonts w:ascii="Arial" w:hAnsi="Arial" w:cs="Arial"/>
          <w:noProof/>
        </w:rPr>
        <mc:AlternateContent>
          <mc:Choice Requires="wps">
            <w:drawing>
              <wp:anchor distT="0" distB="0" distL="114300" distR="114300" simplePos="0" relativeHeight="251684864" behindDoc="0" locked="0" layoutInCell="1" allowOverlap="1" wp14:anchorId="0C9CD28A" wp14:editId="7F468601">
                <wp:simplePos x="0" y="0"/>
                <wp:positionH relativeFrom="margin">
                  <wp:posOffset>2313813</wp:posOffset>
                </wp:positionH>
                <wp:positionV relativeFrom="paragraph">
                  <wp:posOffset>543306</wp:posOffset>
                </wp:positionV>
                <wp:extent cx="443484" cy="292608"/>
                <wp:effectExtent l="0" t="0" r="0" b="0"/>
                <wp:wrapNone/>
                <wp:docPr id="12" name="Rectangle 12"/>
                <wp:cNvGraphicFramePr/>
                <a:graphic xmlns:a="http://schemas.openxmlformats.org/drawingml/2006/main">
                  <a:graphicData uri="http://schemas.microsoft.com/office/word/2010/wordprocessingShape">
                    <wps:wsp>
                      <wps:cNvSpPr/>
                      <wps:spPr>
                        <a:xfrm>
                          <a:off x="0" y="0"/>
                          <a:ext cx="443484" cy="292608"/>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FE97604" w14:textId="34BA42BD" w:rsidR="003F6E85" w:rsidRPr="009C48AC" w:rsidRDefault="003F6E85" w:rsidP="00CD0B84">
                            <w:pPr>
                              <w:jc w:val="center"/>
                              <w:rPr>
                                <w:b/>
                                <w:bCs/>
                                <w:color w:val="000000" w:themeColor="text1"/>
                                <w:sz w:val="28"/>
                                <w:szCs w:val="28"/>
                              </w:rPr>
                            </w:pPr>
                            <w:r w:rsidRPr="009C48AC">
                              <w:rPr>
                                <w:b/>
                                <w:bCs/>
                                <w:color w:val="000000" w:themeColor="text1"/>
                                <w:sz w:val="28"/>
                                <w:szCs w:val="28"/>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9CD28A" id="Rectangle 12" o:spid="_x0000_s1032" style="position:absolute;left:0;text-align:left;margin-left:182.2pt;margin-top:42.8pt;width:34.9pt;height:23.0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" filled="f" stroked="f" strokeweight="2pt">
                <v:textbox>
                  <w:txbxContent>
                    <w:p w14:paraId="3FE97604" w14:textId="34BA42BD" w:rsidR="003F6E85" w:rsidRPr="009C48AC" w:rsidRDefault="003F6E85" w:rsidP="00CD0B84">
                      <w:pPr>
                        <w:jc w:val="center"/>
                        <w:rPr>
                          <w:b/>
                          <w:bCs/>
                          <w:color w:val="000000" w:themeColor="text1"/>
                          <w:sz w:val="28"/>
                          <w:szCs w:val="28"/>
                        </w:rPr>
                      </w:pPr>
                      <w:r w:rsidRPr="009C48AC">
                        <w:rPr>
                          <w:b/>
                          <w:bCs/>
                          <w:color w:val="000000" w:themeColor="text1"/>
                          <w:sz w:val="28"/>
                          <w:szCs w:val="28"/>
                        </w:rPr>
                        <w:t>C</w:t>
                      </w:r>
                    </w:p>
                  </w:txbxContent>
                </v:textbox>
                <w10:wrap anchorx="margin"/>
              </v:rect>
            </w:pict>
          </mc:Fallback>
        </mc:AlternateContent>
      </w:r>
      <w:r w:rsidR="00592BC4">
        <w:rPr>
          <w:rFonts w:ascii="Arial" w:hAnsi="Arial" w:cs="Arial"/>
          <w:noProof/>
        </w:rPr>
        <w:drawing>
          <wp:inline distT="0" distB="0" distL="0" distR="0" wp14:anchorId="2420ECE0" wp14:editId="18D1BBE6">
            <wp:extent cx="4581525" cy="3505200"/>
            <wp:effectExtent l="0" t="0" r="9525" b="0"/>
            <wp:docPr id="6" name="Picture 6" descr="A picture containing porcel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porcelain&#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4581525" cy="3505200"/>
                    </a:xfrm>
                    <a:prstGeom prst="rect">
                      <a:avLst/>
                    </a:prstGeom>
                  </pic:spPr>
                </pic:pic>
              </a:graphicData>
            </a:graphic>
          </wp:inline>
        </w:drawing>
      </w:r>
    </w:p>
    <w:p w14:paraId="6B1FBEC6" w14:textId="35E7019B" w:rsidR="0031139E" w:rsidRPr="00BB1238" w:rsidRDefault="007864BB" w:rsidP="00834360">
      <w:pPr>
        <w:pStyle w:val="Lgende"/>
        <w:spacing w:line="276" w:lineRule="auto"/>
        <w:jc w:val="both"/>
      </w:pPr>
      <w:bookmarkStart w:id="8" w:name="_Toc105918966"/>
      <w:bookmarkStart w:id="9" w:name="_Ref109766246"/>
      <w:r w:rsidRPr="00BB1238">
        <w:rPr>
          <w:rFonts w:ascii="Arial" w:hAnsi="Arial" w:cs="Arial"/>
          <w:b/>
          <w:bCs/>
          <w:i w:val="0"/>
          <w:iCs w:val="0"/>
          <w:color w:val="auto"/>
          <w:sz w:val="24"/>
          <w:szCs w:val="24"/>
        </w:rPr>
        <w:t xml:space="preserve">Figure </w:t>
      </w:r>
      <w:r w:rsidRPr="00BB1238">
        <w:rPr>
          <w:rFonts w:ascii="Arial" w:hAnsi="Arial" w:cs="Arial"/>
          <w:b/>
          <w:bCs/>
          <w:i w:val="0"/>
          <w:iCs w:val="0"/>
          <w:color w:val="auto"/>
          <w:sz w:val="24"/>
          <w:szCs w:val="24"/>
        </w:rPr>
        <w:fldChar w:fldCharType="begin"/>
      </w:r>
      <w:r w:rsidRPr="00BB1238">
        <w:rPr>
          <w:rFonts w:ascii="Arial" w:hAnsi="Arial" w:cs="Arial"/>
          <w:b/>
          <w:bCs/>
          <w:i w:val="0"/>
          <w:iCs w:val="0"/>
          <w:color w:val="auto"/>
          <w:sz w:val="24"/>
          <w:szCs w:val="24"/>
        </w:rPr>
        <w:instrText xml:space="preserve"> SEQ Figure \* ARABIC </w:instrText>
      </w:r>
      <w:r w:rsidRPr="00BB1238">
        <w:rPr>
          <w:rFonts w:ascii="Arial" w:hAnsi="Arial" w:cs="Arial"/>
          <w:b/>
          <w:bCs/>
          <w:i w:val="0"/>
          <w:iCs w:val="0"/>
          <w:color w:val="auto"/>
          <w:sz w:val="24"/>
          <w:szCs w:val="24"/>
        </w:rPr>
        <w:fldChar w:fldCharType="separate"/>
      </w:r>
      <w:r w:rsidR="005C4791">
        <w:rPr>
          <w:rFonts w:ascii="Arial" w:hAnsi="Arial" w:cs="Arial"/>
          <w:b/>
          <w:bCs/>
          <w:i w:val="0"/>
          <w:iCs w:val="0"/>
          <w:noProof/>
          <w:color w:val="auto"/>
          <w:sz w:val="24"/>
          <w:szCs w:val="24"/>
        </w:rPr>
        <w:t>1</w:t>
      </w:r>
      <w:r w:rsidRPr="00BB1238">
        <w:rPr>
          <w:rFonts w:ascii="Arial" w:hAnsi="Arial" w:cs="Arial"/>
          <w:b/>
          <w:bCs/>
          <w:i w:val="0"/>
          <w:iCs w:val="0"/>
          <w:color w:val="auto"/>
          <w:sz w:val="24"/>
          <w:szCs w:val="24"/>
        </w:rPr>
        <w:fldChar w:fldCharType="end"/>
      </w:r>
      <w:bookmarkEnd w:id="9"/>
      <w:r w:rsidRPr="00BB1238">
        <w:rPr>
          <w:rFonts w:ascii="Arial" w:hAnsi="Arial" w:cs="Arial"/>
          <w:b/>
          <w:bCs/>
          <w:i w:val="0"/>
          <w:iCs w:val="0"/>
          <w:color w:val="auto"/>
          <w:sz w:val="24"/>
          <w:szCs w:val="24"/>
        </w:rPr>
        <w:t xml:space="preserve">: </w:t>
      </w:r>
      <w:r w:rsidR="0031139E" w:rsidRPr="00BB1238">
        <w:rPr>
          <w:rFonts w:ascii="Arial" w:hAnsi="Arial" w:cs="Arial"/>
          <w:b/>
          <w:bCs/>
          <w:i w:val="0"/>
          <w:iCs w:val="0"/>
          <w:color w:val="auto"/>
          <w:sz w:val="24"/>
          <w:szCs w:val="24"/>
        </w:rPr>
        <w:t>A</w:t>
      </w:r>
      <w:r w:rsidRPr="00BB1238">
        <w:rPr>
          <w:rFonts w:ascii="Arial" w:hAnsi="Arial" w:cs="Arial"/>
          <w:b/>
          <w:bCs/>
          <w:i w:val="0"/>
          <w:iCs w:val="0"/>
          <w:color w:val="auto"/>
          <w:sz w:val="24"/>
          <w:szCs w:val="24"/>
        </w:rPr>
        <w:t>natomy of a</w:t>
      </w:r>
      <w:r w:rsidR="00E6388B" w:rsidRPr="00BB1238">
        <w:rPr>
          <w:rFonts w:ascii="Arial" w:hAnsi="Arial" w:cs="Arial"/>
          <w:b/>
          <w:bCs/>
          <w:i w:val="0"/>
          <w:iCs w:val="0"/>
          <w:color w:val="auto"/>
          <w:sz w:val="24"/>
          <w:szCs w:val="24"/>
        </w:rPr>
        <w:t xml:space="preserve"> </w:t>
      </w:r>
      <w:r w:rsidR="000206AC" w:rsidRPr="00BB1238">
        <w:rPr>
          <w:rFonts w:ascii="Arial" w:hAnsi="Arial" w:cs="Arial"/>
          <w:b/>
          <w:bCs/>
          <w:i w:val="0"/>
          <w:iCs w:val="0"/>
          <w:color w:val="auto"/>
          <w:sz w:val="24"/>
          <w:szCs w:val="24"/>
        </w:rPr>
        <w:t>human</w:t>
      </w:r>
      <w:r w:rsidRPr="00BB1238">
        <w:rPr>
          <w:rFonts w:ascii="Arial" w:hAnsi="Arial" w:cs="Arial"/>
          <w:b/>
          <w:bCs/>
          <w:i w:val="0"/>
          <w:iCs w:val="0"/>
          <w:color w:val="auto"/>
          <w:sz w:val="24"/>
          <w:szCs w:val="24"/>
        </w:rPr>
        <w:t xml:space="preserve"> artery</w:t>
      </w:r>
      <w:r w:rsidR="0031139E" w:rsidRPr="00BB1238">
        <w:rPr>
          <w:rFonts w:ascii="Arial" w:hAnsi="Arial" w:cs="Arial"/>
          <w:b/>
          <w:bCs/>
          <w:i w:val="0"/>
          <w:iCs w:val="0"/>
          <w:color w:val="auto"/>
          <w:sz w:val="24"/>
          <w:szCs w:val="24"/>
        </w:rPr>
        <w:t>.</w:t>
      </w:r>
      <w:r w:rsidRPr="00BB1238">
        <w:rPr>
          <w:rFonts w:ascii="Arial" w:hAnsi="Arial" w:cs="Arial"/>
          <w:i w:val="0"/>
          <w:iCs w:val="0"/>
          <w:color w:val="auto"/>
          <w:sz w:val="24"/>
          <w:szCs w:val="24"/>
        </w:rPr>
        <w:t xml:space="preserve"> </w:t>
      </w:r>
      <w:r w:rsidR="009B3D64">
        <w:rPr>
          <w:rFonts w:ascii="Arial" w:hAnsi="Arial" w:cs="Arial"/>
          <w:i w:val="0"/>
          <w:iCs w:val="0"/>
          <w:color w:val="auto"/>
          <w:sz w:val="24"/>
          <w:szCs w:val="24"/>
        </w:rPr>
        <w:t>Hematoxylin</w:t>
      </w:r>
      <w:r w:rsidR="00894903">
        <w:rPr>
          <w:rFonts w:ascii="Arial" w:hAnsi="Arial" w:cs="Arial"/>
          <w:i w:val="0"/>
          <w:iCs w:val="0"/>
          <w:color w:val="auto"/>
          <w:sz w:val="24"/>
          <w:szCs w:val="24"/>
        </w:rPr>
        <w:t xml:space="preserve"> and Eosin staining of a </w:t>
      </w:r>
      <w:r w:rsidR="00CC0B2C">
        <w:rPr>
          <w:rFonts w:ascii="Arial" w:hAnsi="Arial" w:cs="Arial"/>
          <w:i w:val="0"/>
          <w:iCs w:val="0"/>
          <w:color w:val="auto"/>
          <w:sz w:val="24"/>
          <w:szCs w:val="24"/>
        </w:rPr>
        <w:t>tran</w:t>
      </w:r>
      <w:r w:rsidR="009B3D64">
        <w:rPr>
          <w:rFonts w:ascii="Arial" w:hAnsi="Arial" w:cs="Arial"/>
          <w:i w:val="0"/>
          <w:iCs w:val="0"/>
          <w:color w:val="auto"/>
          <w:sz w:val="24"/>
          <w:szCs w:val="24"/>
        </w:rPr>
        <w:t>s</w:t>
      </w:r>
      <w:r w:rsidR="00CC0B2C">
        <w:rPr>
          <w:rFonts w:ascii="Arial" w:hAnsi="Arial" w:cs="Arial"/>
          <w:i w:val="0"/>
          <w:iCs w:val="0"/>
          <w:color w:val="auto"/>
          <w:sz w:val="24"/>
          <w:szCs w:val="24"/>
        </w:rPr>
        <w:t>verse section of a</w:t>
      </w:r>
      <w:r w:rsidR="00894903">
        <w:rPr>
          <w:rFonts w:ascii="Arial" w:hAnsi="Arial" w:cs="Arial"/>
          <w:i w:val="0"/>
          <w:iCs w:val="0"/>
          <w:color w:val="auto"/>
          <w:sz w:val="24"/>
          <w:szCs w:val="24"/>
        </w:rPr>
        <w:t xml:space="preserve"> human artery. </w:t>
      </w:r>
      <w:r w:rsidR="009D4ADB">
        <w:rPr>
          <w:rFonts w:ascii="Arial" w:hAnsi="Arial" w:cs="Arial"/>
          <w:i w:val="0"/>
          <w:iCs w:val="0"/>
          <w:color w:val="auto"/>
          <w:sz w:val="24"/>
          <w:szCs w:val="24"/>
        </w:rPr>
        <w:t xml:space="preserve">The </w:t>
      </w:r>
      <w:r w:rsidRPr="00BB1238">
        <w:rPr>
          <w:rFonts w:ascii="Arial" w:hAnsi="Arial" w:cs="Arial"/>
          <w:i w:val="0"/>
          <w:iCs w:val="0"/>
          <w:color w:val="auto"/>
          <w:sz w:val="24"/>
          <w:szCs w:val="24"/>
        </w:rPr>
        <w:t xml:space="preserve">A: </w:t>
      </w:r>
      <w:r w:rsidR="009D4ADB">
        <w:rPr>
          <w:rFonts w:ascii="Arial" w:hAnsi="Arial" w:cs="Arial"/>
          <w:i w:val="0"/>
          <w:iCs w:val="0"/>
          <w:color w:val="auto"/>
          <w:sz w:val="24"/>
          <w:szCs w:val="24"/>
        </w:rPr>
        <w:t>t</w:t>
      </w:r>
      <w:r w:rsidRPr="00BB1238">
        <w:rPr>
          <w:rFonts w:ascii="Arial" w:hAnsi="Arial" w:cs="Arial"/>
          <w:i w:val="0"/>
          <w:iCs w:val="0"/>
          <w:color w:val="auto"/>
          <w:sz w:val="24"/>
          <w:szCs w:val="24"/>
        </w:rPr>
        <w:t xml:space="preserve">unica intima; B: internal elastic lamina; C: </w:t>
      </w:r>
      <w:r w:rsidR="009D4ADB">
        <w:rPr>
          <w:rFonts w:ascii="Arial" w:hAnsi="Arial" w:cs="Arial"/>
          <w:i w:val="0"/>
          <w:iCs w:val="0"/>
          <w:color w:val="auto"/>
          <w:sz w:val="24"/>
          <w:szCs w:val="24"/>
        </w:rPr>
        <w:t>t</w:t>
      </w:r>
      <w:r w:rsidRPr="00BB1238">
        <w:rPr>
          <w:rFonts w:ascii="Arial" w:hAnsi="Arial" w:cs="Arial"/>
          <w:i w:val="0"/>
          <w:iCs w:val="0"/>
          <w:color w:val="auto"/>
          <w:sz w:val="24"/>
          <w:szCs w:val="24"/>
        </w:rPr>
        <w:t>unica media;</w:t>
      </w:r>
      <w:r w:rsidR="009D72C5">
        <w:rPr>
          <w:rFonts w:ascii="Arial" w:hAnsi="Arial" w:cs="Arial"/>
          <w:i w:val="0"/>
          <w:iCs w:val="0"/>
          <w:color w:val="auto"/>
          <w:sz w:val="24"/>
          <w:szCs w:val="24"/>
        </w:rPr>
        <w:t xml:space="preserve"> D: external elastic lamina</w:t>
      </w:r>
      <w:r w:rsidRPr="00BB1238">
        <w:rPr>
          <w:rFonts w:ascii="Arial" w:hAnsi="Arial" w:cs="Arial"/>
          <w:i w:val="0"/>
          <w:iCs w:val="0"/>
          <w:color w:val="auto"/>
          <w:sz w:val="24"/>
          <w:szCs w:val="24"/>
        </w:rPr>
        <w:t xml:space="preserve"> </w:t>
      </w:r>
      <w:r w:rsidR="009D72C5">
        <w:rPr>
          <w:rFonts w:ascii="Arial" w:hAnsi="Arial" w:cs="Arial"/>
          <w:i w:val="0"/>
          <w:iCs w:val="0"/>
          <w:color w:val="auto"/>
          <w:sz w:val="24"/>
          <w:szCs w:val="24"/>
        </w:rPr>
        <w:t>E</w:t>
      </w:r>
      <w:r w:rsidRPr="00BB1238">
        <w:rPr>
          <w:rFonts w:ascii="Arial" w:hAnsi="Arial" w:cs="Arial"/>
          <w:i w:val="0"/>
          <w:iCs w:val="0"/>
          <w:color w:val="auto"/>
          <w:sz w:val="24"/>
          <w:szCs w:val="24"/>
        </w:rPr>
        <w:t xml:space="preserve">: </w:t>
      </w:r>
      <w:r w:rsidR="009D4ADB">
        <w:rPr>
          <w:rFonts w:ascii="Arial" w:hAnsi="Arial" w:cs="Arial"/>
          <w:i w:val="0"/>
          <w:iCs w:val="0"/>
          <w:color w:val="auto"/>
          <w:sz w:val="24"/>
          <w:szCs w:val="24"/>
        </w:rPr>
        <w:t>t</w:t>
      </w:r>
      <w:r w:rsidRPr="00BB1238">
        <w:rPr>
          <w:rFonts w:ascii="Arial" w:hAnsi="Arial" w:cs="Arial"/>
          <w:i w:val="0"/>
          <w:iCs w:val="0"/>
          <w:color w:val="auto"/>
          <w:sz w:val="24"/>
          <w:szCs w:val="24"/>
        </w:rPr>
        <w:t>unica adventitia</w:t>
      </w:r>
      <w:r w:rsidR="009D4ADB">
        <w:rPr>
          <w:rFonts w:ascii="Arial" w:hAnsi="Arial" w:cs="Arial"/>
          <w:i w:val="0"/>
          <w:iCs w:val="0"/>
          <w:color w:val="auto"/>
          <w:sz w:val="24"/>
          <w:szCs w:val="24"/>
        </w:rPr>
        <w:t xml:space="preserve"> are observed</w:t>
      </w:r>
      <w:r w:rsidRPr="00BB1238">
        <w:rPr>
          <w:rFonts w:ascii="Arial" w:hAnsi="Arial" w:cs="Arial"/>
          <w:i w:val="0"/>
          <w:iCs w:val="0"/>
          <w:color w:val="auto"/>
          <w:sz w:val="24"/>
          <w:szCs w:val="24"/>
        </w:rPr>
        <w:t>.</w:t>
      </w:r>
      <w:r w:rsidR="00CC0B2C" w:rsidRPr="00CC0B2C">
        <w:rPr>
          <w:rFonts w:ascii="Arial" w:hAnsi="Arial" w:cs="Arial"/>
          <w:i w:val="0"/>
          <w:iCs w:val="0"/>
          <w:color w:val="auto"/>
          <w:sz w:val="24"/>
          <w:szCs w:val="24"/>
        </w:rPr>
        <w:t xml:space="preserve"> </w:t>
      </w:r>
      <w:r w:rsidR="00CC0B2C">
        <w:rPr>
          <w:rFonts w:ascii="Arial" w:hAnsi="Arial" w:cs="Arial"/>
          <w:i w:val="0"/>
          <w:iCs w:val="0"/>
          <w:color w:val="auto"/>
          <w:sz w:val="24"/>
          <w:szCs w:val="24"/>
        </w:rPr>
        <w:t>Image taken using an o</w:t>
      </w:r>
      <w:r w:rsidR="00CC0B2C" w:rsidRPr="00BB1238">
        <w:rPr>
          <w:rFonts w:ascii="Arial" w:hAnsi="Arial" w:cs="Arial"/>
          <w:i w:val="0"/>
          <w:iCs w:val="0"/>
          <w:color w:val="auto"/>
          <w:sz w:val="24"/>
          <w:szCs w:val="24"/>
        </w:rPr>
        <w:t>ptical microscope</w:t>
      </w:r>
      <w:r w:rsidR="00CC0B2C">
        <w:rPr>
          <w:rFonts w:ascii="Arial" w:hAnsi="Arial" w:cs="Arial"/>
          <w:i w:val="0"/>
          <w:iCs w:val="0"/>
          <w:color w:val="auto"/>
          <w:sz w:val="24"/>
          <w:szCs w:val="24"/>
        </w:rPr>
        <w:t xml:space="preserve"> </w:t>
      </w:r>
      <w:r w:rsidR="009D4ADB">
        <w:rPr>
          <w:rFonts w:ascii="Arial" w:hAnsi="Arial" w:cs="Arial"/>
          <w:i w:val="0"/>
          <w:iCs w:val="0"/>
          <w:color w:val="auto"/>
          <w:sz w:val="24"/>
          <w:szCs w:val="24"/>
        </w:rPr>
        <w:t xml:space="preserve">with a </w:t>
      </w:r>
      <w:r w:rsidR="00D35D2F">
        <w:rPr>
          <w:rFonts w:ascii="Arial" w:hAnsi="Arial" w:cs="Arial"/>
          <w:i w:val="0"/>
          <w:iCs w:val="0"/>
          <w:color w:val="auto"/>
          <w:sz w:val="24"/>
          <w:szCs w:val="24"/>
        </w:rPr>
        <w:t>2</w:t>
      </w:r>
      <w:r w:rsidR="00410637">
        <w:rPr>
          <w:rFonts w:ascii="Arial" w:hAnsi="Arial" w:cs="Arial"/>
          <w:i w:val="0"/>
          <w:iCs w:val="0"/>
          <w:color w:val="auto"/>
          <w:sz w:val="24"/>
          <w:szCs w:val="24"/>
        </w:rPr>
        <w:t>0</w:t>
      </w:r>
      <w:r w:rsidR="004B530A">
        <w:rPr>
          <w:rFonts w:ascii="Arial" w:hAnsi="Arial" w:cs="Arial"/>
          <w:i w:val="0"/>
          <w:iCs w:val="0"/>
          <w:color w:val="auto"/>
          <w:sz w:val="24"/>
          <w:szCs w:val="24"/>
        </w:rPr>
        <w:t>x</w:t>
      </w:r>
      <w:r w:rsidR="009D4ADB">
        <w:rPr>
          <w:rFonts w:ascii="Arial" w:hAnsi="Arial" w:cs="Arial"/>
          <w:i w:val="0"/>
          <w:iCs w:val="0"/>
          <w:color w:val="auto"/>
          <w:sz w:val="24"/>
          <w:szCs w:val="24"/>
        </w:rPr>
        <w:t xml:space="preserve"> objective of</w:t>
      </w:r>
      <w:r w:rsidR="00CC0B2C">
        <w:rPr>
          <w:rFonts w:ascii="Arial" w:hAnsi="Arial" w:cs="Arial"/>
          <w:i w:val="0"/>
          <w:iCs w:val="0"/>
          <w:color w:val="auto"/>
          <w:sz w:val="24"/>
          <w:szCs w:val="24"/>
        </w:rPr>
        <w:t xml:space="preserve"> a</w:t>
      </w:r>
      <w:r w:rsidR="00134B7F">
        <w:rPr>
          <w:rFonts w:ascii="Arial" w:hAnsi="Arial" w:cs="Arial"/>
          <w:i w:val="0"/>
          <w:iCs w:val="0"/>
          <w:color w:val="auto"/>
          <w:sz w:val="24"/>
          <w:szCs w:val="24"/>
        </w:rPr>
        <w:t xml:space="preserve"> </w:t>
      </w:r>
      <w:r w:rsidR="00CC0B2C">
        <w:rPr>
          <w:rFonts w:ascii="Arial" w:hAnsi="Arial" w:cs="Arial"/>
          <w:i w:val="0"/>
          <w:iCs w:val="0"/>
          <w:color w:val="auto"/>
          <w:sz w:val="24"/>
          <w:szCs w:val="24"/>
        </w:rPr>
        <w:t xml:space="preserve">Ward’s Science slide, ref </w:t>
      </w:r>
      <w:r w:rsidR="00CC0B2C" w:rsidRPr="0012674F">
        <w:rPr>
          <w:rFonts w:ascii="Arial" w:hAnsi="Arial" w:cs="Arial"/>
          <w:i w:val="0"/>
          <w:iCs w:val="0"/>
          <w:color w:val="auto"/>
          <w:sz w:val="24"/>
          <w:szCs w:val="24"/>
        </w:rPr>
        <w:t>470182-752</w:t>
      </w:r>
      <w:r w:rsidR="00CC0B2C">
        <w:rPr>
          <w:rFonts w:ascii="Arial" w:hAnsi="Arial" w:cs="Arial"/>
          <w:i w:val="0"/>
          <w:iCs w:val="0"/>
          <w:color w:val="auto"/>
          <w:sz w:val="24"/>
          <w:szCs w:val="24"/>
        </w:rPr>
        <w:t>.</w:t>
      </w:r>
      <w:r w:rsidR="009D4ADB">
        <w:rPr>
          <w:rFonts w:ascii="Arial" w:hAnsi="Arial" w:cs="Arial"/>
          <w:i w:val="0"/>
          <w:iCs w:val="0"/>
          <w:color w:val="auto"/>
          <w:sz w:val="24"/>
          <w:szCs w:val="24"/>
        </w:rPr>
        <w:t xml:space="preserve"> Scale bar = 0.03 mm.</w:t>
      </w:r>
      <w:bookmarkEnd w:id="8"/>
    </w:p>
    <w:p w14:paraId="6D0E11E7" w14:textId="2139D9CC" w:rsidR="00433213" w:rsidRPr="00BB1238" w:rsidRDefault="00784FF5" w:rsidP="00A71A59">
      <w:pPr>
        <w:pStyle w:val="Titre3"/>
        <w:spacing w:after="240"/>
        <w:rPr>
          <w:rFonts w:ascii="Arial" w:hAnsi="Arial" w:cs="Arial"/>
          <w:b/>
          <w:bCs/>
          <w:color w:val="auto"/>
        </w:rPr>
      </w:pPr>
      <w:bookmarkStart w:id="10" w:name="_Toc77701659"/>
      <w:bookmarkStart w:id="11" w:name="_Ref84241277"/>
      <w:bookmarkStart w:id="12" w:name="_Toc106903207"/>
      <w:r>
        <w:rPr>
          <w:rFonts w:ascii="Arial" w:hAnsi="Arial" w:cs="Arial"/>
          <w:b/>
          <w:bCs/>
          <w:color w:val="auto"/>
        </w:rPr>
        <w:lastRenderedPageBreak/>
        <w:t>1.2.2</w:t>
      </w:r>
      <w:r w:rsidR="00194F5C">
        <w:rPr>
          <w:rFonts w:ascii="Arial" w:hAnsi="Arial" w:cs="Arial"/>
          <w:b/>
          <w:bCs/>
          <w:color w:val="auto"/>
        </w:rPr>
        <w:t xml:space="preserve"> </w:t>
      </w:r>
      <w:r w:rsidR="0079314D">
        <w:rPr>
          <w:rFonts w:ascii="Arial" w:hAnsi="Arial" w:cs="Arial"/>
          <w:b/>
          <w:bCs/>
          <w:color w:val="auto"/>
        </w:rPr>
        <w:t>C</w:t>
      </w:r>
      <w:r w:rsidR="00433213" w:rsidRPr="00BB1238">
        <w:rPr>
          <w:rFonts w:ascii="Arial" w:hAnsi="Arial" w:cs="Arial"/>
          <w:b/>
          <w:bCs/>
          <w:color w:val="auto"/>
        </w:rPr>
        <w:t>omposition of blood vessels</w:t>
      </w:r>
      <w:bookmarkEnd w:id="10"/>
      <w:bookmarkEnd w:id="11"/>
      <w:bookmarkEnd w:id="12"/>
      <w:r w:rsidR="0079314D">
        <w:rPr>
          <w:rFonts w:ascii="Arial" w:hAnsi="Arial" w:cs="Arial"/>
          <w:b/>
          <w:bCs/>
          <w:color w:val="auto"/>
        </w:rPr>
        <w:t xml:space="preserve"> </w:t>
      </w:r>
    </w:p>
    <w:p w14:paraId="0DB97E07" w14:textId="636F6FE1" w:rsidR="000A2390" w:rsidRDefault="000A2390" w:rsidP="000A2390">
      <w:pPr>
        <w:spacing w:line="480" w:lineRule="auto"/>
        <w:ind w:firstLine="435"/>
        <w:jc w:val="both"/>
        <w:rPr>
          <w:rFonts w:ascii="Arial" w:hAnsi="Arial" w:cs="Arial"/>
          <w:sz w:val="24"/>
          <w:szCs w:val="24"/>
        </w:rPr>
      </w:pPr>
      <w:r w:rsidRPr="00BB1238">
        <w:rPr>
          <w:rFonts w:ascii="Arial" w:hAnsi="Arial" w:cs="Arial"/>
          <w:sz w:val="24"/>
          <w:szCs w:val="24"/>
        </w:rPr>
        <w:t>Blood vessels</w:t>
      </w:r>
      <w:r>
        <w:rPr>
          <w:rFonts w:ascii="Arial" w:hAnsi="Arial" w:cs="Arial"/>
          <w:sz w:val="24"/>
          <w:szCs w:val="24"/>
        </w:rPr>
        <w:t>, which</w:t>
      </w:r>
      <w:r w:rsidRPr="00BB1238">
        <w:rPr>
          <w:rFonts w:ascii="Arial" w:hAnsi="Arial" w:cs="Arial"/>
          <w:sz w:val="24"/>
          <w:szCs w:val="24"/>
        </w:rPr>
        <w:t xml:space="preserve"> are composed of</w:t>
      </w:r>
      <w:r>
        <w:rPr>
          <w:rFonts w:ascii="Arial" w:hAnsi="Arial" w:cs="Arial"/>
          <w:sz w:val="24"/>
          <w:szCs w:val="24"/>
        </w:rPr>
        <w:t xml:space="preserve"> cells and</w:t>
      </w:r>
      <w:r w:rsidRPr="00BB1238">
        <w:rPr>
          <w:rFonts w:ascii="Arial" w:hAnsi="Arial" w:cs="Arial"/>
          <w:sz w:val="24"/>
          <w:szCs w:val="24"/>
        </w:rPr>
        <w:t xml:space="preserve"> structural proteins</w:t>
      </w:r>
      <w:r>
        <w:rPr>
          <w:rFonts w:ascii="Arial" w:hAnsi="Arial" w:cs="Arial"/>
          <w:sz w:val="24"/>
          <w:szCs w:val="24"/>
        </w:rPr>
        <w:t>, are divided into three main layers: tunica intima, tunica media, and tunica adventitia.</w:t>
      </w:r>
      <w:r w:rsidRPr="00BB1238">
        <w:rPr>
          <w:rFonts w:ascii="Arial" w:hAnsi="Arial" w:cs="Arial"/>
          <w:sz w:val="24"/>
          <w:szCs w:val="24"/>
        </w:rPr>
        <w:t xml:space="preserve"> </w:t>
      </w:r>
      <w:r>
        <w:rPr>
          <w:rFonts w:ascii="Arial" w:hAnsi="Arial" w:cs="Arial"/>
          <w:sz w:val="24"/>
          <w:szCs w:val="24"/>
        </w:rPr>
        <w:t>The tunica intima is the inner layer of blood vessels. This lamina is composed of a layer of endothelial cells on a foil of proteins and macromolecules called the basement membrane</w:t>
      </w:r>
      <w:r>
        <w:rPr>
          <w:rFonts w:ascii="Arial" w:hAnsi="Arial" w:cs="Arial"/>
          <w:sz w:val="24"/>
          <w:szCs w:val="24"/>
        </w:rPr>
        <w:fldChar w:fldCharType="begin"/>
      </w:r>
      <w:r w:rsidR="005B4F59">
        <w:rPr>
          <w:rFonts w:ascii="Arial" w:hAnsi="Arial" w:cs="Arial"/>
          <w:sz w:val="24"/>
          <w:szCs w:val="24"/>
        </w:rPr>
        <w:instrText xml:space="preserve"> ADDIN ZOTERO_ITEM CSL_CITATION {"citationID":"39kuxoGp","properties":{"formattedCitation":"\\super 8\\nosupersub{}","plainCitation":"8","noteIndex":0},"citationItems":[{"id":32,"uris":["http://zotero.org/users/6508478/items/Z82GXCDY"],"itemData":{"id":32,"type":"article-journal","abstract":"Extracellular matrix proteins form the basic structure of blood vessels. Along with providing basic structural support to blood vessels, matrix proteins interact with different sets of vascular cells via cell surface integrin or non-integrin receptors. Such interactions induce vascular cell de novo synthesis of new matrix proteins during blood vessel development or remodeling. Under pathological conditions, vascular matrix proteins undergo proteolytic processing, yielding bioactive fragments to influence vascular wall matrix remodeling. Vascular cells also produce alternatively spliced variants that induce vascular cell production of different matrix proteins to interrupt matrix homeostasis, leading to increased blood vessel stiffness; vascular cell migration, proliferation, or death; or vascular wall leakage and rupture. Destruction of vascular matrix proteins leads to vascular cell or blood-borne leukocyte accumulation, proliferation, and neointima formation within the vascular wall; blood vessels prone to uncontrolled enlargement during blood flow diastole; tortuous vein development; and neovascularization from existing pathological tissue microvessels. Here we summarize discoveries related to blood vessel matrix proteins within the past decade from basic and clinical studies in humans and animals — from expression to cross-linking, assembly, and degradation under physiological and vascular pathological conditions, including atherosclerosis, aortic aneurysms, varicose veins, and hypertension.","container-title":"Biochimica et biophysica acta","DOI":"10.1016/j.bbadis.2014.07.008","ISSN":"0006-3002","issue":"11","journalAbbreviation":"Biochim Biophys Acta","note":"PMID: 25045854\nPMCID: PMC4188798","page":"2106-2119","source":"PubMed Central","title":"Vascular wall extracellular matrix proteins and vascular diseases","volume":"1842","author":[{"family":"Xu","given":"Junyan"},{"family":"Shi","given":"Guo-Ping"}],"issued":{"date-parts":[["2014",11]]}}}],"schema":"https://github.com/citation-style-language/schema/raw/master/csl-citation.json"} </w:instrText>
      </w:r>
      <w:r>
        <w:rPr>
          <w:rFonts w:ascii="Arial" w:hAnsi="Arial" w:cs="Arial"/>
          <w:sz w:val="24"/>
          <w:szCs w:val="24"/>
        </w:rPr>
        <w:fldChar w:fldCharType="separate"/>
      </w:r>
      <w:r w:rsidRPr="00CE6617">
        <w:rPr>
          <w:rFonts w:ascii="Arial" w:hAnsi="Arial" w:cs="Arial"/>
          <w:sz w:val="24"/>
          <w:szCs w:val="24"/>
          <w:vertAlign w:val="superscript"/>
        </w:rPr>
        <w:t>8</w:t>
      </w:r>
      <w:r>
        <w:rPr>
          <w:rFonts w:ascii="Arial" w:hAnsi="Arial" w:cs="Arial"/>
          <w:sz w:val="24"/>
          <w:szCs w:val="24"/>
        </w:rPr>
        <w:fldChar w:fldCharType="end"/>
      </w:r>
      <w:r>
        <w:rPr>
          <w:rFonts w:ascii="Arial" w:hAnsi="Arial" w:cs="Arial"/>
          <w:sz w:val="24"/>
          <w:szCs w:val="24"/>
        </w:rPr>
        <w:t xml:space="preserve">. These endothelial cells - also called the endothelium – minimize the friction with blood and are covered by the glycocalyx, which is an ensemble of </w:t>
      </w:r>
      <w:r w:rsidRPr="00C34E16">
        <w:rPr>
          <w:rFonts w:ascii="Arial" w:hAnsi="Arial" w:cs="Arial"/>
          <w:sz w:val="24"/>
          <w:szCs w:val="24"/>
        </w:rPr>
        <w:t xml:space="preserve"> proteoglycans, glycoproteins</w:t>
      </w:r>
      <w:r>
        <w:rPr>
          <w:rFonts w:ascii="Arial" w:hAnsi="Arial" w:cs="Arial"/>
          <w:sz w:val="24"/>
          <w:szCs w:val="24"/>
        </w:rPr>
        <w:t>, and glycosaminoglycans</w:t>
      </w:r>
      <w:r>
        <w:rPr>
          <w:rFonts w:ascii="Arial" w:hAnsi="Arial" w:cs="Arial"/>
          <w:sz w:val="24"/>
          <w:szCs w:val="24"/>
        </w:rPr>
        <w:fldChar w:fldCharType="begin"/>
      </w:r>
      <w:r w:rsidR="005B4F59">
        <w:rPr>
          <w:rFonts w:ascii="Arial" w:hAnsi="Arial" w:cs="Arial"/>
          <w:sz w:val="24"/>
          <w:szCs w:val="24"/>
        </w:rPr>
        <w:instrText xml:space="preserve"> ADDIN ZOTERO_ITEM CSL_CITATION {"citationID":"BBihLUMO","properties":{"formattedCitation":"\\super 9,10\\nosupersub{}","plainCitation":"9,10","noteIndex":0},"citationItems":[{"id":12,"uris":["http://zotero.org/users/6508478/items/48DMLZ87"],"itemData":{"id":12,"type":"chapter","abstract":"Cellular biological media, such as tissues and biofilms, are multiphase complex systems with dynamically evolving and highly organized hierarchical structures. The objective of this chapter is to present a comprehensive review of the theoretical modeling of momentum and mass transport in cellular biological media. In the spirit of a bottom-up approach, the chapter begins with a concise exposition of the state of the art in the mechanics of individual biomacromolecules, subcellular structures (e.g., cytoskeleton, membrane) and biological cells that build up the cellular biological medium. Thereafter, the main part is focused on the formulation of balance laws and constitutive equations, as well as on the experimental and theoretical calculation of constitutive parameters. The conceptual framework and the mathematical foundation is presented for various theoretical approaches, including single-scale–single-phase models, the theory of interacting continua, upscaling methods (e.g., spatial averaging, homogenization) and multiscale equation-free approaches.","container-title":"Transport in Biological Media","event-place":"Boston","ISBN":"978-0-12-415824-5","language":"en","note":"DOI: 10.1016/B978-0-12-415824-5.00001-1","page":"1-40","publisher":"Elsevier","publisher-place":"Boston","source":"ScienceDirect","title":"Chapter 1 - Modeling Momentum and Mass Transport in Cellular Biological Media: From the Molecular to the Tissue Scale","title-short":"Chapter 1 - Modeling Momentum and Mass Transport in Cellular Biological Media","URL":"https://www.sciencedirect.com/science/article/pii/B9780124158245000011","author":[{"family":"Kapellos","given":"George E."},{"family":"Alexiou","given":"Terpsichori S."}],"editor":[{"family":"Becker","given":"Sid M."},{"family":"Kuznetsov","given":"Andrey V."}],"accessed":{"date-parts":[["2021",7,1]]},"issued":{"date-parts":[["2013",1,1]]}}},{"id":717,"uris":["http://zotero.org/users/6508478/items/EFW4FHMN"],"itemData":{"id":717,"type":"article-journal","abstract":"The classic Starling principle proposed that microvascular fluid exchange was determined by a balance of hydrostatic and oncotic pressures relative to the vascular wall and this movement of water was regulated by gaps in the intercellular spaces. However, current literature on the endothelial glycocalyx (a jelly-like protective layer covering the luminal surface of the endothelium) has revised Starling's traditional concepts. This article aims to summarise the literature on the glycocalyx related to its basic science, clinical settings inciting injury, protective strategies and clinical perspectives. Perioperative damage to the glycocalyx structure can increase vascular permeability leading to interstitial fluid shifts, oedema, and increased surgical morbidity. Pathological shedding of the glycocalyx occurs in response to mechanical cellular stress, endotoxins, inflammatory mediators, atrial natriuretic peptide, ischaemia?reperfusion injury, free oxygen radicals and hyperglycaemia. Increased understanding of the endothelial glycocalyx may change perioperative fluid management, and therapeutic strategies aimed at its preservation may improve patient outcomes.","container-title":"Anaesthesia and Intensive Care","DOI":"10.1177/0310057X1704500305","ISSN":"0310-057X","issue":"3","journalAbbreviation":"Anaesth Intensive Care","note":"publisher: SAGE Publications Ltd","page":"295-307","source":"SAGE Journals","title":"Endothelial Glycocalyx: Basic Science and Clinical Implications","title-short":"Endothelial Glycocalyx","volume":"45","author":[{"family":"Pillinger","given":"N. L."},{"family":"Kam","given":"P. C. A."}],"issued":{"date-parts":[["2017",5,1]]}}}],"schema":"https://github.com/citation-style-language/schema/raw/master/csl-citation.json"} </w:instrText>
      </w:r>
      <w:r>
        <w:rPr>
          <w:rFonts w:ascii="Arial" w:hAnsi="Arial" w:cs="Arial"/>
          <w:sz w:val="24"/>
          <w:szCs w:val="24"/>
        </w:rPr>
        <w:fldChar w:fldCharType="separate"/>
      </w:r>
      <w:r w:rsidRPr="00BB4A6B">
        <w:rPr>
          <w:rFonts w:ascii="Arial" w:hAnsi="Arial" w:cs="Arial"/>
          <w:sz w:val="24"/>
          <w:szCs w:val="24"/>
          <w:vertAlign w:val="superscript"/>
        </w:rPr>
        <w:t>9,10</w:t>
      </w:r>
      <w:r>
        <w:rPr>
          <w:rFonts w:ascii="Arial" w:hAnsi="Arial" w:cs="Arial"/>
          <w:sz w:val="24"/>
          <w:szCs w:val="24"/>
        </w:rPr>
        <w:fldChar w:fldCharType="end"/>
      </w:r>
      <w:r>
        <w:rPr>
          <w:rFonts w:ascii="Arial" w:hAnsi="Arial" w:cs="Arial"/>
          <w:sz w:val="24"/>
          <w:szCs w:val="24"/>
        </w:rPr>
        <w:t>. The glycocalyx protects the endothelial cells and mediates their interaction with blood cells and their permeability to water and macromolecules</w:t>
      </w:r>
      <w:r>
        <w:rPr>
          <w:rFonts w:ascii="Arial" w:hAnsi="Arial" w:cs="Arial"/>
          <w:sz w:val="24"/>
          <w:szCs w:val="24"/>
        </w:rPr>
        <w:fldChar w:fldCharType="begin"/>
      </w:r>
      <w:r w:rsidR="005B4F59">
        <w:rPr>
          <w:rFonts w:ascii="Arial" w:hAnsi="Arial" w:cs="Arial"/>
          <w:sz w:val="24"/>
          <w:szCs w:val="24"/>
        </w:rPr>
        <w:instrText xml:space="preserve"> ADDIN ZOTERO_ITEM CSL_CITATION {"citationID":"0SLk0nHp","properties":{"formattedCitation":"\\super 5,6\\nosupersub{}","plainCitation":"5,6","noteIndex":0},"citationItems":[{"id":49,"uris":["http://zotero.org/users/6508478/items/JURIAMZZ"],"itemData":{"id":49,"type":"chapter","abstract":"The peripheral vascular system (PVS) includes all the blood vessels that exist outside the heart. The peripheral vascular system is classified as follows: The aorta and its branches: The arterioles. The capillaries. The venules and veins returning blood to the heart. The function and structure of each segment of the peripheral vascular system vary depending on the organ it supplies. Aside from capillaries, blood vessels are all made of three layers:  The adventitia or outer layer which provides structural support and shape to the vessel. The tunica media or a middle layer composed of elastic and muscular tissue which regulates the internal diameter of the vessel. The tunic intima or an inner layer consisting of an endothelial lining which provides a frictionless pathway for the movement of blood. Within each layer, the amount of muscle and collagen fibrils varies, depending on the size and location of the vessel.  Arteries  Arteries play a major role in nourishing organs with blood and nutrients. Arteries are always under high pressure. To accommodate this stress, they have an abundance of elastic tissue and less smooth muscle. The presence of elastin in the large blood vessels enables these vessels to increase in size and alter their diameter. When an artery reaches a particular organ, it undergoes a further division into smaller vessels that have more smooth muscle and less elastic tissue. As the diameter of the blood vessels decreases, the velocity of blood flow also diminishes. Estimates are that about 10% to 15% of the total blood volume is contained in the arterial system. This feature of high systemic pressure and low volume is typical of the arterial system.    There are two main types of arteries found in the body: (1) the elastic arteries, and (2) the muscular arteries. Muscular arteries include the anatomically named arteries like the brachial artery, the radial artery, and the femoral artery, for example. Muscular arteries contain more smooth muscle cells in the tunica media layer than the elastic arteries. Elastic arteries are those nearest the heart (aorta and pulmonary arteries) that contain much more elastic tissue in the tunica media than muscular arteries. This feature of the elastic arteries allows them to maintain a relatively constant pressure gradient despite the constant pumping action of the heart.   Arterioles  Arterioles provide blood to the organs and are chiefly composed of smooth muscle. The autonomic nervous system influences the diameter and shape of arterioles. They respond to the tissue's need for more nutrients/oxygen. Arterioles play a significant role in the systemic vascular resistance because of the lack of significant elastic tissue in the walls.  The arterioles vary from 8 to 60 micrometers. The arterioles further subdivide into meta-arterioles.  Capillaries  Capillaries are thin-walled vessels composed of a single endothelial layer. Because of the thin walls of the capillary, the exchange of nutrients and metabolites occurs primarily via diffusion. The arteriolar lumen regulates the flow of blood through the capillaries.  Venules  Venules are the smallest veins and receive blood from capillaries. They also play a role in the exchange of oxygen and nutrients for water products. There are post-capillary sphincters located between the capillaries and venules. The venule is very thin-walled and easily prone to rupture with excessive volume.  Veins  Blood flows from venules into larger veins. Just like the arterial system, three layers make up the vein walls. But unlike the arteries, the venous pressure is low. Veins are thin-walled and are less elastic. This feature permits the veins to hold a very high percentage of the blood in circulation. The venous system can accommodate a large volume of blood at relatively low pressures, a feature termed high capacitance. At any point in time, nearly three-fourths of the circulating blood volume is contained in the venous system. One can also find one-way valves inside veins that allow for blood flow, toward the heart, in a forward direction. Muscle contractions aid the blood flow in the leg veins. The forward blood flow from the lower extremities to the heart is also influenced by respiratory changes that affect pressure gradients in the abdomen and chest cavity. This pressure differential is highest during deep inspiration, but a small pressure differential is observable during the entire respiratory cycle.","call-number":"NBK470401","container-title":"StatPearls","event-place":"Treasure Island (FL)","language":"eng","note":"PMID: 29262226","publisher":"StatPearls Publishing","publisher-place":"Treasure Island (FL)","source":"PubMed","title":"Anatomy, Blood Vessels","URL":"http://www.ncbi.nlm.nih.gov/books/NBK470401/","author":[{"family":"Tucker","given":"William D."},{"family":"Arora","given":"Yingyot"},{"family":"Mahajan","given":"Kunal"}],"accessed":{"date-parts":[["2021",5,21]]},"issued":{"date-parts":[["2021"]]}}},{"id":48,"uris":["http://zotero.org/users/6508478/items/QJQ7QB22"],"itemData":{"id":48,"type":"webpage","title":"Classification &amp; Structure of Blood Vessels | SEER Training","URL":"https://training.seer.cancer.gov/anatomy/cardiovascular/blood/classification.html","accessed":{"date-parts":[["2021",5,21]]}}}],"schema":"https://github.com/citation-style-language/schema/raw/master/csl-citation.json"} </w:instrText>
      </w:r>
      <w:r>
        <w:rPr>
          <w:rFonts w:ascii="Arial" w:hAnsi="Arial" w:cs="Arial"/>
          <w:sz w:val="24"/>
          <w:szCs w:val="24"/>
        </w:rPr>
        <w:fldChar w:fldCharType="separate"/>
      </w:r>
      <w:r w:rsidRPr="005D6153">
        <w:rPr>
          <w:rFonts w:ascii="Arial" w:hAnsi="Arial" w:cs="Arial"/>
          <w:sz w:val="24"/>
          <w:szCs w:val="24"/>
          <w:vertAlign w:val="superscript"/>
        </w:rPr>
        <w:t>5,6</w:t>
      </w:r>
      <w:r>
        <w:rPr>
          <w:rFonts w:ascii="Arial" w:hAnsi="Arial" w:cs="Arial"/>
          <w:sz w:val="24"/>
          <w:szCs w:val="24"/>
        </w:rPr>
        <w:fldChar w:fldCharType="end"/>
      </w:r>
      <w:r>
        <w:rPr>
          <w:rFonts w:ascii="Arial" w:hAnsi="Arial" w:cs="Arial"/>
          <w:sz w:val="24"/>
          <w:szCs w:val="24"/>
        </w:rPr>
        <w:t>. Exterior of the tunica intima lays the tunica media, which is composed of a layer of smooth muscle cells</w:t>
      </w:r>
      <w:r>
        <w:rPr>
          <w:rFonts w:ascii="Arial" w:hAnsi="Arial" w:cs="Arial"/>
          <w:sz w:val="24"/>
          <w:szCs w:val="24"/>
        </w:rPr>
        <w:fldChar w:fldCharType="begin"/>
      </w:r>
      <w:r w:rsidR="005B4F59">
        <w:rPr>
          <w:rFonts w:ascii="Arial" w:hAnsi="Arial" w:cs="Arial"/>
          <w:sz w:val="24"/>
          <w:szCs w:val="24"/>
        </w:rPr>
        <w:instrText xml:space="preserve"> ADDIN ZOTERO_ITEM CSL_CITATION {"citationID":"Ocfq6bN0","properties":{"formattedCitation":"\\super 7\\nosupersub{}","plainCitation":"7","noteIndex":0},"citationItems":[{"id":16,"uris":["http://zotero.org/users/6508478/items/FAFYHU6P"],"itemData":{"id":16,"type":"article-journal","abstract":"Saccular unruptured intracranial aneurysms (UIAs) have a prevalence of 3% in the adult population, and are being increasingly detected because of improved quality and higher frequency of cranial imaging. Large amounts of data, providing varying levels of evidence, have been published on aneurysm development, progression and rupture, but less information is available on the risks and efficacy of preventive treatment. When deciding how to best manage UIAs, clinicians must consider the age and life expectancy of the patient, the estimated risk of rupture, the risk of complications attributed to preventive treatment, and the level of anxiety caused by the awareness of having an aneurysm. This Review highlights the latest human data on the formation, progression and rupture of intracranial aneurysms, as well as risks associated with preventive treatment. Considering these we discuss the implication for clinical management. Furthermore, we highlight pivotal questions arising from current data on intracranial aneurysms and the implications the data have for future experimental or clinical research. We also discuss data on novel radiological surrogates for rupture for those aneurysms that do not require preventive occlusion. Finally, we provide guidance for clinicians who are confronted with patients with incidentally detected UIAs.","container-title":"Nature Reviews. Neurology","DOI":"10.1038/nrneurol.2016.150","ISSN":"1759-4766","issue":"12","journalAbbreviation":"Nat Rev Neurol","language":"eng","note":"PMID: 27808265","page":"699-713","source":"PubMed","title":"Unruptured intracranial aneurysms: development, rupture and preventive management","title-short":"Unruptured intracranial aneurysms","volume":"12","author":[{"family":"Etminan","given":"Nima"},{"family":"Rinkel","given":"Gabriel J."}],"issued":{"date-parts":[["2016",12]]}}}],"schema":"https://github.com/citation-style-language/schema/raw/master/csl-citation.json"} </w:instrText>
      </w:r>
      <w:r>
        <w:rPr>
          <w:rFonts w:ascii="Arial" w:hAnsi="Arial" w:cs="Arial"/>
          <w:sz w:val="24"/>
          <w:szCs w:val="24"/>
        </w:rPr>
        <w:fldChar w:fldCharType="separate"/>
      </w:r>
      <w:r w:rsidRPr="00BE0A2A">
        <w:rPr>
          <w:rFonts w:ascii="Arial" w:hAnsi="Arial" w:cs="Arial"/>
          <w:sz w:val="24"/>
          <w:szCs w:val="24"/>
          <w:vertAlign w:val="superscript"/>
        </w:rPr>
        <w:t>7</w:t>
      </w:r>
      <w:r>
        <w:rPr>
          <w:rFonts w:ascii="Arial" w:hAnsi="Arial" w:cs="Arial"/>
          <w:sz w:val="24"/>
          <w:szCs w:val="24"/>
        </w:rPr>
        <w:fldChar w:fldCharType="end"/>
      </w:r>
      <w:r>
        <w:rPr>
          <w:rFonts w:ascii="Arial" w:hAnsi="Arial" w:cs="Arial"/>
          <w:sz w:val="24"/>
          <w:szCs w:val="24"/>
        </w:rPr>
        <w:t>. The proteins of the glycocalyx also relay the changes in shear pressure and stress to the smooth muscle cells layer, which adjust their structure to the pressure, resulting in changes in the internal diameter of the vessel</w:t>
      </w:r>
      <w:r>
        <w:rPr>
          <w:rFonts w:ascii="Arial" w:hAnsi="Arial" w:cs="Arial"/>
          <w:sz w:val="24"/>
          <w:szCs w:val="24"/>
        </w:rPr>
        <w:fldChar w:fldCharType="begin"/>
      </w:r>
      <w:r w:rsidR="005B4F59">
        <w:rPr>
          <w:rFonts w:ascii="Arial" w:hAnsi="Arial" w:cs="Arial"/>
          <w:sz w:val="24"/>
          <w:szCs w:val="24"/>
        </w:rPr>
        <w:instrText xml:space="preserve"> ADDIN ZOTERO_ITEM CSL_CITATION {"citationID":"R5p9MR4Q","properties":{"formattedCitation":"\\super 10\\nosupersub{}","plainCitation":"10","noteIndex":0},"citationItems":[{"id":717,"uris":["http://zotero.org/users/6508478/items/EFW4FHMN"],"itemData":{"id":717,"type":"article-journal","abstract":"The classic Starling principle proposed that microvascular fluid exchange was determined by a balance of hydrostatic and oncotic pressures relative to the vascular wall and this movement of water was regulated by gaps in the intercellular spaces. However, current literature on the endothelial glycocalyx (a jelly-like protective layer covering the luminal surface of the endothelium) has revised Starling's traditional concepts. This article aims to summarise the literature on the glycocalyx related to its basic science, clinical settings inciting injury, protective strategies and clinical perspectives. Perioperative damage to the glycocalyx structure can increase vascular permeability leading to interstitial fluid shifts, oedema, and increased surgical morbidity. Pathological shedding of the glycocalyx occurs in response to mechanical cellular stress, endotoxins, inflammatory mediators, atrial natriuretic peptide, ischaemia?reperfusion injury, free oxygen radicals and hyperglycaemia. Increased understanding of the endothelial glycocalyx may change perioperative fluid management, and therapeutic strategies aimed at its preservation may improve patient outcomes.","container-title":"Anaesthesia and Intensive Care","DOI":"10.1177/0310057X1704500305","ISSN":"0310-057X","issue":"3","journalAbbreviation":"Anaesth Intensive Care","note":"publisher: SAGE Publications Ltd","page":"295-307","source":"SAGE Journals","title":"Endothelial Glycocalyx: Basic Science and Clinical Implications","title-short":"Endothelial Glycocalyx","volume":"45","author":[{"family":"Pillinger","given":"N. L."},{"family":"Kam","given":"P. C. A."}],"issued":{"date-parts":[["2017",5,1]]}}}],"schema":"https://github.com/citation-style-language/schema/raw/master/csl-citation.json"} </w:instrText>
      </w:r>
      <w:r>
        <w:rPr>
          <w:rFonts w:ascii="Arial" w:hAnsi="Arial" w:cs="Arial"/>
          <w:sz w:val="24"/>
          <w:szCs w:val="24"/>
        </w:rPr>
        <w:fldChar w:fldCharType="separate"/>
      </w:r>
      <w:r w:rsidRPr="009349E8">
        <w:rPr>
          <w:rFonts w:ascii="Arial" w:hAnsi="Arial" w:cs="Arial"/>
          <w:sz w:val="24"/>
          <w:szCs w:val="24"/>
          <w:vertAlign w:val="superscript"/>
        </w:rPr>
        <w:t>10</w:t>
      </w:r>
      <w:r>
        <w:rPr>
          <w:rFonts w:ascii="Arial" w:hAnsi="Arial" w:cs="Arial"/>
          <w:sz w:val="24"/>
          <w:szCs w:val="24"/>
        </w:rPr>
        <w:fldChar w:fldCharType="end"/>
      </w:r>
      <w:r>
        <w:rPr>
          <w:rFonts w:ascii="Arial" w:hAnsi="Arial" w:cs="Arial"/>
          <w:sz w:val="24"/>
          <w:szCs w:val="24"/>
        </w:rPr>
        <w:t xml:space="preserve">. The tunica adventitia is mainly composed of fibroblasts that produces growth factors to regulate cellular growth and inflammatory response </w:t>
      </w:r>
      <w:r>
        <w:rPr>
          <w:rFonts w:ascii="Arial" w:hAnsi="Arial" w:cs="Arial"/>
          <w:sz w:val="24"/>
          <w:szCs w:val="24"/>
        </w:rPr>
        <w:fldChar w:fldCharType="begin"/>
      </w:r>
      <w:r w:rsidR="005B4F59">
        <w:rPr>
          <w:rFonts w:ascii="Arial" w:hAnsi="Arial" w:cs="Arial"/>
          <w:sz w:val="24"/>
          <w:szCs w:val="24"/>
        </w:rPr>
        <w:instrText xml:space="preserve"> ADDIN ZOTERO_ITEM CSL_CITATION {"citationID":"EB8mYUGg","properties":{"formattedCitation":"\\super 11\\nosupersub{}","plainCitation":"11","noteIndex":0},"citationItems":[{"id":746,"uris":["http://zotero.org/users/6508478/items/AL6PW8XH"],"itemData":{"id":746,"type":"article-journal","abstract":"Atherosclerosis is a chronic inflammatory disease of arteries and it affects the structure and function of all three layers of the coronary artery wall. Current theories suggest that the dysfunction of endothelial cells is one of the initial steps in the development of atherosclerosis. The view that the tunica intima normally consists of a single layer of endothelial cells attached to the subendothelial layer and internal elastic membrane has been questioned in recent years. The structure of intima changes with age and it becomes multilayered due to migration of smooth muscle cells from the media to intima. At this stage, the migration and proliferation of smooth muscle cells do not cause pathological changes in the intima. The multilayering of intima is classically considered to be an important stage in the development of atherosclerosis, but in fact atherosclerotic plaques develop only focally due to the interplay of various processes that involve the resident and invading inflammatory cells. The tunica media consists of multiple layers of smooth muscle cells that produce the extracellular matrix, and this layer normally does not contain microvessels. During the development of atherosclerosis, the microvessels from the tunica adventitia or from the lumen may penetrate thickened media to provide nutrition and oxygenation. According to some theories, the endothelial dysfunction of these nutritive vessels may significantly contribute to the atherosclerosis of coronary arteries. The adventitia contains fibroblasts, progenitor cells, immune cells, microvessels, and adrenergic nerves. The degree of inflammatory cell infiltration into the adventitia, which can lead to the formation of tertiary lymphoid organs, correlates with the severity of atherosclerotic plaques. Coronary arteries are surrounded by perivascular adipose tissue that also participates in the atherosclerotic process.","container-title":"Bosnian Journal of Basic Medical Sciences","DOI":"10.17305/bjbms.2019.4320","ISSN":"1512-8601","issue":"1","journalAbbreviation":"Bosn J Basic Med Sci","note":"PMID: 31465719\nPMCID: PMC7029210","page":"21-30","source":"PubMed Central","title":"Pathogenesis of atherosclerosis in the tunica intima, media, and adventitia of coronary arteries: An updated review","title-short":"Pathogenesis of atherosclerosis in the tunica intima, media, and adventitia of coronary arteries","volume":"20","author":[{"family":"Milutinović","given":"Aleksandra"},{"family":"Šuput","given":"Dušan"},{"family":"Zorc-Pleskovič","given":"Ruda"}],"issued":{"date-parts":[["2020"]]}}}],"schema":"https://github.com/citation-style-language/schema/raw/master/csl-citation.json"} </w:instrText>
      </w:r>
      <w:r>
        <w:rPr>
          <w:rFonts w:ascii="Arial" w:hAnsi="Arial" w:cs="Arial"/>
          <w:sz w:val="24"/>
          <w:szCs w:val="24"/>
        </w:rPr>
        <w:fldChar w:fldCharType="separate"/>
      </w:r>
      <w:r w:rsidRPr="003E2EA6">
        <w:rPr>
          <w:rFonts w:ascii="Arial" w:hAnsi="Arial" w:cs="Arial"/>
          <w:sz w:val="24"/>
          <w:szCs w:val="24"/>
          <w:vertAlign w:val="superscript"/>
        </w:rPr>
        <w:t>11</w:t>
      </w:r>
      <w:r>
        <w:rPr>
          <w:rFonts w:ascii="Arial" w:hAnsi="Arial" w:cs="Arial"/>
          <w:sz w:val="24"/>
          <w:szCs w:val="24"/>
        </w:rPr>
        <w:fldChar w:fldCharType="end"/>
      </w:r>
      <w:r>
        <w:rPr>
          <w:rFonts w:ascii="Arial" w:hAnsi="Arial" w:cs="Arial"/>
          <w:sz w:val="24"/>
          <w:szCs w:val="24"/>
        </w:rPr>
        <w:t xml:space="preserve">. </w:t>
      </w:r>
    </w:p>
    <w:p w14:paraId="71E11B5A" w14:textId="3A8E00F0" w:rsidR="00F423B1" w:rsidRDefault="000A2390" w:rsidP="0074011E">
      <w:pPr>
        <w:spacing w:line="480" w:lineRule="auto"/>
        <w:ind w:firstLine="435"/>
        <w:jc w:val="both"/>
        <w:rPr>
          <w:rFonts w:ascii="Arial" w:hAnsi="Arial" w:cs="Arial"/>
          <w:sz w:val="24"/>
          <w:szCs w:val="24"/>
        </w:rPr>
      </w:pPr>
      <w:r>
        <w:rPr>
          <w:rFonts w:ascii="Arial" w:hAnsi="Arial" w:cs="Arial"/>
          <w:sz w:val="24"/>
          <w:szCs w:val="24"/>
        </w:rPr>
        <w:t xml:space="preserve">Many proteins and glycosaminoglycans are interspersed within the cell layers of the vessel. </w:t>
      </w:r>
      <w:r w:rsidRPr="00BB1238">
        <w:rPr>
          <w:rFonts w:ascii="Arial" w:hAnsi="Arial" w:cs="Arial"/>
          <w:sz w:val="24"/>
          <w:szCs w:val="24"/>
        </w:rPr>
        <w:t>The main proteins</w:t>
      </w:r>
      <w:r>
        <w:rPr>
          <w:rFonts w:ascii="Arial" w:hAnsi="Arial" w:cs="Arial"/>
          <w:sz w:val="24"/>
          <w:szCs w:val="24"/>
        </w:rPr>
        <w:t xml:space="preserve"> found in the vascular wall</w:t>
      </w:r>
      <w:r w:rsidRPr="00BB1238">
        <w:rPr>
          <w:rFonts w:ascii="Arial" w:hAnsi="Arial" w:cs="Arial"/>
          <w:sz w:val="24"/>
          <w:szCs w:val="24"/>
        </w:rPr>
        <w:t xml:space="preserve"> are collagen, elastin and fibronectin</w:t>
      </w:r>
      <w:r w:rsidRPr="00BB1238">
        <w:rPr>
          <w:rFonts w:ascii="Arial" w:hAnsi="Arial" w:cs="Arial"/>
          <w:sz w:val="24"/>
          <w:szCs w:val="24"/>
          <w:vertAlign w:val="superscript"/>
        </w:rPr>
        <w:fldChar w:fldCharType="begin"/>
      </w:r>
      <w:r w:rsidR="005B4F59">
        <w:rPr>
          <w:rFonts w:ascii="Arial" w:hAnsi="Arial" w:cs="Arial"/>
          <w:sz w:val="24"/>
          <w:szCs w:val="24"/>
          <w:vertAlign w:val="superscript"/>
        </w:rPr>
        <w:instrText xml:space="preserve"> ADDIN ZOTERO_ITEM CSL_CITATION {"citationID":"Irh6ssrU","properties":{"formattedCitation":"\\super 8\\nosupersub{}","plainCitation":"8","noteIndex":0},"citationItems":[{"id":32,"uris":["http://zotero.org/users/6508478/items/Z82GXCDY"],"itemData":{"id":32,"type":"article-journal","abstract":"Extracellular matrix proteins form the basic structure of blood vessels. Along with providing basic structural support to blood vessels, matrix proteins interact with different sets of vascular cells via cell surface integrin or non-integrin receptors. Such interactions induce vascular cell de novo synthesis of new matrix proteins during blood vessel development or remodeling. Under pathological conditions, vascular matrix proteins undergo proteolytic processing, yielding bioactive fragments to influence vascular wall matrix remodeling. Vascular cells also produce alternatively spliced variants that induce vascular cell production of different matrix proteins to interrupt matrix homeostasis, leading to increased blood vessel stiffness; vascular cell migration, proliferation, or death; or vascular wall leakage and rupture. Destruction of vascular matrix proteins leads to vascular cell or blood-borne leukocyte accumulation, proliferation, and neointima formation within the vascular wall; blood vessels prone to uncontrolled enlargement during blood flow diastole; tortuous vein development; and neovascularization from existing pathological tissue microvessels. Here we summarize discoveries related to blood vessel matrix proteins within the past decade from basic and clinical studies in humans and animals — from expression to cross-linking, assembly, and degradation under physiological and vascular pathological conditions, including atherosclerosis, aortic aneurysms, varicose veins, and hypertension.","container-title":"Biochimica et biophysica acta","DOI":"10.1016/j.bbadis.2014.07.008","ISSN":"0006-3002","issue":"11","journalAbbreviation":"Biochim Biophys Acta","note":"PMID: 25045854\nPMCID: PMC4188798","page":"2106-2119","source":"PubMed Central","title":"Vascular wall extracellular matrix proteins and vascular diseases","volume":"1842","author":[{"family":"Xu","given":"Junyan"},{"family":"Shi","given":"Guo-Ping"}],"issued":{"date-parts":[["2014",11]]}}}],"schema":"https://github.com/citation-style-language/schema/raw/master/csl-citation.json"} </w:instrText>
      </w:r>
      <w:r w:rsidRPr="00BB1238">
        <w:rPr>
          <w:rFonts w:ascii="Arial" w:hAnsi="Arial" w:cs="Arial"/>
          <w:sz w:val="24"/>
          <w:szCs w:val="24"/>
          <w:vertAlign w:val="superscript"/>
        </w:rPr>
        <w:fldChar w:fldCharType="separate"/>
      </w:r>
      <w:r w:rsidRPr="00BB1238">
        <w:rPr>
          <w:rFonts w:ascii="Arial" w:hAnsi="Arial" w:cs="Arial"/>
          <w:sz w:val="24"/>
          <w:szCs w:val="24"/>
          <w:vertAlign w:val="superscript"/>
        </w:rPr>
        <w:t>8</w:t>
      </w:r>
      <w:r w:rsidRPr="00BB1238">
        <w:rPr>
          <w:rFonts w:ascii="Arial" w:hAnsi="Arial" w:cs="Arial"/>
          <w:sz w:val="24"/>
          <w:szCs w:val="24"/>
          <w:vertAlign w:val="superscript"/>
        </w:rPr>
        <w:fldChar w:fldCharType="end"/>
      </w:r>
      <w:r w:rsidRPr="00BB1238">
        <w:rPr>
          <w:rFonts w:ascii="Arial" w:hAnsi="Arial" w:cs="Arial"/>
          <w:sz w:val="24"/>
          <w:szCs w:val="24"/>
        </w:rPr>
        <w:t>.</w:t>
      </w:r>
      <w:r>
        <w:rPr>
          <w:rFonts w:ascii="Arial" w:hAnsi="Arial" w:cs="Arial"/>
          <w:sz w:val="24"/>
          <w:szCs w:val="24"/>
        </w:rPr>
        <w:t xml:space="preserve"> </w:t>
      </w:r>
      <w:r w:rsidRPr="005904CC">
        <w:rPr>
          <w:rFonts w:ascii="Arial" w:hAnsi="Arial" w:cs="Arial"/>
          <w:sz w:val="24"/>
          <w:szCs w:val="24"/>
        </w:rPr>
        <w:t>Hyaluronic acid</w:t>
      </w:r>
      <w:r>
        <w:rPr>
          <w:rFonts w:ascii="Arial" w:hAnsi="Arial" w:cs="Arial"/>
          <w:sz w:val="24"/>
          <w:szCs w:val="24"/>
        </w:rPr>
        <w:t>, a glycosaminoglycan,</w:t>
      </w:r>
      <w:r w:rsidRPr="005904CC">
        <w:rPr>
          <w:rFonts w:ascii="Arial" w:hAnsi="Arial" w:cs="Arial"/>
          <w:sz w:val="24"/>
          <w:szCs w:val="24"/>
        </w:rPr>
        <w:t xml:space="preserve"> is also a major component of </w:t>
      </w:r>
      <w:r w:rsidRPr="00CF222A">
        <w:rPr>
          <w:rFonts w:ascii="Arial" w:hAnsi="Arial" w:cs="Arial"/>
          <w:sz w:val="24"/>
          <w:szCs w:val="24"/>
        </w:rPr>
        <w:t xml:space="preserve">different parts of </w:t>
      </w:r>
      <w:r w:rsidRPr="00CD14A2">
        <w:rPr>
          <w:rFonts w:ascii="Arial" w:hAnsi="Arial" w:cs="Arial"/>
          <w:sz w:val="24"/>
          <w:szCs w:val="24"/>
        </w:rPr>
        <w:t>blood vessels.</w:t>
      </w:r>
      <w:r>
        <w:rPr>
          <w:rFonts w:ascii="Arial" w:hAnsi="Arial" w:cs="Arial"/>
          <w:sz w:val="24"/>
          <w:szCs w:val="24"/>
        </w:rPr>
        <w:t xml:space="preserve"> For example, in the smooth muscle cell layer, hyaluronic acid forms a scaffold for white blood cell adhesion</w:t>
      </w:r>
      <w:r>
        <w:rPr>
          <w:rFonts w:ascii="Arial" w:hAnsi="Arial" w:cs="Arial"/>
          <w:sz w:val="24"/>
          <w:szCs w:val="24"/>
        </w:rPr>
        <w:fldChar w:fldCharType="begin"/>
      </w:r>
      <w:r w:rsidR="005B4F59">
        <w:rPr>
          <w:rFonts w:ascii="Arial" w:hAnsi="Arial" w:cs="Arial"/>
          <w:sz w:val="24"/>
          <w:szCs w:val="24"/>
        </w:rPr>
        <w:instrText xml:space="preserve"> ADDIN ZOTERO_ITEM CSL_CITATION {"citationID":"3Cs0KTLe","properties":{"formattedCitation":"\\super 12\\nosupersub{}","plainCitation":"12","noteIndex":0},"citationItems":[{"id":719,"uris":["http://zotero.org/users/6508478/items/A76DQRM8"],"itemData":{"id":719,"type":"article-journal","abstract":"Atherosclerosis is a chronic inflammatory condition of the blood vessel wall that can lead to arterial narrowing and subsequent vascular compromise. Although there are a variety of open and endovascular procedures used to alleviate the obstructions caused by atherosclerotic plaque, blood vessel instrumentation itself can lead to renarrowing of the vessel lumen through intimal hyperplasia, wound contracture, or a combination of the two. While the cell types involved in both atherosclerosis and vessel renarrowing after surgical intervention are largely characterized, current research has shown that components of the extracellular matrix are also important in the pathogenesis of the aforementioned processes. One such component is hyaluronic acid (HA). The objective of this review, therefore, is to examine the involvement of HA in these pathologic processes. Literature on the structure and function of HA was reviewed, with particular attention given to the role of HA in the processes of atherogenesis, intimal hyperplasia, and wound contracture after blood vessel instrumentation. HA interacts with vascular smooth muscle cells (VSMCs), endothelial cells (ECs), and platelets to promote atherogenesis. In particular, VSMCs manufacture large amounts of HA that form “cable-like” structures important for leukocyte adhesion and rolling. Additionally, transmigration of leukocytes across the EC layer is mediated by HA. Platelets cleave large molecules of HA into fragments that up-regulate leukocyte production of chemokines and cytokines. HA also has a role in both intimal hyperplasia and wound contracture, the two processes most responsible for vessel renarrowing after vascular instrumentation. HA has a complex, and sometimes conflicting, role in the pathologic processes of atherogenesis and vessel wall renarrowing after surgical intervention.","container-title":"Journal of Surgical Research","DOI":"10.1016/j.jss.2011.09.025","ISSN":"0022-4804","issue":"2","journalAbbreviation":"Journal of Surgical Research","language":"en","page":"e63-e72","source":"ScienceDirect","title":"The Role of Hyaluronic Acid in Atherosclerosis and Intimal Hyperplasia","volume":"173","author":[{"family":"Sadowitz","given":"Benjamin"},{"family":"Seymour","given":"Keri"},{"family":"Gahtan","given":"Vivian"},{"family":"Maier","given":"Kristopher G."}],"issued":{"date-parts":[["2012",4,1]]}}}],"schema":"https://github.com/citation-style-language/schema/raw/master/csl-citation.json"} </w:instrText>
      </w:r>
      <w:r>
        <w:rPr>
          <w:rFonts w:ascii="Arial" w:hAnsi="Arial" w:cs="Arial"/>
          <w:sz w:val="24"/>
          <w:szCs w:val="24"/>
        </w:rPr>
        <w:fldChar w:fldCharType="separate"/>
      </w:r>
      <w:r w:rsidRPr="00CD14A2">
        <w:rPr>
          <w:rFonts w:ascii="Arial" w:hAnsi="Arial" w:cs="Arial"/>
          <w:sz w:val="24"/>
          <w:szCs w:val="24"/>
          <w:vertAlign w:val="superscript"/>
        </w:rPr>
        <w:t>12</w:t>
      </w:r>
      <w:r>
        <w:rPr>
          <w:rFonts w:ascii="Arial" w:hAnsi="Arial" w:cs="Arial"/>
          <w:sz w:val="24"/>
          <w:szCs w:val="24"/>
        </w:rPr>
        <w:fldChar w:fldCharType="end"/>
      </w:r>
      <w:r>
        <w:rPr>
          <w:rFonts w:ascii="Arial" w:hAnsi="Arial" w:cs="Arial"/>
          <w:sz w:val="24"/>
          <w:szCs w:val="24"/>
        </w:rPr>
        <w:t xml:space="preserve">, while in the glycocalyx, hyaluronic acid provides structure to endothelial cells and facilitates </w:t>
      </w:r>
      <w:r>
        <w:rPr>
          <w:rFonts w:ascii="Arial" w:hAnsi="Arial" w:cs="Arial"/>
          <w:sz w:val="24"/>
          <w:szCs w:val="24"/>
        </w:rPr>
        <w:lastRenderedPageBreak/>
        <w:t>vascular permeability</w:t>
      </w:r>
      <w:r>
        <w:rPr>
          <w:rFonts w:ascii="Arial" w:hAnsi="Arial" w:cs="Arial"/>
          <w:sz w:val="24"/>
          <w:szCs w:val="24"/>
        </w:rPr>
        <w:fldChar w:fldCharType="begin"/>
      </w:r>
      <w:r w:rsidR="005B4F59">
        <w:rPr>
          <w:rFonts w:ascii="Arial" w:hAnsi="Arial" w:cs="Arial"/>
          <w:sz w:val="24"/>
          <w:szCs w:val="24"/>
        </w:rPr>
        <w:instrText xml:space="preserve"> ADDIN ZOTERO_ITEM CSL_CITATION {"citationID":"2Loo9kPe","properties":{"formattedCitation":"\\super 10\\nosupersub{}","plainCitation":"10","noteIndex":0},"citationItems":[{"id":717,"uris":["http://zotero.org/users/6508478/items/EFW4FHMN"],"itemData":{"id":717,"type":"article-journal","abstract":"The classic Starling principle proposed that microvascular fluid exchange was determined by a balance of hydrostatic and oncotic pressures relative to the vascular wall and this movement of water was regulated by gaps in the intercellular spaces. However, current literature on the endothelial glycocalyx (a jelly-like protective layer covering the luminal surface of the endothelium) has revised Starling's traditional concepts. This article aims to summarise the literature on the glycocalyx related to its basic science, clinical settings inciting injury, protective strategies and clinical perspectives. Perioperative damage to the glycocalyx structure can increase vascular permeability leading to interstitial fluid shifts, oedema, and increased surgical morbidity. Pathological shedding of the glycocalyx occurs in response to mechanical cellular stress, endotoxins, inflammatory mediators, atrial natriuretic peptide, ischaemia?reperfusion injury, free oxygen radicals and hyperglycaemia. Increased understanding of the endothelial glycocalyx may change perioperative fluid management, and therapeutic strategies aimed at its preservation may improve patient outcomes.","container-title":"Anaesthesia and Intensive Care","DOI":"10.1177/0310057X1704500305","ISSN":"0310-057X","issue":"3","journalAbbreviation":"Anaesth Intensive Care","note":"publisher: SAGE Publications Ltd","page":"295-307","source":"SAGE Journals","title":"Endothelial Glycocalyx: Basic Science and Clinical Implications","title-short":"Endothelial Glycocalyx","volume":"45","author":[{"family":"Pillinger","given":"N. L."},{"family":"Kam","given":"P. C. A."}],"issued":{"date-parts":[["2017",5,1]]}}}],"schema":"https://github.com/citation-style-language/schema/raw/master/csl-citation.json"} </w:instrText>
      </w:r>
      <w:r>
        <w:rPr>
          <w:rFonts w:ascii="Arial" w:hAnsi="Arial" w:cs="Arial"/>
          <w:sz w:val="24"/>
          <w:szCs w:val="24"/>
        </w:rPr>
        <w:fldChar w:fldCharType="separate"/>
      </w:r>
      <w:r w:rsidRPr="00BB4A6B">
        <w:rPr>
          <w:rFonts w:ascii="Arial" w:hAnsi="Arial" w:cs="Arial"/>
          <w:sz w:val="24"/>
          <w:szCs w:val="24"/>
          <w:vertAlign w:val="superscript"/>
        </w:rPr>
        <w:t>10</w:t>
      </w:r>
      <w:r>
        <w:rPr>
          <w:rFonts w:ascii="Arial" w:hAnsi="Arial" w:cs="Arial"/>
          <w:sz w:val="24"/>
          <w:szCs w:val="24"/>
        </w:rPr>
        <w:fldChar w:fldCharType="end"/>
      </w:r>
      <w:r>
        <w:rPr>
          <w:rFonts w:ascii="Arial" w:hAnsi="Arial" w:cs="Arial"/>
          <w:sz w:val="24"/>
          <w:szCs w:val="24"/>
        </w:rPr>
        <w:t xml:space="preserve">. </w:t>
      </w:r>
      <w:r w:rsidR="005438C5">
        <w:rPr>
          <w:rFonts w:ascii="Arial" w:hAnsi="Arial" w:cs="Arial"/>
          <w:sz w:val="24"/>
          <w:szCs w:val="24"/>
        </w:rPr>
        <w:t xml:space="preserve">Fibronectin is found in the </w:t>
      </w:r>
      <w:r w:rsidR="008426FF">
        <w:rPr>
          <w:rFonts w:ascii="Arial" w:hAnsi="Arial" w:cs="Arial"/>
          <w:sz w:val="24"/>
          <w:szCs w:val="24"/>
        </w:rPr>
        <w:t xml:space="preserve">basement </w:t>
      </w:r>
      <w:r w:rsidR="00CE6617">
        <w:rPr>
          <w:rFonts w:ascii="Arial" w:hAnsi="Arial" w:cs="Arial"/>
          <w:sz w:val="24"/>
          <w:szCs w:val="24"/>
        </w:rPr>
        <w:t xml:space="preserve">membrane </w:t>
      </w:r>
      <w:r w:rsidR="005438C5">
        <w:rPr>
          <w:rFonts w:ascii="Arial" w:hAnsi="Arial" w:cs="Arial"/>
          <w:sz w:val="24"/>
          <w:szCs w:val="24"/>
        </w:rPr>
        <w:t>and in the tunica adventitia of blood vessels. Fibronectin proteins form a network that regulates the accumulation of other proteins, such as collagen types I and III</w:t>
      </w:r>
      <w:r w:rsidR="005438C5">
        <w:rPr>
          <w:rFonts w:ascii="Arial" w:hAnsi="Arial" w:cs="Arial"/>
          <w:sz w:val="24"/>
          <w:szCs w:val="24"/>
        </w:rPr>
        <w:fldChar w:fldCharType="begin"/>
      </w:r>
      <w:r w:rsidR="005B4F59">
        <w:rPr>
          <w:rFonts w:ascii="Arial" w:hAnsi="Arial" w:cs="Arial"/>
          <w:sz w:val="24"/>
          <w:szCs w:val="24"/>
        </w:rPr>
        <w:instrText xml:space="preserve"> ADDIN ZOTERO_ITEM CSL_CITATION {"citationID":"qpm5aje7","properties":{"formattedCitation":"\\super 8\\nosupersub{}","plainCitation":"8","noteIndex":0},"citationItems":[{"id":32,"uris":["http://zotero.org/users/6508478/items/Z82GXCDY"],"itemData":{"id":32,"type":"article-journal","abstract":"Extracellular matrix proteins form the basic structure of blood vessels. Along with providing basic structural support to blood vessels, matrix proteins interact with different sets of vascular cells via cell surface integrin or non-integrin receptors. Such interactions induce vascular cell de novo synthesis of new matrix proteins during blood vessel development or remodeling. Under pathological conditions, vascular matrix proteins undergo proteolytic processing, yielding bioactive fragments to influence vascular wall matrix remodeling. Vascular cells also produce alternatively spliced variants that induce vascular cell production of different matrix proteins to interrupt matrix homeostasis, leading to increased blood vessel stiffness; vascular cell migration, proliferation, or death; or vascular wall leakage and rupture. Destruction of vascular matrix proteins leads to vascular cell or blood-borne leukocyte accumulation, proliferation, and neointima formation within the vascular wall; blood vessels prone to uncontrolled enlargement during blood flow diastole; tortuous vein development; and neovascularization from existing pathological tissue microvessels. Here we summarize discoveries related to blood vessel matrix proteins within the past decade from basic and clinical studies in humans and animals — from expression to cross-linking, assembly, and degradation under physiological and vascular pathological conditions, including atherosclerosis, aortic aneurysms, varicose veins, and hypertension.","container-title":"Biochimica et biophysica acta","DOI":"10.1016/j.bbadis.2014.07.008","ISSN":"0006-3002","issue":"11","journalAbbreviation":"Biochim Biophys Acta","note":"PMID: 25045854\nPMCID: PMC4188798","page":"2106-2119","source":"PubMed Central","title":"Vascular wall extracellular matrix proteins and vascular diseases","volume":"1842","author":[{"family":"Xu","given":"Junyan"},{"family":"Shi","given":"Guo-Ping"}],"issued":{"date-parts":[["2014",11]]}}}],"schema":"https://github.com/citation-style-language/schema/raw/master/csl-citation.json"} </w:instrText>
      </w:r>
      <w:r w:rsidR="005438C5">
        <w:rPr>
          <w:rFonts w:ascii="Arial" w:hAnsi="Arial" w:cs="Arial"/>
          <w:sz w:val="24"/>
          <w:szCs w:val="24"/>
        </w:rPr>
        <w:fldChar w:fldCharType="separate"/>
      </w:r>
      <w:r w:rsidR="005438C5" w:rsidRPr="0029370E">
        <w:rPr>
          <w:rFonts w:ascii="Arial" w:hAnsi="Arial" w:cs="Arial"/>
          <w:sz w:val="24"/>
          <w:szCs w:val="24"/>
          <w:vertAlign w:val="superscript"/>
        </w:rPr>
        <w:t>8</w:t>
      </w:r>
      <w:r w:rsidR="005438C5">
        <w:rPr>
          <w:rFonts w:ascii="Arial" w:hAnsi="Arial" w:cs="Arial"/>
          <w:sz w:val="24"/>
          <w:szCs w:val="24"/>
        </w:rPr>
        <w:fldChar w:fldCharType="end"/>
      </w:r>
      <w:r w:rsidR="005438C5">
        <w:rPr>
          <w:rFonts w:ascii="Arial" w:hAnsi="Arial" w:cs="Arial"/>
          <w:sz w:val="24"/>
          <w:szCs w:val="24"/>
        </w:rPr>
        <w:t>. Elastin is primarily localized to the tunica media and is the principal component of the elastic laminae, which gives structure and elasticity to the vessel wall</w:t>
      </w:r>
      <w:r w:rsidR="005438C5">
        <w:rPr>
          <w:rFonts w:ascii="Arial" w:hAnsi="Arial" w:cs="Arial"/>
          <w:sz w:val="24"/>
          <w:szCs w:val="24"/>
        </w:rPr>
        <w:fldChar w:fldCharType="begin"/>
      </w:r>
      <w:r w:rsidR="005B4F59">
        <w:rPr>
          <w:rFonts w:ascii="Arial" w:hAnsi="Arial" w:cs="Arial"/>
          <w:sz w:val="24"/>
          <w:szCs w:val="24"/>
        </w:rPr>
        <w:instrText xml:space="preserve"> ADDIN ZOTERO_ITEM CSL_CITATION {"citationID":"K3ym0DR4","properties":{"formattedCitation":"\\super 8\\nosupersub{}","plainCitation":"8","noteIndex":0},"citationItems":[{"id":32,"uris":["http://zotero.org/users/6508478/items/Z82GXCDY"],"itemData":{"id":32,"type":"article-journal","abstract":"Extracellular matrix proteins form the basic structure of blood vessels. Along with providing basic structural support to blood vessels, matrix proteins interact with different sets of vascular cells via cell surface integrin or non-integrin receptors. Such interactions induce vascular cell de novo synthesis of new matrix proteins during blood vessel development or remodeling. Under pathological conditions, vascular matrix proteins undergo proteolytic processing, yielding bioactive fragments to influence vascular wall matrix remodeling. Vascular cells also produce alternatively spliced variants that induce vascular cell production of different matrix proteins to interrupt matrix homeostasis, leading to increased blood vessel stiffness; vascular cell migration, proliferation, or death; or vascular wall leakage and rupture. Destruction of vascular matrix proteins leads to vascular cell or blood-borne leukocyte accumulation, proliferation, and neointima formation within the vascular wall; blood vessels prone to uncontrolled enlargement during blood flow diastole; tortuous vein development; and neovascularization from existing pathological tissue microvessels. Here we summarize discoveries related to blood vessel matrix proteins within the past decade from basic and clinical studies in humans and animals — from expression to cross-linking, assembly, and degradation under physiological and vascular pathological conditions, including atherosclerosis, aortic aneurysms, varicose veins, and hypertension.","container-title":"Biochimica et biophysica acta","DOI":"10.1016/j.bbadis.2014.07.008","ISSN":"0006-3002","issue":"11","journalAbbreviation":"Biochim Biophys Acta","note":"PMID: 25045854\nPMCID: PMC4188798","page":"2106-2119","source":"PubMed Central","title":"Vascular wall extracellular matrix proteins and vascular diseases","volume":"1842","author":[{"family":"Xu","given":"Junyan"},{"family":"Shi","given":"Guo-Ping"}],"issued":{"date-parts":[["2014",11]]}}}],"schema":"https://github.com/citation-style-language/schema/raw/master/csl-citation.json"} </w:instrText>
      </w:r>
      <w:r w:rsidR="005438C5">
        <w:rPr>
          <w:rFonts w:ascii="Arial" w:hAnsi="Arial" w:cs="Arial"/>
          <w:sz w:val="24"/>
          <w:szCs w:val="24"/>
        </w:rPr>
        <w:fldChar w:fldCharType="separate"/>
      </w:r>
      <w:r w:rsidR="005438C5" w:rsidRPr="004357AE">
        <w:rPr>
          <w:rFonts w:ascii="Arial" w:hAnsi="Arial" w:cs="Arial"/>
          <w:sz w:val="24"/>
          <w:szCs w:val="24"/>
          <w:vertAlign w:val="superscript"/>
        </w:rPr>
        <w:t>8</w:t>
      </w:r>
      <w:r w:rsidR="005438C5">
        <w:rPr>
          <w:rFonts w:ascii="Arial" w:hAnsi="Arial" w:cs="Arial"/>
          <w:sz w:val="24"/>
          <w:szCs w:val="24"/>
        </w:rPr>
        <w:fldChar w:fldCharType="end"/>
      </w:r>
      <w:r w:rsidR="005438C5">
        <w:rPr>
          <w:rFonts w:ascii="Arial" w:hAnsi="Arial" w:cs="Arial"/>
          <w:sz w:val="24"/>
          <w:szCs w:val="24"/>
        </w:rPr>
        <w:t xml:space="preserve">. </w:t>
      </w:r>
      <w:r w:rsidR="00496CCF">
        <w:rPr>
          <w:rFonts w:ascii="Arial" w:hAnsi="Arial" w:cs="Arial"/>
          <w:sz w:val="24"/>
          <w:szCs w:val="24"/>
        </w:rPr>
        <w:t>Vascular structural proteins</w:t>
      </w:r>
      <w:r w:rsidR="00496CCF" w:rsidRPr="00BB1238">
        <w:rPr>
          <w:rFonts w:ascii="Arial" w:hAnsi="Arial" w:cs="Arial"/>
          <w:sz w:val="24"/>
          <w:szCs w:val="24"/>
        </w:rPr>
        <w:t xml:space="preserve"> </w:t>
      </w:r>
      <w:r w:rsidR="005438C5">
        <w:rPr>
          <w:rFonts w:ascii="Arial" w:hAnsi="Arial" w:cs="Arial"/>
          <w:sz w:val="24"/>
          <w:szCs w:val="24"/>
        </w:rPr>
        <w:t xml:space="preserve">can also </w:t>
      </w:r>
      <w:r w:rsidR="00496CCF" w:rsidRPr="00BB1238">
        <w:rPr>
          <w:rFonts w:ascii="Arial" w:hAnsi="Arial" w:cs="Arial"/>
          <w:sz w:val="24"/>
          <w:szCs w:val="24"/>
        </w:rPr>
        <w:t>vary in composition depending on the function and localization of the vessel</w:t>
      </w:r>
      <w:r w:rsidR="00496CCF" w:rsidRPr="00BB1238">
        <w:rPr>
          <w:rFonts w:ascii="Arial" w:hAnsi="Arial" w:cs="Arial"/>
          <w:sz w:val="24"/>
          <w:szCs w:val="24"/>
          <w:vertAlign w:val="superscript"/>
        </w:rPr>
        <w:fldChar w:fldCharType="begin"/>
      </w:r>
      <w:r w:rsidR="005B4F59">
        <w:rPr>
          <w:rFonts w:ascii="Arial" w:hAnsi="Arial" w:cs="Arial"/>
          <w:sz w:val="24"/>
          <w:szCs w:val="24"/>
          <w:vertAlign w:val="superscript"/>
        </w:rPr>
        <w:instrText xml:space="preserve"> ADDIN ZOTERO_ITEM CSL_CITATION {"citationID":"ZSDlmN7E","properties":{"formattedCitation":"\\super 5,8\\nosupersub{}","plainCitation":"5,8","noteIndex":0},"citationItems":[{"id":49,"uris":["http://zotero.org/users/6508478/items/JURIAMZZ"],"itemData":{"id":49,"type":"chapter","abstract":"The peripheral vascular system (PVS) includes all the blood vessels that exist outside the heart. The peripheral vascular system is classified as follows: The aorta and its branches: The arterioles. The capillaries. The venules and veins returning blood to the heart. The function and structure of each segment of the peripheral vascular system vary depending on the organ it supplies. Aside from capillaries, blood vessels are all made of three layers:  The adventitia or outer layer which provides structural support and shape to the vessel. The tunica media or a middle layer composed of elastic and muscular tissue which regulates the internal diameter of the vessel. The tunic intima or an inner layer consisting of an endothelial lining which provides a frictionless pathway for the movement of blood. Within each layer, the amount of muscle and collagen fibrils varies, depending on the size and location of the vessel.  Arteries  Arteries play a major role in nourishing organs with blood and nutrients. Arteries are always under high pressure. To accommodate this stress, they have an abundance of elastic tissue and less smooth muscle. The presence of elastin in the large blood vessels enables these vessels to increase in size and alter their diameter. When an artery reaches a particular organ, it undergoes a further division into smaller vessels that have more smooth muscle and less elastic tissue. As the diameter of the blood vessels decreases, the velocity of blood flow also diminishes. Estimates are that about 10% to 15% of the total blood volume is contained in the arterial system. This feature of high systemic pressure and low volume is typical of the arterial system.    There are two main types of arteries found in the body: (1) the elastic arteries, and (2) the muscular arteries. Muscular arteries include the anatomically named arteries like the brachial artery, the radial artery, and the femoral artery, for example. Muscular arteries contain more smooth muscle cells in the tunica media layer than the elastic arteries. Elastic arteries are those nearest the heart (aorta and pulmonary arteries) that contain much more elastic tissue in the tunica media than muscular arteries. This feature of the elastic arteries allows them to maintain a relatively constant pressure gradient despite the constant pumping action of the heart.   Arterioles  Arterioles provide blood to the organs and are chiefly composed of smooth muscle. The autonomic nervous system influences the diameter and shape of arterioles. They respond to the tissue's need for more nutrients/oxygen. Arterioles play a significant role in the systemic vascular resistance because of the lack of significant elastic tissue in the walls.  The arterioles vary from 8 to 60 micrometers. The arterioles further subdivide into meta-arterioles.  Capillaries  Capillaries are thin-walled vessels composed of a single endothelial layer. Because of the thin walls of the capillary, the exchange of nutrients and metabolites occurs primarily via diffusion. The arteriolar lumen regulates the flow of blood through the capillaries.  Venules  Venules are the smallest veins and receive blood from capillaries. They also play a role in the exchange of oxygen and nutrients for water products. There are post-capillary sphincters located between the capillaries and venules. The venule is very thin-walled and easily prone to rupture with excessive volume.  Veins  Blood flows from venules into larger veins. Just like the arterial system, three layers make up the vein walls. But unlike the arteries, the venous pressure is low. Veins are thin-walled and are less elastic. This feature permits the veins to hold a very high percentage of the blood in circulation. The venous system can accommodate a large volume of blood at relatively low pressures, a feature termed high capacitance. At any point in time, nearly three-fourths of the circulating blood volume is contained in the venous system. One can also find one-way valves inside veins that allow for blood flow, toward the heart, in a forward direction. Muscle contractions aid the blood flow in the leg veins. The forward blood flow from the lower extremities to the heart is also influenced by respiratory changes that affect pressure gradients in the abdomen and chest cavity. This pressure differential is highest during deep inspiration, but a small pressure differential is observable during the entire respiratory cycle.","call-number":"NBK470401","container-title":"StatPearls","event-place":"Treasure Island (FL)","language":"eng","note":"PMID: 29262226","publisher":"StatPearls Publishing","publisher-place":"Treasure Island (FL)","source":"PubMed","title":"Anatomy, Blood Vessels","URL":"http://www.ncbi.nlm.nih.gov/books/NBK470401/","author":[{"family":"Tucker","given":"William D."},{"family":"Arora","given":"Yingyot"},{"family":"Mahajan","given":"Kunal"}],"accessed":{"date-parts":[["2021",5,21]]},"issued":{"date-parts":[["2021"]]}}},{"id":32,"uris":["http://zotero.org/users/6508478/items/Z82GXCDY"],"itemData":{"id":32,"type":"article-journal","abstract":"Extracellular matrix proteins form the basic structure of blood vessels. Along with providing basic structural support to blood vessels, matrix proteins interact with different sets of vascular cells via cell surface integrin or non-integrin receptors. Such interactions induce vascular cell de novo synthesis of new matrix proteins during blood vessel development or remodeling. Under pathological conditions, vascular matrix proteins undergo proteolytic processing, yielding bioactive fragments to influence vascular wall matrix remodeling. Vascular cells also produce alternatively spliced variants that induce vascular cell production of different matrix proteins to interrupt matrix homeostasis, leading to increased blood vessel stiffness; vascular cell migration, proliferation, or death; or vascular wall leakage and rupture. Destruction of vascular matrix proteins leads to vascular cell or blood-borne leukocyte accumulation, proliferation, and neointima formation within the vascular wall; blood vessels prone to uncontrolled enlargement during blood flow diastole; tortuous vein development; and neovascularization from existing pathological tissue microvessels. Here we summarize discoveries related to blood vessel matrix proteins within the past decade from basic and clinical studies in humans and animals — from expression to cross-linking, assembly, and degradation under physiological and vascular pathological conditions, including atherosclerosis, aortic aneurysms, varicose veins, and hypertension.","container-title":"Biochimica et biophysica acta","DOI":"10.1016/j.bbadis.2014.07.008","ISSN":"0006-3002","issue":"11","journalAbbreviation":"Biochim Biophys Acta","note":"PMID: 25045854\nPMCID: PMC4188798","page":"2106-2119","source":"PubMed Central","title":"Vascular wall extracellular matrix proteins and vascular diseases","volume":"1842","author":[{"family":"Xu","given":"Junyan"},{"family":"Shi","given":"Guo-Ping"}],"issued":{"date-parts":[["2014",11]]}}}],"schema":"https://github.com/citation-style-language/schema/raw/master/csl-citation.json"} </w:instrText>
      </w:r>
      <w:r w:rsidR="00496CCF" w:rsidRPr="00BB1238">
        <w:rPr>
          <w:rFonts w:ascii="Arial" w:hAnsi="Arial" w:cs="Arial"/>
          <w:sz w:val="24"/>
          <w:szCs w:val="24"/>
          <w:vertAlign w:val="superscript"/>
        </w:rPr>
        <w:fldChar w:fldCharType="separate"/>
      </w:r>
      <w:r w:rsidR="00496CCF" w:rsidRPr="00BB1238">
        <w:rPr>
          <w:rFonts w:ascii="Arial" w:hAnsi="Arial" w:cs="Arial"/>
          <w:sz w:val="24"/>
          <w:szCs w:val="24"/>
          <w:vertAlign w:val="superscript"/>
        </w:rPr>
        <w:t>5,8</w:t>
      </w:r>
      <w:r w:rsidR="00496CCF" w:rsidRPr="00BB1238">
        <w:rPr>
          <w:rFonts w:ascii="Arial" w:hAnsi="Arial" w:cs="Arial"/>
          <w:sz w:val="24"/>
          <w:szCs w:val="24"/>
          <w:vertAlign w:val="superscript"/>
        </w:rPr>
        <w:fldChar w:fldCharType="end"/>
      </w:r>
      <w:r w:rsidR="00496CCF" w:rsidRPr="00BB1238">
        <w:rPr>
          <w:rFonts w:ascii="Arial" w:hAnsi="Arial" w:cs="Arial"/>
          <w:sz w:val="24"/>
          <w:szCs w:val="24"/>
        </w:rPr>
        <w:t xml:space="preserve">. </w:t>
      </w:r>
      <w:r w:rsidR="00496CCF">
        <w:rPr>
          <w:rFonts w:ascii="Arial" w:hAnsi="Arial" w:cs="Arial"/>
          <w:sz w:val="24"/>
          <w:szCs w:val="24"/>
        </w:rPr>
        <w:t>For example</w:t>
      </w:r>
      <w:r w:rsidR="007D53BA" w:rsidRPr="00BB1238">
        <w:rPr>
          <w:rFonts w:ascii="Arial" w:hAnsi="Arial" w:cs="Arial"/>
          <w:sz w:val="24"/>
          <w:szCs w:val="24"/>
        </w:rPr>
        <w:t xml:space="preserve">, </w:t>
      </w:r>
      <w:r w:rsidR="000D70F9" w:rsidRPr="00BB1238">
        <w:rPr>
          <w:rFonts w:ascii="Arial" w:hAnsi="Arial" w:cs="Arial"/>
          <w:sz w:val="24"/>
          <w:szCs w:val="24"/>
        </w:rPr>
        <w:t xml:space="preserve">the </w:t>
      </w:r>
      <w:r w:rsidR="00CD10A2" w:rsidRPr="00BB1238">
        <w:rPr>
          <w:rFonts w:ascii="Arial" w:hAnsi="Arial" w:cs="Arial"/>
          <w:sz w:val="24"/>
          <w:szCs w:val="24"/>
        </w:rPr>
        <w:t>primary</w:t>
      </w:r>
      <w:r w:rsidR="00CD0F54" w:rsidRPr="00BB1238">
        <w:rPr>
          <w:rFonts w:ascii="Arial" w:hAnsi="Arial" w:cs="Arial"/>
          <w:sz w:val="24"/>
          <w:szCs w:val="24"/>
        </w:rPr>
        <w:t xml:space="preserve"> </w:t>
      </w:r>
      <w:r w:rsidR="000D70F9" w:rsidRPr="00BB1238">
        <w:rPr>
          <w:rFonts w:ascii="Arial" w:hAnsi="Arial" w:cs="Arial"/>
          <w:sz w:val="24"/>
          <w:szCs w:val="24"/>
        </w:rPr>
        <w:t>collagen types encountered</w:t>
      </w:r>
      <w:r w:rsidR="004473E5" w:rsidRPr="00BB1238">
        <w:rPr>
          <w:rFonts w:ascii="Arial" w:hAnsi="Arial" w:cs="Arial"/>
          <w:sz w:val="24"/>
          <w:szCs w:val="24"/>
        </w:rPr>
        <w:t xml:space="preserve"> in brain arteries</w:t>
      </w:r>
      <w:r w:rsidR="000D70F9" w:rsidRPr="00BB1238">
        <w:rPr>
          <w:rFonts w:ascii="Arial" w:hAnsi="Arial" w:cs="Arial"/>
          <w:sz w:val="24"/>
          <w:szCs w:val="24"/>
        </w:rPr>
        <w:t xml:space="preserve"> are </w:t>
      </w:r>
      <w:r w:rsidR="00CD0F54" w:rsidRPr="00BB1238">
        <w:rPr>
          <w:rFonts w:ascii="Arial" w:hAnsi="Arial" w:cs="Arial"/>
          <w:sz w:val="24"/>
          <w:szCs w:val="24"/>
        </w:rPr>
        <w:t>collagen I</w:t>
      </w:r>
      <w:r w:rsidR="00411211" w:rsidRPr="00BB1238">
        <w:rPr>
          <w:rFonts w:ascii="Arial" w:hAnsi="Arial" w:cs="Arial"/>
          <w:sz w:val="24"/>
          <w:szCs w:val="24"/>
        </w:rPr>
        <w:t>II, IV and VI</w:t>
      </w:r>
      <w:r w:rsidR="009D515D" w:rsidRPr="00BB1238">
        <w:rPr>
          <w:rFonts w:ascii="Arial" w:hAnsi="Arial" w:cs="Arial"/>
          <w:sz w:val="24"/>
          <w:szCs w:val="24"/>
        </w:rPr>
        <w:fldChar w:fldCharType="begin"/>
      </w:r>
      <w:r w:rsidR="005B4F59">
        <w:rPr>
          <w:rFonts w:ascii="Arial" w:hAnsi="Arial" w:cs="Arial"/>
          <w:sz w:val="24"/>
          <w:szCs w:val="24"/>
        </w:rPr>
        <w:instrText xml:space="preserve"> ADDIN ZOTERO_ITEM CSL_CITATION {"citationID":"ADTqZu10","properties":{"formattedCitation":"\\super 13\\nosupersub{}","plainCitation":"13","noteIndex":0},"citationItems":[{"id":677,"uris":["http://zotero.org/users/6508478/items/NE7T4F6U"],"itemData":{"id":677,"type":"article-journal","abstract":"Background and Purpose—\n\nThe chronological development and natural history of cerebral aneurysms (CAs) remain incompletely understood. We used 14C birth dating of a main constituent of CAs, that is, collagen type I, as an indicator for biosynthesis and turnover of collagen in CAs in relation to human cerebral arteries to investigate this further.\n\nMethods—\n\nForty-six ruptured and unruptured CA samples from 43 patients and 10 cadaveric human cerebral arteries were obtained. The age of collagen, extracted and purified from excised CAs, was estimated using 14C birth dating and correlated with CA and patient characteristics, including the history of risk factors associated with atherosclerosis and potentially aneurysm growth and rupture.\n\nResults—\n\nNearly all CA samples contained collagen type I, which was &lt;5 years old, irrespective of patient age, aneurysm size, morphology, or rupture status. However, CAs from patients with a history of risk factors (smoking or hypertension) contained significantly younger collagen than CAs from patients with no risk factors (mean, 1.6±1.2 versus 3.9±3.3 years, respectively; P=0.012). CAs and cerebral arteries did not share a dominant structural protein, such as collagen type I, which would allow comparison of their collagen turnover.\n\nConclusions—\n\nThe abundant amount of relatively young collagen type I in CAs suggests that there is an ongoing collagen remodeling in aneurysms, which is significantly more rapid in patients with risk factors. These findings challenge the concept that CAs are present for decades and that they undergo only sporadic episodes of structural change.","container-title":"Stroke","DOI":"10.1161/STROKEAHA.114.005461","issue":"6","note":"publisher: American Heart Association","page":"1757-1763","source":"ahajournals.org (Atypon)","title":"Age of Collagen in Intracranial Saccular Aneurysms","volume":"45","author":[{"family":"Etminan","given":"Nima"},{"family":"Dreier","given":"Rita"},{"family":"Buchholz","given":"Bruce A."},{"family":"Beseoglu","given":"Kerim"},{"family":"Bruckner","given":"Peter"},{"family":"Matzenauer","given":"Christian"},{"family":"Torner","given":"James C."},{"family":"Brown","given":"Robert D."},{"family":"Steiger","given":"Hans-Jakob"},{"family":"Hänggi","given":"Daniel"},{"family":"Macdonald","given":"R. Loch"}],"issued":{"date-parts":[["2014",6]]}}}],"schema":"https://github.com/citation-style-language/schema/raw/master/csl-citation.json"} </w:instrText>
      </w:r>
      <w:r w:rsidR="009D515D" w:rsidRPr="00BB1238">
        <w:rPr>
          <w:rFonts w:ascii="Arial" w:hAnsi="Arial" w:cs="Arial"/>
          <w:sz w:val="24"/>
          <w:szCs w:val="24"/>
        </w:rPr>
        <w:fldChar w:fldCharType="separate"/>
      </w:r>
      <w:r w:rsidR="00CD14A2" w:rsidRPr="00CD14A2">
        <w:rPr>
          <w:rFonts w:ascii="Arial" w:hAnsi="Arial" w:cs="Arial"/>
          <w:sz w:val="24"/>
          <w:szCs w:val="24"/>
          <w:vertAlign w:val="superscript"/>
        </w:rPr>
        <w:t>13</w:t>
      </w:r>
      <w:r w:rsidR="009D515D" w:rsidRPr="00BB1238">
        <w:rPr>
          <w:rFonts w:ascii="Arial" w:hAnsi="Arial" w:cs="Arial"/>
          <w:sz w:val="24"/>
          <w:szCs w:val="24"/>
        </w:rPr>
        <w:fldChar w:fldCharType="end"/>
      </w:r>
      <w:r w:rsidR="00411211" w:rsidRPr="00BB1238">
        <w:rPr>
          <w:rFonts w:ascii="Arial" w:hAnsi="Arial" w:cs="Arial"/>
          <w:sz w:val="24"/>
          <w:szCs w:val="24"/>
        </w:rPr>
        <w:t>.</w:t>
      </w:r>
      <w:r w:rsidR="00CD0F54" w:rsidRPr="00BB1238">
        <w:rPr>
          <w:rFonts w:ascii="Arial" w:hAnsi="Arial" w:cs="Arial"/>
          <w:sz w:val="24"/>
          <w:szCs w:val="24"/>
        </w:rPr>
        <w:t xml:space="preserve"> </w:t>
      </w:r>
      <w:r w:rsidR="004473E5" w:rsidRPr="00BB1238">
        <w:rPr>
          <w:rFonts w:ascii="Arial" w:hAnsi="Arial" w:cs="Arial"/>
          <w:sz w:val="24"/>
          <w:szCs w:val="24"/>
        </w:rPr>
        <w:t>However</w:t>
      </w:r>
      <w:r w:rsidR="00205582" w:rsidRPr="00BB1238">
        <w:rPr>
          <w:rFonts w:ascii="Arial" w:hAnsi="Arial" w:cs="Arial"/>
          <w:sz w:val="24"/>
          <w:szCs w:val="24"/>
        </w:rPr>
        <w:t>,</w:t>
      </w:r>
      <w:r w:rsidR="004473E5" w:rsidRPr="00BB1238">
        <w:rPr>
          <w:rFonts w:ascii="Arial" w:hAnsi="Arial" w:cs="Arial"/>
          <w:sz w:val="24"/>
          <w:szCs w:val="24"/>
        </w:rPr>
        <w:t xml:space="preserve"> </w:t>
      </w:r>
      <w:r w:rsidR="00CD10A2" w:rsidRPr="00BB1238">
        <w:rPr>
          <w:rFonts w:ascii="Arial" w:hAnsi="Arial" w:cs="Arial"/>
          <w:sz w:val="24"/>
          <w:szCs w:val="24"/>
        </w:rPr>
        <w:t xml:space="preserve">the specific composition </w:t>
      </w:r>
      <w:r w:rsidR="004473E5" w:rsidRPr="00BB1238">
        <w:rPr>
          <w:rFonts w:ascii="Arial" w:hAnsi="Arial" w:cs="Arial"/>
          <w:sz w:val="24"/>
          <w:szCs w:val="24"/>
        </w:rPr>
        <w:t xml:space="preserve">varies </w:t>
      </w:r>
      <w:r w:rsidR="00CD10A2" w:rsidRPr="00BB1238">
        <w:rPr>
          <w:rFonts w:ascii="Arial" w:hAnsi="Arial" w:cs="Arial"/>
          <w:sz w:val="24"/>
          <w:szCs w:val="24"/>
        </w:rPr>
        <w:t xml:space="preserve">depending on the </w:t>
      </w:r>
      <w:r w:rsidR="004473E5" w:rsidRPr="00BB1238">
        <w:rPr>
          <w:rFonts w:ascii="Arial" w:hAnsi="Arial" w:cs="Arial"/>
          <w:sz w:val="24"/>
          <w:szCs w:val="24"/>
        </w:rPr>
        <w:t>type of cerebral arteries.</w:t>
      </w:r>
      <w:r w:rsidR="00BF275A" w:rsidRPr="00BB1238">
        <w:rPr>
          <w:rFonts w:ascii="Arial" w:hAnsi="Arial" w:cs="Arial"/>
          <w:sz w:val="24"/>
          <w:szCs w:val="24"/>
        </w:rPr>
        <w:t xml:space="preserve"> </w:t>
      </w:r>
      <w:r w:rsidR="000D393D">
        <w:rPr>
          <w:rFonts w:ascii="Arial" w:hAnsi="Arial" w:cs="Arial"/>
          <w:sz w:val="24"/>
          <w:szCs w:val="24"/>
        </w:rPr>
        <w:t>For example,</w:t>
      </w:r>
      <w:r w:rsidR="00665CF0" w:rsidRPr="00EB056A">
        <w:rPr>
          <w:rFonts w:ascii="Arial" w:hAnsi="Arial" w:cs="Arial"/>
          <w:sz w:val="24"/>
          <w:szCs w:val="24"/>
        </w:rPr>
        <w:t xml:space="preserve"> Dong </w:t>
      </w:r>
      <w:r w:rsidR="00665CF0" w:rsidRPr="00EB056A">
        <w:rPr>
          <w:rFonts w:ascii="Arial" w:hAnsi="Arial" w:cs="Arial"/>
          <w:i/>
          <w:iCs/>
          <w:sz w:val="24"/>
          <w:szCs w:val="24"/>
        </w:rPr>
        <w:t>et al.</w:t>
      </w:r>
      <w:r w:rsidR="00E04AD1" w:rsidRPr="00EB056A">
        <w:rPr>
          <w:rFonts w:ascii="Arial" w:hAnsi="Arial" w:cs="Arial"/>
          <w:sz w:val="24"/>
          <w:szCs w:val="24"/>
        </w:rPr>
        <w:fldChar w:fldCharType="begin"/>
      </w:r>
      <w:r w:rsidR="005B4F59">
        <w:rPr>
          <w:rFonts w:ascii="Arial" w:hAnsi="Arial" w:cs="Arial"/>
          <w:sz w:val="24"/>
          <w:szCs w:val="24"/>
        </w:rPr>
        <w:instrText xml:space="preserve"> ADDIN ZOTERO_ITEM CSL_CITATION {"citationID":"rhRzzu0p","properties":{"formattedCitation":"\\super 14\\nosupersub{}","plainCitation":"14","noteIndex":0},"citationItems":[{"id":11,"uris":["http://zotero.org/users/6508478/items/EHC7HUNH"],"itemData":{"id":11,"type":"article-journal","abstract":"Arteries in cerebral autosomal dominant arteriopathy with subcortical infarcts and leukoencephalopathy (CADASIL) are susceptible to smooth muscle loss and fibrosis, but the molecular components underlying these dramatic vascular changes are not well characterized. The purpose of this study was to investigate the distribution of collagen isoforms in the cerebral vessels of North American CADASIL patients with classical NOTCH3 mutations. Expression of types I–VI collagen in brains obtained at autopsy from six CADASIL patients with cysteine-altering mutations in NOTCH3 was compared to control brain expression. We identified a consistent increase of types I, III, IV, and VI collagen in CADASIL brains. Strong accumulation of types I, III, IV and VI collagen was noted in all calibers of vessels, including small and medium-sized leptomeningeal arteries, small penetrating white matter arteries, and capillaries. Within leptomeningeal arteries, where we could define the three tunicae of each vessel, we found distinct collagen subtype distribution patterns in CADASIL. Types I and III collagen were largely found in either adventitial/medial or transmural locations. Type IV collagen was strictly intimal/medial. Type VI collagen was adventitial or adventitial/medial. Within the thickened penetrating arteries of CADASIL patients, all four collagens extended through most of the arterial wall. We observed increased staining of capillaries in CADASIL for types I, IV, and VI collagen. In conclusion, brain vascular collagen subtypes are increased in CADASIL in multiple layers of all sizes of arteries, with disease-specific changes most prominent in the tunica media and thickened small penetrating vessels. In diseased arteries, types I, III, and VI collagen spreads from an external location (adventitia) into the vascular media, while type IV collagen accumulates in an internal pattern (intima and media). These observations are consistent with a pathological role for collagen accumulation in the vascular media in CADASIL.","container-title":"Brain Research","DOI":"10.1016/j.brainres.2012.03.037","ISSN":"0006-8993","journalAbbreviation":"Brain Research","language":"en","page":"64-71","source":"ScienceDirect","title":"Bidirectional encroachment of collagen into the tunica media in cerebral autosomal dominant arteriopathy with subcortical infarcts and leukoencephalopathy","volume":"1456","author":[{"family":"Dong","given":"Hairong"},{"family":"Blaivas","given":"Mila"},{"family":"Wang","given":"Michael M."}],"issued":{"date-parts":[["2012",5,25]]}}}],"schema":"https://github.com/citation-style-language/schema/raw/master/csl-citation.json"} </w:instrText>
      </w:r>
      <w:r w:rsidR="00E04AD1" w:rsidRPr="00EB056A">
        <w:rPr>
          <w:rFonts w:ascii="Arial" w:hAnsi="Arial" w:cs="Arial"/>
          <w:sz w:val="24"/>
          <w:szCs w:val="24"/>
        </w:rPr>
        <w:fldChar w:fldCharType="separate"/>
      </w:r>
      <w:r w:rsidR="00CD14A2" w:rsidRPr="00CD14A2">
        <w:rPr>
          <w:rFonts w:ascii="Arial" w:hAnsi="Arial" w:cs="Arial"/>
          <w:sz w:val="24"/>
          <w:szCs w:val="24"/>
          <w:vertAlign w:val="superscript"/>
        </w:rPr>
        <w:t>14</w:t>
      </w:r>
      <w:r w:rsidR="00E04AD1" w:rsidRPr="00EB056A">
        <w:rPr>
          <w:rFonts w:ascii="Arial" w:hAnsi="Arial" w:cs="Arial"/>
          <w:sz w:val="24"/>
          <w:szCs w:val="24"/>
        </w:rPr>
        <w:fldChar w:fldCharType="end"/>
      </w:r>
      <w:r w:rsidR="00665CF0" w:rsidRPr="00EB056A">
        <w:rPr>
          <w:rFonts w:ascii="Arial" w:hAnsi="Arial" w:cs="Arial"/>
          <w:sz w:val="24"/>
          <w:szCs w:val="24"/>
        </w:rPr>
        <w:t xml:space="preserve">, </w:t>
      </w:r>
      <w:r w:rsidR="003A20E1" w:rsidRPr="00EB056A">
        <w:rPr>
          <w:rFonts w:ascii="Arial" w:hAnsi="Arial" w:cs="Arial"/>
          <w:sz w:val="24"/>
          <w:szCs w:val="24"/>
        </w:rPr>
        <w:t xml:space="preserve">studied the brain of 6 </w:t>
      </w:r>
      <w:r w:rsidR="00561666" w:rsidRPr="00EB056A">
        <w:rPr>
          <w:rFonts w:ascii="Arial" w:hAnsi="Arial" w:cs="Arial"/>
          <w:sz w:val="24"/>
          <w:szCs w:val="24"/>
        </w:rPr>
        <w:t xml:space="preserve">middle aged </w:t>
      </w:r>
      <w:r w:rsidR="003A20E1" w:rsidRPr="00EB056A">
        <w:rPr>
          <w:rFonts w:ascii="Arial" w:hAnsi="Arial" w:cs="Arial"/>
          <w:sz w:val="24"/>
          <w:szCs w:val="24"/>
        </w:rPr>
        <w:t xml:space="preserve">deceased subjects and </w:t>
      </w:r>
      <w:r w:rsidR="000D393D">
        <w:rPr>
          <w:rFonts w:ascii="Arial" w:hAnsi="Arial" w:cs="Arial"/>
          <w:sz w:val="24"/>
          <w:szCs w:val="24"/>
        </w:rPr>
        <w:t xml:space="preserve">demonstrated that </w:t>
      </w:r>
      <w:r w:rsidR="00544ADA" w:rsidRPr="00EB056A">
        <w:rPr>
          <w:rFonts w:ascii="Arial" w:hAnsi="Arial" w:cs="Arial"/>
          <w:sz w:val="24"/>
          <w:szCs w:val="24"/>
        </w:rPr>
        <w:t>collagen I is predominant in the tunica adventitia and intima</w:t>
      </w:r>
      <w:r w:rsidR="00C941BA" w:rsidRPr="00EB056A">
        <w:rPr>
          <w:rFonts w:ascii="Arial" w:hAnsi="Arial" w:cs="Arial"/>
          <w:sz w:val="24"/>
          <w:szCs w:val="24"/>
        </w:rPr>
        <w:t xml:space="preserve"> </w:t>
      </w:r>
      <w:r w:rsidR="000D393D">
        <w:rPr>
          <w:rFonts w:ascii="Arial" w:hAnsi="Arial" w:cs="Arial"/>
          <w:sz w:val="24"/>
          <w:szCs w:val="24"/>
        </w:rPr>
        <w:t xml:space="preserve">of </w:t>
      </w:r>
      <w:r w:rsidR="000D393D" w:rsidRPr="00EB056A">
        <w:rPr>
          <w:rFonts w:ascii="Arial" w:eastAsia="Calibri" w:hAnsi="Arial" w:cs="Arial"/>
          <w:sz w:val="24"/>
          <w:szCs w:val="24"/>
        </w:rPr>
        <w:t>leptomeningeal</w:t>
      </w:r>
      <w:r w:rsidR="000D393D" w:rsidRPr="00EB056A">
        <w:rPr>
          <w:rFonts w:ascii="Arial" w:hAnsi="Arial" w:cs="Arial"/>
          <w:sz w:val="28"/>
          <w:szCs w:val="28"/>
        </w:rPr>
        <w:t xml:space="preserve"> </w:t>
      </w:r>
      <w:r w:rsidR="000D393D" w:rsidRPr="00404D0D">
        <w:rPr>
          <w:rFonts w:ascii="Arial" w:hAnsi="Arial" w:cs="Arial"/>
          <w:sz w:val="24"/>
          <w:szCs w:val="24"/>
        </w:rPr>
        <w:t>arteries</w:t>
      </w:r>
      <w:r w:rsidR="000D393D">
        <w:rPr>
          <w:rFonts w:ascii="Arial" w:hAnsi="Arial" w:cs="Arial"/>
          <w:sz w:val="24"/>
          <w:szCs w:val="24"/>
        </w:rPr>
        <w:t>, while</w:t>
      </w:r>
      <w:r w:rsidR="000D393D" w:rsidRPr="00EB056A">
        <w:rPr>
          <w:rFonts w:ascii="Arial" w:hAnsi="Arial" w:cs="Arial"/>
          <w:sz w:val="24"/>
          <w:szCs w:val="24"/>
        </w:rPr>
        <w:t xml:space="preserve"> </w:t>
      </w:r>
      <w:r w:rsidR="00C941BA" w:rsidRPr="00EB056A">
        <w:rPr>
          <w:rFonts w:ascii="Arial" w:hAnsi="Arial" w:cs="Arial"/>
          <w:sz w:val="24"/>
          <w:szCs w:val="24"/>
        </w:rPr>
        <w:t xml:space="preserve">collagen III is </w:t>
      </w:r>
      <w:r w:rsidR="00855CDA" w:rsidRPr="00EB056A">
        <w:rPr>
          <w:rFonts w:ascii="Arial" w:hAnsi="Arial" w:cs="Arial"/>
          <w:sz w:val="24"/>
          <w:szCs w:val="24"/>
        </w:rPr>
        <w:t>moderately</w:t>
      </w:r>
      <w:r w:rsidR="00D42073" w:rsidRPr="00EB056A">
        <w:rPr>
          <w:rFonts w:ascii="Arial" w:hAnsi="Arial" w:cs="Arial"/>
          <w:sz w:val="24"/>
          <w:szCs w:val="24"/>
        </w:rPr>
        <w:t xml:space="preserve"> present in the </w:t>
      </w:r>
      <w:r w:rsidR="0062135E" w:rsidRPr="00EB056A">
        <w:rPr>
          <w:rFonts w:ascii="Arial" w:hAnsi="Arial" w:cs="Arial"/>
          <w:sz w:val="24"/>
          <w:szCs w:val="24"/>
        </w:rPr>
        <w:t xml:space="preserve">tunica adventitia. Conversely, </w:t>
      </w:r>
      <w:r w:rsidR="00E00826" w:rsidRPr="00EB056A">
        <w:rPr>
          <w:rFonts w:ascii="Arial" w:hAnsi="Arial" w:cs="Arial"/>
          <w:sz w:val="24"/>
          <w:szCs w:val="24"/>
        </w:rPr>
        <w:t xml:space="preserve">in grey and white matter capillaries, </w:t>
      </w:r>
      <w:r w:rsidR="00947413" w:rsidRPr="00EB056A">
        <w:rPr>
          <w:rFonts w:ascii="Arial" w:hAnsi="Arial" w:cs="Arial"/>
          <w:sz w:val="24"/>
          <w:szCs w:val="24"/>
        </w:rPr>
        <w:t xml:space="preserve">collagen III </w:t>
      </w:r>
      <w:r w:rsidR="00346816">
        <w:rPr>
          <w:rFonts w:ascii="Arial" w:hAnsi="Arial" w:cs="Arial"/>
          <w:sz w:val="24"/>
          <w:szCs w:val="24"/>
        </w:rPr>
        <w:t>was</w:t>
      </w:r>
      <w:r w:rsidR="0031139E">
        <w:rPr>
          <w:rFonts w:ascii="Arial" w:hAnsi="Arial" w:cs="Arial"/>
          <w:sz w:val="24"/>
          <w:szCs w:val="24"/>
        </w:rPr>
        <w:t xml:space="preserve"> </w:t>
      </w:r>
      <w:r w:rsidR="00947413" w:rsidRPr="00404D0D">
        <w:rPr>
          <w:rFonts w:ascii="Arial" w:hAnsi="Arial" w:cs="Arial"/>
          <w:sz w:val="24"/>
          <w:szCs w:val="24"/>
        </w:rPr>
        <w:t>present</w:t>
      </w:r>
      <w:r w:rsidR="00B84576" w:rsidRPr="00404D0D">
        <w:rPr>
          <w:rFonts w:ascii="Arial" w:hAnsi="Arial" w:cs="Arial"/>
          <w:sz w:val="24"/>
          <w:szCs w:val="24"/>
        </w:rPr>
        <w:t xml:space="preserve"> in relatively high quantities</w:t>
      </w:r>
      <w:r w:rsidR="00947413" w:rsidRPr="00404D0D">
        <w:rPr>
          <w:rFonts w:ascii="Arial" w:hAnsi="Arial" w:cs="Arial"/>
          <w:sz w:val="24"/>
          <w:szCs w:val="24"/>
        </w:rPr>
        <w:t xml:space="preserve"> </w:t>
      </w:r>
      <w:r w:rsidR="00F00129" w:rsidRPr="00EB056A">
        <w:rPr>
          <w:rFonts w:ascii="Arial" w:hAnsi="Arial" w:cs="Arial"/>
          <w:sz w:val="24"/>
          <w:szCs w:val="24"/>
        </w:rPr>
        <w:t xml:space="preserve">but </w:t>
      </w:r>
      <w:r w:rsidR="00103C00" w:rsidRPr="00EB056A">
        <w:rPr>
          <w:rFonts w:ascii="Arial" w:hAnsi="Arial" w:cs="Arial"/>
          <w:sz w:val="24"/>
          <w:szCs w:val="24"/>
        </w:rPr>
        <w:t xml:space="preserve">collagen I </w:t>
      </w:r>
      <w:r w:rsidR="00346816">
        <w:rPr>
          <w:rFonts w:ascii="Arial" w:hAnsi="Arial" w:cs="Arial"/>
          <w:sz w:val="24"/>
          <w:szCs w:val="24"/>
        </w:rPr>
        <w:t>wa</w:t>
      </w:r>
      <w:r w:rsidR="00BF10F8" w:rsidRPr="00EB056A">
        <w:rPr>
          <w:rFonts w:ascii="Arial" w:hAnsi="Arial" w:cs="Arial"/>
          <w:sz w:val="24"/>
          <w:szCs w:val="24"/>
        </w:rPr>
        <w:t>s</w:t>
      </w:r>
      <w:r w:rsidR="00103C00" w:rsidRPr="00EB056A">
        <w:rPr>
          <w:rFonts w:ascii="Arial" w:hAnsi="Arial" w:cs="Arial"/>
          <w:sz w:val="24"/>
          <w:szCs w:val="24"/>
        </w:rPr>
        <w:t xml:space="preserve"> only faintly </w:t>
      </w:r>
      <w:r w:rsidR="00BD027D" w:rsidRPr="00EB056A">
        <w:rPr>
          <w:rFonts w:ascii="Arial" w:hAnsi="Arial" w:cs="Arial"/>
          <w:sz w:val="24"/>
          <w:szCs w:val="24"/>
        </w:rPr>
        <w:t>present</w:t>
      </w:r>
      <w:r w:rsidR="0079314D">
        <w:rPr>
          <w:rFonts w:ascii="Arial" w:hAnsi="Arial" w:cs="Arial"/>
          <w:sz w:val="24"/>
          <w:szCs w:val="24"/>
        </w:rPr>
        <w:t xml:space="preserve"> and</w:t>
      </w:r>
      <w:r w:rsidR="00346816" w:rsidRPr="00EB056A">
        <w:rPr>
          <w:rFonts w:ascii="Arial" w:hAnsi="Arial" w:cs="Arial"/>
          <w:sz w:val="24"/>
          <w:szCs w:val="24"/>
        </w:rPr>
        <w:t xml:space="preserve"> </w:t>
      </w:r>
      <w:r w:rsidR="00E00826" w:rsidRPr="00EB056A">
        <w:rPr>
          <w:rFonts w:ascii="Arial" w:hAnsi="Arial" w:cs="Arial"/>
          <w:sz w:val="24"/>
          <w:szCs w:val="24"/>
        </w:rPr>
        <w:t xml:space="preserve">only </w:t>
      </w:r>
      <w:r w:rsidR="00CE28FD" w:rsidRPr="00EB056A">
        <w:rPr>
          <w:rFonts w:ascii="Arial" w:hAnsi="Arial" w:cs="Arial"/>
          <w:sz w:val="24"/>
          <w:szCs w:val="24"/>
        </w:rPr>
        <w:t>traces of collagen IV found</w:t>
      </w:r>
      <w:r w:rsidR="00B313D7" w:rsidRPr="00EB056A">
        <w:rPr>
          <w:rFonts w:ascii="Arial" w:hAnsi="Arial" w:cs="Arial"/>
          <w:sz w:val="24"/>
          <w:szCs w:val="24"/>
        </w:rPr>
        <w:fldChar w:fldCharType="begin"/>
      </w:r>
      <w:r w:rsidR="005B4F59">
        <w:rPr>
          <w:rFonts w:ascii="Arial" w:hAnsi="Arial" w:cs="Arial"/>
          <w:sz w:val="24"/>
          <w:szCs w:val="24"/>
        </w:rPr>
        <w:instrText xml:space="preserve"> ADDIN ZOTERO_ITEM CSL_CITATION {"citationID":"4D6aNina","properties":{"formattedCitation":"\\super 14\\nosupersub{}","plainCitation":"14","noteIndex":0},"citationItems":[{"id":11,"uris":["http://zotero.org/users/6508478/items/EHC7HUNH"],"itemData":{"id":11,"type":"article-journal","abstract":"Arteries in cerebral autosomal dominant arteriopathy with subcortical infarcts and leukoencephalopathy (CADASIL) are susceptible to smooth muscle loss and fibrosis, but the molecular components underlying these dramatic vascular changes are not well characterized. The purpose of this study was to investigate the distribution of collagen isoforms in the cerebral vessels of North American CADASIL patients with classical NOTCH3 mutations. Expression of types I–VI collagen in brains obtained at autopsy from six CADASIL patients with cysteine-altering mutations in NOTCH3 was compared to control brain expression. We identified a consistent increase of types I, III, IV, and VI collagen in CADASIL brains. Strong accumulation of types I, III, IV and VI collagen was noted in all calibers of vessels, including small and medium-sized leptomeningeal arteries, small penetrating white matter arteries, and capillaries. Within leptomeningeal arteries, where we could define the three tunicae of each vessel, we found distinct collagen subtype distribution patterns in CADASIL. Types I and III collagen were largely found in either adventitial/medial or transmural locations. Type IV collagen was strictly intimal/medial. Type VI collagen was adventitial or adventitial/medial. Within the thickened penetrating arteries of CADASIL patients, all four collagens extended through most of the arterial wall. We observed increased staining of capillaries in CADASIL for types I, IV, and VI collagen. In conclusion, brain vascular collagen subtypes are increased in CADASIL in multiple layers of all sizes of arteries, with disease-specific changes most prominent in the tunica media and thickened small penetrating vessels. In diseased arteries, types I, III, and VI collagen spreads from an external location (adventitia) into the vascular media, while type IV collagen accumulates in an internal pattern (intima and media). These observations are consistent with a pathological role for collagen accumulation in the vascular media in CADASIL.","container-title":"Brain Research","DOI":"10.1016/j.brainres.2012.03.037","ISSN":"0006-8993","journalAbbreviation":"Brain Research","language":"en","page":"64-71","source":"ScienceDirect","title":"Bidirectional encroachment of collagen into the tunica media in cerebral autosomal dominant arteriopathy with subcortical infarcts and leukoencephalopathy","volume":"1456","author":[{"family":"Dong","given":"Hairong"},{"family":"Blaivas","given":"Mila"},{"family":"Wang","given":"Michael M."}],"issued":{"date-parts":[["2012",5,25]]}}}],"schema":"https://github.com/citation-style-language/schema/raw/master/csl-citation.json"} </w:instrText>
      </w:r>
      <w:r w:rsidR="00B313D7" w:rsidRPr="00EB056A">
        <w:rPr>
          <w:rFonts w:ascii="Arial" w:hAnsi="Arial" w:cs="Arial"/>
          <w:sz w:val="24"/>
          <w:szCs w:val="24"/>
        </w:rPr>
        <w:fldChar w:fldCharType="separate"/>
      </w:r>
      <w:r w:rsidR="00CD14A2" w:rsidRPr="00CD14A2">
        <w:rPr>
          <w:rFonts w:ascii="Arial" w:hAnsi="Arial" w:cs="Arial"/>
          <w:sz w:val="24"/>
          <w:szCs w:val="24"/>
          <w:vertAlign w:val="superscript"/>
        </w:rPr>
        <w:t>14</w:t>
      </w:r>
      <w:r w:rsidR="00B313D7" w:rsidRPr="00EB056A">
        <w:rPr>
          <w:rFonts w:ascii="Arial" w:hAnsi="Arial" w:cs="Arial"/>
          <w:sz w:val="24"/>
          <w:szCs w:val="24"/>
        </w:rPr>
        <w:fldChar w:fldCharType="end"/>
      </w:r>
      <w:r w:rsidR="00BD027D" w:rsidRPr="00EB056A">
        <w:rPr>
          <w:rFonts w:ascii="Arial" w:hAnsi="Arial" w:cs="Arial"/>
          <w:sz w:val="24"/>
          <w:szCs w:val="24"/>
        </w:rPr>
        <w:t>.</w:t>
      </w:r>
      <w:r w:rsidR="00BB4A6B">
        <w:rPr>
          <w:rFonts w:ascii="Arial" w:hAnsi="Arial" w:cs="Arial"/>
          <w:sz w:val="24"/>
          <w:szCs w:val="24"/>
        </w:rPr>
        <w:t xml:space="preserve"> </w:t>
      </w:r>
    </w:p>
    <w:p w14:paraId="3DA21B85" w14:textId="560B1780" w:rsidR="00767AA5" w:rsidRPr="00B30856" w:rsidRDefault="00410711" w:rsidP="00B30856">
      <w:pPr>
        <w:pStyle w:val="Paragraphedeliste"/>
        <w:numPr>
          <w:ilvl w:val="2"/>
          <w:numId w:val="12"/>
        </w:numPr>
        <w:spacing w:line="480" w:lineRule="auto"/>
        <w:jc w:val="both"/>
        <w:rPr>
          <w:rFonts w:ascii="Arial" w:hAnsi="Arial" w:cs="Arial"/>
          <w:b/>
          <w:bCs/>
          <w:sz w:val="24"/>
          <w:szCs w:val="24"/>
        </w:rPr>
      </w:pPr>
      <w:r w:rsidRPr="00B30856">
        <w:rPr>
          <w:rFonts w:ascii="Arial" w:hAnsi="Arial" w:cs="Arial"/>
          <w:b/>
          <w:bCs/>
          <w:sz w:val="24"/>
          <w:szCs w:val="24"/>
        </w:rPr>
        <w:t>Mechanical properties of</w:t>
      </w:r>
      <w:r w:rsidR="00E10742">
        <w:rPr>
          <w:rFonts w:ascii="Arial" w:hAnsi="Arial" w:cs="Arial"/>
          <w:b/>
          <w:bCs/>
          <w:sz w:val="24"/>
          <w:szCs w:val="24"/>
        </w:rPr>
        <w:t xml:space="preserve"> and experienced by</w:t>
      </w:r>
      <w:r w:rsidRPr="00B30856">
        <w:rPr>
          <w:rFonts w:ascii="Arial" w:hAnsi="Arial" w:cs="Arial"/>
          <w:b/>
          <w:bCs/>
          <w:sz w:val="24"/>
          <w:szCs w:val="24"/>
        </w:rPr>
        <w:t xml:space="preserve"> blood vessels</w:t>
      </w:r>
    </w:p>
    <w:p w14:paraId="539FFCB9" w14:textId="42CDCC9B" w:rsidR="00B30856" w:rsidRDefault="00B30856" w:rsidP="00B30856">
      <w:pPr>
        <w:spacing w:after="0" w:line="480" w:lineRule="auto"/>
        <w:ind w:firstLine="720"/>
        <w:jc w:val="both"/>
        <w:rPr>
          <w:rFonts w:ascii="Arial" w:hAnsi="Arial" w:cs="Arial"/>
          <w:sz w:val="24"/>
          <w:szCs w:val="24"/>
        </w:rPr>
      </w:pPr>
      <w:r>
        <w:rPr>
          <w:rFonts w:ascii="Arial" w:hAnsi="Arial" w:cs="Arial"/>
          <w:sz w:val="24"/>
          <w:szCs w:val="24"/>
        </w:rPr>
        <w:t xml:space="preserve">Blood vessels both exhibit mechanical properties and undergo mechanical forces under physiological conditions. </w:t>
      </w:r>
      <w:r w:rsidR="00410711" w:rsidRPr="00784FF5">
        <w:rPr>
          <w:rFonts w:ascii="Arial" w:hAnsi="Arial" w:cs="Arial"/>
          <w:sz w:val="24"/>
          <w:szCs w:val="24"/>
        </w:rPr>
        <w:t>The tensile modulus of human brain arteries is approximately 21 MPa and the one of human brain veins is approximately 2.3 MPa</w:t>
      </w:r>
      <w:r w:rsidR="00410711" w:rsidRPr="00784FF5">
        <w:rPr>
          <w:rFonts w:ascii="Arial" w:hAnsi="Arial" w:cs="Arial"/>
          <w:sz w:val="24"/>
          <w:szCs w:val="24"/>
        </w:rPr>
        <w:fldChar w:fldCharType="begin"/>
      </w:r>
      <w:r w:rsidR="005B4F59">
        <w:rPr>
          <w:rFonts w:ascii="Arial" w:hAnsi="Arial" w:cs="Arial"/>
          <w:sz w:val="24"/>
          <w:szCs w:val="24"/>
        </w:rPr>
        <w:instrText xml:space="preserve"> ADDIN ZOTERO_ITEM CSL_CITATION {"citationID":"iImYAsKZ","properties":{"formattedCitation":"\\super 15,16\\nosupersub{}","plainCitation":"15,16","noteIndex":0},"citationItems":[{"id":60,"uris":["http://zotero.org/users/6508478/items/F7BTHJ6A"],"itemData":{"id":60,"type":"article-journal","abstract":"The rupture of blood vessels in the human brain results in serious pathological and medical problems. In particular, brain hemorrhage and hematomas resulting from impact to the head are a major cause of death. As such, investigating the tensile behavior and rupture of blood vessels in the brain is very important from a medical point of view. In the present study, the tensile characteristics of the blood vessels in the human brain were analyzed using a quasi-static uniaxial tensile test, and the properties of the arteries and veins compared. In addition, to compare the tensile behavior and demonstrate the validity of the experimental results, blood vessels from the legs of pigs were also tested and analyzed. The overall results were in accordance with the histological structures and previous medical reports.","container-title":"KSME International Journal","DOI":"10.1007/BF02982986","ISSN":"1738-494X","issue":"7","journalAbbreviation":"KSME International Journal","language":"en","page":"1016-1025","source":"Springer Link","title":"Tensile characteristics and behavior of blood vessels from human brain in uniaxial tensile test","volume":"17","author":[{"family":"Suh","given":"Chang-Min"},{"family":"Kim","given":"Sung-Ho"},{"family":"Monson","given":"Ken L."},{"family":"Goldsmith","given":"Werner"}],"issued":{"date-parts":[["2003",7,1]]}}},{"id":59,"uris":["http://zotero.org/users/6508478/items/J9LQ5JHN"],"itemData":{"id":59,"type":"article-journal","abstract":"Human cerebral blood vessels are frequently damaged in head impact, whether accidental or deliberate, resulting in intracranial bleeding. Additionally, the vasculature constitutes the support structure for the brain and, hence, plays a key role in the cranial load response. Quantification of its mechanical behavior, including limiting loads, is thus required for a proper understanding and modeling of traumatic brain injury—as well as providing substantial assistance in the development and application of preventive measures. It is believed that axial stretching is the dominant loading mode for the blood vessels, regardless of the nature of the insult. Eighteen arteries and fourteen veins were obtained from the cortical surface of the cerebral temporal lobe of patients undergoing surgery. These vessels were stretched to failure in the longitudinal direction, either quasi-statically or dynamically. The significance of specimen and experiment parameters was determined using multivariate analysis of variance (MANOVA) testing. Results demonstrate that the arteries were considerably stiffer than the veins, carrying approximately twice as much stress at failure but withstanding only half as much stretch. No significant rate dependence was measured over a strain rate range of more than four orders of magnitude (0.01 to 500 s−1).","container-title":"Journal of Biomechanical Engineering","DOI":"10.1115/1.1554412","ISSN":"0148-0731","issue":"2","journalAbbreviation":"Journal of Biomechanical Engineering","page":"288-294","source":"Silverchair","title":"Axial Mechanical Properties of Fresh Human Cerebral Blood Vessels","volume":"125","author":[{"family":"Monson","given":"Kenneth L."},{"family":"Goldsmith","given":"Werner"},{"family":"Barbaro","given":"Nicholas M."},{"family":"Manley","given":"Geoffrey T."}],"issued":{"date-parts":[["2003",4,9]]}}}],"schema":"https://github.com/citation-style-language/schema/raw/master/csl-citation.json"} </w:instrText>
      </w:r>
      <w:r w:rsidR="00410711" w:rsidRPr="00784FF5">
        <w:rPr>
          <w:rFonts w:ascii="Arial" w:hAnsi="Arial" w:cs="Arial"/>
          <w:sz w:val="24"/>
          <w:szCs w:val="24"/>
        </w:rPr>
        <w:fldChar w:fldCharType="separate"/>
      </w:r>
      <w:r w:rsidR="003E2EA6" w:rsidRPr="003E2EA6">
        <w:rPr>
          <w:rFonts w:ascii="Arial" w:hAnsi="Arial" w:cs="Arial"/>
          <w:sz w:val="24"/>
          <w:szCs w:val="24"/>
          <w:vertAlign w:val="superscript"/>
        </w:rPr>
        <w:t>15,16</w:t>
      </w:r>
      <w:r w:rsidR="00410711" w:rsidRPr="00784FF5">
        <w:rPr>
          <w:rFonts w:ascii="Arial" w:hAnsi="Arial" w:cs="Arial"/>
          <w:sz w:val="24"/>
          <w:szCs w:val="24"/>
        </w:rPr>
        <w:fldChar w:fldCharType="end"/>
      </w:r>
      <w:r w:rsidR="00410711" w:rsidRPr="00784FF5">
        <w:rPr>
          <w:rFonts w:ascii="Arial" w:hAnsi="Arial" w:cs="Arial"/>
          <w:sz w:val="24"/>
          <w:szCs w:val="24"/>
        </w:rPr>
        <w:t>. This huge difference in tensile modulus between arteries and veins is due to the different percentage of elastin, which is greater in arteries</w:t>
      </w:r>
      <w:r w:rsidR="00410711" w:rsidRPr="00784FF5">
        <w:rPr>
          <w:rFonts w:ascii="Arial" w:hAnsi="Arial" w:cs="Arial"/>
          <w:sz w:val="24"/>
          <w:szCs w:val="24"/>
        </w:rPr>
        <w:fldChar w:fldCharType="begin"/>
      </w:r>
      <w:r w:rsidR="005B4F59">
        <w:rPr>
          <w:rFonts w:ascii="Arial" w:hAnsi="Arial" w:cs="Arial"/>
          <w:sz w:val="24"/>
          <w:szCs w:val="24"/>
        </w:rPr>
        <w:instrText xml:space="preserve"> ADDIN ZOTERO_ITEM CSL_CITATION {"citationID":"oFbfrYsy","properties":{"formattedCitation":"\\super 15\\nosupersub{}","plainCitation":"15","noteIndex":0},"citationItems":[{"id":60,"uris":["http://zotero.org/users/6508478/items/F7BTHJ6A"],"itemData":{"id":60,"type":"article-journal","abstract":"The rupture of blood vessels in the human brain results in serious pathological and medical problems. In particular, brain hemorrhage and hematomas resulting from impact to the head are a major cause of death. As such, investigating the tensile behavior and rupture of blood vessels in the brain is very important from a medical point of view. In the present study, the tensile characteristics of the blood vessels in the human brain were analyzed using a quasi-static uniaxial tensile test, and the properties of the arteries and veins compared. In addition, to compare the tensile behavior and demonstrate the validity of the experimental results, blood vessels from the legs of pigs were also tested and analyzed. The overall results were in accordance with the histological structures and previous medical reports.","container-title":"KSME International Journal","DOI":"10.1007/BF02982986","ISSN":"1738-494X","issue":"7","journalAbbreviation":"KSME International Journal","language":"en","page":"1016-1025","source":"Springer Link","title":"Tensile characteristics and behavior of blood vessels from human brain in uniaxial tensile test","volume":"17","author":[{"family":"Suh","given":"Chang-Min"},{"family":"Kim","given":"Sung-Ho"},{"family":"Monson","given":"Ken L."},{"family":"Goldsmith","given":"Werner"}],"issued":{"date-parts":[["2003",7,1]]}}}],"schema":"https://github.com/citation-style-language/schema/raw/master/csl-citation.json"} </w:instrText>
      </w:r>
      <w:r w:rsidR="00410711" w:rsidRPr="00784FF5">
        <w:rPr>
          <w:rFonts w:ascii="Arial" w:hAnsi="Arial" w:cs="Arial"/>
          <w:sz w:val="24"/>
          <w:szCs w:val="24"/>
        </w:rPr>
        <w:fldChar w:fldCharType="separate"/>
      </w:r>
      <w:r w:rsidR="003E2EA6" w:rsidRPr="003E2EA6">
        <w:rPr>
          <w:rFonts w:ascii="Arial" w:hAnsi="Arial" w:cs="Arial"/>
          <w:sz w:val="24"/>
          <w:szCs w:val="24"/>
          <w:vertAlign w:val="superscript"/>
        </w:rPr>
        <w:t>15</w:t>
      </w:r>
      <w:r w:rsidR="00410711" w:rsidRPr="00784FF5">
        <w:rPr>
          <w:rFonts w:ascii="Arial" w:hAnsi="Arial" w:cs="Arial"/>
          <w:sz w:val="24"/>
          <w:szCs w:val="24"/>
        </w:rPr>
        <w:fldChar w:fldCharType="end"/>
      </w:r>
      <w:r w:rsidR="00410711" w:rsidRPr="00784FF5">
        <w:rPr>
          <w:rFonts w:ascii="Arial" w:hAnsi="Arial" w:cs="Arial"/>
          <w:sz w:val="24"/>
          <w:szCs w:val="24"/>
        </w:rPr>
        <w:t xml:space="preserve">. Compressive modulus of brain </w:t>
      </w:r>
      <w:r w:rsidR="00410711" w:rsidRPr="00784FF5">
        <w:rPr>
          <w:rFonts w:ascii="Arial" w:hAnsi="Arial" w:cs="Arial"/>
          <w:sz w:val="24"/>
          <w:szCs w:val="24"/>
        </w:rPr>
        <w:lastRenderedPageBreak/>
        <w:t>arteries is approximately 10 MPa whereas the compressive modulus of brain veins is around 4 MPa</w:t>
      </w:r>
      <w:r w:rsidR="00410711">
        <w:rPr>
          <w:rFonts w:ascii="Arial" w:hAnsi="Arial" w:cs="Arial"/>
          <w:sz w:val="24"/>
          <w:szCs w:val="24"/>
        </w:rPr>
        <w:t>.</w:t>
      </w:r>
      <w:r w:rsidR="00410711" w:rsidRPr="00784FF5">
        <w:rPr>
          <w:rFonts w:ascii="Arial" w:hAnsi="Arial" w:cs="Arial"/>
          <w:sz w:val="24"/>
          <w:szCs w:val="24"/>
        </w:rPr>
        <w:fldChar w:fldCharType="begin"/>
      </w:r>
      <w:r w:rsidR="005B4F59">
        <w:rPr>
          <w:rFonts w:ascii="Arial" w:hAnsi="Arial" w:cs="Arial"/>
          <w:sz w:val="24"/>
          <w:szCs w:val="24"/>
        </w:rPr>
        <w:instrText xml:space="preserve"> ADDIN ZOTERO_ITEM CSL_CITATION {"citationID":"AUhntis1","properties":{"formattedCitation":"\\super 17\\nosupersub{}","plainCitation":"17","noteIndex":0},"citationItems":[{"id":4,"uris":["http://zotero.org/users/6508478/items/TK8N7NEI"],"itemData":{"id":4,"type":"article-journal","abstract":"During the last 50 years, novel biomaterials and tissue engineering techniques have been investigated to produce alternative vascular substitutes that recapitulate the unique elastic mechanical features of blood vessels. A large variation in mechanical characterization, including the test type, protocol, and data analysis, is present in literature which complicates the comparison among studies and prevents the blooming and the advancement of this field. In addition, a limited mechanical assessment of the substitute for the intended application is often provided. In this light, this review presents the mechanical environment of blood vessels, discusses their mechanical behavior responsible for the suited blood flow into the body (non-linearity, anisotropy, hysteresis, and compliance), and compares the mechanical properties reported in literature (obtained with compression, tensile, stress-relaxation, creep, dynamic mechanical analysis, burst pressure, and dynamic compliance tests). This perspective highlights that the mechanical properties extracted through conventional tests are not always suitable indicators of the mechanical performance during the working life of a vascular substitute. The available tests can be then strategically used at different stages of the substitute development, prioritizing the simplicity of the method at early stages, and the physiological pertinence at later stages, following as much as possible ISO standards in the field. A consistent mechanical characterization focused on the behavior to which they will be subdued during real life is one key and missing element in the quest for physiological-like mechanical performance of vascular substitutes.","container-title":"Materials Today Bio","DOI":"10.1016/j.mtbio.2021.100106","ISSN":"2590-0064","journalAbbreviation":"Materials Today Bio","language":"en","page":"100106","source":"ScienceDirect","title":"The mechanical characterization of blood vessels and their substitutes in the continuous quest for physiological-relevant performances. A critical review","volume":"10","author":[{"family":"Camasão","given":"D. B."},{"family":"Mantovani","given":"D."}],"issued":{"date-parts":[["2021",3,1]]}}}],"schema":"https://github.com/citation-style-language/schema/raw/master/csl-citation.json"} </w:instrText>
      </w:r>
      <w:r w:rsidR="00410711" w:rsidRPr="00784FF5">
        <w:rPr>
          <w:rFonts w:ascii="Arial" w:hAnsi="Arial" w:cs="Arial"/>
          <w:sz w:val="24"/>
          <w:szCs w:val="24"/>
        </w:rPr>
        <w:fldChar w:fldCharType="separate"/>
      </w:r>
      <w:r w:rsidR="003E2EA6" w:rsidRPr="003E2EA6">
        <w:rPr>
          <w:rFonts w:ascii="Arial" w:hAnsi="Arial" w:cs="Arial"/>
          <w:sz w:val="24"/>
          <w:szCs w:val="24"/>
          <w:vertAlign w:val="superscript"/>
        </w:rPr>
        <w:t>17</w:t>
      </w:r>
      <w:r w:rsidR="00410711" w:rsidRPr="00784FF5">
        <w:rPr>
          <w:rFonts w:ascii="Arial" w:hAnsi="Arial" w:cs="Arial"/>
          <w:sz w:val="24"/>
          <w:szCs w:val="24"/>
        </w:rPr>
        <w:fldChar w:fldCharType="end"/>
      </w:r>
    </w:p>
    <w:p w14:paraId="1152AEA1" w14:textId="67743715" w:rsidR="00784FF5" w:rsidRPr="00784FF5" w:rsidRDefault="00B30856" w:rsidP="003B5F26">
      <w:pPr>
        <w:spacing w:after="0" w:line="480" w:lineRule="auto"/>
        <w:ind w:firstLine="540"/>
        <w:jc w:val="both"/>
        <w:rPr>
          <w:rFonts w:ascii="Arial" w:hAnsi="Arial" w:cs="Arial"/>
          <w:sz w:val="24"/>
          <w:szCs w:val="24"/>
        </w:rPr>
      </w:pPr>
      <w:r>
        <w:rPr>
          <w:rFonts w:ascii="Arial" w:hAnsi="Arial" w:cs="Arial"/>
          <w:sz w:val="24"/>
          <w:szCs w:val="24"/>
        </w:rPr>
        <w:t>The walls of b</w:t>
      </w:r>
      <w:r w:rsidRPr="00F606F3">
        <w:rPr>
          <w:rFonts w:ascii="Arial" w:hAnsi="Arial" w:cs="Arial"/>
          <w:sz w:val="24"/>
          <w:szCs w:val="24"/>
        </w:rPr>
        <w:t>lood vessel</w:t>
      </w:r>
      <w:r>
        <w:rPr>
          <w:rFonts w:ascii="Arial" w:hAnsi="Arial" w:cs="Arial"/>
          <w:sz w:val="24"/>
          <w:szCs w:val="24"/>
        </w:rPr>
        <w:t xml:space="preserve">s also </w:t>
      </w:r>
      <w:r w:rsidRPr="00F606F3">
        <w:rPr>
          <w:rFonts w:ascii="Arial" w:hAnsi="Arial" w:cs="Arial"/>
          <w:sz w:val="24"/>
          <w:szCs w:val="24"/>
        </w:rPr>
        <w:t xml:space="preserve">undergo many types of mechanical </w:t>
      </w:r>
      <w:r>
        <w:rPr>
          <w:rFonts w:ascii="Arial" w:hAnsi="Arial" w:cs="Arial"/>
          <w:sz w:val="24"/>
          <w:szCs w:val="24"/>
        </w:rPr>
        <w:t>constraints</w:t>
      </w:r>
      <w:r w:rsidR="00E10742">
        <w:rPr>
          <w:rFonts w:ascii="Arial" w:hAnsi="Arial" w:cs="Arial"/>
          <w:sz w:val="24"/>
          <w:szCs w:val="24"/>
        </w:rPr>
        <w:t>,</w:t>
      </w:r>
      <w:r w:rsidRPr="00F606F3">
        <w:rPr>
          <w:rFonts w:ascii="Arial" w:hAnsi="Arial" w:cs="Arial"/>
          <w:sz w:val="24"/>
          <w:szCs w:val="24"/>
        </w:rPr>
        <w:t xml:space="preserve"> including shear stress</w:t>
      </w:r>
      <w:r>
        <w:rPr>
          <w:rFonts w:ascii="Arial" w:hAnsi="Arial" w:cs="Arial"/>
          <w:sz w:val="24"/>
          <w:szCs w:val="24"/>
        </w:rPr>
        <w:t xml:space="preserve">. </w:t>
      </w:r>
      <w:r w:rsidRPr="00EB056A">
        <w:rPr>
          <w:rFonts w:ascii="Arial" w:hAnsi="Arial" w:cs="Arial"/>
          <w:sz w:val="24"/>
          <w:szCs w:val="24"/>
        </w:rPr>
        <w:t xml:space="preserve">Wall shear stress and shear pressure in brain arteries </w:t>
      </w:r>
      <w:r>
        <w:rPr>
          <w:rFonts w:ascii="Arial" w:hAnsi="Arial" w:cs="Arial"/>
          <w:sz w:val="24"/>
          <w:szCs w:val="24"/>
        </w:rPr>
        <w:t>have been</w:t>
      </w:r>
      <w:r w:rsidRPr="00EB056A">
        <w:rPr>
          <w:rFonts w:ascii="Arial" w:hAnsi="Arial" w:cs="Arial"/>
          <w:sz w:val="24"/>
          <w:szCs w:val="24"/>
        </w:rPr>
        <w:t xml:space="preserve"> </w:t>
      </w:r>
      <w:r w:rsidRPr="00460DCF">
        <w:rPr>
          <w:rFonts w:ascii="Arial" w:hAnsi="Arial" w:cs="Arial"/>
          <w:sz w:val="24"/>
          <w:szCs w:val="24"/>
        </w:rPr>
        <w:t>assess</w:t>
      </w:r>
      <w:r>
        <w:rPr>
          <w:rFonts w:ascii="Arial" w:hAnsi="Arial" w:cs="Arial"/>
          <w:sz w:val="24"/>
          <w:szCs w:val="24"/>
        </w:rPr>
        <w:t>ed</w:t>
      </w:r>
      <w:r w:rsidRPr="00460DCF">
        <w:rPr>
          <w:rFonts w:ascii="Arial" w:hAnsi="Arial" w:cs="Arial"/>
          <w:sz w:val="24"/>
          <w:szCs w:val="24"/>
        </w:rPr>
        <w:t xml:space="preserve"> </w:t>
      </w:r>
      <w:r>
        <w:rPr>
          <w:rFonts w:ascii="Arial" w:hAnsi="Arial" w:cs="Arial"/>
          <w:sz w:val="24"/>
          <w:szCs w:val="24"/>
        </w:rPr>
        <w:t>by</w:t>
      </w:r>
      <w:r w:rsidRPr="00EB056A">
        <w:rPr>
          <w:rFonts w:ascii="Arial" w:hAnsi="Arial" w:cs="Arial"/>
          <w:sz w:val="24"/>
          <w:szCs w:val="24"/>
        </w:rPr>
        <w:t xml:space="preserve"> mechanical testing or 3D simulation. Kulscar </w:t>
      </w:r>
      <w:r w:rsidRPr="00EB056A">
        <w:rPr>
          <w:rFonts w:ascii="Arial" w:hAnsi="Arial" w:cs="Arial"/>
          <w:i/>
          <w:iCs/>
          <w:sz w:val="24"/>
          <w:szCs w:val="24"/>
        </w:rPr>
        <w:t>et al</w:t>
      </w:r>
      <w:r w:rsidR="009B3D64">
        <w:rPr>
          <w:rFonts w:ascii="Arial" w:hAnsi="Arial" w:cs="Arial"/>
          <w:i/>
          <w:iCs/>
          <w:sz w:val="24"/>
          <w:szCs w:val="24"/>
        </w:rPr>
        <w:t>.</w:t>
      </w:r>
      <w:r w:rsidR="00F46B2C" w:rsidRPr="00EB056A">
        <w:rPr>
          <w:rFonts w:ascii="Arial" w:hAnsi="Arial" w:cs="Arial"/>
          <w:sz w:val="24"/>
          <w:szCs w:val="24"/>
        </w:rPr>
        <w:fldChar w:fldCharType="begin"/>
      </w:r>
      <w:r w:rsidR="00F46B2C">
        <w:rPr>
          <w:rFonts w:ascii="Arial" w:hAnsi="Arial" w:cs="Arial"/>
          <w:sz w:val="24"/>
          <w:szCs w:val="24"/>
        </w:rPr>
        <w:instrText xml:space="preserve"> ADDIN ZOTERO_ITEM CSL_CITATION {"citationID":"DlgMA7MX","properties":{"formattedCitation":"\\super 18\\nosupersub{}","plainCitation":"18","noteIndex":0},"citationItems":[{"id":24,"uris":["http://zotero.org/users/6508478/items/JR95PN55"],"itemData":{"id":24,"type":"article-journal","abstract":"BACKGROUND AND PURPOSE: Cerebral aneurysms are preferentially located at arterial curvatures and bifurcations that are exposed to major hemodynamic forces, increasingly implicated in the life cycle of aneurysms. By observing the natural history of aneurysm formation from its preaneurysm state, we aimed to examine the hemodynamic microenvironment related to aneurysm initiation at certain arterial segments later developing an aneurysm.\nMATERIALS AND METHODS: The 3 patients included in the study underwent cerebral angiography with 3D reconstruction before a true aneurysm developed. The arterial geometries obtained from the 3D-DSA models were used for flow simulation by using finite-volume modeling. The WSS and SWSSG at the site of the future aneurysm and the flow characteristics of the developed aneurysms were analyzed.\nRESULTS: The analyzed regions of interest demonstrated significantly increased WSS, accompanied by an increased positive SWSSG in the adjacent proximal region. The WSS reached values of &gt;5 times the temporal average values of the parent vessel, whereas the SWSSG approximated or exceeded peaks of 40 Pa/mm in all 3 cases. All patients developed an aneurysm within 2 years, 1 of which ruptured.\nCONCLUSIONS: The results of this hemodynamic study, in accordance with the clinical follow-up, suggest that the combination of high WSS and high positive SWSSG focused on a small segment of the arterial wall may have a role in the initiation process of aneurysm formation.","container-title":"American Journal of Neuroradiology","DOI":"10.3174/ajnr.A2339","ISSN":"0195-6108, 1936-959X","issue":"3","language":"en","note":"PMID: 21310860","page":"587-594","source":"www.ajnr.org","title":"Hemodynamics of Cerebral Aneurysm Initiation: The Role of Wall Shear Stress and Spatial Wall Shear Stress Gradient","title-short":"Hemodynamics of Cerebral Aneurysm Initiation","volume":"32","author":[{"family":"Kulcsár","given":"Z."},{"family":"Ugron","given":"Á"},{"family":"Marosfői","given":"M."},{"family":"Berentei","given":"Z."},{"family":"Paál","given":"G."},{"family":"Szikora","given":"I."}],"issued":{"date-parts":[["2011",3,1]]}}}],"schema":"https://github.com/citation-style-language/schema/raw/master/csl-citation.json"} </w:instrText>
      </w:r>
      <w:r w:rsidR="00F46B2C" w:rsidRPr="00EB056A">
        <w:rPr>
          <w:rFonts w:ascii="Arial" w:hAnsi="Arial" w:cs="Arial"/>
          <w:sz w:val="24"/>
          <w:szCs w:val="24"/>
        </w:rPr>
        <w:fldChar w:fldCharType="separate"/>
      </w:r>
      <w:r w:rsidR="00F46B2C" w:rsidRPr="003E2EA6">
        <w:rPr>
          <w:rFonts w:ascii="Arial" w:hAnsi="Arial" w:cs="Arial"/>
          <w:sz w:val="24"/>
          <w:szCs w:val="24"/>
          <w:vertAlign w:val="superscript"/>
        </w:rPr>
        <w:t>18</w:t>
      </w:r>
      <w:r w:rsidR="00F46B2C" w:rsidRPr="00EB056A">
        <w:rPr>
          <w:rFonts w:ascii="Arial" w:hAnsi="Arial" w:cs="Arial"/>
          <w:sz w:val="24"/>
          <w:szCs w:val="24"/>
        </w:rPr>
        <w:fldChar w:fldCharType="end"/>
      </w:r>
      <w:r w:rsidRPr="00EB056A">
        <w:rPr>
          <w:rFonts w:ascii="Arial" w:hAnsi="Arial" w:cs="Arial"/>
          <w:sz w:val="24"/>
          <w:szCs w:val="24"/>
        </w:rPr>
        <w:t xml:space="preserve"> studied </w:t>
      </w:r>
      <w:r>
        <w:rPr>
          <w:rFonts w:ascii="Arial" w:hAnsi="Arial" w:cs="Arial"/>
          <w:sz w:val="24"/>
          <w:szCs w:val="24"/>
        </w:rPr>
        <w:t>three</w:t>
      </w:r>
      <w:r w:rsidRPr="00EB056A">
        <w:rPr>
          <w:rFonts w:ascii="Arial" w:hAnsi="Arial" w:cs="Arial"/>
          <w:sz w:val="24"/>
          <w:szCs w:val="24"/>
        </w:rPr>
        <w:t xml:space="preserve"> women between 44 and 58 and reported that their average shear stress of brain arteries was 10 Pa</w:t>
      </w:r>
      <w:r w:rsidRPr="00D06898">
        <w:rPr>
          <w:rFonts w:ascii="Arial" w:hAnsi="Arial" w:cs="Arial"/>
          <w:sz w:val="24"/>
          <w:szCs w:val="24"/>
        </w:rPr>
        <w:t xml:space="preserve">. Xiao </w:t>
      </w:r>
      <w:r w:rsidRPr="00D06898">
        <w:rPr>
          <w:rFonts w:ascii="Arial" w:hAnsi="Arial" w:cs="Arial"/>
          <w:i/>
          <w:iCs/>
          <w:sz w:val="24"/>
          <w:szCs w:val="24"/>
        </w:rPr>
        <w:t>et al</w:t>
      </w:r>
      <w:r w:rsidR="00DE3749">
        <w:rPr>
          <w:rFonts w:ascii="Arial" w:hAnsi="Arial" w:cs="Arial"/>
          <w:i/>
          <w:iCs/>
          <w:sz w:val="24"/>
          <w:szCs w:val="24"/>
        </w:rPr>
        <w:t>.</w:t>
      </w:r>
      <w:r w:rsidR="0047757D" w:rsidRPr="00EB056A">
        <w:rPr>
          <w:rFonts w:ascii="Arial" w:hAnsi="Arial" w:cs="Arial"/>
          <w:sz w:val="24"/>
          <w:szCs w:val="24"/>
        </w:rPr>
        <w:fldChar w:fldCharType="begin"/>
      </w:r>
      <w:r w:rsidR="0047757D">
        <w:rPr>
          <w:rFonts w:ascii="Arial" w:hAnsi="Arial" w:cs="Arial"/>
          <w:sz w:val="24"/>
          <w:szCs w:val="24"/>
        </w:rPr>
        <w:instrText xml:space="preserve"> ADDIN ZOTERO_ITEM CSL_CITATION {"citationID":"X8BGTHFd","properties":{"formattedCitation":"\\super 19\\nosupersub{}","plainCitation":"19","noteIndex":0},"citationItems":[{"id":9,"uris":["http://zotero.org/users/6508478/items/B6IBRD3P"],"itemData":{"id":9,"type":"article-journal","abstract":"BACKGROUND AND PURPOSE: Some retrospective studies have found that the aneurysm wall enhancement on high-resolution MR vessel wall postgadolinium T1WI has the potential to distinguish unstable aneurysms. This study aimed to identify hemodynamic characteristics that differ between the enhanced and nonenhanced areas of the aneurysm wall on high-resolution MR vessel wall postgadolinium T1WI.\nMATERIALS AND METHODS: TOF-MRA and high-resolution MR vessel wall T1WI of 25 patients were fused to localize the enhanced area of the aneurysm wall. Using computational fluid dynamics, we studied the aneurysm models. Mean static pressure, mean wall shear stress, and oscillatory shear index were compared between the enhanced and nonenhanced areas.\nRESULTS: The aneurysmal enhanced area had lower wall shear stress (P &lt; .05) and a lower oscillatory shear index (P = .021) than the nonenhanced area. In addition, the whole aneurysm had lower wall shear stress (P &lt; .05) and a higher oscillatory shear index (P = .007) than the parent artery.\nCONCLUSIONS: This study suggests that there are hemodynamic differences between the enhanced and nonenhanced areas of the aneurysm wall on high-resolution MR vessel wall postgadolinium T1WI.","container-title":"American Journal of Neuroradiology","DOI":"10.3174/ajnr.A5806","ISSN":"0195-6108, 1936-959X","issue":"11","language":"en","note":"PMID: 30262645","page":"2082-2087","source":"www.ajnr.org","title":"Low Wall Shear Stress Is Associated with Local Aneurysm Wall Enhancement on High-Resolution MR Vessel Wall Imaging","volume":"39","author":[{"family":"Xiao","given":"W."},{"family":"Qi","given":"T."},{"family":"He","given":"S."},{"family":"Li","given":"Z."},{"family":"Ou","given":"S."},{"family":"Zhang","given":"G."},{"family":"Liu","given":"X."},{"family":"Huang","given":"Z."},{"family":"Liang","given":"F."}],"issued":{"date-parts":[["2018",11,1]]}}}],"schema":"https://github.com/citation-style-language/schema/raw/master/csl-citation.json"} </w:instrText>
      </w:r>
      <w:r w:rsidR="0047757D" w:rsidRPr="00EB056A">
        <w:rPr>
          <w:rFonts w:ascii="Arial" w:hAnsi="Arial" w:cs="Arial"/>
          <w:sz w:val="24"/>
          <w:szCs w:val="24"/>
        </w:rPr>
        <w:fldChar w:fldCharType="separate"/>
      </w:r>
      <w:r w:rsidR="0047757D" w:rsidRPr="003E2EA6">
        <w:rPr>
          <w:rFonts w:ascii="Arial" w:hAnsi="Arial" w:cs="Arial"/>
          <w:sz w:val="24"/>
          <w:szCs w:val="24"/>
          <w:vertAlign w:val="superscript"/>
        </w:rPr>
        <w:t>19</w:t>
      </w:r>
      <w:r w:rsidR="0047757D" w:rsidRPr="00EB056A">
        <w:rPr>
          <w:rFonts w:ascii="Arial" w:hAnsi="Arial" w:cs="Arial"/>
          <w:sz w:val="24"/>
          <w:szCs w:val="24"/>
        </w:rPr>
        <w:fldChar w:fldCharType="end"/>
      </w:r>
      <w:r w:rsidRPr="00D06898">
        <w:rPr>
          <w:rFonts w:ascii="Arial" w:hAnsi="Arial" w:cs="Arial"/>
          <w:sz w:val="24"/>
          <w:szCs w:val="24"/>
        </w:rPr>
        <w:t xml:space="preserve"> </w:t>
      </w:r>
      <w:r w:rsidRPr="00B333F9">
        <w:rPr>
          <w:rFonts w:ascii="Arial" w:hAnsi="Arial" w:cs="Arial"/>
          <w:sz w:val="24"/>
          <w:szCs w:val="24"/>
        </w:rPr>
        <w:t>found that s</w:t>
      </w:r>
      <w:r w:rsidRPr="0076524E">
        <w:rPr>
          <w:rFonts w:ascii="Arial" w:hAnsi="Arial" w:cs="Arial"/>
          <w:sz w:val="24"/>
          <w:szCs w:val="24"/>
        </w:rPr>
        <w:t>hear pressure in brain arteries is</w:t>
      </w:r>
      <w:r w:rsidRPr="002E3FAA">
        <w:rPr>
          <w:rFonts w:ascii="Arial" w:hAnsi="Arial" w:cs="Arial"/>
          <w:sz w:val="24"/>
          <w:szCs w:val="24"/>
        </w:rPr>
        <w:t xml:space="preserve"> </w:t>
      </w:r>
      <w:r w:rsidRPr="00390322">
        <w:rPr>
          <w:rFonts w:ascii="Arial" w:hAnsi="Arial" w:cs="Arial"/>
          <w:sz w:val="24"/>
          <w:szCs w:val="24"/>
        </w:rPr>
        <w:t>in average 180 Pa in healthy brain arteries</w:t>
      </w:r>
      <w:r w:rsidRPr="00667B5C">
        <w:rPr>
          <w:rFonts w:ascii="Arial" w:hAnsi="Arial" w:cs="Arial"/>
          <w:sz w:val="24"/>
          <w:szCs w:val="24"/>
        </w:rPr>
        <w:t xml:space="preserve"> and 160 Pa in arteries presenting brain aneurysms</w:t>
      </w:r>
      <w:r w:rsidRPr="00EB056A">
        <w:rPr>
          <w:rFonts w:ascii="Arial" w:hAnsi="Arial" w:cs="Arial"/>
          <w:sz w:val="24"/>
          <w:szCs w:val="24"/>
        </w:rPr>
        <w:t xml:space="preserve">. </w:t>
      </w:r>
    </w:p>
    <w:p w14:paraId="27208718" w14:textId="3EF740F0" w:rsidR="00E10742" w:rsidRPr="00441624" w:rsidRDefault="00433213" w:rsidP="00441624">
      <w:pPr>
        <w:pStyle w:val="Titre2"/>
        <w:numPr>
          <w:ilvl w:val="1"/>
          <w:numId w:val="12"/>
        </w:numPr>
        <w:spacing w:after="240"/>
        <w:jc w:val="both"/>
        <w:rPr>
          <w:color w:val="auto"/>
        </w:rPr>
      </w:pPr>
      <w:bookmarkStart w:id="13" w:name="_Toc106903208"/>
      <w:r w:rsidRPr="00FD4FBA">
        <w:rPr>
          <w:rFonts w:ascii="Arial" w:hAnsi="Arial" w:cs="Arial"/>
          <w:b/>
          <w:bCs/>
          <w:color w:val="auto"/>
        </w:rPr>
        <w:t>Brain aneurysm</w:t>
      </w:r>
      <w:r w:rsidR="00194F5C" w:rsidRPr="00D25447">
        <w:rPr>
          <w:rFonts w:ascii="Arial" w:hAnsi="Arial" w:cs="Arial"/>
          <w:b/>
          <w:bCs/>
          <w:color w:val="auto"/>
        </w:rPr>
        <w:t xml:space="preserve"> formation and aneurysm types</w:t>
      </w:r>
      <w:bookmarkEnd w:id="13"/>
    </w:p>
    <w:p w14:paraId="6116013F" w14:textId="4A400B72" w:rsidR="00E10742" w:rsidRPr="003B7652" w:rsidRDefault="00E10742" w:rsidP="00E10742">
      <w:pPr>
        <w:spacing w:after="0" w:line="480" w:lineRule="auto"/>
        <w:jc w:val="both"/>
        <w:rPr>
          <w:rFonts w:ascii="Arial" w:hAnsi="Arial" w:cs="Arial"/>
          <w:b/>
          <w:bCs/>
          <w:sz w:val="24"/>
          <w:szCs w:val="24"/>
        </w:rPr>
      </w:pPr>
      <w:r w:rsidRPr="003B7652">
        <w:rPr>
          <w:rFonts w:ascii="Arial" w:hAnsi="Arial" w:cs="Arial"/>
          <w:b/>
          <w:bCs/>
          <w:sz w:val="24"/>
          <w:szCs w:val="24"/>
        </w:rPr>
        <w:t>1.3.1</w:t>
      </w:r>
      <w:r>
        <w:rPr>
          <w:rFonts w:ascii="Arial" w:hAnsi="Arial" w:cs="Arial"/>
          <w:b/>
          <w:bCs/>
          <w:sz w:val="24"/>
          <w:szCs w:val="24"/>
        </w:rPr>
        <w:t xml:space="preserve"> Brain </w:t>
      </w:r>
      <w:r w:rsidRPr="003B7652">
        <w:rPr>
          <w:rFonts w:ascii="Arial" w:hAnsi="Arial" w:cs="Arial"/>
          <w:b/>
          <w:bCs/>
          <w:sz w:val="24"/>
          <w:szCs w:val="24"/>
        </w:rPr>
        <w:t>aneurysm formation</w:t>
      </w:r>
    </w:p>
    <w:p w14:paraId="6CE457EA" w14:textId="71DFD2D2" w:rsidR="00DB5D51" w:rsidRDefault="00372107" w:rsidP="00DB5D51">
      <w:pPr>
        <w:spacing w:after="0" w:line="480" w:lineRule="auto"/>
        <w:ind w:firstLine="450"/>
        <w:jc w:val="both"/>
        <w:rPr>
          <w:rFonts w:ascii="Arial" w:hAnsi="Arial" w:cs="Arial"/>
          <w:sz w:val="24"/>
          <w:szCs w:val="24"/>
        </w:rPr>
      </w:pPr>
      <w:r w:rsidRPr="00B73132">
        <w:rPr>
          <w:rFonts w:ascii="Arial" w:hAnsi="Arial" w:cs="Arial"/>
          <w:sz w:val="24"/>
          <w:szCs w:val="24"/>
        </w:rPr>
        <w:t>An</w:t>
      </w:r>
      <w:r w:rsidR="005438C5">
        <w:rPr>
          <w:rFonts w:ascii="Arial" w:hAnsi="Arial" w:cs="Arial"/>
          <w:sz w:val="24"/>
          <w:szCs w:val="24"/>
        </w:rPr>
        <w:t xml:space="preserve"> an</w:t>
      </w:r>
      <w:r w:rsidRPr="00B73132">
        <w:rPr>
          <w:rFonts w:ascii="Arial" w:hAnsi="Arial" w:cs="Arial"/>
          <w:sz w:val="24"/>
          <w:szCs w:val="24"/>
        </w:rPr>
        <w:t xml:space="preserve">eurysm </w:t>
      </w:r>
      <w:r w:rsidR="002E3FAA">
        <w:rPr>
          <w:rFonts w:ascii="Arial" w:hAnsi="Arial" w:cs="Arial"/>
          <w:sz w:val="24"/>
          <w:szCs w:val="24"/>
        </w:rPr>
        <w:t>is a deformation</w:t>
      </w:r>
      <w:r w:rsidR="00346816">
        <w:rPr>
          <w:rFonts w:ascii="Arial" w:hAnsi="Arial" w:cs="Arial"/>
          <w:sz w:val="24"/>
          <w:szCs w:val="24"/>
        </w:rPr>
        <w:t xml:space="preserve"> </w:t>
      </w:r>
      <w:r w:rsidR="002E3FAA">
        <w:rPr>
          <w:rFonts w:ascii="Arial" w:hAnsi="Arial" w:cs="Arial"/>
          <w:sz w:val="24"/>
          <w:szCs w:val="24"/>
        </w:rPr>
        <w:t>of blo</w:t>
      </w:r>
      <w:r w:rsidR="00C60767">
        <w:rPr>
          <w:rFonts w:ascii="Arial" w:hAnsi="Arial" w:cs="Arial"/>
          <w:sz w:val="24"/>
          <w:szCs w:val="24"/>
        </w:rPr>
        <w:t>o</w:t>
      </w:r>
      <w:r w:rsidR="002E3FAA">
        <w:rPr>
          <w:rFonts w:ascii="Arial" w:hAnsi="Arial" w:cs="Arial"/>
          <w:sz w:val="24"/>
          <w:szCs w:val="24"/>
        </w:rPr>
        <w:t>d vessel</w:t>
      </w:r>
      <w:r w:rsidR="00410711">
        <w:rPr>
          <w:rFonts w:ascii="Arial" w:hAnsi="Arial" w:cs="Arial"/>
          <w:sz w:val="24"/>
          <w:szCs w:val="24"/>
        </w:rPr>
        <w:t>s</w:t>
      </w:r>
      <w:r w:rsidR="005438C5">
        <w:rPr>
          <w:rFonts w:ascii="Arial" w:hAnsi="Arial" w:cs="Arial"/>
          <w:sz w:val="24"/>
          <w:szCs w:val="24"/>
        </w:rPr>
        <w:t xml:space="preserve">, where </w:t>
      </w:r>
      <w:r w:rsidR="00346816">
        <w:rPr>
          <w:rFonts w:ascii="Arial" w:hAnsi="Arial" w:cs="Arial"/>
          <w:sz w:val="24"/>
          <w:szCs w:val="24"/>
        </w:rPr>
        <w:t xml:space="preserve">a bulge forms due to </w:t>
      </w:r>
      <w:r w:rsidR="00410711">
        <w:rPr>
          <w:rFonts w:ascii="Arial" w:hAnsi="Arial" w:cs="Arial"/>
          <w:sz w:val="24"/>
          <w:szCs w:val="24"/>
        </w:rPr>
        <w:t>weakening</w:t>
      </w:r>
      <w:r w:rsidR="00346816">
        <w:rPr>
          <w:rFonts w:ascii="Arial" w:hAnsi="Arial" w:cs="Arial"/>
          <w:sz w:val="24"/>
          <w:szCs w:val="24"/>
        </w:rPr>
        <w:t xml:space="preserve"> in the vessel wall</w:t>
      </w:r>
      <w:r w:rsidR="00C60767">
        <w:rPr>
          <w:rFonts w:ascii="Arial" w:hAnsi="Arial" w:cs="Arial"/>
          <w:sz w:val="24"/>
          <w:szCs w:val="24"/>
        </w:rPr>
        <w:t xml:space="preserve">. </w:t>
      </w:r>
      <w:r w:rsidR="00410711">
        <w:rPr>
          <w:rFonts w:ascii="Arial" w:hAnsi="Arial" w:cs="Arial"/>
          <w:sz w:val="24"/>
          <w:szCs w:val="24"/>
        </w:rPr>
        <w:t xml:space="preserve">Aneurysm </w:t>
      </w:r>
      <w:r w:rsidRPr="00B73132">
        <w:rPr>
          <w:rFonts w:ascii="Arial" w:hAnsi="Arial" w:cs="Arial"/>
          <w:sz w:val="24"/>
          <w:szCs w:val="24"/>
        </w:rPr>
        <w:t>formation starts with accelerated blood flow</w:t>
      </w:r>
      <w:r w:rsidRPr="00B73132">
        <w:rPr>
          <w:rFonts w:ascii="Arial" w:hAnsi="Arial" w:cs="Arial"/>
          <w:sz w:val="24"/>
          <w:szCs w:val="24"/>
          <w:vertAlign w:val="superscript"/>
        </w:rPr>
        <w:fldChar w:fldCharType="begin"/>
      </w:r>
      <w:r w:rsidR="005B4F59">
        <w:rPr>
          <w:rFonts w:ascii="Arial" w:hAnsi="Arial" w:cs="Arial"/>
          <w:sz w:val="24"/>
          <w:szCs w:val="24"/>
          <w:vertAlign w:val="superscript"/>
        </w:rPr>
        <w:instrText xml:space="preserve"> ADDIN ZOTERO_ITEM CSL_CITATION {"citationID":"rqZF8l8n","properties":{"formattedCitation":"\\super 20,21\\nosupersub{}","plainCitation":"20,21","noteIndex":0},"citationItems":[{"id":46,"uris":["http://zotero.org/users/6508478/items/L8JFMSB6"],"itemData":{"id":46,"type":"article-journal","abstract":"&lt;section class=\"abstract\"&gt;&lt;div id=\"\" class=\"section\"&gt;&lt;h3 class=\"abstractTitle text-title my-1\" id=\"d450e3\"&gt;OBJECTIVE&lt;/h3&gt;&lt;p&gt;Unruptured intracranial aneurysms (UIAs) are relatively common lesions that may cause devastating intracranial hemorrhage, thus producing considerable suffering and anxiety in those affected by the disease or an increased likelihood of developing it. Advances in the knowledge of the pathobiology behind intracranial aneurysm (IA) formation, progression, and rupture have led to preclinical testing of drug therapies that would prevent IA formation or progression. In parallel, novel biologically based diagnostic tools to estimate rupture risk are approaching clinical use. Arterial wall remodeling, triggered by flow and intramural stresses and mediated by inflammation, is relevant to both.&lt;/p&gt;&lt;/div&gt;&lt;div id=\"\" class=\"section\"&gt;&lt;h3 class=\"abstractTitle text-title my-1\" id=\"d450e6\"&gt;METHODS&lt;/h3&gt;&lt;p&gt;This review discusses the basis of flow-driven vessel remodeling and translates that knowledge to the observations made on the mechanisms of IA initiation and progression on studies using animal models of induced IA formation, study of human IA tissue samples, and study of patient-derived computational fluid dynamics models.&lt;/p&gt;&lt;/div&gt;&lt;div id=\"\" class=\"section\"&gt;&lt;h3 class=\"abstractTitle text-title my-1\" id=\"d450e9\"&gt;RESULTS&lt;/h3&gt;&lt;p&gt;Blood flow conditions leading to high wall shear stress (WSS) activate proinflammatory signaling in endothelial cells that recruits macrophages to the site exposed to high WSS, especially through macrophage chemoattractant protein 1 (MCP1). This macrophage infiltration leads to protease expression, which disrupts the internal elastic lamina and collagen matrix, leading to focal outward bulging of the wall and IA initiation. For the IA to grow, collagen remodeling and smooth muscle cell (SMC) proliferation are essential, because the fact that collagen does not distend much prevents the passive dilation of a focal weakness to a sizable IA. Chronic macrophage infiltration of the IA wall promotes this SMC-mediated growth and is a potential target for drug therapy. Once the IA wall grows, it is subjected to changes in wall tension and flow conditions as a result of the change in geometry and has to remodel accordingly to avoid rupture. Flow affects this remodeling process.&lt;/p&gt;&lt;/div&gt;&lt;div id=\"\" class=\"section\"&gt;&lt;h3 class=\"abstractTitle text-title my-1\" id=\"d450e12\"&gt;CONCLUSIONS&lt;/h3&gt;&lt;p&gt;Flow triggers an inflammatory reaction that predisposes the arterial wall to IA initiation and growth and affects the associated remodeling of the UIA wall. This chronic inflammation is a putative target for drug therapy that would stabilize UIAs or prevent UIA formation. Moreover, once this coupling between IA wall remodeling and flow is understood, data from patient-specific flow models can be gathered as part of the diagnostic workup and utilized to improve risk assessment for UIA initiation, progression, and eventual rupture.&lt;/p&gt;&lt;/div&gt;&lt;/section&gt;","container-title":"Neurosurgical Focus","DOI":"10.3171/2019.5.FOCUS19234","ISSN":"1092-0684","issue":"1","language":"en_US","page":"E21","source":"thejns.org","title":"Flow-induced, inflammation-mediated arterial wall remodeling in the formation and progression of intracranial aneurysms","volume":"47","author":[{"family":"Frösen","given":"Juhana"},{"family":"Cebral","given":"Juan"},{"family":"Robertson","given":"Anne M."},{"family":"Aoki","given":"Tomohiro"}],"issued":{"date-parts":[["2019",7,1]]}}},{"id":13,"uris":["http://zotero.org/users/6508478/items/JFAFTPZL"],"itemData":{"id":13,"type":"article-journal","container-title":"Stroke","DOI":"10.1161/STROKEAHA.113.002390","issue":"12","page":"3613-3622","source":"ahajournals.org (Atypon)","title":"Review of Cerebral Aneurysm Formation, Growth, and Rupture","volume":"44","author":[{"family":"Chalouhi","given":"Nohra"},{"family":"Hoh","given":"Brian L."},{"family":"Hasan","given":"David"}],"issued":{"date-parts":[["2013",12,1]]}}}],"schema":"https://github.com/citation-style-language/schema/raw/master/csl-citation.json"} </w:instrText>
      </w:r>
      <w:r w:rsidRPr="00B73132">
        <w:rPr>
          <w:rFonts w:ascii="Arial" w:hAnsi="Arial" w:cs="Arial"/>
          <w:sz w:val="24"/>
          <w:szCs w:val="24"/>
          <w:vertAlign w:val="superscript"/>
        </w:rPr>
        <w:fldChar w:fldCharType="separate"/>
      </w:r>
      <w:r w:rsidR="003E2EA6" w:rsidRPr="003E2EA6">
        <w:rPr>
          <w:rFonts w:ascii="Arial" w:hAnsi="Arial" w:cs="Arial"/>
          <w:sz w:val="24"/>
          <w:szCs w:val="24"/>
          <w:vertAlign w:val="superscript"/>
        </w:rPr>
        <w:t>20,21</w:t>
      </w:r>
      <w:r w:rsidRPr="00B73132">
        <w:rPr>
          <w:rFonts w:ascii="Arial" w:hAnsi="Arial" w:cs="Arial"/>
          <w:sz w:val="24"/>
          <w:szCs w:val="24"/>
          <w:vertAlign w:val="superscript"/>
        </w:rPr>
        <w:fldChar w:fldCharType="end"/>
      </w:r>
      <w:r w:rsidR="00E31B76">
        <w:rPr>
          <w:rFonts w:ascii="Arial" w:hAnsi="Arial" w:cs="Arial"/>
          <w:sz w:val="24"/>
          <w:szCs w:val="24"/>
        </w:rPr>
        <w:t xml:space="preserve">, </w:t>
      </w:r>
      <w:r w:rsidRPr="00B73132">
        <w:rPr>
          <w:rFonts w:ascii="Arial" w:hAnsi="Arial" w:cs="Arial"/>
          <w:sz w:val="24"/>
          <w:szCs w:val="24"/>
        </w:rPr>
        <w:t>which may be caused by smoking, hypertension, and/or flow constraints at an arterial bifurcation</w:t>
      </w:r>
      <w:r w:rsidR="00346816">
        <w:rPr>
          <w:rFonts w:ascii="Arial" w:hAnsi="Arial" w:cs="Arial"/>
          <w:sz w:val="24"/>
          <w:szCs w:val="24"/>
        </w:rPr>
        <w:t>,</w:t>
      </w:r>
      <w:r w:rsidR="00A52F1A">
        <w:rPr>
          <w:rFonts w:ascii="Arial" w:hAnsi="Arial" w:cs="Arial"/>
          <w:sz w:val="24"/>
          <w:szCs w:val="24"/>
        </w:rPr>
        <w:t xml:space="preserve"> </w:t>
      </w:r>
      <w:r w:rsidR="00346816">
        <w:rPr>
          <w:rFonts w:ascii="Arial" w:hAnsi="Arial" w:cs="Arial"/>
          <w:sz w:val="24"/>
          <w:szCs w:val="24"/>
        </w:rPr>
        <w:t>leading to</w:t>
      </w:r>
      <w:r w:rsidR="00A52F1A">
        <w:rPr>
          <w:rFonts w:ascii="Arial" w:hAnsi="Arial" w:cs="Arial"/>
          <w:sz w:val="24"/>
          <w:szCs w:val="24"/>
        </w:rPr>
        <w:t xml:space="preserve"> high wall shear stress</w:t>
      </w:r>
      <w:r w:rsidRPr="00B73132">
        <w:rPr>
          <w:rFonts w:ascii="Arial" w:hAnsi="Arial" w:cs="Arial"/>
          <w:sz w:val="24"/>
          <w:szCs w:val="24"/>
        </w:rPr>
        <w:t xml:space="preserve"> </w:t>
      </w:r>
      <w:r w:rsidRPr="00B73132">
        <w:rPr>
          <w:rFonts w:ascii="Arial" w:hAnsi="Arial" w:cs="Arial"/>
          <w:sz w:val="24"/>
          <w:szCs w:val="24"/>
          <w:vertAlign w:val="superscript"/>
        </w:rPr>
        <w:fldChar w:fldCharType="begin"/>
      </w:r>
      <w:r w:rsidR="005B4F59">
        <w:rPr>
          <w:rFonts w:ascii="Arial" w:hAnsi="Arial" w:cs="Arial"/>
          <w:sz w:val="24"/>
          <w:szCs w:val="24"/>
          <w:vertAlign w:val="superscript"/>
        </w:rPr>
        <w:instrText xml:space="preserve"> ADDIN ZOTERO_ITEM CSL_CITATION {"citationID":"gOad8EOE","properties":{"formattedCitation":"\\super 7,20,21\\nosupersub{}","plainCitation":"7,20,21","noteIndex":0},"citationItems":[{"id":46,"uris":["http://zotero.org/users/6508478/items/L8JFMSB6"],"itemData":{"id":46,"type":"article-journal","abstract":"&lt;section class=\"abstract\"&gt;&lt;div id=\"\" class=\"section\"&gt;&lt;h3 class=\"abstractTitle text-title my-1\" id=\"d450e3\"&gt;OBJECTIVE&lt;/h3&gt;&lt;p&gt;Unruptured intracranial aneurysms (UIAs) are relatively common lesions that may cause devastating intracranial hemorrhage, thus producing considerable suffering and anxiety in those affected by the disease or an increased likelihood of developing it. Advances in the knowledge of the pathobiology behind intracranial aneurysm (IA) formation, progression, and rupture have led to preclinical testing of drug therapies that would prevent IA formation or progression. In parallel, novel biologically based diagnostic tools to estimate rupture risk are approaching clinical use. Arterial wall remodeling, triggered by flow and intramural stresses and mediated by inflammation, is relevant to both.&lt;/p&gt;&lt;/div&gt;&lt;div id=\"\" class=\"section\"&gt;&lt;h3 class=\"abstractTitle text-title my-1\" id=\"d450e6\"&gt;METHODS&lt;/h3&gt;&lt;p&gt;This review discusses the basis of flow-driven vessel remodeling and translates that knowledge to the observations made on the mechanisms of IA initiation and progression on studies using animal models of induced IA formation, study of human IA tissue samples, and study of patient-derived computational fluid dynamics models.&lt;/p&gt;&lt;/div&gt;&lt;div id=\"\" class=\"section\"&gt;&lt;h3 class=\"abstractTitle text-title my-1\" id=\"d450e9\"&gt;RESULTS&lt;/h3&gt;&lt;p&gt;Blood flow conditions leading to high wall shear stress (WSS) activate proinflammatory signaling in endothelial cells that recruits macrophages to the site exposed to high WSS, especially through macrophage chemoattractant protein 1 (MCP1). This macrophage infiltration leads to protease expression, which disrupts the internal elastic lamina and collagen matrix, leading to focal outward bulging of the wall and IA initiation. For the IA to grow, collagen remodeling and smooth muscle cell (SMC) proliferation are essential, because the fact that collagen does not distend much prevents the passive dilation of a focal weakness to a sizable IA. Chronic macrophage infiltration of the IA wall promotes this SMC-mediated growth and is a potential target for drug therapy. Once the IA wall grows, it is subjected to changes in wall tension and flow conditions as a result of the change in geometry and has to remodel accordingly to avoid rupture. Flow affects this remodeling process.&lt;/p&gt;&lt;/div&gt;&lt;div id=\"\" class=\"section\"&gt;&lt;h3 class=\"abstractTitle text-title my-1\" id=\"d450e12\"&gt;CONCLUSIONS&lt;/h3&gt;&lt;p&gt;Flow triggers an inflammatory reaction that predisposes the arterial wall to IA initiation and growth and affects the associated remodeling of the UIA wall. This chronic inflammation is a putative target for drug therapy that would stabilize UIAs or prevent UIA formation. Moreover, once this coupling between IA wall remodeling and flow is understood, data from patient-specific flow models can be gathered as part of the diagnostic workup and utilized to improve risk assessment for UIA initiation, progression, and eventual rupture.&lt;/p&gt;&lt;/div&gt;&lt;/section&gt;","container-title":"Neurosurgical Focus","DOI":"10.3171/2019.5.FOCUS19234","ISSN":"1092-0684","issue":"1","language":"en_US","page":"E21","source":"thejns.org","title":"Flow-induced, inflammation-mediated arterial wall remodeling in the formation and progression of intracranial aneurysms","volume":"47","author":[{"family":"Frösen","given":"Juhana"},{"family":"Cebral","given":"Juan"},{"family":"Robertson","given":"Anne M."},{"family":"Aoki","given":"Tomohiro"}],"issued":{"date-parts":[["2019",7,1]]}}},{"id":13,"uris":["http://zotero.org/users/6508478/items/JFAFTPZL"],"itemData":{"id":13,"type":"article-journal","container-title":"Stroke","DOI":"10.1161/STROKEAHA.113.002390","issue":"12","page":"3613-3622","source":"ahajournals.org (Atypon)","title":"Review of Cerebral Aneurysm Formation, Growth, and Rupture","volume":"44","author":[{"family":"Chalouhi","given":"Nohra"},{"family":"Hoh","given":"Brian L."},{"family":"Hasan","given":"David"}],"issued":{"date-parts":[["2013",12,1]]}}},{"id":16,"uris":["http://zotero.org/users/6508478/items/FAFYHU6P"],"itemData":{"id":16,"type":"article-journal","abstract":"Saccular unruptured intracranial aneurysms (UIAs) have a prevalence of 3% in the adult population, and are being increasingly detected because of improved quality and higher frequency of cranial imaging. Large amounts of data, providing varying levels of evidence, have been published on aneurysm development, progression and rupture, but less information is available on the risks and efficacy of preventive treatment. When deciding how to best manage UIAs, clinicians must consider the age and life expectancy of the patient, the estimated risk of rupture, the risk of complications attributed to preventive treatment, and the level of anxiety caused by the awareness of having an aneurysm. This Review highlights the latest human data on the formation, progression and rupture of intracranial aneurysms, as well as risks associated with preventive treatment. Considering these we discuss the implication for clinical management. Furthermore, we highlight pivotal questions arising from current data on intracranial aneurysms and the implications the data have for future experimental or clinical research. We also discuss data on novel radiological surrogates for rupture for those aneurysms that do not require preventive occlusion. Finally, we provide guidance for clinicians who are confronted with patients with incidentally detected UIAs.","container-title":"Nature Reviews. Neurology","DOI":"10.1038/nrneurol.2016.150","ISSN":"1759-4766","issue":"12","journalAbbreviation":"Nat Rev Neurol","language":"eng","note":"PMID: 27808265","page":"699-713","source":"PubMed","title":"Unruptured intracranial aneurysms: development, rupture and preventive management","title-short":"Unruptured intracranial aneurysms","volume":"12","author":[{"family":"Etminan","given":"Nima"},{"family":"Rinkel","given":"Gabriel J."}],"issued":{"date-parts":[["2016",12]]}}}],"schema":"https://github.com/citation-style-language/schema/raw/master/csl-citation.json"} </w:instrText>
      </w:r>
      <w:r w:rsidRPr="00B73132">
        <w:rPr>
          <w:rFonts w:ascii="Arial" w:hAnsi="Arial" w:cs="Arial"/>
          <w:sz w:val="24"/>
          <w:szCs w:val="24"/>
          <w:vertAlign w:val="superscript"/>
        </w:rPr>
        <w:fldChar w:fldCharType="separate"/>
      </w:r>
      <w:r w:rsidR="003E2EA6" w:rsidRPr="003E2EA6">
        <w:rPr>
          <w:rFonts w:ascii="Arial" w:hAnsi="Arial" w:cs="Arial"/>
          <w:sz w:val="24"/>
          <w:szCs w:val="24"/>
          <w:vertAlign w:val="superscript"/>
        </w:rPr>
        <w:t>7,20,21</w:t>
      </w:r>
      <w:r w:rsidRPr="00B73132">
        <w:rPr>
          <w:rFonts w:ascii="Arial" w:hAnsi="Arial" w:cs="Arial"/>
          <w:sz w:val="24"/>
          <w:szCs w:val="24"/>
          <w:vertAlign w:val="superscript"/>
        </w:rPr>
        <w:fldChar w:fldCharType="end"/>
      </w:r>
      <w:r w:rsidRPr="00B73132">
        <w:rPr>
          <w:rFonts w:ascii="Arial" w:hAnsi="Arial" w:cs="Arial"/>
          <w:sz w:val="24"/>
          <w:szCs w:val="24"/>
        </w:rPr>
        <w:t xml:space="preserve">. </w:t>
      </w:r>
      <w:r w:rsidR="00DB5D51">
        <w:rPr>
          <w:rFonts w:ascii="Arial" w:hAnsi="Arial" w:cs="Arial"/>
          <w:sz w:val="24"/>
          <w:szCs w:val="24"/>
        </w:rPr>
        <w:t>Indeed, d</w:t>
      </w:r>
      <w:r w:rsidR="00DB5D51" w:rsidRPr="00EB056A">
        <w:rPr>
          <w:rFonts w:ascii="Arial" w:hAnsi="Arial" w:cs="Arial"/>
          <w:sz w:val="24"/>
          <w:szCs w:val="24"/>
        </w:rPr>
        <w:t xml:space="preserve">uring the formation of brain aneurysms, wall shear stress is at least 5 </w:t>
      </w:r>
      <w:r w:rsidR="00DB5D51" w:rsidRPr="00BC4F82">
        <w:rPr>
          <w:rFonts w:ascii="Arial" w:hAnsi="Arial" w:cs="Arial"/>
          <w:sz w:val="24"/>
          <w:szCs w:val="24"/>
        </w:rPr>
        <w:t>fold</w:t>
      </w:r>
      <w:r w:rsidR="00DB5D51">
        <w:rPr>
          <w:rFonts w:ascii="Arial" w:hAnsi="Arial" w:cs="Arial"/>
          <w:sz w:val="24"/>
          <w:szCs w:val="24"/>
        </w:rPr>
        <w:t xml:space="preserve"> greater</w:t>
      </w:r>
      <w:r w:rsidR="00DB5D51" w:rsidRPr="00BC4F82">
        <w:rPr>
          <w:rFonts w:ascii="Arial" w:hAnsi="Arial" w:cs="Arial"/>
          <w:sz w:val="24"/>
          <w:szCs w:val="24"/>
        </w:rPr>
        <w:t xml:space="preserve"> than</w:t>
      </w:r>
      <w:r w:rsidR="00DB5D51">
        <w:rPr>
          <w:rFonts w:ascii="Arial" w:hAnsi="Arial" w:cs="Arial"/>
          <w:sz w:val="24"/>
          <w:szCs w:val="24"/>
        </w:rPr>
        <w:t xml:space="preserve"> the</w:t>
      </w:r>
      <w:r w:rsidR="00DB5D51" w:rsidRPr="00BC4F82">
        <w:rPr>
          <w:rFonts w:ascii="Arial" w:hAnsi="Arial" w:cs="Arial"/>
          <w:sz w:val="24"/>
          <w:szCs w:val="24"/>
        </w:rPr>
        <w:t xml:space="preserve"> average wall shear stress of healthy brain arteries </w:t>
      </w:r>
      <w:r w:rsidR="00DB5D51">
        <w:rPr>
          <w:rFonts w:ascii="Arial" w:hAnsi="Arial" w:cs="Arial"/>
          <w:sz w:val="24"/>
          <w:szCs w:val="24"/>
        </w:rPr>
        <w:t>(</w:t>
      </w:r>
      <w:r w:rsidR="00DB5D51" w:rsidRPr="00BC4F82">
        <w:rPr>
          <w:rFonts w:ascii="Arial" w:hAnsi="Arial" w:cs="Arial"/>
          <w:sz w:val="24"/>
          <w:szCs w:val="24"/>
        </w:rPr>
        <w:t xml:space="preserve">around </w:t>
      </w:r>
      <w:r w:rsidR="00DB5D51" w:rsidRPr="00EB056A">
        <w:rPr>
          <w:rFonts w:ascii="Arial" w:hAnsi="Arial" w:cs="Arial"/>
          <w:sz w:val="24"/>
          <w:szCs w:val="24"/>
        </w:rPr>
        <w:t>40 to 60 Pa</w:t>
      </w:r>
      <w:r w:rsidR="00DB5D51">
        <w:rPr>
          <w:rFonts w:ascii="Arial" w:hAnsi="Arial" w:cs="Arial"/>
          <w:sz w:val="24"/>
          <w:szCs w:val="24"/>
        </w:rPr>
        <w:t>)</w:t>
      </w:r>
      <w:r w:rsidR="00DB5D51" w:rsidRPr="00EB056A">
        <w:rPr>
          <w:rFonts w:ascii="Arial" w:hAnsi="Arial" w:cs="Arial"/>
          <w:sz w:val="24"/>
          <w:szCs w:val="24"/>
        </w:rPr>
        <w:t xml:space="preserve">, </w:t>
      </w:r>
      <w:r w:rsidR="00DB5D51" w:rsidRPr="00525779">
        <w:rPr>
          <w:rFonts w:ascii="Arial" w:hAnsi="Arial" w:cs="Arial"/>
          <w:sz w:val="24"/>
          <w:szCs w:val="24"/>
        </w:rPr>
        <w:t xml:space="preserve">according to Kulscar </w:t>
      </w:r>
      <w:r w:rsidR="00DB5D51" w:rsidRPr="00525779">
        <w:rPr>
          <w:rFonts w:ascii="Arial" w:hAnsi="Arial" w:cs="Arial"/>
          <w:i/>
          <w:iCs/>
          <w:sz w:val="24"/>
          <w:szCs w:val="24"/>
        </w:rPr>
        <w:t>et al</w:t>
      </w:r>
      <w:r w:rsidR="00DB5D51" w:rsidRPr="00525779">
        <w:rPr>
          <w:rFonts w:ascii="Arial" w:hAnsi="Arial" w:cs="Arial"/>
          <w:sz w:val="24"/>
          <w:szCs w:val="24"/>
        </w:rPr>
        <w:fldChar w:fldCharType="begin"/>
      </w:r>
      <w:r w:rsidR="005B4F59" w:rsidRPr="00525779">
        <w:rPr>
          <w:rFonts w:ascii="Arial" w:hAnsi="Arial" w:cs="Arial"/>
          <w:sz w:val="24"/>
          <w:szCs w:val="24"/>
        </w:rPr>
        <w:instrText xml:space="preserve"> ADDIN ZOTERO_ITEM CSL_CITATION {"citationID":"oy1e3D4U","properties":{"formattedCitation":"\\super 18\\nosupersub{}","plainCitation":"18","noteIndex":0},"citationItems":[{"id":24,"uris":["http://zotero.org/users/6508478/items/JR95PN55"],"itemData":{"id":24,"type":"article-journal","abstract":"BACKGROUND AND PURPOSE: Cerebral aneurysms are preferentially located at arterial curvatures and bifurcations that are exposed to major hemodynamic forces, increasingly implicated in the life cycle of aneurysms. By observing the natural history of aneurysm formation from its preaneurysm state, we aimed to examine the hemodynamic microenvironment related to aneurysm initiation at certain arterial segments later developing an aneurysm.\nMATERIALS AND METHODS: The 3 patients included in the study underwent cerebral angiography with 3D reconstruction before a true aneurysm developed. The arterial geometries obtained from the 3D-DSA models were used for flow simulation by using finite-volume modeling. The WSS and SWSSG at the site of the future </w:instrText>
      </w:r>
      <w:r w:rsidR="005B4F59" w:rsidRPr="005C4791">
        <w:rPr>
          <w:rFonts w:ascii="Arial" w:hAnsi="Arial" w:cs="Arial"/>
          <w:sz w:val="24"/>
          <w:szCs w:val="24"/>
          <w:lang w:val="fr-FR"/>
        </w:rPr>
        <w:instrText>aneurysm and the flow characteristics of the developed aneurysms were analyzed.\nRESULTS: The analyzed regions of interest demonstrated significantly increased WSS, accompanied by an increased positive SWSSG in the adjacent proximal region. The WSS re</w:instrText>
      </w:r>
      <w:r w:rsidR="005B4F59" w:rsidRPr="006B53A7">
        <w:rPr>
          <w:rFonts w:ascii="Arial" w:hAnsi="Arial" w:cs="Arial"/>
          <w:sz w:val="24"/>
          <w:szCs w:val="24"/>
          <w:lang w:val="fr-FR"/>
        </w:rPr>
        <w:instrText xml:space="preserve">ached values of &gt;5 times the temporal average values of the parent vessel, whereas the SWSSG approximated or exceeded peaks of 40 Pa/mm in all 3 cases. All patients developed an aneurysm within 2 years, 1 of which ruptured.\nCONCLUSIONS: The results of this hemodynamic study, in accordance with the clinical follow-up, suggest that the combination of high WSS and high positive SWSSG focused on a small segment of the arterial wall may have a role in the initiation process of aneurysm formation.","container-title":"American Journal of Neuroradiology","DOI":"10.3174/ajnr.A2339","ISSN":"0195-6108, 1936-959X","issue":"3","language":"en","note":"PMID: 21310860","page":"587-594","source":"www.ajnr.org","title":"Hemodynamics of Cerebral Aneurysm Initiation: The Role of Wall Shear Stress and Spatial Wall Shear Stress Gradient","title-short":"Hemodynamics of Cerebral Aneurysm Initiation","volume":"32","author":[{"family":"Kulcsár","given":"Z."},{"family":"Ugron","given":"Á"},{"family":"Marosfői","given":"M."},{"family":"Berentei","given":"Z."},{"family":"Paál","given":"G."},{"family":"Szikora","given":"I."}],"issued":{"date-parts":[["2011",3,1]]}}}],"schema":"https://github.com/citation-style-language/schema/raw/master/csl-citation.json"} </w:instrText>
      </w:r>
      <w:r w:rsidR="00DB5D51" w:rsidRPr="00525779">
        <w:rPr>
          <w:rFonts w:ascii="Arial" w:hAnsi="Arial" w:cs="Arial"/>
          <w:sz w:val="24"/>
          <w:szCs w:val="24"/>
        </w:rPr>
        <w:fldChar w:fldCharType="separate"/>
      </w:r>
      <w:r w:rsidR="003E2EA6" w:rsidRPr="006B53A7">
        <w:rPr>
          <w:rFonts w:ascii="Arial" w:hAnsi="Arial" w:cs="Arial"/>
          <w:sz w:val="24"/>
          <w:szCs w:val="24"/>
          <w:vertAlign w:val="superscript"/>
          <w:lang w:val="fr-FR"/>
        </w:rPr>
        <w:t>18</w:t>
      </w:r>
      <w:r w:rsidR="00DB5D51" w:rsidRPr="00525779">
        <w:rPr>
          <w:rFonts w:ascii="Arial" w:hAnsi="Arial" w:cs="Arial"/>
          <w:sz w:val="24"/>
          <w:szCs w:val="24"/>
        </w:rPr>
        <w:fldChar w:fldCharType="end"/>
      </w:r>
      <w:r w:rsidR="00DB5D51" w:rsidRPr="006B53A7">
        <w:rPr>
          <w:rFonts w:ascii="Arial" w:hAnsi="Arial" w:cs="Arial"/>
          <w:sz w:val="24"/>
          <w:szCs w:val="24"/>
          <w:lang w:val="fr-FR"/>
        </w:rPr>
        <w:t xml:space="preserve">. </w:t>
      </w:r>
      <w:r w:rsidR="00DB5D51" w:rsidRPr="005C4791">
        <w:rPr>
          <w:rFonts w:ascii="Arial" w:hAnsi="Arial" w:cs="Arial"/>
          <w:sz w:val="24"/>
          <w:szCs w:val="24"/>
          <w:lang w:val="fr-FR"/>
        </w:rPr>
        <w:t xml:space="preserve">Wang </w:t>
      </w:r>
      <w:r w:rsidR="00DB5D51" w:rsidRPr="005C4791">
        <w:rPr>
          <w:rFonts w:ascii="Arial" w:hAnsi="Arial" w:cs="Arial"/>
          <w:i/>
          <w:iCs/>
          <w:sz w:val="24"/>
          <w:szCs w:val="24"/>
          <w:lang w:val="fr-FR"/>
        </w:rPr>
        <w:t>et al</w:t>
      </w:r>
      <w:r w:rsidR="00DE3749" w:rsidRPr="005C4791">
        <w:rPr>
          <w:rFonts w:ascii="Arial" w:hAnsi="Arial" w:cs="Arial"/>
          <w:i/>
          <w:iCs/>
          <w:sz w:val="24"/>
          <w:szCs w:val="24"/>
          <w:lang w:val="fr-FR"/>
        </w:rPr>
        <w:t>.</w:t>
      </w:r>
      <w:r w:rsidR="00DB5D51" w:rsidRPr="00525779">
        <w:rPr>
          <w:rFonts w:ascii="Arial" w:hAnsi="Arial" w:cs="Arial"/>
          <w:sz w:val="24"/>
          <w:szCs w:val="24"/>
        </w:rPr>
        <w:fldChar w:fldCharType="begin"/>
      </w:r>
      <w:r w:rsidR="005B4F59" w:rsidRPr="005C4791">
        <w:rPr>
          <w:rFonts w:ascii="Arial" w:hAnsi="Arial" w:cs="Arial"/>
          <w:sz w:val="24"/>
          <w:szCs w:val="24"/>
          <w:lang w:val="fr-FR"/>
        </w:rPr>
        <w:instrText xml:space="preserve"> ADDIN ZOTERO_ITEM CSL_CITATION {"citationID":"4Eyi6OBH","properties":{"formattedCitation":"\\super 22\\nosupersub{}","plainCitation":"22","noteIndex":0},"citationItems":[{"id":25,"uris":["http://zotero.org/users/6508478/items/QWH847PG"],"itemData":{"id":25,"type":"article-journal","abstract":"Hemodynamic parameters play an important role in aneurysm formation and growth. However, it is difficult to directly observe a rapidly growing de novo aneurysm in a patient. To investigate possible associations between hemodynamic parameters and the formation and growth of intracranial aneurysms, the present study constructed a computational model of a case with an internal carotid artery aneurysm and an anterior communicating artery aneurysm, based on the CT angiography findings of a patient. To simulate the formation of the anterior communicating artery aneurysm and the growth of the internal carotid artery aneurysm, we then constructed a model that virtually removed the anterior communicating artery aneurysm, and a further two models that also progressively decreased the size of the internal carotid artery aneurysm. Computational simulations of the fluid dynamics of the four models were performed under pulsatile flow conditions, and wall shear stress was compared among the different models. In the three aneurysm growth models, increasing size of the aneurysm was associated with an increased area of low wall shear stress, a significant decrease in wall shear stress at the dome of the aneurysm, and a significant change in the wall shear stress of the parent artery. The wall shear stress of the anterior communicating artery remained low, and was significantly lower than the wall shear stress at the bifurcation of the internal carotid artery or the bifurcation of the middle cerebral artery. After formation of the anterior communicating artery aneurysm, the wall shear stress at the dome of the internal carotid artery aneurysm increased significantly, and the wall shear stress in the upstream arteries also changed significantly. These findings indicate that low wall shear stress may be associated with the initiation and growth of aneurysms, and that aneurysm formation and growth may influence hemodynamic parameters in the local and adjacent arteries.","container-title":"Neural Regeneration Research","DOI":"10.3969/j.issn.1673-5374.2013.11.006","ISSN":"1673-5374","issue":"11","journalAbbreviation":"Neural Regen Res","note":"PMID: 25206394\nPMCID: PMC4145888","page":"1007-1015","source":"PubMed Central","title":"Wall shear stress in intracranial aneurysms and adjacent arteries","volume":"8","author":[{"family":"Wang","given":"Fuyu"},{"family":"Xu","given":"Bainan"},{"family":"Sun","given":"Zhenghui"},{"family":"Wu","given":"Chen"},{"family":"Zhang","given":"Xiaojun"}],"issued":{"date-parts":[["2013",4,15]]}}}],"schema":"https://github.com/citation-style-language/schema/raw/master/csl-citation.json"} </w:instrText>
      </w:r>
      <w:r w:rsidR="00DB5D51" w:rsidRPr="00525779">
        <w:rPr>
          <w:rFonts w:ascii="Arial" w:hAnsi="Arial" w:cs="Arial"/>
          <w:sz w:val="24"/>
          <w:szCs w:val="24"/>
        </w:rPr>
        <w:fldChar w:fldCharType="separate"/>
      </w:r>
      <w:r w:rsidR="003E2EA6" w:rsidRPr="005C4791">
        <w:rPr>
          <w:rFonts w:ascii="Arial" w:hAnsi="Arial" w:cs="Arial"/>
          <w:sz w:val="24"/>
          <w:szCs w:val="24"/>
          <w:vertAlign w:val="superscript"/>
          <w:lang w:val="fr-FR"/>
        </w:rPr>
        <w:t>22</w:t>
      </w:r>
      <w:r w:rsidR="00DB5D51" w:rsidRPr="00525779">
        <w:rPr>
          <w:rFonts w:ascii="Arial" w:hAnsi="Arial" w:cs="Arial"/>
          <w:sz w:val="24"/>
          <w:szCs w:val="24"/>
        </w:rPr>
        <w:fldChar w:fldCharType="end"/>
      </w:r>
      <w:r w:rsidR="00DB5D51" w:rsidRPr="005C4791">
        <w:rPr>
          <w:rFonts w:ascii="Arial" w:hAnsi="Arial" w:cs="Arial"/>
          <w:sz w:val="24"/>
          <w:szCs w:val="24"/>
          <w:lang w:val="fr-FR"/>
        </w:rPr>
        <w:t xml:space="preserve"> found that in cerebral aneurysms, arter</w:t>
      </w:r>
      <w:r w:rsidR="009B3D64" w:rsidRPr="005C4791">
        <w:rPr>
          <w:rFonts w:ascii="Arial" w:hAnsi="Arial" w:cs="Arial"/>
          <w:sz w:val="24"/>
          <w:szCs w:val="24"/>
          <w:lang w:val="fr-FR"/>
        </w:rPr>
        <w:t>y</w:t>
      </w:r>
      <w:r w:rsidR="00DB5D51" w:rsidRPr="005C4791">
        <w:rPr>
          <w:rFonts w:ascii="Arial" w:hAnsi="Arial" w:cs="Arial"/>
          <w:sz w:val="24"/>
          <w:szCs w:val="24"/>
          <w:lang w:val="fr-FR"/>
        </w:rPr>
        <w:t xml:space="preserve"> wall shear stress is lower than in healthy arteries, around 0.2 Pa in brain carotid artery</w:t>
      </w:r>
      <w:r w:rsidR="00DB5D51" w:rsidRPr="00525779">
        <w:rPr>
          <w:rFonts w:ascii="Arial" w:hAnsi="Arial" w:cs="Arial"/>
          <w:sz w:val="24"/>
          <w:szCs w:val="24"/>
        </w:rPr>
        <w:fldChar w:fldCharType="begin"/>
      </w:r>
      <w:r w:rsidR="005B4F59" w:rsidRPr="005C4791">
        <w:rPr>
          <w:rFonts w:ascii="Arial" w:hAnsi="Arial" w:cs="Arial"/>
          <w:sz w:val="24"/>
          <w:szCs w:val="24"/>
          <w:lang w:val="fr-FR"/>
        </w:rPr>
        <w:instrText xml:space="preserve"> ADDIN ZOTERO_ITEM CSL_CITATION {"citationID":"7RxUkkTC","properties":{"formattedCitation":"\\super 22\\nosupersub{}","plainCitation":"22","noteIndex":0},"citationItems":[{"id":25,"uris":["http://zotero.org/users/6508478/items/QWH847PG"],"itemData":{"id":25,"type":"article-journal","abstract":"Hemodynamic parameters play an important role in aneurysm formation and growth. However, it is difficult to directly observe a rapidly growing de novo aneurysm in a patient. To investigate possible associations between hemodynamic parameters and the formation and growth of intracranial aneurysms, the present study constructed a computational model of a case with an internal carotid artery aneurysm and an anterior communicating artery aneurysm, based on the CT angiography findings of a patient. To simulate the formation of the anterior communicating artery aneurysm and the growth of the internal carotid artery aneurysm, we then constructed a model that virtually removed the anterior communicating artery aneurysm, and a further two models that also progressively decreased the size of the internal carotid artery aneurysm. Computational simulations of the fluid dynamics of the four models were performed under pulsatile flow conditions, and wall shear stress was compared among the different models. In the three aneurysm growth models, increasing size of the </w:instrText>
      </w:r>
      <w:r w:rsidR="005B4F59" w:rsidRPr="00525779">
        <w:rPr>
          <w:rFonts w:ascii="Arial" w:hAnsi="Arial" w:cs="Arial"/>
          <w:sz w:val="24"/>
          <w:szCs w:val="24"/>
        </w:rPr>
        <w:instrText xml:space="preserve">aneurysm was associated with an increased area of low wall shear stress, a significant decrease in wall shear stress at the dome of the aneurysm, and a significant change in the wall shear stress of the parent artery. The wall shear stress of the anterior communicating artery remained low, and was significantly lower than the wall shear stress at the bifurcation of the internal carotid artery or the bifurcation of the middle cerebral artery. After formation of the anterior communicating artery aneurysm, the wall shear stress at the dome of the internal carotid artery aneurysm increased significantly, and the wall shear stress in the upstream arteries also changed significantly. These findings indicate that low wall shear stress may be associated with the initiation and growth of aneurysms, and that aneurysm formation and growth may influence hemodynamic parameters in the local and adjacent arteries.","container-title":"Neural Regeneration Research","DOI":"10.3969/j.issn.1673-5374.2013.11.006","ISSN":"1673-5374","issue":"11","journalAbbreviation":"Neural Regen Res","note":"PMID: 25206394\nPMCID: PMC4145888","page":"1007-1015","source":"PubMed Central","title":"Wall shear stress in intracranial aneurysms and adjacent arteries","volume":"8","author":[{"family":"Wang","given":"Fuyu"},{"family":"Xu","given":"Bainan"},{"family":"Sun","given":"Zhenghui"},{"family":"Wu","given":"Chen"},{"family":"Zhang","given":"Xiaojun"}],"issued":{"date-parts":[["2013",4,15]]}}}],"schema":"https://github.com/citation-style-language/schema/raw/master/csl-citation.json"} </w:instrText>
      </w:r>
      <w:r w:rsidR="00DB5D51" w:rsidRPr="00525779">
        <w:rPr>
          <w:rFonts w:ascii="Arial" w:hAnsi="Arial" w:cs="Arial"/>
          <w:sz w:val="24"/>
          <w:szCs w:val="24"/>
        </w:rPr>
        <w:fldChar w:fldCharType="separate"/>
      </w:r>
      <w:r w:rsidR="003E2EA6" w:rsidRPr="00525779">
        <w:rPr>
          <w:rFonts w:ascii="Arial" w:hAnsi="Arial" w:cs="Arial"/>
          <w:sz w:val="24"/>
          <w:szCs w:val="24"/>
          <w:vertAlign w:val="superscript"/>
        </w:rPr>
        <w:t>22</w:t>
      </w:r>
      <w:r w:rsidR="00DB5D51" w:rsidRPr="00525779">
        <w:rPr>
          <w:rFonts w:ascii="Arial" w:hAnsi="Arial" w:cs="Arial"/>
          <w:sz w:val="24"/>
          <w:szCs w:val="24"/>
        </w:rPr>
        <w:fldChar w:fldCharType="end"/>
      </w:r>
      <w:r w:rsidR="00DB5D51" w:rsidRPr="00525779">
        <w:rPr>
          <w:rFonts w:ascii="Arial" w:hAnsi="Arial" w:cs="Arial"/>
          <w:sz w:val="24"/>
          <w:szCs w:val="24"/>
        </w:rPr>
        <w:t>.</w:t>
      </w:r>
      <w:r w:rsidR="00DB5D51" w:rsidRPr="00EB056A">
        <w:rPr>
          <w:rFonts w:ascii="Arial" w:hAnsi="Arial" w:cs="Arial"/>
          <w:sz w:val="24"/>
          <w:szCs w:val="24"/>
        </w:rPr>
        <w:t xml:space="preserve"> Another study found that wall shear stress is 1.5 folds higher in healthy brain arteries than in aneurysms (6 Pa in aneurysms and 9 Pa in health artery) but found no difference in shear pressure (between 106 and 220 Pa in aneurysms and </w:t>
      </w:r>
      <w:r w:rsidR="00DB5D51" w:rsidRPr="00EB056A">
        <w:rPr>
          <w:rFonts w:ascii="Arial" w:hAnsi="Arial" w:cs="Arial"/>
          <w:sz w:val="24"/>
          <w:szCs w:val="24"/>
        </w:rPr>
        <w:lastRenderedPageBreak/>
        <w:t>between 104 and 270 Pa in health arteries)</w:t>
      </w:r>
      <w:r w:rsidR="00DB5D51" w:rsidRPr="00EB056A">
        <w:rPr>
          <w:rFonts w:ascii="Arial" w:hAnsi="Arial" w:cs="Arial"/>
          <w:sz w:val="24"/>
          <w:szCs w:val="24"/>
        </w:rPr>
        <w:fldChar w:fldCharType="begin"/>
      </w:r>
      <w:r w:rsidR="005B4F59">
        <w:rPr>
          <w:rFonts w:ascii="Arial" w:hAnsi="Arial" w:cs="Arial"/>
          <w:sz w:val="24"/>
          <w:szCs w:val="24"/>
        </w:rPr>
        <w:instrText xml:space="preserve"> ADDIN ZOTERO_ITEM CSL_CITATION {"citationID":"Dk50ms8i","properties":{"formattedCitation":"\\super 19\\nosupersub{}","plainCitation":"19","noteIndex":0},"citationItems":[{"id":9,"uris":["http://zotero.org/users/6508478/items/B6IBRD3P"],"itemData":{"id":9,"type":"article-journal","abstract":"BACKGROUND AND PURPOSE: Some retrospective studies have found that the aneurysm wall enhancement on high-resolution MR vessel wall postgadolinium T1WI has the potential to distinguish unstable aneurysms. This study aimed to identify hemodynamic characteristics that differ between the enhanced and nonenhanced areas of the aneurysm wall on high-resolution MR vessel wall postgadolinium T1WI.\nMATERIALS AND METHODS: TOF-MRA and high-resolution MR vessel wall T1WI of 25 patients were fused to localize the enhanced area of the aneurysm wall. Using computational fluid dynamics, we studied the aneurysm models. Mean static pressure, mean wall shear stress, and oscillatory shear index were compared between the enhanced and nonenhanced areas.\nRESULTS: The aneurysmal enhanced area had lower wall shear stress (P &lt; .05) and a lower oscillatory shear index (P = .021) than the nonenhanced area. In addition, the whole aneurysm had lower wall shear stress (P &lt; .05) and a higher oscillatory shear index (P = .007) than the parent artery.\nCONCLUSIONS: This study suggests that there are hemodynamic differences between the enhanced and nonenhanced areas of the aneurysm wall on high-resolution MR vessel wall postgadolinium T1WI.","container-title":"American Journal of Neuroradiology","DOI":"10.3174/ajnr.A5806","ISSN":"0195-6108, 1936-959X","issue":"11","language":"en","note":"PMID: 30262645","page":"2082-2087","source":"www.ajnr.org","title":"Low Wall Shear Stress Is Associated with Local Aneurysm Wall Enhancement on High-Resolution MR Vessel Wall Imaging","volume":"39","author":[{"family":"Xiao","given":"W."},{"family":"Qi","given":"T."},{"family":"He","given":"S."},{"family":"Li","given":"Z."},{"family":"Ou","given":"S."},{"family":"Zhang","given":"G."},{"family":"Liu","given":"X."},{"family":"Huang","given":"Z."},{"family":"Liang","given":"F."}],"issued":{"date-parts":[["2018",11,1]]}}}],"schema":"https://github.com/citation-style-language/schema/raw/master/csl-citation.json"} </w:instrText>
      </w:r>
      <w:r w:rsidR="00DB5D51" w:rsidRPr="00EB056A">
        <w:rPr>
          <w:rFonts w:ascii="Arial" w:hAnsi="Arial" w:cs="Arial"/>
          <w:sz w:val="24"/>
          <w:szCs w:val="24"/>
        </w:rPr>
        <w:fldChar w:fldCharType="separate"/>
      </w:r>
      <w:r w:rsidR="003E2EA6" w:rsidRPr="003E2EA6">
        <w:rPr>
          <w:rFonts w:ascii="Arial" w:hAnsi="Arial" w:cs="Arial"/>
          <w:sz w:val="24"/>
          <w:szCs w:val="24"/>
          <w:vertAlign w:val="superscript"/>
        </w:rPr>
        <w:t>19</w:t>
      </w:r>
      <w:r w:rsidR="00DB5D51" w:rsidRPr="00EB056A">
        <w:rPr>
          <w:rFonts w:ascii="Arial" w:hAnsi="Arial" w:cs="Arial"/>
          <w:sz w:val="24"/>
          <w:szCs w:val="24"/>
        </w:rPr>
        <w:fldChar w:fldCharType="end"/>
      </w:r>
      <w:r w:rsidR="00DB5D51" w:rsidRPr="00EB056A">
        <w:rPr>
          <w:rFonts w:ascii="Arial" w:hAnsi="Arial" w:cs="Arial"/>
          <w:sz w:val="24"/>
          <w:szCs w:val="24"/>
        </w:rPr>
        <w:t>. A third study found a low wall shear stress in cerebral aneurysms at arteries between 0.76 and 2.55 Pa</w:t>
      </w:r>
      <w:r w:rsidR="00DB5D51" w:rsidRPr="00EB056A">
        <w:rPr>
          <w:rFonts w:ascii="Arial" w:hAnsi="Arial" w:cs="Arial"/>
          <w:sz w:val="24"/>
          <w:szCs w:val="24"/>
        </w:rPr>
        <w:fldChar w:fldCharType="begin"/>
      </w:r>
      <w:r w:rsidR="005B4F59">
        <w:rPr>
          <w:rFonts w:ascii="Arial" w:hAnsi="Arial" w:cs="Arial"/>
          <w:sz w:val="24"/>
          <w:szCs w:val="24"/>
        </w:rPr>
        <w:instrText xml:space="preserve"> ADDIN ZOTERO_ITEM CSL_CITATION {"citationID":"p18fxiru","properties":{"formattedCitation":"\\super 23\\nosupersub{}","plainCitation":"23","noteIndex":0},"citationItems":[{"id":10,"uris":["http://zotero.org/users/6508478/items/8ATCJHI3"],"itemData":{"id":10,"type":"article-journal","abstract":"Background and Purpose— Evolution of intracranial aneurysmal disease is known to be related to hemodynamic forces acting on the vessel wall. Low wall shear stress (WSS) has been reported to have a negative effect on endothelial cells normal physiology and may be an important contributor to local remodeling of the arterial wall and to aneurysm growth and rupture.\n\nMethods— Seven patient-specific models of intracranial aneurysms were constructed using MR angiography data acquired at two different time points (mean 16.4±7.4 months between the two time points). Numeric simulations of the flow in the baseline geometries were performed to compute WSS distributions. The lumenal geometries constructed from the two time points were manually coregistered, and the radial displacement of the wall was calculated on a pixel-by-pixel basis. This displacement, corresponding to the local growth of the aneurysm, was compared to the time-averaged wall shear stress (WSSTA) through the cardiac cycle at that location. For statistical analysis, radial displacement was considered to be significant if it was larger than half of the MR pixel resolution (0.3 mm).\n\nResults— Mean WSSTA values obtained for the areas with a displacement smaller and greater than 0.3 mm were 2.55±3.6 and 0.76±1.5 Pa, respectively (P&lt;0.001). A linear correlation analysis demonstrated a significant relationship between WSSTA and surface displacement (P&lt;0.001).\n\nConclusions— These results indicate that aneurysm growth is likely to occur in regions where the endothelial layer lining the vessel wall is exposed to abnormally low wall shear stress.","container-title":"Stroke","DOI":"10.1161/STROKEAHA.108.521617","issue":"11","page":"2997-3002","source":"ahajournals.org (Atypon)","title":"Aneurysm Growth Occurs at Region of Low Wall Shear Stress","volume":"39","author":[{"family":"Boussel","given":"Loic"},{"family":"Rayz","given":"Vitaliy"},{"family":"McCulloch","given":"Charles"},{"family":"Martin","given":"Alastair"},{"family":"Acevedo-Bolton","given":"Gabriel"},{"family":"Lawton","given":"Michael"},{"family":"Higashida","given":"Randall"},{"family":"Smith","given":"Wade S."},{"family":"Young","given":"William L."},{"family":"Saloner","given":"David"}],"issued":{"date-parts":[["2008",11,1]]}}}],"schema":"https://github.com/citation-style-language/schema/raw/master/csl-citation.json"} </w:instrText>
      </w:r>
      <w:r w:rsidR="00DB5D51" w:rsidRPr="00EB056A">
        <w:rPr>
          <w:rFonts w:ascii="Arial" w:hAnsi="Arial" w:cs="Arial"/>
          <w:sz w:val="24"/>
          <w:szCs w:val="24"/>
        </w:rPr>
        <w:fldChar w:fldCharType="separate"/>
      </w:r>
      <w:r w:rsidR="003E2EA6" w:rsidRPr="003E2EA6">
        <w:rPr>
          <w:rFonts w:ascii="Arial" w:hAnsi="Arial" w:cs="Arial"/>
          <w:sz w:val="24"/>
          <w:szCs w:val="24"/>
          <w:vertAlign w:val="superscript"/>
        </w:rPr>
        <w:t>23</w:t>
      </w:r>
      <w:r w:rsidR="00DB5D51" w:rsidRPr="00EB056A">
        <w:rPr>
          <w:rFonts w:ascii="Arial" w:hAnsi="Arial" w:cs="Arial"/>
          <w:sz w:val="24"/>
          <w:szCs w:val="24"/>
        </w:rPr>
        <w:fldChar w:fldCharType="end"/>
      </w:r>
      <w:r w:rsidR="00DB5D51">
        <w:rPr>
          <w:rFonts w:ascii="Arial" w:hAnsi="Arial" w:cs="Arial"/>
          <w:sz w:val="24"/>
          <w:szCs w:val="24"/>
        </w:rPr>
        <w:t>. T</w:t>
      </w:r>
      <w:r w:rsidR="00DB5D51" w:rsidRPr="00725D52">
        <w:rPr>
          <w:rFonts w:ascii="Arial" w:hAnsi="Arial" w:cs="Arial"/>
          <w:sz w:val="24"/>
          <w:szCs w:val="24"/>
        </w:rPr>
        <w:t>hese data, though statistically significant,</w:t>
      </w:r>
      <w:r w:rsidR="00DB5D51">
        <w:rPr>
          <w:rFonts w:ascii="Arial" w:hAnsi="Arial" w:cs="Arial"/>
          <w:sz w:val="24"/>
          <w:szCs w:val="24"/>
        </w:rPr>
        <w:t xml:space="preserve"> however,</w:t>
      </w:r>
      <w:r w:rsidR="00DB5D51" w:rsidRPr="00725D52">
        <w:rPr>
          <w:rFonts w:ascii="Arial" w:hAnsi="Arial" w:cs="Arial"/>
          <w:sz w:val="24"/>
          <w:szCs w:val="24"/>
        </w:rPr>
        <w:t xml:space="preserve"> </w:t>
      </w:r>
      <w:r w:rsidR="00DB5D51" w:rsidRPr="00EB056A">
        <w:rPr>
          <w:rFonts w:ascii="Arial" w:hAnsi="Arial" w:cs="Arial"/>
          <w:sz w:val="24"/>
          <w:szCs w:val="24"/>
        </w:rPr>
        <w:t>come from 3D reconstructed aneurysm models and not in vivo data</w:t>
      </w:r>
      <w:r w:rsidR="00DB5D51" w:rsidRPr="00EB056A">
        <w:rPr>
          <w:rFonts w:ascii="Arial" w:hAnsi="Arial" w:cs="Arial"/>
          <w:sz w:val="24"/>
          <w:szCs w:val="24"/>
        </w:rPr>
        <w:fldChar w:fldCharType="begin"/>
      </w:r>
      <w:r w:rsidR="005B4F59">
        <w:rPr>
          <w:rFonts w:ascii="Arial" w:hAnsi="Arial" w:cs="Arial"/>
          <w:sz w:val="24"/>
          <w:szCs w:val="24"/>
        </w:rPr>
        <w:instrText xml:space="preserve"> ADDIN ZOTERO_ITEM CSL_CITATION {"citationID":"gsaIagKZ","properties":{"formattedCitation":"\\super 19,22\\nosupersub{}","plainCitation":"19,22","noteIndex":0},"citationItems":[{"id":9,"uris":["http://zotero.org/users/6508478/items/B6IBRD3P"],"itemData":{"id":9,"type":"article-journal","abstract":"BACKGROUND AND PURPOSE: Some retrospective studies have found that the aneurysm wall enhancement on high-resolution MR vessel wall postgadolinium T1WI has the potential to distinguish unstable aneurysms. This study aimed to identify hemodynamic characteristics that differ between the enhanced and nonenhanced areas of the aneurysm wall on high-resolution MR vessel wall postgadolinium T1WI.\nMATERIALS AND METHODS: TOF-MRA and high-resolution MR vessel wall T1WI of 25 patients were fused to localize the enhanced area of the aneurysm wall. Using computational fluid dynamics, we studied the aneurysm models. Mean static pressure, mean wall shear stress, and oscillatory shear index were compared between the enhanced and nonenhanced areas.\nRESULTS: The aneurysmal enhanced area had lower wall shear stress (P &lt; .05) and a lower oscillatory shear index (P = .021) than the nonenhanced area. In addition, the whole aneurysm had lower wall shear stress (P &lt; .05) and a higher oscillatory shear index (P = .007) than the parent artery.\nCONCLUSIONS: This study suggests that there are hemodynamic differences between the enhanced and nonenhanced areas of the aneurysm wall on high-resolution MR vessel wall postgadolinium T1WI.","container-title":"American Journal of Neuroradiology","DOI":"10.3174/ajnr.A5806","ISSN":"0195-6108, 1936-959X","issue":"11","language":"en","note":"PMID: 30262645","page":"2082-2087","source":"www.ajnr.org","title":"Low Wall Shear Stress Is Associated with Local Aneurysm Wall Enhancement on High-Resolution MR Vessel Wall Imaging","volume":"39","author":[{"family":"Xiao","given":"W."},{"family":"Qi","given":"T."},{"family":"He","given":"S."},{"family":"Li","given":"Z."},{"family":"Ou","given":"S."},{"family":"Zhang","given":"G."},{"family":"Liu","given":"X."},{"family":"Huang","given":"Z."},{"family":"Liang","given":"F."}],"issued":{"date-parts":[["2018",11,1]]}}},{"id":25,"uris":["http://zotero.org/users/6508478/items/QWH847PG"],"itemData":{"id":25,"type":"article-journal","abstract":"Hemodynamic parameters play an important role in aneurysm formation and growth. However, it is difficult to directly observe a rapidly growing de novo aneurysm in a patient. To investigate possible associations between hemodynamic parameters and the formation and growth of intracranial aneurysms, the present study constructed a computational model of a case with an internal carotid artery aneurysm and an anterior communicating artery aneurysm, based on the CT angiography findings of a patient. To simulate the formation of the anterior communicating artery aneurysm and the growth of the internal carotid artery aneurysm, we then constructed a model that virtually removed the anterior communicating artery aneurysm, and a further two models that also progressively decreased the size of the internal carotid artery aneurysm. Computational simulations of the fluid dynamics of the four models were performed under pulsatile flow conditions, and wall shear stress was compared among the different models. In the three aneurysm growth models, increasing size of the aneurysm was associated with an increased area of low wall shear stress, a significant decrease in wall shear stress at the dome of the aneurysm, and a significant change in the wall shear stress of the parent artery. The wall shear stress of the anterior communicating artery remained low, and was significantly lower than the wall shear stress at the bifurcation of the internal carotid artery or the bifurcation of the middle cerebral artery. After formation of the anterior communicating artery aneurysm, the wall shear stress at the dome of the internal carotid artery aneurysm increased significantly, and the wall shear stress in the upstream arteries also changed significantly. These findings indicate that low wall shear stress may be associated with the initiation and growth of aneurysms, and that aneurysm formation and growth may influence hemodynamic parameters in the local and adjacent arteries.","container-title":"Neural Regeneration Research","DOI":"10.3969/j.issn.1673-5374.2013.11.006","ISSN":"1673-5374","issue":"11","journalAbbreviation":"Neural Regen Res","note":"PMID: 25206394\nPMCID: PMC4145888","page":"1007-1015","source":"PubMed Central","title":"Wall shear stress in intracranial aneurysms and adjacent arteries","volume":"8","author":[{"family":"Wang","given":"Fuyu"},{"family":"Xu","given":"Bainan"},{"family":"Sun","given":"Zhenghui"},{"family":"Wu","given":"Chen"},{"family":"Zhang","given":"Xiaojun"}],"issued":{"date-parts":[["2013",4,15]]}}}],"schema":"https://github.com/citation-style-language/schema/raw/master/csl-citation.json"} </w:instrText>
      </w:r>
      <w:r w:rsidR="00DB5D51" w:rsidRPr="00EB056A">
        <w:rPr>
          <w:rFonts w:ascii="Arial" w:hAnsi="Arial" w:cs="Arial"/>
          <w:sz w:val="24"/>
          <w:szCs w:val="24"/>
        </w:rPr>
        <w:fldChar w:fldCharType="separate"/>
      </w:r>
      <w:r w:rsidR="003E2EA6" w:rsidRPr="003E2EA6">
        <w:rPr>
          <w:rFonts w:ascii="Arial" w:hAnsi="Arial" w:cs="Arial"/>
          <w:sz w:val="24"/>
          <w:szCs w:val="24"/>
          <w:vertAlign w:val="superscript"/>
        </w:rPr>
        <w:t>19,22</w:t>
      </w:r>
      <w:r w:rsidR="00DB5D51" w:rsidRPr="00EB056A">
        <w:rPr>
          <w:rFonts w:ascii="Arial" w:hAnsi="Arial" w:cs="Arial"/>
          <w:sz w:val="24"/>
          <w:szCs w:val="24"/>
        </w:rPr>
        <w:fldChar w:fldCharType="end"/>
      </w:r>
      <w:r w:rsidR="00DB5D51" w:rsidRPr="00EB056A">
        <w:rPr>
          <w:rFonts w:ascii="Arial" w:hAnsi="Arial" w:cs="Arial"/>
          <w:sz w:val="24"/>
          <w:szCs w:val="24"/>
        </w:rPr>
        <w:t>.</w:t>
      </w:r>
    </w:p>
    <w:p w14:paraId="221B13F2" w14:textId="797FA2B1" w:rsidR="00336940" w:rsidRPr="00336940" w:rsidRDefault="00F85A43" w:rsidP="00336940">
      <w:pPr>
        <w:spacing w:after="0" w:line="480" w:lineRule="auto"/>
        <w:ind w:firstLine="450"/>
        <w:jc w:val="both"/>
        <w:rPr>
          <w:rFonts w:ascii="Arial" w:hAnsi="Arial" w:cs="Arial"/>
          <w:sz w:val="24"/>
          <w:szCs w:val="24"/>
        </w:rPr>
      </w:pPr>
      <w:r w:rsidRPr="00B73132">
        <w:rPr>
          <w:rFonts w:ascii="Arial" w:hAnsi="Arial" w:cs="Arial"/>
          <w:sz w:val="24"/>
          <w:szCs w:val="24"/>
        </w:rPr>
        <w:t>A</w:t>
      </w:r>
      <w:r w:rsidR="00372107" w:rsidRPr="00B73132">
        <w:rPr>
          <w:rFonts w:ascii="Arial" w:hAnsi="Arial" w:cs="Arial"/>
          <w:sz w:val="24"/>
          <w:szCs w:val="24"/>
        </w:rPr>
        <w:t xml:space="preserve">bnormally high blood flow </w:t>
      </w:r>
      <w:r w:rsidR="00DB5D51">
        <w:rPr>
          <w:rFonts w:ascii="Arial" w:hAnsi="Arial" w:cs="Arial"/>
          <w:sz w:val="24"/>
          <w:szCs w:val="24"/>
        </w:rPr>
        <w:t>leading to</w:t>
      </w:r>
      <w:r w:rsidR="00DB5D51" w:rsidRPr="00B73132">
        <w:rPr>
          <w:rFonts w:ascii="Arial" w:hAnsi="Arial" w:cs="Arial"/>
          <w:sz w:val="24"/>
          <w:szCs w:val="24"/>
        </w:rPr>
        <w:t xml:space="preserve"> </w:t>
      </w:r>
      <w:r w:rsidR="00372107" w:rsidRPr="00B73132">
        <w:rPr>
          <w:rFonts w:ascii="Arial" w:hAnsi="Arial" w:cs="Arial"/>
          <w:sz w:val="24"/>
          <w:szCs w:val="24"/>
        </w:rPr>
        <w:t>increas</w:t>
      </w:r>
      <w:r w:rsidR="00DB5D51">
        <w:rPr>
          <w:rFonts w:ascii="Arial" w:hAnsi="Arial" w:cs="Arial"/>
          <w:sz w:val="24"/>
          <w:szCs w:val="24"/>
        </w:rPr>
        <w:t>ed</w:t>
      </w:r>
      <w:r w:rsidR="00372107" w:rsidRPr="00B73132">
        <w:rPr>
          <w:rFonts w:ascii="Arial" w:hAnsi="Arial" w:cs="Arial"/>
          <w:sz w:val="24"/>
          <w:szCs w:val="24"/>
        </w:rPr>
        <w:t xml:space="preserve"> vessel wall shear stress</w:t>
      </w:r>
      <w:r w:rsidR="00DB5D51">
        <w:rPr>
          <w:rFonts w:ascii="Arial" w:hAnsi="Arial" w:cs="Arial"/>
          <w:sz w:val="24"/>
          <w:szCs w:val="24"/>
        </w:rPr>
        <w:t xml:space="preserve"> in blood vessels</w:t>
      </w:r>
      <w:r w:rsidR="00372107" w:rsidRPr="00B73132">
        <w:rPr>
          <w:rFonts w:ascii="Arial" w:hAnsi="Arial" w:cs="Arial"/>
          <w:sz w:val="24"/>
          <w:szCs w:val="24"/>
        </w:rPr>
        <w:t xml:space="preserve"> trigger</w:t>
      </w:r>
      <w:r w:rsidR="00DB5D51">
        <w:rPr>
          <w:rFonts w:ascii="Arial" w:hAnsi="Arial" w:cs="Arial"/>
          <w:sz w:val="24"/>
          <w:szCs w:val="24"/>
        </w:rPr>
        <w:t>s</w:t>
      </w:r>
      <w:r w:rsidR="00372107" w:rsidRPr="00B73132">
        <w:rPr>
          <w:rFonts w:ascii="Arial" w:hAnsi="Arial" w:cs="Arial"/>
          <w:sz w:val="24"/>
          <w:szCs w:val="24"/>
        </w:rPr>
        <w:t xml:space="preserve"> collagen</w:t>
      </w:r>
      <w:r w:rsidRPr="00B73132">
        <w:rPr>
          <w:rFonts w:ascii="Arial" w:hAnsi="Arial" w:cs="Arial"/>
          <w:sz w:val="24"/>
          <w:szCs w:val="24"/>
        </w:rPr>
        <w:t xml:space="preserve"> and extracellular matrix (ECM) reconstruction by</w:t>
      </w:r>
      <w:r w:rsidR="00527772" w:rsidRPr="00B73132">
        <w:rPr>
          <w:rFonts w:ascii="Arial" w:hAnsi="Arial" w:cs="Arial"/>
          <w:sz w:val="24"/>
          <w:szCs w:val="24"/>
        </w:rPr>
        <w:t xml:space="preserve"> </w:t>
      </w:r>
      <w:r w:rsidR="00372107" w:rsidRPr="00B73132">
        <w:rPr>
          <w:rFonts w:ascii="Arial" w:hAnsi="Arial" w:cs="Arial"/>
          <w:sz w:val="24"/>
          <w:szCs w:val="24"/>
        </w:rPr>
        <w:t>smooth muscle cells</w:t>
      </w:r>
      <w:r w:rsidR="002C7D40" w:rsidRPr="00B73132">
        <w:rPr>
          <w:rFonts w:ascii="Arial" w:hAnsi="Arial" w:cs="Arial"/>
          <w:sz w:val="24"/>
          <w:szCs w:val="24"/>
        </w:rPr>
        <w:t xml:space="preserve"> (SMCs)</w:t>
      </w:r>
      <w:r w:rsidR="00372107" w:rsidRPr="00B73132">
        <w:rPr>
          <w:rFonts w:ascii="Arial" w:hAnsi="Arial" w:cs="Arial"/>
          <w:sz w:val="24"/>
          <w:szCs w:val="24"/>
        </w:rPr>
        <w:t xml:space="preserve"> and endothelial cells</w:t>
      </w:r>
      <w:r w:rsidR="00CD14A2">
        <w:rPr>
          <w:rFonts w:ascii="Arial" w:hAnsi="Arial" w:cs="Arial"/>
          <w:sz w:val="24"/>
          <w:szCs w:val="24"/>
        </w:rPr>
        <w:fldChar w:fldCharType="begin"/>
      </w:r>
      <w:r w:rsidR="005B4F59">
        <w:rPr>
          <w:rFonts w:ascii="Arial" w:hAnsi="Arial" w:cs="Arial"/>
          <w:sz w:val="24"/>
          <w:szCs w:val="24"/>
        </w:rPr>
        <w:instrText xml:space="preserve"> ADDIN ZOTERO_ITEM CSL_CITATION {"citationID":"7JqECaqi","properties":{"formattedCitation":"\\super 7,20\\nosupersub{}","plainCitation":"7,20","noteIndex":0},"citationItems":[{"id":16,"uris":["http://zotero.org/users/6508478/items/FAFYHU6P"],"itemData":{"id":16,"type":"article-journal","abstract":"Saccular unruptured intracranial aneurysms (UIAs) have a prevalence of 3% in the adult population, and are being increasingly detected because of improved quality and higher frequency of cranial imaging. Large amounts of data, providing varying levels of evidence, have been published on aneurysm development, progression and rupture, but less information is available on the risks and efficacy of preventive treatment. When deciding how to best manage UIAs, clinicians must consider the age and life expectancy of the patient, the estimated risk of rupture, the risk of complications attributed to preventive treatment, and the level of anxiety caused by the awareness of having an aneurysm. This Review highlights the latest human data on the formation, progression and rupture of intracranial aneurysms, as well as risks associated with preventive treatment. Considering these we discuss the implication for clinical management. Furthermore, we highlight pivotal questions arising from current data on intracranial aneurysms and the implications the data have for future experimental or clinical research. We also discuss data on novel radiological surrogates for rupture for those aneurysms that do not require preventive occlusion. Finally, we provide guidance for clinicians who are confronted with patients with incidentally detected UIAs.","container-title":"Nature Reviews. Neurology","DOI":"10.1038/nrneurol.2016.150","ISSN":"1759-4766","issue":"12","journalAbbreviation":"Nat Rev Neurol","language":"eng","note":"PMID: 27808265","page":"699-713","source":"PubMed","title":"Unruptured intracranial aneurysms: development, rupture and preventive management","title-short":"Unruptured intracranial aneurysms","volume":"12","author":[{"family":"Etminan","given":"Nima"},{"family":"Rinkel","given":"Gabriel J."}],"issued":{"date-parts":[["2016",12]]}}},{"id":46,"uris":["http://zotero.org/users/6508478/items/L8JFMSB6"],"itemData":{"id":46,"type":"article-journal","abstract":"&lt;section class=\"abstract\"&gt;&lt;div id=\"\" class=\"section\"&gt;&lt;h3 class=\"abstractTitle text-title my-1\" id=\"d450e3\"&gt;OBJECTIVE&lt;/h3&gt;&lt;p&gt;Unruptured intracranial aneurysms (UIAs) are relatively common lesions that may cause devastating intracranial hemorrhage, thus producing considerable suffering and anxiety in those affected by the disease or an increased likelihood of developing it. Advances in the knowledge of the pathobiology behind intracranial aneurysm (IA) formation, progression, and rupture have led to preclinical testing of drug therapies that would prevent IA formation or progression. In parallel, novel biologically based diagnostic tools to estimate rupture risk are approaching clinical use. Arterial wall remodeling, triggered by flow and intramural stresses and mediated by inflammation, is relevant to both.&lt;/p&gt;&lt;/div&gt;&lt;div id=\"\" class=\"section\"&gt;&lt;h3 class=\"abstractTitle text-title my-1\" id=\"d450e6\"&gt;METHODS&lt;/h3&gt;&lt;p&gt;This review discusses the basis of flow-driven vessel remodeling and translates that knowledge to the observations made on the mechanisms of IA initiation and progression on studies using animal models of induced IA formation, study of human IA tissue samples, and study of patient-derived computational fluid dynamics models.&lt;/p&gt;&lt;/div&gt;&lt;div id=\"\" class=\"section\"&gt;&lt;h3 class=\"abstractTitle text-title my-1\" id=\"d450e9\"&gt;RESULTS&lt;/h3&gt;&lt;p&gt;Blood flow conditions leading to high wall shear stress (WSS) activate proinflammatory signaling in endothelial cells that recruits macrophages to the site exposed to high WSS, especially through macrophage chemoattractant protein 1 (MCP1). This macrophage infiltration leads to protease expression, which disrupts the internal elastic lamina and collagen matrix, leading to focal outward bulging of the wall and IA initiation. For the IA to grow, collagen remodeling and smooth muscle cell (SMC) proliferation are essential, because the fact that collagen does not distend much prevents the passive dilation of a focal weakness to a sizable IA. Chronic macrophage infiltration of the IA wall promotes this SMC-mediated growth and is a potential target for drug therapy. Once the IA wall grows, it is subjected to changes in wall tension and flow conditions as a result of the change in geometry and has to remodel accordingly to avoid rupture. Flow affects this remodeling process.&lt;/p&gt;&lt;/div&gt;&lt;div id=\"\" class=\"section\"&gt;&lt;h3 class=\"abstractTitle text-title my-1\" id=\"d450e12\"&gt;CONCLUSIONS&lt;/h3&gt;&lt;p&gt;Flow triggers an inflammatory reaction that predisposes the arterial wall to IA initiation and growth and affects the associated remodeling of the UIA wall. This chronic inflammation is a putative target for drug therapy that would stabilize UIAs or prevent UIA formation. Moreover, once this coupling between IA wall remodeling and flow is understood, data from patient-specific flow models can be gathered as part of the diagnostic workup and utilized to improve risk assessment for UIA initiation, progression, and eventual rupture.&lt;/p&gt;&lt;/div&gt;&lt;/section&gt;","container-title":"Neurosurgical Focus","DOI":"10.3171/2019.5.FOCUS19234","ISSN":"1092-0684","issue":"1","language":"en_US","page":"E21","source":"thejns.org","title":"Flow-induced, inflammation-mediated arterial wall remodeling in the formation and progression of intracranial aneurysms","volume":"47","author":[{"family":"Frösen","given":"Juhana"},{"family":"Cebral","given":"Juan"},{"family":"Robertson","given":"Anne M."},{"family":"Aoki","given":"Tomohiro"}],"issued":{"date-parts":[["2019",7,1]]}}}],"schema":"https://github.com/citation-style-language/schema/raw/master/csl-citation.json"} </w:instrText>
      </w:r>
      <w:r w:rsidR="00CD14A2">
        <w:rPr>
          <w:rFonts w:ascii="Arial" w:hAnsi="Arial" w:cs="Arial"/>
          <w:sz w:val="24"/>
          <w:szCs w:val="24"/>
        </w:rPr>
        <w:fldChar w:fldCharType="separate"/>
      </w:r>
      <w:r w:rsidR="00CD14A2" w:rsidRPr="00CD14A2">
        <w:rPr>
          <w:rFonts w:ascii="Arial" w:hAnsi="Arial" w:cs="Arial"/>
          <w:sz w:val="24"/>
          <w:szCs w:val="24"/>
          <w:vertAlign w:val="superscript"/>
        </w:rPr>
        <w:t>7,20</w:t>
      </w:r>
      <w:r w:rsidR="00CD14A2">
        <w:rPr>
          <w:rFonts w:ascii="Arial" w:hAnsi="Arial" w:cs="Arial"/>
          <w:sz w:val="24"/>
          <w:szCs w:val="24"/>
        </w:rPr>
        <w:fldChar w:fldCharType="end"/>
      </w:r>
      <w:r w:rsidR="00B404BF" w:rsidRPr="00B73132">
        <w:rPr>
          <w:rFonts w:ascii="Arial" w:hAnsi="Arial" w:cs="Arial"/>
          <w:sz w:val="24"/>
          <w:szCs w:val="24"/>
        </w:rPr>
        <w:t>.</w:t>
      </w:r>
      <w:r w:rsidR="00372107" w:rsidRPr="00B73132">
        <w:rPr>
          <w:rFonts w:ascii="Arial" w:hAnsi="Arial" w:cs="Arial"/>
          <w:sz w:val="24"/>
          <w:szCs w:val="24"/>
        </w:rPr>
        <w:t xml:space="preserve"> The first step of restructur</w:t>
      </w:r>
      <w:r w:rsidRPr="00B73132">
        <w:rPr>
          <w:rFonts w:ascii="Arial" w:hAnsi="Arial" w:cs="Arial"/>
          <w:sz w:val="24"/>
          <w:szCs w:val="24"/>
        </w:rPr>
        <w:t>ing</w:t>
      </w:r>
      <w:r w:rsidR="00372107" w:rsidRPr="00B73132">
        <w:rPr>
          <w:rFonts w:ascii="Arial" w:hAnsi="Arial" w:cs="Arial"/>
          <w:sz w:val="24"/>
          <w:szCs w:val="24"/>
        </w:rPr>
        <w:t xml:space="preserve"> is the detection of increased wall shear stress by the glycocalyx, a network of glycoproteins and proteoglycans coating the endothelium</w:t>
      </w:r>
      <w:r w:rsidR="00372107" w:rsidRPr="00B73132">
        <w:rPr>
          <w:rFonts w:ascii="Arial" w:hAnsi="Arial" w:cs="Arial"/>
          <w:sz w:val="24"/>
          <w:szCs w:val="24"/>
          <w:vertAlign w:val="superscript"/>
        </w:rPr>
        <w:fldChar w:fldCharType="begin"/>
      </w:r>
      <w:r w:rsidR="005B4F59">
        <w:rPr>
          <w:rFonts w:ascii="Arial" w:hAnsi="Arial" w:cs="Arial"/>
          <w:sz w:val="24"/>
          <w:szCs w:val="24"/>
          <w:vertAlign w:val="superscript"/>
        </w:rPr>
        <w:instrText xml:space="preserve"> ADDIN ZOTERO_ITEM CSL_CITATION {"citationID":"s9HNS7zn","properties":{"formattedCitation":"\\super 9\\nosupersub{}","plainCitation":"9","noteIndex":0},"citationItems":[{"id":12,"uris":["http://zotero.org/users/6508478/items/48DMLZ87"],"itemData":{"id":12,"type":"chapter","abstract":"Cellular biological media, such as tissues and biofilms, are multiphase complex systems with dynamically evolving and highly organized hierarchical structures. The objective of this chapter is to present a comprehensive review of the theoretical modeling of momentum and mass transport in cellular biological media. In the spirit of a bottom-up approach, the chapter begins with a concise exposition of the state of the art in the mechanics of individual biomacromolecules, subcellular structures (e.g., cytoskeleton, membrane) and biological cells that build up the cellular biological medium. Thereafter, the main part is focused on the formulation of balance laws and constitutive equations, as well as on the experimental and theoretical calculation of constitutive parameters. The conceptual framework and the mathematical foundation is presented for various theoretical approaches, including single-scale–single-phase models, the theory of interacting continua, upscaling methods (e.g., spatial averaging, homogenization) and multiscale equation-free approaches.","container-title":"Transport in Biological Media","event-place":"Boston","ISBN":"978-0-12-415824-5","language":"en","note":"DOI: 10.1016/B978-0-12-415824-5.00001-1","page":"1-40","publisher":"Elsevier","publisher-place":"Boston","source":"ScienceDirect","title":"Chapter 1 - Modeling Momentum and Mass Transport in Cellular Biological Media: From the Molecular to the Tissue Scale","title-short":"Chapter 1 - Modeling Momentum and Mass Transport in Cellular Biological Media","URL":"https://www.sciencedirect.com/science/article/pii/B9780124158245000011","author":[{"family":"Kapellos","given":"George E."},{"family":"Alexiou","given":"Terpsichori S."}],"editor":[{"family":"Becker","given":"Sid M."},{"family":"Kuznetsov","given":"Andrey V."}],"accessed":{"date-parts":[["2021",7,1]]},"issued":{"date-parts":[["2013",1,1]]}}}],"schema":"https://github.com/citation-style-language/schema/raw/master/csl-citation.json"} </w:instrText>
      </w:r>
      <w:r w:rsidR="00372107" w:rsidRPr="00B73132">
        <w:rPr>
          <w:rFonts w:ascii="Arial" w:hAnsi="Arial" w:cs="Arial"/>
          <w:sz w:val="24"/>
          <w:szCs w:val="24"/>
          <w:vertAlign w:val="superscript"/>
        </w:rPr>
        <w:fldChar w:fldCharType="separate"/>
      </w:r>
      <w:r w:rsidR="00BB4A6B" w:rsidRPr="00BB4A6B">
        <w:rPr>
          <w:rFonts w:ascii="Arial" w:hAnsi="Arial" w:cs="Arial"/>
          <w:sz w:val="24"/>
          <w:szCs w:val="24"/>
          <w:vertAlign w:val="superscript"/>
        </w:rPr>
        <w:t>9</w:t>
      </w:r>
      <w:r w:rsidR="00372107" w:rsidRPr="00B73132">
        <w:rPr>
          <w:rFonts w:ascii="Arial" w:hAnsi="Arial" w:cs="Arial"/>
          <w:sz w:val="24"/>
          <w:szCs w:val="24"/>
          <w:vertAlign w:val="superscript"/>
        </w:rPr>
        <w:fldChar w:fldCharType="end"/>
      </w:r>
      <w:r w:rsidR="00372107" w:rsidRPr="00B73132">
        <w:rPr>
          <w:rFonts w:ascii="Arial" w:hAnsi="Arial" w:cs="Arial"/>
          <w:sz w:val="24"/>
          <w:szCs w:val="24"/>
        </w:rPr>
        <w:t>, which triggers the release of macrophage chemotactic protein</w:t>
      </w:r>
      <w:r w:rsidR="000F050D" w:rsidRPr="00B73132">
        <w:rPr>
          <w:rFonts w:ascii="Arial" w:hAnsi="Arial" w:cs="Arial"/>
          <w:sz w:val="24"/>
          <w:szCs w:val="24"/>
        </w:rPr>
        <w:t>-</w:t>
      </w:r>
      <w:r w:rsidR="00372107" w:rsidRPr="00B73132">
        <w:rPr>
          <w:rFonts w:ascii="Arial" w:hAnsi="Arial" w:cs="Arial"/>
          <w:sz w:val="24"/>
          <w:szCs w:val="24"/>
        </w:rPr>
        <w:t>1</w:t>
      </w:r>
      <w:r w:rsidR="00FD17BC">
        <w:rPr>
          <w:rFonts w:ascii="Arial" w:hAnsi="Arial" w:cs="Arial"/>
          <w:sz w:val="24"/>
          <w:szCs w:val="24"/>
        </w:rPr>
        <w:t xml:space="preserve"> (MCP-1)</w:t>
      </w:r>
      <w:r w:rsidR="00372107" w:rsidRPr="00B73132">
        <w:rPr>
          <w:rFonts w:ascii="Arial" w:hAnsi="Arial" w:cs="Arial"/>
          <w:sz w:val="24"/>
          <w:szCs w:val="24"/>
        </w:rPr>
        <w:t xml:space="preserve">. </w:t>
      </w:r>
      <w:r w:rsidR="00FD17BC">
        <w:rPr>
          <w:rFonts w:ascii="Arial" w:hAnsi="Arial" w:cs="Arial"/>
          <w:sz w:val="24"/>
          <w:szCs w:val="24"/>
        </w:rPr>
        <w:t>MCP-1</w:t>
      </w:r>
      <w:r w:rsidR="00372107" w:rsidRPr="00B73132">
        <w:rPr>
          <w:rFonts w:ascii="Arial" w:hAnsi="Arial" w:cs="Arial"/>
          <w:sz w:val="24"/>
          <w:szCs w:val="24"/>
        </w:rPr>
        <w:t xml:space="preserve"> </w:t>
      </w:r>
      <w:r w:rsidR="00FD17BC">
        <w:rPr>
          <w:rFonts w:ascii="Arial" w:hAnsi="Arial" w:cs="Arial"/>
          <w:sz w:val="24"/>
          <w:szCs w:val="24"/>
        </w:rPr>
        <w:t xml:space="preserve">then </w:t>
      </w:r>
      <w:r w:rsidR="00372107" w:rsidRPr="00B73132">
        <w:rPr>
          <w:rFonts w:ascii="Arial" w:hAnsi="Arial" w:cs="Arial"/>
          <w:sz w:val="24"/>
          <w:szCs w:val="24"/>
        </w:rPr>
        <w:t>recruit</w:t>
      </w:r>
      <w:r w:rsidR="00FD17BC">
        <w:rPr>
          <w:rFonts w:ascii="Arial" w:hAnsi="Arial" w:cs="Arial"/>
          <w:sz w:val="24"/>
          <w:szCs w:val="24"/>
        </w:rPr>
        <w:t>s</w:t>
      </w:r>
      <w:r w:rsidR="00372107" w:rsidRPr="00B73132">
        <w:rPr>
          <w:rFonts w:ascii="Arial" w:hAnsi="Arial" w:cs="Arial"/>
          <w:sz w:val="24"/>
          <w:szCs w:val="24"/>
        </w:rPr>
        <w:t xml:space="preserve"> macrophages</w:t>
      </w:r>
      <w:r w:rsidR="00FD17BC">
        <w:rPr>
          <w:rFonts w:ascii="Arial" w:hAnsi="Arial" w:cs="Arial"/>
          <w:sz w:val="24"/>
          <w:szCs w:val="24"/>
        </w:rPr>
        <w:t xml:space="preserve">, which </w:t>
      </w:r>
      <w:r w:rsidR="00372107" w:rsidRPr="00B73132">
        <w:rPr>
          <w:rFonts w:ascii="Arial" w:hAnsi="Arial" w:cs="Arial"/>
          <w:sz w:val="24"/>
          <w:szCs w:val="24"/>
        </w:rPr>
        <w:t>release cytokines and matrix metalloproteinases</w:t>
      </w:r>
      <w:r w:rsidR="00390322">
        <w:rPr>
          <w:rFonts w:ascii="Arial" w:hAnsi="Arial" w:cs="Arial"/>
          <w:sz w:val="24"/>
          <w:szCs w:val="24"/>
        </w:rPr>
        <w:fldChar w:fldCharType="begin"/>
      </w:r>
      <w:r w:rsidR="005B4F59">
        <w:rPr>
          <w:rFonts w:ascii="Arial" w:hAnsi="Arial" w:cs="Arial"/>
          <w:sz w:val="24"/>
          <w:szCs w:val="24"/>
        </w:rPr>
        <w:instrText xml:space="preserve"> ADDIN ZOTERO_ITEM CSL_CITATION {"citationID":"11YrdMGD","properties":{"formattedCitation":"\\super 21\\nosupersub{}","plainCitation":"21","noteIndex":0},"citationItems":[{"id":13,"uris":["http://zotero.org/users/6508478/items/JFAFTPZL"],"itemData":{"id":13,"type":"article-journal","container-title":"Stroke","DOI":"10.1161/STROKEAHA.113.002390","issue":"12","page":"3613-3622","source":"ahajournals.org (Atypon)","title":"Review of Cerebral Aneurysm Formation, Growth, and Rupture","volume":"44","author":[{"family":"Chalouhi","given":"Nohra"},{"family":"Hoh","given":"Brian L."},{"family":"Hasan","given":"David"}],"issued":{"date-parts":[["2013",12,1]]}}}],"schema":"https://github.com/citation-style-language/schema/raw/master/csl-citation.json"} </w:instrText>
      </w:r>
      <w:r w:rsidR="00390322">
        <w:rPr>
          <w:rFonts w:ascii="Arial" w:hAnsi="Arial" w:cs="Arial"/>
          <w:sz w:val="24"/>
          <w:szCs w:val="24"/>
        </w:rPr>
        <w:fldChar w:fldCharType="separate"/>
      </w:r>
      <w:r w:rsidR="003E2EA6" w:rsidRPr="003E2EA6">
        <w:rPr>
          <w:rFonts w:ascii="Arial" w:hAnsi="Arial" w:cs="Arial"/>
          <w:sz w:val="24"/>
          <w:szCs w:val="24"/>
          <w:vertAlign w:val="superscript"/>
        </w:rPr>
        <w:t>21</w:t>
      </w:r>
      <w:r w:rsidR="00390322">
        <w:rPr>
          <w:rFonts w:ascii="Arial" w:hAnsi="Arial" w:cs="Arial"/>
          <w:sz w:val="24"/>
          <w:szCs w:val="24"/>
        </w:rPr>
        <w:fldChar w:fldCharType="end"/>
      </w:r>
      <w:r w:rsidR="00372107" w:rsidRPr="00B73132">
        <w:rPr>
          <w:rFonts w:ascii="Arial" w:hAnsi="Arial" w:cs="Arial"/>
          <w:sz w:val="24"/>
          <w:szCs w:val="24"/>
        </w:rPr>
        <w:t xml:space="preserve">. Among the former, interleukin 1β </w:t>
      </w:r>
      <w:r w:rsidRPr="00B73132">
        <w:rPr>
          <w:rFonts w:ascii="Arial" w:hAnsi="Arial" w:cs="Arial"/>
          <w:sz w:val="24"/>
          <w:szCs w:val="24"/>
        </w:rPr>
        <w:t xml:space="preserve">(IL-β) </w:t>
      </w:r>
      <w:r w:rsidR="00372107" w:rsidRPr="00B73132">
        <w:rPr>
          <w:rFonts w:ascii="Arial" w:hAnsi="Arial" w:cs="Arial"/>
          <w:sz w:val="24"/>
          <w:szCs w:val="24"/>
        </w:rPr>
        <w:t>participate</w:t>
      </w:r>
      <w:r w:rsidRPr="00B73132">
        <w:rPr>
          <w:rFonts w:ascii="Arial" w:hAnsi="Arial" w:cs="Arial"/>
          <w:sz w:val="24"/>
          <w:szCs w:val="24"/>
        </w:rPr>
        <w:t>s</w:t>
      </w:r>
      <w:r w:rsidR="00372107" w:rsidRPr="00B73132">
        <w:rPr>
          <w:rFonts w:ascii="Arial" w:hAnsi="Arial" w:cs="Arial"/>
          <w:sz w:val="24"/>
          <w:szCs w:val="24"/>
        </w:rPr>
        <w:t xml:space="preserve"> in blocking collagen synthesis</w:t>
      </w:r>
      <w:r w:rsidR="009C75E9" w:rsidRPr="00B73132">
        <w:rPr>
          <w:rFonts w:ascii="Arial" w:hAnsi="Arial" w:cs="Arial"/>
          <w:sz w:val="24"/>
          <w:szCs w:val="24"/>
        </w:rPr>
        <w:t>, while t</w:t>
      </w:r>
      <w:r w:rsidR="00372107" w:rsidRPr="00B73132">
        <w:rPr>
          <w:rFonts w:ascii="Arial" w:hAnsi="Arial" w:cs="Arial"/>
          <w:sz w:val="24"/>
          <w:szCs w:val="24"/>
        </w:rPr>
        <w:t>umor necrosis factor</w:t>
      </w:r>
      <w:r w:rsidR="00DA0C6D" w:rsidRPr="00B73132">
        <w:rPr>
          <w:rFonts w:ascii="Arial" w:hAnsi="Arial" w:cs="Arial"/>
          <w:sz w:val="24"/>
          <w:szCs w:val="24"/>
        </w:rPr>
        <w:t>-</w:t>
      </w:r>
      <w:r w:rsidR="00372107" w:rsidRPr="00B73132">
        <w:rPr>
          <w:rFonts w:ascii="Arial" w:hAnsi="Arial" w:cs="Arial"/>
          <w:sz w:val="24"/>
          <w:szCs w:val="24"/>
        </w:rPr>
        <w:t>β</w:t>
      </w:r>
      <w:r w:rsidR="00DA0C6D" w:rsidRPr="00B73132">
        <w:rPr>
          <w:rFonts w:ascii="Arial" w:hAnsi="Arial" w:cs="Arial"/>
          <w:sz w:val="24"/>
          <w:szCs w:val="24"/>
        </w:rPr>
        <w:t xml:space="preserve"> (TNF-β)</w:t>
      </w:r>
      <w:r w:rsidR="00372107" w:rsidRPr="00B73132">
        <w:rPr>
          <w:rFonts w:ascii="Arial" w:hAnsi="Arial" w:cs="Arial"/>
          <w:sz w:val="24"/>
          <w:szCs w:val="24"/>
        </w:rPr>
        <w:t xml:space="preserve"> </w:t>
      </w:r>
      <w:r w:rsidR="00F75A40" w:rsidRPr="00B73132">
        <w:rPr>
          <w:rFonts w:ascii="Arial" w:hAnsi="Arial" w:cs="Arial"/>
          <w:sz w:val="24"/>
          <w:szCs w:val="24"/>
        </w:rPr>
        <w:t>induces SMCs to</w:t>
      </w:r>
      <w:r w:rsidR="006504EF" w:rsidRPr="00B73132">
        <w:rPr>
          <w:rFonts w:ascii="Arial" w:hAnsi="Arial" w:cs="Arial"/>
          <w:sz w:val="24"/>
          <w:szCs w:val="24"/>
        </w:rPr>
        <w:t xml:space="preserve"> </w:t>
      </w:r>
      <w:r w:rsidR="00372107" w:rsidRPr="00B73132">
        <w:rPr>
          <w:rFonts w:ascii="Arial" w:hAnsi="Arial" w:cs="Arial"/>
          <w:sz w:val="24"/>
          <w:szCs w:val="24"/>
        </w:rPr>
        <w:t>migrate to the tunica intima</w:t>
      </w:r>
      <w:r w:rsidR="00F75A40" w:rsidRPr="00B73132">
        <w:rPr>
          <w:rFonts w:ascii="Arial" w:hAnsi="Arial" w:cs="Arial"/>
          <w:sz w:val="24"/>
          <w:szCs w:val="24"/>
        </w:rPr>
        <w:t xml:space="preserve"> and</w:t>
      </w:r>
      <w:r w:rsidR="00372107" w:rsidRPr="00B73132">
        <w:rPr>
          <w:rFonts w:ascii="Arial" w:hAnsi="Arial" w:cs="Arial"/>
          <w:sz w:val="24"/>
          <w:szCs w:val="24"/>
        </w:rPr>
        <w:t xml:space="preserve"> contributes to </w:t>
      </w:r>
      <w:r w:rsidR="00FD17BC">
        <w:rPr>
          <w:rFonts w:ascii="Arial" w:hAnsi="Arial" w:cs="Arial"/>
          <w:sz w:val="24"/>
          <w:szCs w:val="24"/>
        </w:rPr>
        <w:t>the activation of</w:t>
      </w:r>
      <w:r w:rsidR="00FD17BC" w:rsidRPr="00B73132">
        <w:rPr>
          <w:rFonts w:ascii="Arial" w:hAnsi="Arial" w:cs="Arial"/>
          <w:sz w:val="24"/>
          <w:szCs w:val="24"/>
        </w:rPr>
        <w:t xml:space="preserve"> </w:t>
      </w:r>
      <w:r w:rsidR="00372107" w:rsidRPr="00B73132">
        <w:rPr>
          <w:rFonts w:ascii="Arial" w:hAnsi="Arial" w:cs="Arial"/>
          <w:sz w:val="24"/>
          <w:szCs w:val="24"/>
        </w:rPr>
        <w:t xml:space="preserve">matrix </w:t>
      </w:r>
      <w:r w:rsidR="00372107" w:rsidRPr="00336940">
        <w:rPr>
          <w:rFonts w:ascii="Arial" w:hAnsi="Arial" w:cs="Arial"/>
          <w:sz w:val="24"/>
          <w:szCs w:val="24"/>
        </w:rPr>
        <w:t>metalloproteinase</w:t>
      </w:r>
      <w:r w:rsidR="00F75A40" w:rsidRPr="00336940">
        <w:rPr>
          <w:rFonts w:ascii="Arial" w:hAnsi="Arial" w:cs="Arial"/>
          <w:sz w:val="24"/>
          <w:szCs w:val="24"/>
        </w:rPr>
        <w:t>s (MMPs)</w:t>
      </w:r>
      <w:r w:rsidR="00372107" w:rsidRPr="00336940">
        <w:rPr>
          <w:rFonts w:ascii="Arial" w:hAnsi="Arial" w:cs="Arial"/>
          <w:sz w:val="24"/>
          <w:szCs w:val="24"/>
        </w:rPr>
        <w:t xml:space="preserve"> released by macrophages</w:t>
      </w:r>
      <w:r w:rsidR="00372107" w:rsidRPr="00336940">
        <w:rPr>
          <w:rFonts w:ascii="Arial" w:hAnsi="Arial" w:cs="Arial"/>
          <w:sz w:val="24"/>
          <w:szCs w:val="24"/>
          <w:vertAlign w:val="superscript"/>
        </w:rPr>
        <w:fldChar w:fldCharType="begin"/>
      </w:r>
      <w:r w:rsidR="005B4F59">
        <w:rPr>
          <w:rFonts w:ascii="Arial" w:hAnsi="Arial" w:cs="Arial"/>
          <w:sz w:val="24"/>
          <w:szCs w:val="24"/>
          <w:vertAlign w:val="superscript"/>
        </w:rPr>
        <w:instrText xml:space="preserve"> ADDIN ZOTERO_ITEM CSL_CITATION {"citationID":"AfQdFpfq","properties":{"formattedCitation":"\\super 7,20,21\\nosupersub{}","plainCitation":"7,20,21","noteIndex":0},"citationItems":[{"id":46,"uris":["http://zotero.org/users/6508478/items/L8JFMSB6"],"itemData":{"id":46,"type":"article-journal","abstract":"&lt;section class=\"abstract\"&gt;&lt;div id=\"\" class=\"section\"&gt;&lt;h3 class=\"abstractTitle text-title my-1\" id=\"d450e3\"&gt;OBJECTIVE&lt;/h3&gt;&lt;p&gt;Unruptured intracranial aneurysms (UIAs) are relatively common lesions that may cause devastating intracranial hemorrhage, thus producing considerable suffering and anxiety in those affected by the disease or an increased likelihood of developing it. Advances in the knowledge of the pathobiology behind intracranial aneurysm (IA) formation, progression, and rupture have led to preclinical testing of drug therapies that would prevent IA formation or progression. In parallel, novel biologically based diagnostic tools to estimate rupture risk are approaching clinical use. Arterial wall remodeling, triggered by flow and intramural stresses and mediated by inflammation, is relevant to both.&lt;/p&gt;&lt;/div&gt;&lt;div id=\"\" class=\"section\"&gt;&lt;h3 class=\"abstractTitle text-title my-1\" id=\"d450e6\"&gt;METHODS&lt;/h3&gt;&lt;p&gt;This review discusses the basis of flow-driven vessel remodeling and translates that knowledge to the observations made on the mechanisms of IA initiation and progression on studies using animal models of induced IA formation, study of human IA tissue samples, and study of patient-derived computational fluid dynamics models.&lt;/p&gt;&lt;/div&gt;&lt;div id=\"\" class=\"section\"&gt;&lt;h3 class=\"abstractTitle text-title my-1\" id=\"d450e9\"&gt;RESULTS&lt;/h3&gt;&lt;p&gt;Blood flow conditions leading to high wall shear stress (WSS) activate proinflammatory signaling in endothelial cells that recruits macrophages to the site exposed to high WSS, especially through macrophage chemoattractant protein 1 (MCP1). This macrophage infiltration leads to protease expression, which disrupts the internal elastic lamina and collagen matrix, leading to focal outward bulging of the wall and IA initiation. For the IA to grow, collagen remodeling and smooth muscle cell (SMC) proliferation are essential, because the fact that collagen does not distend much prevents the passive dilation of a focal weakness to a sizable IA. Chronic macrophage infiltration of the IA wall promotes this SMC-mediated growth and is a potential target for drug therapy. Once the IA wall grows, it is subjected to changes in wall tension and flow conditions as a result of the change in geometry and has to remodel accordingly to avoid rupture. Flow affects this remodeling process.&lt;/p&gt;&lt;/div&gt;&lt;div id=\"\" class=\"section\"&gt;&lt;h3 class=\"abstractTitle text-title my-1\" id=\"d450e12\"&gt;CONCLUSIONS&lt;/h3&gt;&lt;p&gt;Flow triggers an inflammatory reaction that predisposes the arterial wall to IA initiation and growth and affects the associated remodeling of the UIA wall. This chronic inflammation is a putative target for drug therapy that would stabilize UIAs or prevent UIA formation. Moreover, once this coupling between IA wall remodeling and flow is understood, data from patient-specific flow models can be gathered as part of the diagnostic workup and utilized to improve risk assessment for UIA initiation, progression, and eventual rupture.&lt;/p&gt;&lt;/div&gt;&lt;/section&gt;","container-title":"Neurosurgical Focus","DOI":"10.3171/2019.5.FOCUS19234","ISSN":"1092-0684","issue":"1","language":"en_US","page":"E21","source":"thejns.org","title":"Flow-induced, inflammation-mediated arterial wall remodeling in the formation and progression of intracranial aneurysms","volume":"47","author":[{"family":"Frösen","given":"Juhana"},{"family":"Cebral","given":"Juan"},{"family":"Robertson","given":"Anne M."},{"family":"Aoki","given":"Tomohiro"}],"issued":{"date-parts":[["2019",7,1]]}}},{"id":13,"uris":["http://zotero.org/users/6508478/items/JFAFTPZL"],"itemData":{"id":13,"type":"article-journal","container-title":"Stroke","DOI":"10.1161/STROKEAHA.113.002390","issue":"12","page":"3613-3622","source":"ahajournals.org (Atypon)","title":"Review of Cerebral Aneurysm Formation, Growth, and Rupture","volume":"44","author":[{"family":"Chalouhi","given":"Nohra"},{"family":"Hoh","given":"Brian L."},{"family":"Hasan","given":"David"}],"issued":{"date-parts":[["2013",12,1]]}}},{"id":16,"uris":["http://zotero.org/users/6508478/items/FAFYHU6P"],"itemData":{"id":16,"type":"article-journal","abstract":"Saccular unruptured intracranial aneurysms (UIAs) have a prevalence of 3% in the adult population, and are being increasingly detected because of improved quality and higher frequency of cranial imaging. Large amounts of data, providing varying levels of evidence, have been published on aneurysm development, progression and rupture, but less information is available on the risks and efficacy of preventive treatment. When deciding how to best manage UIAs, clinicians must consider the age and life expectancy of the patient, the estimated risk of rupture, the risk of complications attributed to preventive treatment, and the level of anxiety caused by the awareness of having an aneurysm. This Review highlights the latest human data on the formation, progression and rupture of intracranial aneurysms, as well as risks associated with preventive treatment. Considering these we discuss the implication for clinical management. Furthermore, we highlight pivotal questions arising from current data on intracranial aneurysms and the implications the data have for future experimental or clinical research. We also discuss data on novel radiological surrogates for rupture for those aneurysms that do not require preventive occlusion. Finally, we provide guidance for clinicians who are confronted with patients with incidentally detected UIAs.","container-title":"Nature Reviews. Neurology","DOI":"10.1038/nrneurol.2016.150","ISSN":"1759-4766","issue":"12","journalAbbreviation":"Nat Rev Neurol","language":"eng","note":"PMID: 27808265","page":"699-713","source":"PubMed","title":"Unruptured intracranial aneurysms: development, rupture and preventive management","title-short":"Unruptured intracranial aneurysms","volume":"12","author":[{"family":"Etminan","given":"Nima"},{"family":"Rinkel","given":"Gabriel J."}],"issued":{"date-parts":[["2016",12]]}}}],"schema":"https://github.com/citation-style-language/schema/raw/master/csl-citation.json"} </w:instrText>
      </w:r>
      <w:r w:rsidR="00372107" w:rsidRPr="00336940">
        <w:rPr>
          <w:rFonts w:ascii="Arial" w:hAnsi="Arial" w:cs="Arial"/>
          <w:sz w:val="24"/>
          <w:szCs w:val="24"/>
          <w:vertAlign w:val="superscript"/>
        </w:rPr>
        <w:fldChar w:fldCharType="separate"/>
      </w:r>
      <w:r w:rsidR="003E2EA6" w:rsidRPr="003E2EA6">
        <w:rPr>
          <w:rFonts w:ascii="Arial" w:hAnsi="Arial" w:cs="Arial"/>
          <w:sz w:val="24"/>
          <w:szCs w:val="24"/>
          <w:vertAlign w:val="superscript"/>
        </w:rPr>
        <w:t>7,20,21</w:t>
      </w:r>
      <w:r w:rsidR="00372107" w:rsidRPr="00336940">
        <w:rPr>
          <w:rFonts w:ascii="Arial" w:hAnsi="Arial" w:cs="Arial"/>
          <w:sz w:val="24"/>
          <w:szCs w:val="24"/>
          <w:vertAlign w:val="superscript"/>
        </w:rPr>
        <w:fldChar w:fldCharType="end"/>
      </w:r>
      <w:r w:rsidR="00372107" w:rsidRPr="00336940">
        <w:rPr>
          <w:rFonts w:ascii="Arial" w:hAnsi="Arial" w:cs="Arial"/>
          <w:sz w:val="24"/>
          <w:szCs w:val="24"/>
        </w:rPr>
        <w:t xml:space="preserve">.   </w:t>
      </w:r>
    </w:p>
    <w:p w14:paraId="2100EA88" w14:textId="42F9B6B2" w:rsidR="00B60E6D" w:rsidRPr="00336940" w:rsidRDefault="00372107" w:rsidP="00336940">
      <w:pPr>
        <w:spacing w:after="0" w:line="480" w:lineRule="auto"/>
        <w:ind w:firstLine="450"/>
        <w:jc w:val="both"/>
        <w:rPr>
          <w:rFonts w:ascii="Arial" w:hAnsi="Arial" w:cs="Arial"/>
          <w:sz w:val="24"/>
          <w:szCs w:val="24"/>
        </w:rPr>
      </w:pPr>
      <w:r w:rsidRPr="00336940">
        <w:rPr>
          <w:rFonts w:ascii="Arial" w:hAnsi="Arial" w:cs="Arial"/>
          <w:sz w:val="24"/>
          <w:szCs w:val="24"/>
        </w:rPr>
        <w:t xml:space="preserve">As a result of these events, </w:t>
      </w:r>
      <w:r w:rsidR="00F75A40" w:rsidRPr="00336940">
        <w:rPr>
          <w:rFonts w:ascii="Arial" w:hAnsi="Arial" w:cs="Arial"/>
          <w:sz w:val="24"/>
          <w:szCs w:val="24"/>
        </w:rPr>
        <w:t>SMCs</w:t>
      </w:r>
      <w:r w:rsidRPr="00336940">
        <w:rPr>
          <w:rFonts w:ascii="Arial" w:hAnsi="Arial" w:cs="Arial"/>
          <w:sz w:val="24"/>
          <w:szCs w:val="24"/>
        </w:rPr>
        <w:t xml:space="preserve"> are disjointed</w:t>
      </w:r>
      <w:r w:rsidRPr="00336940">
        <w:rPr>
          <w:rFonts w:ascii="Arial" w:hAnsi="Arial" w:cs="Arial"/>
          <w:i/>
          <w:iCs/>
          <w:sz w:val="24"/>
          <w:szCs w:val="24"/>
          <w:vertAlign w:val="superscript"/>
        </w:rPr>
        <w:fldChar w:fldCharType="begin"/>
      </w:r>
      <w:r w:rsidR="005B4F59">
        <w:rPr>
          <w:rFonts w:ascii="Arial" w:hAnsi="Arial" w:cs="Arial"/>
          <w:sz w:val="24"/>
          <w:szCs w:val="24"/>
          <w:vertAlign w:val="superscript"/>
        </w:rPr>
        <w:instrText xml:space="preserve"> ADDIN ZOTERO_ITEM CSL_CITATION {"citationID":"sHik1Q91","properties":{"formattedCitation":"\\super 21\\nosupersub{}","plainCitation":"21","noteIndex":0},"citationItems":[{"id":13,"uris":["http://zotero.org/users/6508478/items/JFAFTPZL"],"itemData":{"id":13,"type":"article-journal","container-title":"Stroke","DOI":"10.1161/STROKEAHA.113.002390","issue":"12","page":"3613-3622","source":"ahajournals.org (Atypon)","title":"Review of Cerebral Aneurysm Formation, Growth, and Rupture","volume":"44","author":[{"family":"Chalouhi","given":"Nohra"},{"family":"Hoh","given":"Brian L."},{"family":"Hasan","given":"David"}],"issued":{"date-parts":[["2013",12,1]]}}}],"schema":"https://github.com/citation-style-language/schema/raw/master/csl-citation.json"} </w:instrText>
      </w:r>
      <w:r w:rsidRPr="00336940">
        <w:rPr>
          <w:rFonts w:ascii="Arial" w:hAnsi="Arial" w:cs="Arial"/>
          <w:i/>
          <w:iCs/>
          <w:sz w:val="24"/>
          <w:szCs w:val="24"/>
          <w:vertAlign w:val="superscript"/>
        </w:rPr>
        <w:fldChar w:fldCharType="separate"/>
      </w:r>
      <w:r w:rsidR="003E2EA6" w:rsidRPr="003E2EA6">
        <w:rPr>
          <w:rFonts w:ascii="Arial" w:hAnsi="Arial" w:cs="Arial"/>
          <w:sz w:val="24"/>
          <w:szCs w:val="24"/>
          <w:vertAlign w:val="superscript"/>
        </w:rPr>
        <w:t>21</w:t>
      </w:r>
      <w:r w:rsidRPr="00336940">
        <w:rPr>
          <w:rFonts w:ascii="Arial" w:hAnsi="Arial" w:cs="Arial"/>
          <w:i/>
          <w:iCs/>
          <w:sz w:val="24"/>
          <w:szCs w:val="24"/>
          <w:vertAlign w:val="superscript"/>
        </w:rPr>
        <w:fldChar w:fldCharType="end"/>
      </w:r>
      <w:r w:rsidRPr="00336940">
        <w:rPr>
          <w:rFonts w:ascii="Arial" w:hAnsi="Arial" w:cs="Arial"/>
          <w:sz w:val="24"/>
          <w:szCs w:val="24"/>
        </w:rPr>
        <w:t>, collagen fibers are reoriented</w:t>
      </w:r>
      <w:r w:rsidR="00F75A40" w:rsidRPr="00336940">
        <w:rPr>
          <w:rFonts w:ascii="Arial" w:hAnsi="Arial" w:cs="Arial"/>
          <w:sz w:val="24"/>
          <w:szCs w:val="24"/>
        </w:rPr>
        <w:t>,</w:t>
      </w:r>
      <w:r w:rsidRPr="00336940">
        <w:rPr>
          <w:rFonts w:ascii="Arial" w:hAnsi="Arial" w:cs="Arial"/>
          <w:sz w:val="24"/>
          <w:szCs w:val="24"/>
        </w:rPr>
        <w:t xml:space="preserve"> and the tunica intima </w:t>
      </w:r>
      <w:r w:rsidR="00BC30B4" w:rsidRPr="00336940">
        <w:rPr>
          <w:rFonts w:ascii="Arial" w:hAnsi="Arial" w:cs="Arial"/>
          <w:sz w:val="24"/>
          <w:szCs w:val="24"/>
        </w:rPr>
        <w:t>thins</w:t>
      </w:r>
      <w:r w:rsidRPr="00336940">
        <w:rPr>
          <w:rFonts w:ascii="Arial" w:hAnsi="Arial" w:cs="Arial"/>
          <w:sz w:val="24"/>
          <w:szCs w:val="24"/>
        </w:rPr>
        <w:t xml:space="preserve"> (</w:t>
      </w:r>
      <w:r w:rsidR="009D3447" w:rsidRPr="00336940">
        <w:rPr>
          <w:rFonts w:ascii="Arial" w:hAnsi="Arial" w:cs="Arial"/>
          <w:i/>
          <w:iCs/>
          <w:sz w:val="24"/>
          <w:szCs w:val="24"/>
        </w:rPr>
        <w:fldChar w:fldCharType="begin"/>
      </w:r>
      <w:r w:rsidR="009D3447" w:rsidRPr="00336940">
        <w:rPr>
          <w:rFonts w:ascii="Arial" w:hAnsi="Arial" w:cs="Arial"/>
          <w:sz w:val="24"/>
          <w:szCs w:val="24"/>
        </w:rPr>
        <w:instrText xml:space="preserve"> REF _Ref83985091 \h </w:instrText>
      </w:r>
      <w:r w:rsidR="00212930" w:rsidRPr="00336940">
        <w:rPr>
          <w:rFonts w:ascii="Arial" w:hAnsi="Arial" w:cs="Arial"/>
          <w:sz w:val="24"/>
          <w:szCs w:val="24"/>
        </w:rPr>
        <w:instrText xml:space="preserve"> \* MERGEFORMAT </w:instrText>
      </w:r>
      <w:r w:rsidR="009D3447" w:rsidRPr="00336940">
        <w:rPr>
          <w:rFonts w:ascii="Arial" w:hAnsi="Arial" w:cs="Arial"/>
          <w:i/>
          <w:iCs/>
          <w:sz w:val="24"/>
          <w:szCs w:val="24"/>
        </w:rPr>
      </w:r>
      <w:r w:rsidR="009D3447" w:rsidRPr="00336940">
        <w:rPr>
          <w:rFonts w:ascii="Arial" w:hAnsi="Arial" w:cs="Arial"/>
          <w:i/>
          <w:iCs/>
          <w:sz w:val="24"/>
          <w:szCs w:val="24"/>
        </w:rPr>
        <w:fldChar w:fldCharType="separate"/>
      </w:r>
      <w:r w:rsidR="005C4791" w:rsidRPr="005C4791">
        <w:rPr>
          <w:rFonts w:ascii="Arial" w:hAnsi="Arial" w:cs="Arial"/>
          <w:sz w:val="24"/>
          <w:szCs w:val="24"/>
        </w:rPr>
        <w:t xml:space="preserve">Figure </w:t>
      </w:r>
      <w:r w:rsidR="005C4791" w:rsidRPr="005C4791">
        <w:rPr>
          <w:rFonts w:ascii="Arial" w:hAnsi="Arial" w:cs="Arial"/>
          <w:noProof/>
          <w:sz w:val="24"/>
          <w:szCs w:val="24"/>
        </w:rPr>
        <w:t>2</w:t>
      </w:r>
      <w:r w:rsidR="009D3447" w:rsidRPr="00336940">
        <w:rPr>
          <w:rFonts w:ascii="Arial" w:hAnsi="Arial" w:cs="Arial"/>
          <w:i/>
          <w:iCs/>
          <w:sz w:val="24"/>
          <w:szCs w:val="24"/>
        </w:rPr>
        <w:fldChar w:fldCharType="end"/>
      </w:r>
      <w:r w:rsidRPr="00336940">
        <w:rPr>
          <w:rFonts w:ascii="Arial" w:hAnsi="Arial" w:cs="Arial"/>
          <w:sz w:val="24"/>
          <w:szCs w:val="24"/>
        </w:rPr>
        <w:t>).</w:t>
      </w:r>
      <w:r w:rsidR="00D81AF4" w:rsidRPr="00336940">
        <w:rPr>
          <w:rFonts w:ascii="Arial" w:hAnsi="Arial" w:cs="Arial"/>
          <w:sz w:val="24"/>
          <w:szCs w:val="24"/>
        </w:rPr>
        <w:t xml:space="preserve"> Collagen fibers are reoriented because collagen type changes, from mainly types III, IV and VI to mostly types </w:t>
      </w:r>
      <w:r w:rsidR="00D10C0F" w:rsidRPr="00336940">
        <w:rPr>
          <w:rFonts w:ascii="Arial" w:hAnsi="Arial" w:cs="Arial"/>
          <w:sz w:val="24"/>
          <w:szCs w:val="24"/>
        </w:rPr>
        <w:t>I and V</w:t>
      </w:r>
      <w:r w:rsidR="00D10C0F" w:rsidRPr="00336940">
        <w:rPr>
          <w:rFonts w:ascii="Arial" w:hAnsi="Arial" w:cs="Arial"/>
          <w:i/>
          <w:iCs/>
          <w:sz w:val="24"/>
          <w:szCs w:val="24"/>
          <w:highlight w:val="black"/>
        </w:rPr>
        <w:fldChar w:fldCharType="begin"/>
      </w:r>
      <w:r w:rsidR="005B4F59">
        <w:rPr>
          <w:rFonts w:ascii="Arial" w:hAnsi="Arial" w:cs="Arial"/>
          <w:sz w:val="24"/>
          <w:szCs w:val="24"/>
          <w:highlight w:val="black"/>
        </w:rPr>
        <w:instrText xml:space="preserve"> ADDIN ZOTERO_ITEM CSL_CITATION {"citationID":"mDkek8Nm","properties":{"formattedCitation":"\\super 7,20\\nosupersub{}","plainCitation":"7,20","noteIndex":0},"citationItems":[{"id":16,"uris":["http://zotero.org/users/6508478/items/FAFYHU6P"],"itemData":{"id":16,"type":"article-journal","abstract":"Saccular unruptured intracranial aneurysms (UIAs) have a prevalence of 3% in the adult population, and are being increasingly detected because of improved quality and higher frequency of cranial imaging. Large amounts of data, providing varying levels of evidence, have been published on aneurysm development, progression and rupture, but less information is available on the risks and efficacy of preventive treatment. When deciding how to best manage UIAs, clinicians must consider the age and life expectancy of the patient, the estimated risk of rupture, the risk of complications attributed to preventive treatment, and the level of anxiety caused by the awareness of having an aneurysm. This Review highlights the latest human data on the formation, progression and rupture of intracranial aneurysms, as well as risks associated with preventive treatment. Considering these we discuss the implication for clinical management. Furthermore, we highlight pivotal questions arising from current data on intracranial aneurysms and the implications the data have for future experimental or clinical research. We also discuss data on novel radiological surrogates for rupture for those aneurysms that do not require preventive occlusion. Finally, we provide guidance for clinicians who are confronted with patients with incidentally detected UIAs.","container-title":"Nature Reviews. Neurology","DOI":"10.1038/nrneurol.2016.150","ISSN":"1759-4766","issue":"12","journalAbbreviation":"Nat Rev Neurol","language":"eng","note":"PMID: 27808265","page":"699-713","source":"PubMed","title":"Unruptured intracranial aneurysms: development, rupture and preventive management","title-short":"Unruptured intracranial aneurysms","volume":"12","author":[{"family":"Etminan","given":"Nima"},{"family":"Rinkel","given":"Gabriel J."}],"issued":{"date-parts":[["2016",12]]}}},{"id":46,"uris":["http://zotero.org/users/6508478/items/L8JFMSB6"],"itemData":{"id":46,"type":"article-journal","abstract":"&lt;section class=\"abstract\"&gt;&lt;div id=\"\" class=\"section\"&gt;&lt;h3 class=\"abstractTitle text-title my-1\" id=\"d450e3\"&gt;OBJECTIVE&lt;/h3&gt;&lt;p&gt;Unruptured intracranial aneurysms (UIAs) are relatively common lesions that may cause devastating intracranial hemorrhage, thus producing considerable suffering and anxiety in those affected by the disease or an increased likelihood of developing it. Advances in the knowledge of the pathobiology behind intracranial aneurysm (IA) formation, progression, and rupture have led to preclinical testing of drug therapies that would prevent IA formation or progression. In parallel, novel biologically based diagnostic tools to estimate rupture risk are approaching clinical use. Arterial wall remodeling, triggered by flow and intramural stresses and mediated by inflammation, is relevant to both.&lt;/p&gt;&lt;/div&gt;&lt;div id=\"\" class=\"section\"&gt;&lt;h3 class=\"abstractTitle text-title my-1\" id=\"d450e6\"&gt;METHODS&lt;/h3&gt;&lt;p&gt;This review discusses the basis of flow-driven vessel remodeling and translates that knowledge to the observations made on the mechanisms of IA initiation and progression on studies using animal models of induced IA formation, study of human IA tissue samples, and study of patient-derived computational fluid dynamics models.&lt;/p&gt;&lt;/div&gt;&lt;div id=\"\" class=\"section\"&gt;&lt;h3 class=\"abstractTitle text-title my-1\" id=\"d450e9\"&gt;RESULTS&lt;/h3&gt;&lt;p&gt;Blood flow conditions leading to high wall shear stress (WSS) activate proinflammatory signaling in endothelial cells that recruits macrophages to the site exposed to high WSS, especially through macrophage chemoattractant protein 1 (MCP1). This macrophage infiltration leads to protease expression, which disrupts the internal elastic lamina and collagen matrix, leading to focal outward bulging of the wall and IA initiation. For the IA to grow, collagen remodeling and smooth muscle cell (SMC) proliferation are essential, because the fact that collagen does not distend much prevents the passive dilation of a focal weakness to a sizable IA. Chronic macrophage infiltration of the IA wall promotes this SMC-mediated growth and is a potential target for drug therapy. Once the IA wall grows, it is subjected to changes in wall tension and flow conditions as a result of the change in geometry and has to remodel accordingly to avoid rupture. Flow affects this remodeling process.&lt;/p&gt;&lt;/div&gt;&lt;div id=\"\" class=\"section\"&gt;&lt;h3 class=\"abstractTitle text-title my-1\" id=\"d450e12\"&gt;CONCLUSIONS&lt;/h3&gt;&lt;p&gt;Flow triggers an inflammatory reaction that predisposes the arterial wall to IA initiation and growth and affects the associated remodeling of the UIA wall. This chronic inflammation is a putative target for drug therapy that would stabilize UIAs or prevent UIA formation. Moreover, once this coupling between IA wall remodeling and flow is understood, data from patient-specific flow models can be gathered as part of the diagnostic workup and utilized to improve risk assessment for UIA initiation, progression, and eventual rupture.&lt;/p&gt;&lt;/div&gt;&lt;/section&gt;","container-title":"Neurosurgical Focus","DOI":"10.3171/2019.5.FOCUS19234","ISSN":"1092-0684","issue":"1","language":"en_US","page":"E21","source":"thejns.org","title":"Flow-induced, inflammation-mediated arterial wall remodeling in the formation and progression of intracranial aneurysms","volume":"47","author":[{"family":"Frösen","given":"Juhana"},{"family":"Cebral","given":"Juan"},{"family":"Robertson","given":"Anne M."},{"family":"Aoki","given":"Tomohiro"}],"issued":{"date-parts":[["2019",7,1]]}}}],"schema":"https://github.com/citation-style-language/schema/raw/master/csl-citation.json"} </w:instrText>
      </w:r>
      <w:r w:rsidR="00D10C0F" w:rsidRPr="00336940">
        <w:rPr>
          <w:rFonts w:ascii="Arial" w:hAnsi="Arial" w:cs="Arial"/>
          <w:i/>
          <w:iCs/>
          <w:sz w:val="24"/>
          <w:szCs w:val="24"/>
          <w:highlight w:val="black"/>
        </w:rPr>
        <w:fldChar w:fldCharType="separate"/>
      </w:r>
      <w:r w:rsidR="003E2EA6" w:rsidRPr="003E2EA6">
        <w:rPr>
          <w:rFonts w:ascii="Arial" w:hAnsi="Arial" w:cs="Arial"/>
          <w:sz w:val="24"/>
          <w:szCs w:val="24"/>
          <w:vertAlign w:val="superscript"/>
        </w:rPr>
        <w:t>7,20</w:t>
      </w:r>
      <w:r w:rsidR="00D10C0F" w:rsidRPr="00336940">
        <w:rPr>
          <w:rFonts w:ascii="Arial" w:hAnsi="Arial" w:cs="Arial"/>
          <w:i/>
          <w:iCs/>
          <w:sz w:val="24"/>
          <w:szCs w:val="24"/>
          <w:highlight w:val="black"/>
        </w:rPr>
        <w:fldChar w:fldCharType="end"/>
      </w:r>
      <w:r w:rsidR="00D10C0F" w:rsidRPr="00336940">
        <w:rPr>
          <w:rFonts w:ascii="Arial" w:hAnsi="Arial" w:cs="Arial"/>
          <w:sz w:val="24"/>
          <w:szCs w:val="24"/>
        </w:rPr>
        <w:t>.</w:t>
      </w:r>
      <w:r w:rsidRPr="00336940">
        <w:rPr>
          <w:rFonts w:ascii="Arial" w:hAnsi="Arial" w:cs="Arial"/>
          <w:sz w:val="24"/>
          <w:szCs w:val="24"/>
        </w:rPr>
        <w:t xml:space="preserve"> Aneurysm growth occurs after these structural changes because collagen fiber</w:t>
      </w:r>
      <w:r w:rsidR="009A4714" w:rsidRPr="00336940">
        <w:rPr>
          <w:rFonts w:ascii="Arial" w:hAnsi="Arial" w:cs="Arial"/>
          <w:sz w:val="24"/>
          <w:szCs w:val="24"/>
        </w:rPr>
        <w:t>s</w:t>
      </w:r>
      <w:r w:rsidRPr="00336940">
        <w:rPr>
          <w:rFonts w:ascii="Arial" w:hAnsi="Arial" w:cs="Arial"/>
          <w:sz w:val="24"/>
          <w:szCs w:val="24"/>
        </w:rPr>
        <w:t xml:space="preserve"> extend</w:t>
      </w:r>
      <w:r w:rsidR="009A4714" w:rsidRPr="00336940">
        <w:rPr>
          <w:rFonts w:ascii="Arial" w:hAnsi="Arial" w:cs="Arial"/>
          <w:sz w:val="24"/>
          <w:szCs w:val="24"/>
        </w:rPr>
        <w:t xml:space="preserve"> thanks to their reorientation</w:t>
      </w:r>
      <w:r w:rsidRPr="00336940">
        <w:rPr>
          <w:rFonts w:ascii="Arial" w:hAnsi="Arial" w:cs="Arial"/>
          <w:i/>
          <w:iCs/>
          <w:sz w:val="24"/>
          <w:szCs w:val="24"/>
          <w:vertAlign w:val="superscript"/>
        </w:rPr>
        <w:fldChar w:fldCharType="begin"/>
      </w:r>
      <w:r w:rsidR="005B4F59">
        <w:rPr>
          <w:rFonts w:ascii="Arial" w:hAnsi="Arial" w:cs="Arial"/>
          <w:sz w:val="24"/>
          <w:szCs w:val="24"/>
          <w:vertAlign w:val="superscript"/>
        </w:rPr>
        <w:instrText xml:space="preserve"> ADDIN ZOTERO_ITEM CSL_CITATION {"citationID":"YZ41mNsD","properties":{"formattedCitation":"\\super 20\\nosupersub{}","plainCitation":"20","noteIndex":0},"citationItems":[{"id":46,"uris":["http://zotero.org/users/6508478/items/L8JFMSB6"],"itemData":{"id":46,"type":"article-journal","abstract":"&lt;section class=\"abstract\"&gt;&lt;div id=\"\" class=\"section\"&gt;&lt;h3 class=\"abstractTitle text-title my-1\" id=\"d450e3\"&gt;OBJECTIVE&lt;/h3&gt;&lt;p&gt;Unruptured intracranial aneurysms (UIAs) are relatively common lesions that may cause devastating intracranial hemorrhage, thus producing considerable suffering and anxiety in those affected by the disease or an increased likelihood of developing it. Advances in the knowledge of the pathobiology behind intracranial aneurysm (IA) formation, progression, and rupture have led to preclinical testing of drug therapies that would prevent IA formation or progression. In parallel, novel biologically based diagnostic tools to estimate rupture risk are approaching clinical use. Arterial wall remodeling, triggered by flow and intramural stresses and mediated by inflammation, is relevant to both.&lt;/p&gt;&lt;/div&gt;&lt;div id=\"\" class=\"section\"&gt;&lt;h3 class=\"abstractTitle text-title my-1\" id=\"d450e6\"&gt;METHODS&lt;/h3&gt;&lt;p&gt;This review discusses the basis of flow-driven vessel remodeling and translates that knowledge to the observations made on the mechanisms of IA initiation and progression on studies using animal models of induced IA formation, study of human IA tissue samples, and study of patient-derived computational fluid dynamics models.&lt;/p&gt;&lt;/div&gt;&lt;div id=\"\" class=\"section\"&gt;&lt;h3 class=\"abstractTitle text-title my-1\" id=\"d450e9\"&gt;RESULTS&lt;/h3&gt;&lt;p&gt;Blood flow conditions leading to high wall shear stress (WSS) activate proinflammatory signaling in endothelial cells that recruits macrophages to the site exposed to high WSS, especially through macrophage chemoattractant protein 1 (MCP1). This macrophage infiltration leads to protease expression, which disrupts the internal elastic lamina and collagen matrix, leading to focal outward bulging of the wall and IA initiation. For the IA to grow, collagen remodeling and smooth muscle cell (SMC) proliferation are essential, because the fact that collagen does not distend much prevents the passive dilation of a focal weakness to a sizable IA. Chronic macrophage infiltration of the IA wall promotes this SMC-mediated growth and is a potential target for drug therapy. Once the IA wall grows, it is subjected to changes in wall tension and flow conditions as a result of the change in geometry and has to remodel accordingly to avoid rupture. Flow affects this remodeling process.&lt;/p&gt;&lt;/div&gt;&lt;div id=\"\" class=\"section\"&gt;&lt;h3 class=\"abstractTitle text-title my-1\" id=\"d450e12\"&gt;CONCLUSIONS&lt;/h3&gt;&lt;p&gt;Flow triggers an inflammatory reaction that predisposes the arterial wall to IA initiation and growth and affects the associated remodeling of the UIA wall. This chronic inflammation is a putative target for drug therapy that would stabilize UIAs or prevent UIA formation. Moreover, once this coupling between IA wall remodeling and flow is understood, data from patient-specific flow models can be gathered as part of the diagnostic workup and utilized to improve risk assessment for UIA initiation, progression, and eventual rupture.&lt;/p&gt;&lt;/div&gt;&lt;/section&gt;","container-title":"Neurosurgical Focus","DOI":"10.3171/2019.5.FOCUS19234","ISSN":"1092-0684","issue":"1","language":"en_US","page":"E21","source":"thejns.org","title":"Flow-induced, inflammation-mediated arterial wall remodeling in the formation and progression of intracranial aneurysms","volume":"47","author":[{"family":"Frösen","given":"Juhana"},{"family":"Cebral","given":"Juan"},{"family":"Robertson","given":"Anne M."},{"family":"Aoki","given":"Tomohiro"}],"issued":{"date-parts":[["2019",7,1]]}}}],"schema":"https://github.com/citation-style-language/schema/raw/master/csl-citation.json"} </w:instrText>
      </w:r>
      <w:r w:rsidRPr="00336940">
        <w:rPr>
          <w:rFonts w:ascii="Arial" w:hAnsi="Arial" w:cs="Arial"/>
          <w:i/>
          <w:iCs/>
          <w:sz w:val="24"/>
          <w:szCs w:val="24"/>
          <w:vertAlign w:val="superscript"/>
        </w:rPr>
        <w:fldChar w:fldCharType="separate"/>
      </w:r>
      <w:r w:rsidR="003E2EA6" w:rsidRPr="003E2EA6">
        <w:rPr>
          <w:rFonts w:ascii="Arial" w:hAnsi="Arial" w:cs="Arial"/>
          <w:sz w:val="24"/>
          <w:szCs w:val="24"/>
          <w:vertAlign w:val="superscript"/>
        </w:rPr>
        <w:t>20</w:t>
      </w:r>
      <w:r w:rsidRPr="00336940">
        <w:rPr>
          <w:rFonts w:ascii="Arial" w:hAnsi="Arial" w:cs="Arial"/>
          <w:i/>
          <w:iCs/>
          <w:sz w:val="24"/>
          <w:szCs w:val="24"/>
          <w:vertAlign w:val="superscript"/>
        </w:rPr>
        <w:fldChar w:fldCharType="end"/>
      </w:r>
      <w:r w:rsidR="009C75E9" w:rsidRPr="00336940">
        <w:rPr>
          <w:rFonts w:ascii="Arial" w:hAnsi="Arial" w:cs="Arial"/>
          <w:sz w:val="24"/>
          <w:szCs w:val="24"/>
        </w:rPr>
        <w:t>.</w:t>
      </w:r>
      <w:r w:rsidRPr="00336940">
        <w:rPr>
          <w:rFonts w:ascii="Arial" w:hAnsi="Arial" w:cs="Arial"/>
          <w:sz w:val="24"/>
          <w:szCs w:val="24"/>
        </w:rPr>
        <w:t xml:space="preserve"> Frösen </w:t>
      </w:r>
      <w:r w:rsidRPr="003B5F26">
        <w:rPr>
          <w:rFonts w:ascii="Arial" w:hAnsi="Arial" w:cs="Arial"/>
          <w:i/>
          <w:iCs/>
          <w:sz w:val="24"/>
          <w:szCs w:val="24"/>
        </w:rPr>
        <w:t>et al</w:t>
      </w:r>
      <w:r w:rsidR="00DE3749">
        <w:rPr>
          <w:rFonts w:ascii="Arial" w:hAnsi="Arial" w:cs="Arial"/>
          <w:i/>
          <w:iCs/>
          <w:sz w:val="24"/>
          <w:szCs w:val="24"/>
        </w:rPr>
        <w:t>.</w:t>
      </w:r>
      <w:r w:rsidRPr="00336940">
        <w:rPr>
          <w:rFonts w:ascii="Arial" w:hAnsi="Arial" w:cs="Arial"/>
          <w:i/>
          <w:iCs/>
          <w:sz w:val="24"/>
          <w:szCs w:val="24"/>
          <w:vertAlign w:val="superscript"/>
        </w:rPr>
        <w:fldChar w:fldCharType="begin"/>
      </w:r>
      <w:r w:rsidR="005B4F59">
        <w:rPr>
          <w:rFonts w:ascii="Arial" w:hAnsi="Arial" w:cs="Arial"/>
          <w:sz w:val="24"/>
          <w:szCs w:val="24"/>
          <w:vertAlign w:val="superscript"/>
        </w:rPr>
        <w:instrText xml:space="preserve"> ADDIN ZOTERO_ITEM CSL_CITATION {"citationID":"YjJGAV2T","properties":{"formattedCitation":"\\super 20\\nosupersub{}","plainCitation":"20","noteIndex":0},"citationItems":[{"id":46,"uris":["http://zotero.org/users/6508478/items/L8JFMSB6"],"itemData":{"id":46,"type":"article-journal","abstract":"&lt;section class=\"abstract\"&gt;&lt;div id=\"\" class=\"section\"&gt;&lt;h3 class=\"abstractTitle text-title my-1\" id=\"d450e3\"&gt;OBJECTIVE&lt;/h3&gt;&lt;p&gt;Unruptured intracranial aneurysms (UIAs) are relatively common lesions that may cause devastating intracranial hemorrhage, thus producing considerable suffering and anxiety in those affected by the disease or an increased likelihood of developing it. Advances in the knowledge of the pathobiology behind intracranial aneurysm (IA) formation, progression, and rupture have led to preclinical testing of drug therapies that would prevent IA formation or progression. In parallel, novel biologically based diagnostic tools to estimate rupture risk are approaching clinical use. Arterial wall remodeling, triggered by flow and intramural stresses and mediated by inflammation, is relevant to both.&lt;/p&gt;&lt;/div&gt;&lt;div id=\"\" class=\"section\"&gt;&lt;h3 class=\"abstractTitle text-title my-1\" id=\"d450e6\"&gt;METHODS&lt;/h3&gt;&lt;p&gt;This review discusses the basis of flow-driven vessel remodeling and translates that knowledge to the observations made on the mechanisms of IA initiation and progression on studies using animal models of induced IA formation, study of human IA tissue samples, and study of patient-derived computational fluid dynamics models.&lt;/p&gt;&lt;/div&gt;&lt;div id=\"\" class=\"section\"&gt;&lt;h3 class=\"abstractTitle text-title my-1\" id=\"d450e9\"&gt;RESULTS&lt;/h3&gt;&lt;p&gt;Blood flow conditions leading to high wall shear stress (WSS) activate proinflammatory signaling in endothelial cells that recruits macrophages to the site exposed to high WSS, especially through macrophage chemoattractant protein 1 (MCP1). This macrophage infiltration leads to protease expression, which disrupts the internal elastic lamina and collagen matrix, leading to focal outward bulging of the wall and IA initiation. For the IA to grow, collagen remodeling and smooth muscle cell (SMC) proliferation are essential, because the fact that collagen does not distend much prevents the passive dilation of a focal weakness to a sizable IA. Chronic macrophage infiltration of the IA wall promotes this SMC-mediated growth and is a potential target for drug therapy. Once the IA wall grows, it is subjected to changes in wall tension and flow conditions as a result of the change in geometry and has to remodel accordingly to avoid rupture. Flow affects this remodeling process.&lt;/p&gt;&lt;/div&gt;&lt;div id=\"\" class=\"section\"&gt;&lt;h3 class=\"abstractTitle text-title my-1\" id=\"d450e12\"&gt;CONCLUSIONS&lt;/h3&gt;&lt;p&gt;Flow triggers an inflammatory reaction that predisposes the arterial wall to IA initiation and growth and affects the associated remodeling of the UIA wall. This chronic inflammation is a putative target for drug therapy that would stabilize UIAs or prevent UIA formation. Moreover, once this coupling between IA wall remodeling and flow is understood, data from patient-specific flow models can be gathered as part of the diagnostic workup and utilized to improve risk assessment for UIA initiation, progression, and eventual rupture.&lt;/p&gt;&lt;/div&gt;&lt;/section&gt;","container-title":"Neurosurgical Focus","DOI":"10.3171/2019.5.FOCUS19234","ISSN":"1092-0684","issue":"1","language":"en_US","page":"E21","source":"thejns.org","title":"Flow-induced, inflammation-mediated arterial wall remodeling in the formation and progression of intracranial aneurysms","volume":"47","author":[{"family":"Frösen","given":"Juhana"},{"family":"Cebral","given":"Juan"},{"family":"Robertson","given":"Anne M."},{"family":"Aoki","given":"Tomohiro"}],"issued":{"date-parts":[["2019",7,1]]}}}],"schema":"https://github.com/citation-style-language/schema/raw/master/csl-citation.json"} </w:instrText>
      </w:r>
      <w:r w:rsidRPr="00336940">
        <w:rPr>
          <w:rFonts w:ascii="Arial" w:hAnsi="Arial" w:cs="Arial"/>
          <w:i/>
          <w:iCs/>
          <w:sz w:val="24"/>
          <w:szCs w:val="24"/>
          <w:vertAlign w:val="superscript"/>
        </w:rPr>
        <w:fldChar w:fldCharType="separate"/>
      </w:r>
      <w:r w:rsidR="003E2EA6" w:rsidRPr="003E2EA6">
        <w:rPr>
          <w:rFonts w:ascii="Arial" w:hAnsi="Arial" w:cs="Arial"/>
          <w:sz w:val="24"/>
          <w:szCs w:val="24"/>
          <w:vertAlign w:val="superscript"/>
        </w:rPr>
        <w:t>20</w:t>
      </w:r>
      <w:r w:rsidRPr="00336940">
        <w:rPr>
          <w:rFonts w:ascii="Arial" w:hAnsi="Arial" w:cs="Arial"/>
          <w:i/>
          <w:iCs/>
          <w:sz w:val="24"/>
          <w:szCs w:val="24"/>
          <w:vertAlign w:val="superscript"/>
        </w:rPr>
        <w:fldChar w:fldCharType="end"/>
      </w:r>
      <w:r w:rsidR="009C75E9" w:rsidRPr="00336940">
        <w:rPr>
          <w:rFonts w:ascii="Arial" w:hAnsi="Arial" w:cs="Arial"/>
          <w:sz w:val="24"/>
          <w:szCs w:val="24"/>
        </w:rPr>
        <w:t xml:space="preserve"> </w:t>
      </w:r>
      <w:r w:rsidRPr="00336940">
        <w:rPr>
          <w:rFonts w:ascii="Arial" w:hAnsi="Arial" w:cs="Arial"/>
          <w:sz w:val="24"/>
          <w:szCs w:val="24"/>
        </w:rPr>
        <w:t>present</w:t>
      </w:r>
      <w:r w:rsidR="00FD17BC" w:rsidRPr="00336940">
        <w:rPr>
          <w:rFonts w:ascii="Arial" w:hAnsi="Arial" w:cs="Arial"/>
          <w:sz w:val="24"/>
          <w:szCs w:val="24"/>
        </w:rPr>
        <w:t>ed</w:t>
      </w:r>
      <w:r w:rsidRPr="00336940">
        <w:rPr>
          <w:rFonts w:ascii="Arial" w:hAnsi="Arial" w:cs="Arial"/>
          <w:sz w:val="24"/>
          <w:szCs w:val="24"/>
        </w:rPr>
        <w:t xml:space="preserve"> aneurysm growth as inflammation driven: macrophages produce growth factors like TGF</w:t>
      </w:r>
      <w:r w:rsidR="00BC30B4" w:rsidRPr="00336940">
        <w:rPr>
          <w:rFonts w:ascii="Arial" w:hAnsi="Arial" w:cs="Arial"/>
          <w:sz w:val="24"/>
          <w:szCs w:val="24"/>
        </w:rPr>
        <w:t>-</w:t>
      </w:r>
      <w:bookmarkStart w:id="14" w:name="_Hlk81760655"/>
      <w:r w:rsidRPr="00336940">
        <w:rPr>
          <w:rFonts w:ascii="Arial" w:hAnsi="Arial" w:cs="Arial"/>
          <w:sz w:val="24"/>
          <w:szCs w:val="24"/>
        </w:rPr>
        <w:t>β</w:t>
      </w:r>
      <w:bookmarkEnd w:id="14"/>
      <w:r w:rsidRPr="00336940">
        <w:rPr>
          <w:rFonts w:ascii="Arial" w:hAnsi="Arial" w:cs="Arial"/>
          <w:sz w:val="24"/>
          <w:szCs w:val="24"/>
        </w:rPr>
        <w:t xml:space="preserve">, which </w:t>
      </w:r>
      <w:r w:rsidR="00FD17BC" w:rsidRPr="00336940">
        <w:rPr>
          <w:rFonts w:ascii="Arial" w:hAnsi="Arial" w:cs="Arial"/>
          <w:sz w:val="24"/>
          <w:szCs w:val="24"/>
        </w:rPr>
        <w:t xml:space="preserve">facilitate </w:t>
      </w:r>
      <w:r w:rsidRPr="00336940">
        <w:rPr>
          <w:rFonts w:ascii="Arial" w:hAnsi="Arial" w:cs="Arial"/>
          <w:sz w:val="24"/>
          <w:szCs w:val="24"/>
        </w:rPr>
        <w:t>smooth muscle cells grow</w:t>
      </w:r>
      <w:r w:rsidR="00FD17BC" w:rsidRPr="00336940">
        <w:rPr>
          <w:rFonts w:ascii="Arial" w:hAnsi="Arial" w:cs="Arial"/>
          <w:sz w:val="24"/>
          <w:szCs w:val="24"/>
        </w:rPr>
        <w:t>th</w:t>
      </w:r>
      <w:r w:rsidRPr="00336940">
        <w:rPr>
          <w:rFonts w:ascii="Arial" w:hAnsi="Arial" w:cs="Arial"/>
          <w:sz w:val="24"/>
          <w:szCs w:val="24"/>
        </w:rPr>
        <w:t xml:space="preserve"> and </w:t>
      </w:r>
      <w:r w:rsidR="00FD17BC" w:rsidRPr="00336940">
        <w:rPr>
          <w:rFonts w:ascii="Arial" w:hAnsi="Arial" w:cs="Arial"/>
          <w:sz w:val="24"/>
          <w:szCs w:val="24"/>
        </w:rPr>
        <w:t>simultaneously</w:t>
      </w:r>
      <w:r w:rsidRPr="00336940">
        <w:rPr>
          <w:rFonts w:ascii="Arial" w:hAnsi="Arial" w:cs="Arial"/>
          <w:sz w:val="24"/>
          <w:szCs w:val="24"/>
        </w:rPr>
        <w:t xml:space="preserve">, through a series of immune mechanisms, recruit more macrophages, thus </w:t>
      </w:r>
      <w:r w:rsidRPr="00336940">
        <w:rPr>
          <w:rFonts w:ascii="Arial" w:hAnsi="Arial" w:cs="Arial"/>
          <w:sz w:val="24"/>
          <w:szCs w:val="24"/>
        </w:rPr>
        <w:lastRenderedPageBreak/>
        <w:t>maintaining inflammation</w:t>
      </w:r>
      <w:r w:rsidR="00FD17BC" w:rsidRPr="00336940">
        <w:rPr>
          <w:rFonts w:ascii="Arial" w:hAnsi="Arial" w:cs="Arial"/>
          <w:sz w:val="24"/>
          <w:szCs w:val="24"/>
        </w:rPr>
        <w:t xml:space="preserve">, </w:t>
      </w:r>
      <w:r w:rsidRPr="00336940">
        <w:rPr>
          <w:rFonts w:ascii="Arial" w:hAnsi="Arial" w:cs="Arial"/>
          <w:sz w:val="24"/>
          <w:szCs w:val="24"/>
        </w:rPr>
        <w:t>smooth muscle cell</w:t>
      </w:r>
      <w:r w:rsidR="00FD17BC" w:rsidRPr="00336940">
        <w:rPr>
          <w:rFonts w:ascii="Arial" w:hAnsi="Arial" w:cs="Arial"/>
          <w:sz w:val="24"/>
          <w:szCs w:val="24"/>
        </w:rPr>
        <w:t xml:space="preserve"> dysregulation,</w:t>
      </w:r>
      <w:r w:rsidRPr="00336940">
        <w:rPr>
          <w:rFonts w:ascii="Arial" w:hAnsi="Arial" w:cs="Arial"/>
          <w:sz w:val="24"/>
          <w:szCs w:val="24"/>
        </w:rPr>
        <w:t xml:space="preserve"> and </w:t>
      </w:r>
      <w:r w:rsidR="00336940" w:rsidRPr="00336940">
        <w:rPr>
          <w:rFonts w:ascii="Arial" w:hAnsi="Arial" w:cs="Arial"/>
          <w:sz w:val="24"/>
          <w:szCs w:val="24"/>
        </w:rPr>
        <w:t xml:space="preserve">ultimately, </w:t>
      </w:r>
      <w:r w:rsidRPr="00336940">
        <w:rPr>
          <w:rFonts w:ascii="Arial" w:hAnsi="Arial" w:cs="Arial"/>
          <w:sz w:val="24"/>
          <w:szCs w:val="24"/>
        </w:rPr>
        <w:t>aneurysm growth.</w:t>
      </w:r>
    </w:p>
    <w:p w14:paraId="1459F2B7" w14:textId="4AB4832E" w:rsidR="00372107" w:rsidRPr="00336940" w:rsidRDefault="0029497C" w:rsidP="00EB056A">
      <w:pPr>
        <w:spacing w:line="480" w:lineRule="auto"/>
        <w:jc w:val="center"/>
        <w:rPr>
          <w:rFonts w:ascii="Arial" w:eastAsia="Calibri" w:hAnsi="Arial" w:cs="Arial"/>
        </w:rPr>
      </w:pPr>
      <w:r w:rsidRPr="00336940">
        <w:rPr>
          <w:rFonts w:ascii="Arial" w:eastAsia="Calibri" w:hAnsi="Arial" w:cs="Arial"/>
          <w:noProof/>
        </w:rPr>
        <w:drawing>
          <wp:inline distT="0" distB="0" distL="0" distR="0" wp14:anchorId="0A195002" wp14:editId="05C92B2A">
            <wp:extent cx="3924300" cy="3438525"/>
            <wp:effectExtent l="0" t="0" r="0" b="952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tructural modifications in the tunica intima at an arterial bifurcation.png"/>
                    <pic:cNvPicPr/>
                  </pic:nvPicPr>
                  <pic:blipFill rotWithShape="1">
                    <a:blip r:embed="rId10">
                      <a:extLst>
                        <a:ext uri="{28A0092B-C50C-407E-A947-70E740481C1C}">
                          <a14:useLocalDpi xmlns:a14="http://schemas.microsoft.com/office/drawing/2010/main" val="0"/>
                        </a:ext>
                      </a:extLst>
                    </a:blip>
                    <a:srcRect l="14385" t="1417" r="17493" b="13308"/>
                    <a:stretch/>
                  </pic:blipFill>
                  <pic:spPr bwMode="auto">
                    <a:xfrm>
                      <a:off x="0" y="0"/>
                      <a:ext cx="3924300" cy="3438525"/>
                    </a:xfrm>
                    <a:prstGeom prst="rect">
                      <a:avLst/>
                    </a:prstGeom>
                    <a:ln>
                      <a:noFill/>
                    </a:ln>
                    <a:extLst>
                      <a:ext uri="{53640926-AAD7-44D8-BBD7-CCE9431645EC}">
                        <a14:shadowObscured xmlns:a14="http://schemas.microsoft.com/office/drawing/2010/main"/>
                      </a:ext>
                    </a:extLst>
                  </pic:spPr>
                </pic:pic>
              </a:graphicData>
            </a:graphic>
          </wp:inline>
        </w:drawing>
      </w:r>
    </w:p>
    <w:p w14:paraId="3F06AAF7" w14:textId="60839F4F" w:rsidR="00194F5C" w:rsidRPr="00336940" w:rsidRDefault="00F05C4C" w:rsidP="00834360">
      <w:pPr>
        <w:pStyle w:val="Lgende"/>
        <w:spacing w:line="276" w:lineRule="auto"/>
        <w:jc w:val="both"/>
      </w:pPr>
      <w:bookmarkStart w:id="15" w:name="_Ref83985091"/>
      <w:bookmarkStart w:id="16" w:name="_Ref76056533"/>
      <w:bookmarkStart w:id="17" w:name="_Ref76056524"/>
      <w:bookmarkStart w:id="18" w:name="_Toc81823153"/>
      <w:bookmarkStart w:id="19" w:name="_Toc105918967"/>
      <w:r w:rsidRPr="00336940">
        <w:rPr>
          <w:rFonts w:ascii="Arial" w:hAnsi="Arial" w:cs="Arial"/>
          <w:b/>
          <w:bCs/>
          <w:i w:val="0"/>
          <w:iCs w:val="0"/>
          <w:color w:val="auto"/>
          <w:sz w:val="24"/>
          <w:szCs w:val="24"/>
        </w:rPr>
        <w:t xml:space="preserve">Figure </w:t>
      </w:r>
      <w:r w:rsidRPr="00336940">
        <w:rPr>
          <w:rFonts w:ascii="Arial" w:hAnsi="Arial" w:cs="Arial"/>
          <w:b/>
          <w:bCs/>
          <w:i w:val="0"/>
          <w:iCs w:val="0"/>
          <w:color w:val="auto"/>
          <w:sz w:val="24"/>
          <w:szCs w:val="24"/>
        </w:rPr>
        <w:fldChar w:fldCharType="begin"/>
      </w:r>
      <w:r w:rsidRPr="00336940">
        <w:rPr>
          <w:rFonts w:ascii="Arial" w:hAnsi="Arial" w:cs="Arial"/>
          <w:b/>
          <w:bCs/>
          <w:i w:val="0"/>
          <w:iCs w:val="0"/>
          <w:color w:val="auto"/>
          <w:sz w:val="24"/>
          <w:szCs w:val="24"/>
        </w:rPr>
        <w:instrText xml:space="preserve"> SEQ Figure \* ARABIC </w:instrText>
      </w:r>
      <w:r w:rsidRPr="00336940">
        <w:rPr>
          <w:rFonts w:ascii="Arial" w:hAnsi="Arial" w:cs="Arial"/>
          <w:b/>
          <w:bCs/>
          <w:i w:val="0"/>
          <w:iCs w:val="0"/>
          <w:color w:val="auto"/>
          <w:sz w:val="24"/>
          <w:szCs w:val="24"/>
        </w:rPr>
        <w:fldChar w:fldCharType="separate"/>
      </w:r>
      <w:r w:rsidR="005C4791">
        <w:rPr>
          <w:rFonts w:ascii="Arial" w:hAnsi="Arial" w:cs="Arial"/>
          <w:b/>
          <w:bCs/>
          <w:i w:val="0"/>
          <w:iCs w:val="0"/>
          <w:noProof/>
          <w:color w:val="auto"/>
          <w:sz w:val="24"/>
          <w:szCs w:val="24"/>
        </w:rPr>
        <w:t>2</w:t>
      </w:r>
      <w:r w:rsidRPr="00336940">
        <w:rPr>
          <w:rFonts w:ascii="Arial" w:hAnsi="Arial" w:cs="Arial"/>
          <w:b/>
          <w:bCs/>
          <w:i w:val="0"/>
          <w:iCs w:val="0"/>
          <w:color w:val="auto"/>
          <w:sz w:val="24"/>
          <w:szCs w:val="24"/>
        </w:rPr>
        <w:fldChar w:fldCharType="end"/>
      </w:r>
      <w:bookmarkEnd w:id="15"/>
      <w:r w:rsidRPr="00336940">
        <w:rPr>
          <w:rFonts w:ascii="Arial" w:hAnsi="Arial" w:cs="Arial"/>
          <w:b/>
          <w:bCs/>
          <w:i w:val="0"/>
          <w:iCs w:val="0"/>
          <w:color w:val="auto"/>
          <w:sz w:val="24"/>
          <w:szCs w:val="24"/>
        </w:rPr>
        <w:t>: Structural modifications in the tunica intima at an arterial bifurcation</w:t>
      </w:r>
      <w:bookmarkEnd w:id="16"/>
      <w:bookmarkEnd w:id="17"/>
      <w:bookmarkEnd w:id="18"/>
      <w:r w:rsidR="00AE679E" w:rsidRPr="00336940">
        <w:rPr>
          <w:rFonts w:ascii="Arial" w:hAnsi="Arial" w:cs="Arial"/>
          <w:b/>
          <w:bCs/>
          <w:i w:val="0"/>
          <w:iCs w:val="0"/>
          <w:color w:val="auto"/>
          <w:sz w:val="24"/>
          <w:szCs w:val="24"/>
        </w:rPr>
        <w:t>.</w:t>
      </w:r>
      <w:r w:rsidR="00AE679E" w:rsidRPr="00336940">
        <w:rPr>
          <w:rFonts w:ascii="Arial" w:hAnsi="Arial" w:cs="Arial"/>
          <w:i w:val="0"/>
          <w:iCs w:val="0"/>
          <w:color w:val="auto"/>
          <w:sz w:val="24"/>
          <w:szCs w:val="24"/>
        </w:rPr>
        <w:t xml:space="preserve"> </w:t>
      </w:r>
      <w:r w:rsidR="003A3AA9">
        <w:rPr>
          <w:rFonts w:ascii="Arial" w:hAnsi="Arial" w:cs="Arial"/>
          <w:i w:val="0"/>
          <w:iCs w:val="0"/>
          <w:color w:val="auto"/>
          <w:sz w:val="24"/>
          <w:szCs w:val="24"/>
        </w:rPr>
        <w:t xml:space="preserve">(Top) </w:t>
      </w:r>
      <w:r w:rsidR="003A3AA9" w:rsidRPr="00336940">
        <w:rPr>
          <w:rFonts w:ascii="Arial" w:hAnsi="Arial" w:cs="Arial"/>
          <w:i w:val="0"/>
          <w:iCs w:val="0"/>
          <w:color w:val="auto"/>
          <w:sz w:val="24"/>
          <w:szCs w:val="24"/>
        </w:rPr>
        <w:t>In healthy blood vessels,</w:t>
      </w:r>
      <w:r w:rsidR="003A3AA9">
        <w:rPr>
          <w:rFonts w:ascii="Arial" w:hAnsi="Arial" w:cs="Arial"/>
          <w:i w:val="0"/>
          <w:iCs w:val="0"/>
          <w:color w:val="auto"/>
          <w:sz w:val="24"/>
          <w:szCs w:val="24"/>
        </w:rPr>
        <w:t xml:space="preserve"> the tunica adventitia (TA) contains fibroblasts (FB) and lays on the tunica media which contains organized layers of smooth muscle cells (SMCs)</w:t>
      </w:r>
      <w:r w:rsidR="003A3AA9" w:rsidRPr="00336940">
        <w:rPr>
          <w:rFonts w:ascii="Arial" w:hAnsi="Arial" w:cs="Arial"/>
          <w:i w:val="0"/>
          <w:iCs w:val="0"/>
          <w:color w:val="auto"/>
          <w:sz w:val="24"/>
          <w:szCs w:val="24"/>
        </w:rPr>
        <w:t>.</w:t>
      </w:r>
      <w:r w:rsidR="003A3AA9">
        <w:rPr>
          <w:rFonts w:ascii="Arial" w:hAnsi="Arial" w:cs="Arial"/>
          <w:i w:val="0"/>
          <w:iCs w:val="0"/>
          <w:color w:val="auto"/>
          <w:sz w:val="24"/>
          <w:szCs w:val="24"/>
        </w:rPr>
        <w:t xml:space="preserve"> The medial layer itself sits on the tunica intima which is composed of the internal elastic lamina (IEL), a basement membrane (BM) and an organized layer of endothelial cells (ECs).</w:t>
      </w:r>
      <w:r w:rsidR="003A3AA9" w:rsidRPr="00336940">
        <w:rPr>
          <w:rFonts w:ascii="Arial" w:hAnsi="Arial" w:cs="Arial"/>
          <w:i w:val="0"/>
          <w:iCs w:val="0"/>
          <w:color w:val="auto"/>
          <w:sz w:val="24"/>
          <w:szCs w:val="24"/>
        </w:rPr>
        <w:t xml:space="preserve"> </w:t>
      </w:r>
      <w:r w:rsidR="003A3AA9">
        <w:rPr>
          <w:rFonts w:ascii="Arial" w:hAnsi="Arial" w:cs="Arial"/>
          <w:i w:val="0"/>
          <w:iCs w:val="0"/>
          <w:color w:val="auto"/>
          <w:sz w:val="24"/>
          <w:szCs w:val="24"/>
        </w:rPr>
        <w:t xml:space="preserve">(Bottom) </w:t>
      </w:r>
      <w:r w:rsidR="003A3AA9" w:rsidRPr="00336940">
        <w:rPr>
          <w:rFonts w:ascii="Arial" w:hAnsi="Arial" w:cs="Arial"/>
          <w:i w:val="0"/>
          <w:iCs w:val="0"/>
          <w:color w:val="auto"/>
          <w:sz w:val="24"/>
          <w:szCs w:val="24"/>
        </w:rPr>
        <w:t>When increased blood flow triggers tissue deformation, it damages the basement membrane, the internal elastic lamina and the smooth muscle cells. The cellular debris recruits immune cells</w:t>
      </w:r>
      <w:r w:rsidR="003A3AA9">
        <w:rPr>
          <w:rFonts w:ascii="Arial" w:hAnsi="Arial" w:cs="Arial"/>
          <w:i w:val="0"/>
          <w:iCs w:val="0"/>
          <w:color w:val="auto"/>
          <w:sz w:val="24"/>
          <w:szCs w:val="24"/>
        </w:rPr>
        <w:t xml:space="preserve"> (WBC)</w:t>
      </w:r>
      <w:r w:rsidR="003A3AA9" w:rsidRPr="00336940">
        <w:rPr>
          <w:rFonts w:ascii="Arial" w:hAnsi="Arial" w:cs="Arial"/>
          <w:i w:val="0"/>
          <w:iCs w:val="0"/>
          <w:color w:val="auto"/>
          <w:sz w:val="24"/>
          <w:szCs w:val="24"/>
        </w:rPr>
        <w:t xml:space="preserve"> that start inflammation, which will drive aneurysm growth.</w:t>
      </w:r>
      <w:bookmarkEnd w:id="19"/>
      <w:r w:rsidR="003A3AA9">
        <w:rPr>
          <w:rFonts w:ascii="Arial" w:hAnsi="Arial" w:cs="Arial"/>
          <w:i w:val="0"/>
          <w:iCs w:val="0"/>
          <w:color w:val="auto"/>
          <w:sz w:val="24"/>
          <w:szCs w:val="24"/>
        </w:rPr>
        <w:t xml:space="preserve"> </w:t>
      </w:r>
    </w:p>
    <w:p w14:paraId="526CC56B" w14:textId="6AA90182" w:rsidR="007D5EA1" w:rsidRPr="00336940" w:rsidRDefault="007D5EA1" w:rsidP="00EB056A">
      <w:pPr>
        <w:rPr>
          <w:rFonts w:ascii="Arial" w:hAnsi="Arial" w:cs="Arial"/>
          <w:b/>
          <w:bCs/>
          <w:sz w:val="24"/>
          <w:szCs w:val="24"/>
        </w:rPr>
      </w:pPr>
      <w:r w:rsidRPr="003B7652">
        <w:rPr>
          <w:rFonts w:ascii="Arial" w:hAnsi="Arial" w:cs="Arial"/>
          <w:b/>
          <w:bCs/>
          <w:sz w:val="24"/>
          <w:szCs w:val="24"/>
        </w:rPr>
        <w:t>1.3</w:t>
      </w:r>
      <w:r w:rsidRPr="00336940">
        <w:rPr>
          <w:rFonts w:ascii="Arial" w:hAnsi="Arial" w:cs="Arial"/>
          <w:b/>
          <w:bCs/>
          <w:sz w:val="24"/>
          <w:szCs w:val="24"/>
        </w:rPr>
        <w:t>.</w:t>
      </w:r>
      <w:r w:rsidR="00336940" w:rsidRPr="00336940">
        <w:rPr>
          <w:rFonts w:ascii="Arial" w:hAnsi="Arial" w:cs="Arial"/>
          <w:b/>
          <w:bCs/>
          <w:sz w:val="24"/>
          <w:szCs w:val="24"/>
        </w:rPr>
        <w:t>2</w:t>
      </w:r>
      <w:r w:rsidRPr="00336940">
        <w:rPr>
          <w:rFonts w:ascii="Arial" w:hAnsi="Arial" w:cs="Arial"/>
          <w:b/>
          <w:bCs/>
          <w:sz w:val="24"/>
          <w:szCs w:val="24"/>
        </w:rPr>
        <w:t xml:space="preserve"> Types of cerebral aneurysms</w:t>
      </w:r>
    </w:p>
    <w:p w14:paraId="70B74484" w14:textId="569678B0" w:rsidR="00372107" w:rsidRPr="00EB056A" w:rsidRDefault="00194F5C" w:rsidP="00B73132">
      <w:pPr>
        <w:spacing w:after="0" w:line="480" w:lineRule="auto"/>
        <w:jc w:val="both"/>
        <w:rPr>
          <w:rFonts w:ascii="Arial" w:hAnsi="Arial" w:cs="Arial"/>
          <w:sz w:val="24"/>
          <w:szCs w:val="24"/>
        </w:rPr>
      </w:pPr>
      <w:r w:rsidRPr="003B7652">
        <w:rPr>
          <w:rFonts w:ascii="Arial" w:hAnsi="Arial" w:cs="Arial"/>
          <w:b/>
          <w:bCs/>
          <w:color w:val="000000" w:themeColor="text1"/>
          <w:sz w:val="24"/>
          <w:szCs w:val="24"/>
        </w:rPr>
        <w:tab/>
      </w:r>
      <w:r w:rsidR="00372107" w:rsidRPr="00336940">
        <w:rPr>
          <w:rFonts w:ascii="Arial" w:hAnsi="Arial" w:cs="Arial"/>
          <w:sz w:val="24"/>
          <w:szCs w:val="24"/>
        </w:rPr>
        <w:t>When cerebral aneurysms are fully formed, different types can be observed (</w:t>
      </w:r>
      <w:r w:rsidR="002038C2" w:rsidRPr="00336940">
        <w:rPr>
          <w:rFonts w:ascii="Arial" w:hAnsi="Arial" w:cs="Arial"/>
          <w:sz w:val="24"/>
          <w:szCs w:val="24"/>
        </w:rPr>
        <w:fldChar w:fldCharType="begin"/>
      </w:r>
      <w:r w:rsidR="002038C2" w:rsidRPr="00336940">
        <w:rPr>
          <w:rFonts w:ascii="Arial" w:hAnsi="Arial" w:cs="Arial"/>
          <w:sz w:val="24"/>
          <w:szCs w:val="24"/>
        </w:rPr>
        <w:instrText xml:space="preserve"> REF _Ref83985121 \h </w:instrText>
      </w:r>
      <w:r w:rsidR="00212930" w:rsidRPr="00336940">
        <w:rPr>
          <w:rFonts w:ascii="Arial" w:hAnsi="Arial" w:cs="Arial"/>
          <w:sz w:val="24"/>
          <w:szCs w:val="24"/>
        </w:rPr>
        <w:instrText xml:space="preserve"> \* MERGEFORMAT </w:instrText>
      </w:r>
      <w:r w:rsidR="002038C2" w:rsidRPr="00336940">
        <w:rPr>
          <w:rFonts w:ascii="Arial" w:hAnsi="Arial" w:cs="Arial"/>
          <w:sz w:val="24"/>
          <w:szCs w:val="24"/>
        </w:rPr>
      </w:r>
      <w:r w:rsidR="002038C2" w:rsidRPr="00336940">
        <w:rPr>
          <w:rFonts w:ascii="Arial" w:hAnsi="Arial" w:cs="Arial"/>
          <w:sz w:val="24"/>
          <w:szCs w:val="24"/>
        </w:rPr>
        <w:fldChar w:fldCharType="separate"/>
      </w:r>
      <w:r w:rsidR="005C4791" w:rsidRPr="005C4791">
        <w:rPr>
          <w:rFonts w:ascii="Arial" w:hAnsi="Arial" w:cs="Arial"/>
          <w:sz w:val="24"/>
          <w:szCs w:val="24"/>
        </w:rPr>
        <w:t xml:space="preserve">Figure </w:t>
      </w:r>
      <w:r w:rsidR="005C4791" w:rsidRPr="005C4791">
        <w:rPr>
          <w:rFonts w:ascii="Arial" w:hAnsi="Arial" w:cs="Arial"/>
          <w:noProof/>
          <w:sz w:val="24"/>
          <w:szCs w:val="24"/>
        </w:rPr>
        <w:t>3</w:t>
      </w:r>
      <w:r w:rsidR="002038C2" w:rsidRPr="00336940">
        <w:rPr>
          <w:rFonts w:ascii="Arial" w:hAnsi="Arial" w:cs="Arial"/>
          <w:sz w:val="24"/>
          <w:szCs w:val="24"/>
        </w:rPr>
        <w:fldChar w:fldCharType="end"/>
      </w:r>
      <w:r w:rsidR="00372107" w:rsidRPr="00336940">
        <w:rPr>
          <w:rFonts w:ascii="Arial" w:hAnsi="Arial" w:cs="Arial"/>
          <w:sz w:val="24"/>
          <w:szCs w:val="24"/>
        </w:rPr>
        <w:t xml:space="preserve">). </w:t>
      </w:r>
      <w:r w:rsidR="008B7B7F">
        <w:rPr>
          <w:rFonts w:ascii="Arial" w:hAnsi="Arial" w:cs="Arial"/>
          <w:sz w:val="24"/>
          <w:szCs w:val="24"/>
        </w:rPr>
        <w:t>Aneurysms are generally comprised between 5 and 10 mm</w:t>
      </w:r>
      <w:r w:rsidR="00766016">
        <w:rPr>
          <w:rFonts w:ascii="Arial" w:hAnsi="Arial" w:cs="Arial"/>
          <w:sz w:val="24"/>
          <w:szCs w:val="24"/>
        </w:rPr>
        <w:fldChar w:fldCharType="begin"/>
      </w:r>
      <w:r w:rsidR="005B4F59">
        <w:rPr>
          <w:rFonts w:ascii="Arial" w:hAnsi="Arial" w:cs="Arial"/>
          <w:sz w:val="24"/>
          <w:szCs w:val="24"/>
        </w:rPr>
        <w:instrText xml:space="preserve"> ADDIN ZOTERO_ITEM CSL_CITATION {"citationID":"cQMLDpGP","properties":{"formattedCitation":"\\super 24\\nosupersub{}","plainCitation":"24","noteIndex":0},"citationItems":[{"id":745,"uris":["http://zotero.org/users/6508478/items/RECQJMKY"],"itemData":{"id":745,"type":"article-journal","abstract":"BackgroundThe Silk Vista Baby (SVB, BALT) is a first-in-class flow-diverter device delivered using a 0.017” microcatheter, designed for the treatment of intracranial aneurysms, including those in s...","archive_location":"Sage UK: London, England","container-title":"Interventional Neuroradiology","DOI":"10.1177/15910199221091645","language":"en","note":"publisher: SAGE PublicationsSage UK: London, England","source":"journals.sagepub.com","title":"Patient outcomes after treatment of brain aneurysm in small diameter vessels with the silk vista baby flow diverter: A systematic review:","title-short":"Patient outcomes after treatment of brain aneurysm in small diameter vessels with the silk vista baby flow diverter","URL":"https://journals.sagepub.com/doi/figure/10.1177/15910199221091645?","author":[{"family":"Hanel","given":"Ricardo A."},{"family":"Cortez","given":"Gustavo M."},{"family":"Benalia","given":"Victor H. C."},{"family":"Sheffels","given":"Erin"},{"family":"Sutphin","given":"Daniel J."},{"family":"Pederson","given":"John M."},{"family":"Pereira","given":"Vitor M."}],"accessed":{"date-parts":[["2022",5,25]]},"issued":{"date-parts":[["2022",4,7]]}}}],"schema":"https://github.com/citation-style-language/schema/raw/master/csl-citation.json"} </w:instrText>
      </w:r>
      <w:r w:rsidR="00766016">
        <w:rPr>
          <w:rFonts w:ascii="Arial" w:hAnsi="Arial" w:cs="Arial"/>
          <w:sz w:val="24"/>
          <w:szCs w:val="24"/>
        </w:rPr>
        <w:fldChar w:fldCharType="separate"/>
      </w:r>
      <w:r w:rsidR="00766016" w:rsidRPr="00766016">
        <w:rPr>
          <w:rFonts w:ascii="Arial" w:hAnsi="Arial" w:cs="Arial"/>
          <w:sz w:val="24"/>
          <w:szCs w:val="24"/>
          <w:vertAlign w:val="superscript"/>
        </w:rPr>
        <w:t>24</w:t>
      </w:r>
      <w:r w:rsidR="00766016">
        <w:rPr>
          <w:rFonts w:ascii="Arial" w:hAnsi="Arial" w:cs="Arial"/>
          <w:sz w:val="24"/>
          <w:szCs w:val="24"/>
        </w:rPr>
        <w:fldChar w:fldCharType="end"/>
      </w:r>
      <w:r w:rsidR="008B7B7F">
        <w:rPr>
          <w:rFonts w:ascii="Arial" w:hAnsi="Arial" w:cs="Arial"/>
          <w:sz w:val="24"/>
          <w:szCs w:val="24"/>
        </w:rPr>
        <w:t xml:space="preserve">. </w:t>
      </w:r>
      <w:r w:rsidR="00372107" w:rsidRPr="00336940">
        <w:rPr>
          <w:rFonts w:ascii="Arial" w:hAnsi="Arial" w:cs="Arial"/>
          <w:sz w:val="24"/>
          <w:szCs w:val="24"/>
        </w:rPr>
        <w:t xml:space="preserve">Micro </w:t>
      </w:r>
      <w:r w:rsidR="000B5E3E" w:rsidRPr="00336940">
        <w:rPr>
          <w:rFonts w:ascii="Arial" w:hAnsi="Arial" w:cs="Arial"/>
          <w:sz w:val="24"/>
          <w:szCs w:val="24"/>
        </w:rPr>
        <w:t>(</w:t>
      </w:r>
      <w:r w:rsidR="002038C2" w:rsidRPr="00336940">
        <w:rPr>
          <w:rFonts w:ascii="Arial" w:hAnsi="Arial" w:cs="Arial"/>
          <w:sz w:val="24"/>
          <w:szCs w:val="24"/>
        </w:rPr>
        <w:fldChar w:fldCharType="begin"/>
      </w:r>
      <w:r w:rsidR="002038C2" w:rsidRPr="00336940">
        <w:rPr>
          <w:rFonts w:ascii="Arial" w:hAnsi="Arial" w:cs="Arial"/>
          <w:sz w:val="24"/>
          <w:szCs w:val="24"/>
        </w:rPr>
        <w:instrText xml:space="preserve"> REF _Ref83985121 \h </w:instrText>
      </w:r>
      <w:r w:rsidR="00212930" w:rsidRPr="00336940">
        <w:rPr>
          <w:rFonts w:ascii="Arial" w:hAnsi="Arial" w:cs="Arial"/>
          <w:sz w:val="24"/>
          <w:szCs w:val="24"/>
        </w:rPr>
        <w:instrText xml:space="preserve"> \* MERGEFORMAT </w:instrText>
      </w:r>
      <w:r w:rsidR="002038C2" w:rsidRPr="00336940">
        <w:rPr>
          <w:rFonts w:ascii="Arial" w:hAnsi="Arial" w:cs="Arial"/>
          <w:sz w:val="24"/>
          <w:szCs w:val="24"/>
        </w:rPr>
      </w:r>
      <w:r w:rsidR="002038C2" w:rsidRPr="00336940">
        <w:rPr>
          <w:rFonts w:ascii="Arial" w:hAnsi="Arial" w:cs="Arial"/>
          <w:sz w:val="24"/>
          <w:szCs w:val="24"/>
        </w:rPr>
        <w:fldChar w:fldCharType="separate"/>
      </w:r>
      <w:r w:rsidR="005C4791" w:rsidRPr="005C4791">
        <w:rPr>
          <w:rFonts w:ascii="Arial" w:hAnsi="Arial" w:cs="Arial"/>
          <w:sz w:val="24"/>
          <w:szCs w:val="24"/>
        </w:rPr>
        <w:t xml:space="preserve">Figure </w:t>
      </w:r>
      <w:r w:rsidR="005C4791" w:rsidRPr="005C4791">
        <w:rPr>
          <w:rFonts w:ascii="Arial" w:hAnsi="Arial" w:cs="Arial"/>
          <w:noProof/>
          <w:sz w:val="24"/>
          <w:szCs w:val="24"/>
        </w:rPr>
        <w:t>3</w:t>
      </w:r>
      <w:r w:rsidR="002038C2" w:rsidRPr="00336940">
        <w:rPr>
          <w:rFonts w:ascii="Arial" w:hAnsi="Arial" w:cs="Arial"/>
          <w:sz w:val="24"/>
          <w:szCs w:val="24"/>
        </w:rPr>
        <w:fldChar w:fldCharType="end"/>
      </w:r>
      <w:r w:rsidR="00372107" w:rsidRPr="00336940">
        <w:rPr>
          <w:rFonts w:ascii="Arial" w:hAnsi="Arial" w:cs="Arial"/>
          <w:sz w:val="24"/>
          <w:szCs w:val="24"/>
        </w:rPr>
        <w:t>A) and giant (</w:t>
      </w:r>
      <w:r w:rsidR="002038C2" w:rsidRPr="00336940">
        <w:rPr>
          <w:rFonts w:ascii="Arial" w:hAnsi="Arial" w:cs="Arial"/>
          <w:sz w:val="24"/>
          <w:szCs w:val="24"/>
        </w:rPr>
        <w:fldChar w:fldCharType="begin"/>
      </w:r>
      <w:r w:rsidR="002038C2" w:rsidRPr="00336940">
        <w:rPr>
          <w:rFonts w:ascii="Arial" w:hAnsi="Arial" w:cs="Arial"/>
          <w:sz w:val="24"/>
          <w:szCs w:val="24"/>
        </w:rPr>
        <w:instrText xml:space="preserve"> REF _Ref83985121 \h </w:instrText>
      </w:r>
      <w:r w:rsidR="00212930" w:rsidRPr="00336940">
        <w:rPr>
          <w:rFonts w:ascii="Arial" w:hAnsi="Arial" w:cs="Arial"/>
          <w:sz w:val="24"/>
          <w:szCs w:val="24"/>
        </w:rPr>
        <w:instrText xml:space="preserve"> \* MERGEFORMAT </w:instrText>
      </w:r>
      <w:r w:rsidR="002038C2" w:rsidRPr="00336940">
        <w:rPr>
          <w:rFonts w:ascii="Arial" w:hAnsi="Arial" w:cs="Arial"/>
          <w:sz w:val="24"/>
          <w:szCs w:val="24"/>
        </w:rPr>
      </w:r>
      <w:r w:rsidR="002038C2" w:rsidRPr="00336940">
        <w:rPr>
          <w:rFonts w:ascii="Arial" w:hAnsi="Arial" w:cs="Arial"/>
          <w:sz w:val="24"/>
          <w:szCs w:val="24"/>
        </w:rPr>
        <w:fldChar w:fldCharType="separate"/>
      </w:r>
      <w:r w:rsidR="005C4791" w:rsidRPr="005C4791">
        <w:rPr>
          <w:rFonts w:ascii="Arial" w:hAnsi="Arial" w:cs="Arial"/>
          <w:sz w:val="24"/>
          <w:szCs w:val="24"/>
        </w:rPr>
        <w:t xml:space="preserve">Figure </w:t>
      </w:r>
      <w:r w:rsidR="005C4791" w:rsidRPr="005C4791">
        <w:rPr>
          <w:rFonts w:ascii="Arial" w:hAnsi="Arial" w:cs="Arial"/>
          <w:noProof/>
          <w:sz w:val="24"/>
          <w:szCs w:val="24"/>
        </w:rPr>
        <w:t>3</w:t>
      </w:r>
      <w:r w:rsidR="002038C2" w:rsidRPr="00336940">
        <w:rPr>
          <w:rFonts w:ascii="Arial" w:hAnsi="Arial" w:cs="Arial"/>
          <w:sz w:val="24"/>
          <w:szCs w:val="24"/>
        </w:rPr>
        <w:fldChar w:fldCharType="end"/>
      </w:r>
      <w:r w:rsidR="00372107" w:rsidRPr="00336940">
        <w:rPr>
          <w:rFonts w:ascii="Arial" w:hAnsi="Arial" w:cs="Arial"/>
          <w:sz w:val="24"/>
          <w:szCs w:val="24"/>
        </w:rPr>
        <w:t>B) aneurysms are characterized by their size which measure less than 2 mm</w:t>
      </w:r>
      <w:r w:rsidR="00592223" w:rsidRPr="00336940">
        <w:rPr>
          <w:rFonts w:ascii="Arial" w:hAnsi="Arial" w:cs="Arial"/>
          <w:sz w:val="24"/>
          <w:szCs w:val="24"/>
        </w:rPr>
        <w:t xml:space="preserve"> </w:t>
      </w:r>
      <w:r w:rsidR="00372107" w:rsidRPr="00336940">
        <w:rPr>
          <w:rFonts w:ascii="Arial" w:hAnsi="Arial" w:cs="Arial"/>
          <w:sz w:val="24"/>
          <w:szCs w:val="24"/>
        </w:rPr>
        <w:t>and more than 25 mm</w:t>
      </w:r>
      <w:r w:rsidR="00DE53A2" w:rsidRPr="00336940">
        <w:rPr>
          <w:rFonts w:ascii="Arial" w:hAnsi="Arial" w:cs="Arial"/>
          <w:sz w:val="24"/>
          <w:szCs w:val="24"/>
        </w:rPr>
        <w:t>, respectively</w:t>
      </w:r>
      <w:r w:rsidR="00372107" w:rsidRPr="00336940">
        <w:rPr>
          <w:rFonts w:ascii="Arial" w:hAnsi="Arial" w:cs="Arial"/>
          <w:sz w:val="24"/>
          <w:szCs w:val="24"/>
          <w:vertAlign w:val="superscript"/>
        </w:rPr>
        <w:fldChar w:fldCharType="begin"/>
      </w:r>
      <w:r w:rsidR="005B4F59">
        <w:rPr>
          <w:rFonts w:ascii="Arial" w:hAnsi="Arial" w:cs="Arial"/>
          <w:sz w:val="24"/>
          <w:szCs w:val="24"/>
          <w:vertAlign w:val="superscript"/>
        </w:rPr>
        <w:instrText xml:space="preserve"> ADDIN ZOTERO_ITEM CSL_CITATION {"citationID":"8iL1y5No","properties":{"formattedCitation":"\\super 2,25\\nosupersub{}","plainCitation":"2,25","noteIndex":0},"citationItems":[{"id":17,"uris":["http://zotero.org/users/6508478/items/DYNB9T7V"],"itemData":{"id":17,"type":"post-weblog","abstract":"An estimated 6.5 million people in the United States have an unruptured brain aneurysm, or 1 in 50 people. The annual rate of rupture is approximately 8 – 10 per 100,000 people. About 30,000 people in the United States suffer a brain aneurysm rupture each year. A brain aneurysm ruptures every 18 minutes. Women are … Continue reading \"Statistics and Facts\"","container-title":"Brain Aneurysm Foundation","language":"en","title":"Statistics and Facts","URL":"https://bafound.org/about-brain-aneurysms/brain-aneurysm-basics/brain-aneurysm-statistics-and-facts/","accessed":{"date-parts":[["2021",6,21]]}}},{"id":45,"uris":["http://zotero.org/users/6508478/items/MX5VEDG7"],"itemData":{"id":45,"type":"article-journal","abstract":"Intracranial aneurysm is a leading cause of stroke. Its treatment has evolved over the past 2 decades. This review summarizes the treatment strategies for intracranial aneurysms from 3 different perspectives: open surgery approach, transluminal treatment approach, and new technologies being used or trialed. We introduce most of the available treatment techniques in detail, including contralateral clipping, wrapping and clipping, double catheters assisting coiling and waffle-cone technique, and so on. Data from major trials such as Analysis of Treatment by Endovascular approach of Non-ruptured Aneurysms (ATENA), Internal Subarachnoid Trial (ISAT), Clinical and Anatomical Results in the Treatment of Ruptured Intracranial Aneurysms (CLARITY), and Barrow Ruptured Aneurysm Trial (BRAT) as well as information from other clinical reports and local experience are reviewed to suggest a clinical pathway for treating different types of intracranial aneurysms. It will be a valuable supplement to the current existing guidelines. We hope it could help assisting real-time decision-making in clinical practices and also encourage advancements in managing the disease.","container-title":"Angiology","DOI":"10.1177/0003319717700503","ISSN":"0003-3197","issue":"1","journalAbbreviation":"Angiology","language":"en","page":"17-30","source":"SAGE Journals","title":"Current Treatment Strategies for Intracranial Aneurysms: An Overview","title-short":"Current Treatment Strategies for Intracranial Aneurysms","volume":"69","author":[{"family":"Zhao","given":"Junjie"},{"family":"Lin","given":"Hao"},{"family":"Summers","given":"Richard"},{"family":"Yang","given":"Mingmin"},{"family":"Cousins","given":"Brian G."},{"family":"Tsui","given":"Janice"}],"issued":{"date-parts":[["2018",1,1]]}}}],"schema":"https://github.com/citation-style-language/schema/raw/master/csl-citation.json"} </w:instrText>
      </w:r>
      <w:r w:rsidR="00372107" w:rsidRPr="00336940">
        <w:rPr>
          <w:rFonts w:ascii="Arial" w:hAnsi="Arial" w:cs="Arial"/>
          <w:sz w:val="24"/>
          <w:szCs w:val="24"/>
          <w:vertAlign w:val="superscript"/>
        </w:rPr>
        <w:fldChar w:fldCharType="separate"/>
      </w:r>
      <w:r w:rsidR="00766016" w:rsidRPr="00766016">
        <w:rPr>
          <w:rFonts w:ascii="Arial" w:hAnsi="Arial" w:cs="Arial"/>
          <w:sz w:val="24"/>
          <w:szCs w:val="24"/>
          <w:vertAlign w:val="superscript"/>
        </w:rPr>
        <w:t>2,25</w:t>
      </w:r>
      <w:r w:rsidR="00372107" w:rsidRPr="00336940">
        <w:rPr>
          <w:rFonts w:ascii="Arial" w:hAnsi="Arial" w:cs="Arial"/>
          <w:sz w:val="24"/>
          <w:szCs w:val="24"/>
          <w:vertAlign w:val="superscript"/>
        </w:rPr>
        <w:fldChar w:fldCharType="end"/>
      </w:r>
      <w:r w:rsidR="00372107" w:rsidRPr="00336940">
        <w:rPr>
          <w:rFonts w:ascii="Arial" w:hAnsi="Arial" w:cs="Arial"/>
          <w:sz w:val="24"/>
          <w:szCs w:val="24"/>
        </w:rPr>
        <w:t>. Saccular (</w:t>
      </w:r>
      <w:r w:rsidR="00CB4118" w:rsidRPr="00336940">
        <w:rPr>
          <w:rFonts w:ascii="Arial" w:hAnsi="Arial" w:cs="Arial"/>
          <w:sz w:val="24"/>
          <w:szCs w:val="24"/>
        </w:rPr>
        <w:fldChar w:fldCharType="begin"/>
      </w:r>
      <w:r w:rsidR="00CB4118" w:rsidRPr="00336940">
        <w:rPr>
          <w:rFonts w:ascii="Arial" w:hAnsi="Arial" w:cs="Arial"/>
          <w:sz w:val="24"/>
          <w:szCs w:val="24"/>
        </w:rPr>
        <w:instrText xml:space="preserve"> REF _Ref83985121 \h </w:instrText>
      </w:r>
      <w:r w:rsidR="00212930" w:rsidRPr="00336940">
        <w:rPr>
          <w:rFonts w:ascii="Arial" w:hAnsi="Arial" w:cs="Arial"/>
          <w:sz w:val="24"/>
          <w:szCs w:val="24"/>
        </w:rPr>
        <w:instrText xml:space="preserve"> \* MERGEFORMAT </w:instrText>
      </w:r>
      <w:r w:rsidR="00CB4118" w:rsidRPr="00336940">
        <w:rPr>
          <w:rFonts w:ascii="Arial" w:hAnsi="Arial" w:cs="Arial"/>
          <w:sz w:val="24"/>
          <w:szCs w:val="24"/>
        </w:rPr>
      </w:r>
      <w:r w:rsidR="00CB4118" w:rsidRPr="00336940">
        <w:rPr>
          <w:rFonts w:ascii="Arial" w:hAnsi="Arial" w:cs="Arial"/>
          <w:sz w:val="24"/>
          <w:szCs w:val="24"/>
        </w:rPr>
        <w:fldChar w:fldCharType="separate"/>
      </w:r>
      <w:r w:rsidR="005C4791" w:rsidRPr="005C4791">
        <w:rPr>
          <w:rFonts w:ascii="Arial" w:hAnsi="Arial" w:cs="Arial"/>
          <w:sz w:val="24"/>
          <w:szCs w:val="24"/>
        </w:rPr>
        <w:t xml:space="preserve">Figure </w:t>
      </w:r>
      <w:r w:rsidR="005C4791" w:rsidRPr="005C4791">
        <w:rPr>
          <w:rFonts w:ascii="Arial" w:hAnsi="Arial" w:cs="Arial"/>
          <w:noProof/>
          <w:sz w:val="24"/>
          <w:szCs w:val="24"/>
        </w:rPr>
        <w:t>3</w:t>
      </w:r>
      <w:r w:rsidR="00CB4118" w:rsidRPr="00336940">
        <w:rPr>
          <w:rFonts w:ascii="Arial" w:hAnsi="Arial" w:cs="Arial"/>
          <w:sz w:val="24"/>
          <w:szCs w:val="24"/>
        </w:rPr>
        <w:fldChar w:fldCharType="end"/>
      </w:r>
      <w:r w:rsidR="00372107" w:rsidRPr="00336940">
        <w:rPr>
          <w:rFonts w:ascii="Arial" w:hAnsi="Arial" w:cs="Arial"/>
          <w:sz w:val="24"/>
          <w:szCs w:val="24"/>
        </w:rPr>
        <w:t>C) and fusiform (</w:t>
      </w:r>
      <w:r w:rsidR="00CB4118" w:rsidRPr="00336940">
        <w:rPr>
          <w:rFonts w:ascii="Arial" w:hAnsi="Arial" w:cs="Arial"/>
          <w:sz w:val="24"/>
          <w:szCs w:val="24"/>
        </w:rPr>
        <w:fldChar w:fldCharType="begin"/>
      </w:r>
      <w:r w:rsidR="00CB4118" w:rsidRPr="00336940">
        <w:rPr>
          <w:rFonts w:ascii="Arial" w:hAnsi="Arial" w:cs="Arial"/>
          <w:sz w:val="24"/>
          <w:szCs w:val="24"/>
        </w:rPr>
        <w:instrText xml:space="preserve"> REF _Ref83985121 \h </w:instrText>
      </w:r>
      <w:r w:rsidR="00212930" w:rsidRPr="00336940">
        <w:rPr>
          <w:rFonts w:ascii="Arial" w:hAnsi="Arial" w:cs="Arial"/>
          <w:sz w:val="24"/>
          <w:szCs w:val="24"/>
        </w:rPr>
        <w:instrText xml:space="preserve"> \* MERGEFORMAT </w:instrText>
      </w:r>
      <w:r w:rsidR="00CB4118" w:rsidRPr="00336940">
        <w:rPr>
          <w:rFonts w:ascii="Arial" w:hAnsi="Arial" w:cs="Arial"/>
          <w:sz w:val="24"/>
          <w:szCs w:val="24"/>
        </w:rPr>
      </w:r>
      <w:r w:rsidR="00CB4118" w:rsidRPr="00336940">
        <w:rPr>
          <w:rFonts w:ascii="Arial" w:hAnsi="Arial" w:cs="Arial"/>
          <w:sz w:val="24"/>
          <w:szCs w:val="24"/>
        </w:rPr>
        <w:fldChar w:fldCharType="separate"/>
      </w:r>
      <w:r w:rsidR="005C4791" w:rsidRPr="005C4791">
        <w:rPr>
          <w:rFonts w:ascii="Arial" w:hAnsi="Arial" w:cs="Arial"/>
          <w:sz w:val="24"/>
          <w:szCs w:val="24"/>
        </w:rPr>
        <w:t xml:space="preserve">Figure </w:t>
      </w:r>
      <w:r w:rsidR="005C4791" w:rsidRPr="005C4791">
        <w:rPr>
          <w:rFonts w:ascii="Arial" w:hAnsi="Arial" w:cs="Arial"/>
          <w:noProof/>
          <w:sz w:val="24"/>
          <w:szCs w:val="24"/>
        </w:rPr>
        <w:t>3</w:t>
      </w:r>
      <w:r w:rsidR="00CB4118" w:rsidRPr="00336940">
        <w:rPr>
          <w:rFonts w:ascii="Arial" w:hAnsi="Arial" w:cs="Arial"/>
          <w:sz w:val="24"/>
          <w:szCs w:val="24"/>
        </w:rPr>
        <w:fldChar w:fldCharType="end"/>
      </w:r>
      <w:r w:rsidR="00372107" w:rsidRPr="00336940">
        <w:rPr>
          <w:rFonts w:ascii="Arial" w:hAnsi="Arial" w:cs="Arial"/>
          <w:sz w:val="24"/>
          <w:szCs w:val="24"/>
        </w:rPr>
        <w:t xml:space="preserve">D) aneurysms are defined by their location </w:t>
      </w:r>
      <w:r w:rsidR="00DE53A2" w:rsidRPr="00336940">
        <w:rPr>
          <w:rFonts w:ascii="Arial" w:hAnsi="Arial" w:cs="Arial"/>
          <w:sz w:val="24"/>
          <w:szCs w:val="24"/>
        </w:rPr>
        <w:t>at the</w:t>
      </w:r>
      <w:r w:rsidR="00315514" w:rsidRPr="00336940">
        <w:rPr>
          <w:rFonts w:ascii="Arial" w:hAnsi="Arial" w:cs="Arial"/>
          <w:sz w:val="24"/>
          <w:szCs w:val="24"/>
        </w:rPr>
        <w:t xml:space="preserve"> </w:t>
      </w:r>
      <w:r w:rsidR="00372107" w:rsidRPr="00336940">
        <w:rPr>
          <w:rFonts w:ascii="Arial" w:hAnsi="Arial" w:cs="Arial"/>
          <w:sz w:val="24"/>
          <w:szCs w:val="24"/>
        </w:rPr>
        <w:t xml:space="preserve">bifurcation of an </w:t>
      </w:r>
      <w:r w:rsidR="00372107" w:rsidRPr="00336940">
        <w:rPr>
          <w:rFonts w:ascii="Arial" w:hAnsi="Arial" w:cs="Arial"/>
          <w:sz w:val="24"/>
          <w:szCs w:val="24"/>
        </w:rPr>
        <w:lastRenderedPageBreak/>
        <w:t>artery</w:t>
      </w:r>
      <w:r w:rsidR="00274429" w:rsidRPr="00336940">
        <w:rPr>
          <w:rFonts w:ascii="Arial" w:hAnsi="Arial" w:cs="Arial"/>
          <w:sz w:val="24"/>
          <w:szCs w:val="24"/>
        </w:rPr>
        <w:t>.</w:t>
      </w:r>
      <w:r w:rsidR="00975ECC" w:rsidRPr="00336940">
        <w:rPr>
          <w:rFonts w:ascii="Arial" w:hAnsi="Arial" w:cs="Arial"/>
          <w:sz w:val="24"/>
          <w:szCs w:val="24"/>
        </w:rPr>
        <w:t xml:space="preserve"> </w:t>
      </w:r>
      <w:r w:rsidR="005B5E67" w:rsidRPr="00336940">
        <w:rPr>
          <w:rFonts w:ascii="Arial" w:hAnsi="Arial" w:cs="Arial"/>
          <w:sz w:val="24"/>
          <w:szCs w:val="24"/>
        </w:rPr>
        <w:t>Saccular aneurysms are like pockets that can be distinguished from the vessel core, whereas fusiform aneurysms are swellings within the vessel</w:t>
      </w:r>
      <w:r w:rsidR="00004F5E">
        <w:rPr>
          <w:rFonts w:ascii="Arial" w:hAnsi="Arial" w:cs="Arial"/>
          <w:sz w:val="24"/>
          <w:szCs w:val="24"/>
        </w:rPr>
        <w:t>.</w:t>
      </w:r>
      <w:r w:rsidR="005B5E67" w:rsidRPr="00336940">
        <w:rPr>
          <w:rFonts w:ascii="Arial" w:hAnsi="Arial" w:cs="Arial"/>
          <w:sz w:val="24"/>
          <w:szCs w:val="24"/>
        </w:rPr>
        <w:t xml:space="preserve"> </w:t>
      </w:r>
      <w:r w:rsidR="00E10742">
        <w:rPr>
          <w:rFonts w:ascii="Arial" w:hAnsi="Arial" w:cs="Arial"/>
          <w:sz w:val="24"/>
          <w:szCs w:val="24"/>
        </w:rPr>
        <w:t>The</w:t>
      </w:r>
      <w:r w:rsidR="002A04E5" w:rsidRPr="002E240A">
        <w:rPr>
          <w:rFonts w:ascii="Arial" w:hAnsi="Arial" w:cs="Arial"/>
          <w:sz w:val="24"/>
          <w:szCs w:val="24"/>
        </w:rPr>
        <w:t xml:space="preserve"> </w:t>
      </w:r>
      <w:r w:rsidR="001D6ABF" w:rsidRPr="002E240A">
        <w:rPr>
          <w:rFonts w:ascii="Arial" w:hAnsi="Arial" w:cs="Arial"/>
          <w:sz w:val="24"/>
          <w:szCs w:val="24"/>
        </w:rPr>
        <w:t>position</w:t>
      </w:r>
      <w:r w:rsidR="00E10742">
        <w:rPr>
          <w:rFonts w:ascii="Arial" w:hAnsi="Arial" w:cs="Arial"/>
          <w:sz w:val="24"/>
          <w:szCs w:val="24"/>
        </w:rPr>
        <w:t xml:space="preserve"> of the aneurysms</w:t>
      </w:r>
      <w:r w:rsidR="003B2A9D" w:rsidRPr="002E240A">
        <w:rPr>
          <w:rFonts w:ascii="Arial" w:hAnsi="Arial" w:cs="Arial"/>
          <w:sz w:val="24"/>
          <w:szCs w:val="24"/>
        </w:rPr>
        <w:t xml:space="preserve"> allow</w:t>
      </w:r>
      <w:r w:rsidR="00E20F5E">
        <w:rPr>
          <w:rFonts w:ascii="Arial" w:hAnsi="Arial" w:cs="Arial"/>
          <w:sz w:val="24"/>
          <w:szCs w:val="24"/>
        </w:rPr>
        <w:t>s</w:t>
      </w:r>
      <w:r w:rsidR="003B2A9D" w:rsidRPr="002E240A">
        <w:rPr>
          <w:rFonts w:ascii="Arial" w:hAnsi="Arial" w:cs="Arial"/>
          <w:sz w:val="24"/>
          <w:szCs w:val="24"/>
        </w:rPr>
        <w:t xml:space="preserve"> them to </w:t>
      </w:r>
      <w:r w:rsidR="00372107" w:rsidRPr="002E240A">
        <w:rPr>
          <w:rFonts w:ascii="Arial" w:hAnsi="Arial" w:cs="Arial"/>
          <w:sz w:val="24"/>
          <w:szCs w:val="24"/>
        </w:rPr>
        <w:t>relocate thinner vessels to fuel the</w:t>
      </w:r>
      <w:r w:rsidR="00A13724">
        <w:rPr>
          <w:rFonts w:ascii="Arial" w:hAnsi="Arial" w:cs="Arial"/>
          <w:sz w:val="24"/>
          <w:szCs w:val="24"/>
        </w:rPr>
        <w:t xml:space="preserve"> aneurys</w:t>
      </w:r>
      <w:r w:rsidR="00372107" w:rsidRPr="002E240A">
        <w:rPr>
          <w:rFonts w:ascii="Arial" w:hAnsi="Arial" w:cs="Arial"/>
          <w:sz w:val="24"/>
          <w:szCs w:val="24"/>
        </w:rPr>
        <w:t>m</w:t>
      </w:r>
      <w:r w:rsidR="00A13724">
        <w:rPr>
          <w:rFonts w:ascii="Arial" w:hAnsi="Arial" w:cs="Arial"/>
          <w:sz w:val="24"/>
          <w:szCs w:val="24"/>
        </w:rPr>
        <w:t>s</w:t>
      </w:r>
      <w:r w:rsidR="00372107" w:rsidRPr="00EB056A">
        <w:rPr>
          <w:rFonts w:ascii="Arial" w:hAnsi="Arial" w:cs="Arial"/>
          <w:sz w:val="24"/>
          <w:szCs w:val="24"/>
          <w:vertAlign w:val="superscript"/>
        </w:rPr>
        <w:fldChar w:fldCharType="begin"/>
      </w:r>
      <w:r w:rsidR="005B4F59">
        <w:rPr>
          <w:rFonts w:ascii="Arial" w:hAnsi="Arial" w:cs="Arial"/>
          <w:sz w:val="24"/>
          <w:szCs w:val="24"/>
          <w:vertAlign w:val="superscript"/>
        </w:rPr>
        <w:instrText xml:space="preserve"> ADDIN ZOTERO_ITEM CSL_CITATION {"citationID":"daz8kMCQ","properties":{"formattedCitation":"\\super 25\\nosupersub{}","plainCitation":"25","noteIndex":0},"citationItems":[{"id":45,"uris":["http://zotero.org/users/6508478/items/MX5VEDG7"],"itemData":{"id":45,"type":"article-journal","abstract":"Intracranial aneurysm is a leading cause of stroke. Its treatment has evolved over the past 2 decades. This review summarizes the treatment strategies for intracranial aneurysms from 3 different perspectives: open surgery approach, transluminal treatment approach, and new technologies being used or trialed. We introduce most of the available treatment techniques in detail, including contralateral clipping, wrapping and clipping, double catheters assisting coiling and waffle-cone technique, and so on. Data from major trials such as Analysis of Treatment by Endovascular approach of Non-ruptured Aneurysms (ATENA), Internal Subarachnoid Trial (ISAT), Clinical and Anatomical Results in the Treatment of Ruptured Intracranial Aneurysms (CLARITY), and Barrow Ruptured Aneurysm Trial (BRAT) as well as information from other clinical reports and local experience are reviewed to suggest a clinical pathway for treating different types of intracranial aneurysms. It will be a valuable supplement to the current existing guidelines. We hope it could help assisting real-time decision-making in clinical practices and also encourage advancements in managing the disease.","container-title":"Angiology","DOI":"10.1177/0003319717700503","ISSN":"0003-3197","issue":"1","journalAbbreviation":"Angiology","language":"en","page":"17-30","source":"SAGE Journals","title":"Current Treatment Strategies for Intracranial Aneurysms: An Overview","title-short":"Current Treatment Strategies for Intracranial Aneurysms","volume":"69","author":[{"family":"Zhao","given":"Junjie"},{"family":"Lin","given":"Hao"},{"family":"Summers","given":"Richard"},{"family":"Yang","given":"Mingmin"},{"family":"Cousins","given":"Brian G."},{"family":"Tsui","given":"Janice"}],"issued":{"date-parts":[["2018",1,1]]}}}],"schema":"https://github.com/citation-style-language/schema/raw/master/csl-citation.json"} </w:instrText>
      </w:r>
      <w:r w:rsidR="00372107" w:rsidRPr="00EB056A">
        <w:rPr>
          <w:rFonts w:ascii="Arial" w:hAnsi="Arial" w:cs="Arial"/>
          <w:sz w:val="24"/>
          <w:szCs w:val="24"/>
          <w:vertAlign w:val="superscript"/>
        </w:rPr>
        <w:fldChar w:fldCharType="separate"/>
      </w:r>
      <w:r w:rsidR="00766016" w:rsidRPr="00766016">
        <w:rPr>
          <w:rFonts w:ascii="Arial" w:hAnsi="Arial" w:cs="Arial"/>
          <w:sz w:val="24"/>
          <w:szCs w:val="24"/>
          <w:vertAlign w:val="superscript"/>
        </w:rPr>
        <w:t>25</w:t>
      </w:r>
      <w:r w:rsidR="00372107" w:rsidRPr="00EB056A">
        <w:rPr>
          <w:rFonts w:ascii="Arial" w:hAnsi="Arial" w:cs="Arial"/>
          <w:sz w:val="24"/>
          <w:szCs w:val="24"/>
          <w:vertAlign w:val="superscript"/>
        </w:rPr>
        <w:fldChar w:fldCharType="end"/>
      </w:r>
      <w:r w:rsidR="00372107" w:rsidRPr="002E240A">
        <w:rPr>
          <w:rFonts w:ascii="Arial" w:hAnsi="Arial" w:cs="Arial"/>
          <w:sz w:val="24"/>
          <w:szCs w:val="24"/>
        </w:rPr>
        <w:t xml:space="preserve">, </w:t>
      </w:r>
      <w:r w:rsidR="00245BC5">
        <w:rPr>
          <w:rFonts w:ascii="Arial" w:hAnsi="Arial" w:cs="Arial"/>
          <w:sz w:val="24"/>
          <w:szCs w:val="24"/>
        </w:rPr>
        <w:t xml:space="preserve">such </w:t>
      </w:r>
      <w:r w:rsidR="00A53DE8">
        <w:rPr>
          <w:rFonts w:ascii="Arial" w:hAnsi="Arial" w:cs="Arial"/>
          <w:sz w:val="24"/>
          <w:szCs w:val="24"/>
        </w:rPr>
        <w:t>as</w:t>
      </w:r>
      <w:r w:rsidR="00A53DE8" w:rsidRPr="002E240A">
        <w:rPr>
          <w:rFonts w:ascii="Arial" w:hAnsi="Arial" w:cs="Arial"/>
          <w:sz w:val="24"/>
          <w:szCs w:val="24"/>
        </w:rPr>
        <w:t xml:space="preserve"> </w:t>
      </w:r>
      <w:r w:rsidR="00372107" w:rsidRPr="002E240A">
        <w:rPr>
          <w:rFonts w:ascii="Arial" w:hAnsi="Arial" w:cs="Arial"/>
          <w:sz w:val="24"/>
          <w:szCs w:val="24"/>
        </w:rPr>
        <w:t>how tumor</w:t>
      </w:r>
      <w:r w:rsidR="00522375">
        <w:rPr>
          <w:rFonts w:ascii="Arial" w:hAnsi="Arial" w:cs="Arial"/>
          <w:sz w:val="24"/>
          <w:szCs w:val="24"/>
        </w:rPr>
        <w:t>-mediated</w:t>
      </w:r>
      <w:r w:rsidR="00372107" w:rsidRPr="002E240A">
        <w:rPr>
          <w:rFonts w:ascii="Arial" w:hAnsi="Arial" w:cs="Arial"/>
          <w:sz w:val="24"/>
          <w:szCs w:val="24"/>
        </w:rPr>
        <w:t xml:space="preserve"> stimula</w:t>
      </w:r>
      <w:r w:rsidR="00522375">
        <w:rPr>
          <w:rFonts w:ascii="Arial" w:hAnsi="Arial" w:cs="Arial"/>
          <w:sz w:val="24"/>
          <w:szCs w:val="24"/>
        </w:rPr>
        <w:t>tion of</w:t>
      </w:r>
      <w:r w:rsidR="00372107" w:rsidRPr="002E240A">
        <w:rPr>
          <w:rFonts w:ascii="Arial" w:hAnsi="Arial" w:cs="Arial"/>
          <w:sz w:val="24"/>
          <w:szCs w:val="24"/>
        </w:rPr>
        <w:t xml:space="preserve"> angiogenesis</w:t>
      </w:r>
      <w:r w:rsidR="00372107" w:rsidRPr="00EB056A">
        <w:rPr>
          <w:rFonts w:ascii="Arial" w:hAnsi="Arial" w:cs="Arial"/>
          <w:sz w:val="24"/>
          <w:szCs w:val="24"/>
          <w:vertAlign w:val="superscript"/>
        </w:rPr>
        <w:fldChar w:fldCharType="begin"/>
      </w:r>
      <w:r w:rsidR="005B4F59">
        <w:rPr>
          <w:rFonts w:ascii="Arial" w:hAnsi="Arial" w:cs="Arial"/>
          <w:sz w:val="24"/>
          <w:szCs w:val="24"/>
          <w:vertAlign w:val="superscript"/>
        </w:rPr>
        <w:instrText xml:space="preserve"> ADDIN ZOTERO_ITEM CSL_CITATION {"citationID":"BAQCz7ib","properties":{"formattedCitation":"\\super 26\\nosupersub{}","plainCitation":"26","noteIndex":0},"citationItems":[{"id":15,"uris":["http://zotero.org/users/6508478/items/6IVQQUNW"],"itemData":{"id":15,"type":"webpage","abstract":"A fact sheet that describes cancer-fighting agents that block the growth of blood vessels that support tumor growth.","genre":"cgvArticle","language":"en","note":"archive_location: nciglobal,ncienterprise","title":"Angiogenesis Inhibitors - National Cancer Institute","URL":"https://www.cancer.gov/about-cancer/treatment/types/immunotherapy/angiogenesis-inhibitors-fact-sheet","accessed":{"date-parts":[["2021",6,22]]},"issued":{"date-parts":[["2018",5,1]]}}}],"schema":"https://github.com/citation-style-language/schema/raw/master/csl-citation.json"} </w:instrText>
      </w:r>
      <w:r w:rsidR="00372107" w:rsidRPr="00EB056A">
        <w:rPr>
          <w:rFonts w:ascii="Arial" w:hAnsi="Arial" w:cs="Arial"/>
          <w:sz w:val="24"/>
          <w:szCs w:val="24"/>
          <w:vertAlign w:val="superscript"/>
        </w:rPr>
        <w:fldChar w:fldCharType="separate"/>
      </w:r>
      <w:r w:rsidR="00766016" w:rsidRPr="00766016">
        <w:rPr>
          <w:rFonts w:ascii="Arial" w:hAnsi="Arial" w:cs="Arial"/>
          <w:sz w:val="24"/>
          <w:szCs w:val="24"/>
          <w:vertAlign w:val="superscript"/>
        </w:rPr>
        <w:t>26</w:t>
      </w:r>
      <w:r w:rsidR="00372107" w:rsidRPr="00EB056A">
        <w:rPr>
          <w:rFonts w:ascii="Arial" w:hAnsi="Arial" w:cs="Arial"/>
          <w:sz w:val="24"/>
          <w:szCs w:val="24"/>
          <w:vertAlign w:val="superscript"/>
        </w:rPr>
        <w:fldChar w:fldCharType="end"/>
      </w:r>
      <w:r w:rsidR="00372107" w:rsidRPr="00EB056A">
        <w:rPr>
          <w:rFonts w:ascii="Arial" w:hAnsi="Arial" w:cs="Arial"/>
          <w:sz w:val="24"/>
          <w:szCs w:val="24"/>
        </w:rPr>
        <w:t xml:space="preserve">. </w:t>
      </w:r>
    </w:p>
    <w:p w14:paraId="6DECC9D5" w14:textId="594605E9" w:rsidR="00503F6F" w:rsidRPr="00EB056A" w:rsidRDefault="0071172E" w:rsidP="00EB056A">
      <w:pPr>
        <w:spacing w:line="480" w:lineRule="auto"/>
        <w:jc w:val="both"/>
        <w:rPr>
          <w:rFonts w:ascii="Arial" w:hAnsi="Arial" w:cs="Arial"/>
        </w:rPr>
      </w:pPr>
      <w:r w:rsidRPr="00EB056A">
        <w:rPr>
          <w:rFonts w:ascii="Arial" w:hAnsi="Arial" w:cs="Arial"/>
          <w:noProof/>
        </w:rPr>
        <w:drawing>
          <wp:inline distT="0" distB="0" distL="0" distR="0" wp14:anchorId="6E5DA777" wp14:editId="16BD8E4F">
            <wp:extent cx="4773345" cy="3168650"/>
            <wp:effectExtent l="0" t="0" r="8255" b="0"/>
            <wp:docPr id="11" name="Picture 1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iagram&#10;&#10;Description automatically generated"/>
                    <pic:cNvPicPr/>
                  </pic:nvPicPr>
                  <pic:blipFill rotWithShape="1">
                    <a:blip r:embed="rId11"/>
                    <a:srcRect l="1211" t="192" r="3637" b="-192"/>
                    <a:stretch/>
                  </pic:blipFill>
                  <pic:spPr bwMode="auto">
                    <a:xfrm>
                      <a:off x="0" y="0"/>
                      <a:ext cx="4780625" cy="3173483"/>
                    </a:xfrm>
                    <a:prstGeom prst="rect">
                      <a:avLst/>
                    </a:prstGeom>
                    <a:ln>
                      <a:noFill/>
                    </a:ln>
                    <a:extLst>
                      <a:ext uri="{53640926-AAD7-44D8-BBD7-CCE9431645EC}">
                        <a14:shadowObscured xmlns:a14="http://schemas.microsoft.com/office/drawing/2010/main"/>
                      </a:ext>
                    </a:extLst>
                  </pic:spPr>
                </pic:pic>
              </a:graphicData>
            </a:graphic>
          </wp:inline>
        </w:drawing>
      </w:r>
    </w:p>
    <w:p w14:paraId="2417C87B" w14:textId="18607C8E" w:rsidR="004A16CC" w:rsidRPr="00EB056A" w:rsidRDefault="00D57D2A" w:rsidP="00834360">
      <w:pPr>
        <w:pStyle w:val="Lgende"/>
        <w:spacing w:after="0" w:line="276" w:lineRule="auto"/>
        <w:jc w:val="both"/>
      </w:pPr>
      <w:bookmarkStart w:id="20" w:name="_Ref83985121"/>
      <w:bookmarkStart w:id="21" w:name="_Toc105918968"/>
      <w:r w:rsidRPr="00EB056A">
        <w:rPr>
          <w:rFonts w:ascii="Arial" w:hAnsi="Arial" w:cs="Arial"/>
          <w:b/>
          <w:bCs/>
          <w:i w:val="0"/>
          <w:iCs w:val="0"/>
          <w:color w:val="auto"/>
          <w:sz w:val="24"/>
          <w:szCs w:val="24"/>
        </w:rPr>
        <w:t xml:space="preserve">Figure </w:t>
      </w:r>
      <w:r w:rsidRPr="00EB056A">
        <w:rPr>
          <w:rFonts w:ascii="Arial" w:hAnsi="Arial" w:cs="Arial"/>
          <w:b/>
          <w:bCs/>
          <w:i w:val="0"/>
          <w:iCs w:val="0"/>
          <w:color w:val="auto"/>
          <w:sz w:val="24"/>
          <w:szCs w:val="24"/>
        </w:rPr>
        <w:fldChar w:fldCharType="begin"/>
      </w:r>
      <w:r w:rsidRPr="00EB056A">
        <w:rPr>
          <w:rFonts w:ascii="Arial" w:hAnsi="Arial" w:cs="Arial"/>
          <w:b/>
          <w:bCs/>
          <w:i w:val="0"/>
          <w:iCs w:val="0"/>
          <w:color w:val="auto"/>
          <w:sz w:val="24"/>
          <w:szCs w:val="24"/>
        </w:rPr>
        <w:instrText xml:space="preserve"> SEQ Figure \* ARABIC </w:instrText>
      </w:r>
      <w:r w:rsidRPr="00EB056A">
        <w:rPr>
          <w:rFonts w:ascii="Arial" w:hAnsi="Arial" w:cs="Arial"/>
          <w:b/>
          <w:bCs/>
          <w:i w:val="0"/>
          <w:iCs w:val="0"/>
          <w:color w:val="auto"/>
          <w:sz w:val="24"/>
          <w:szCs w:val="24"/>
        </w:rPr>
        <w:fldChar w:fldCharType="separate"/>
      </w:r>
      <w:r w:rsidR="005C4791">
        <w:rPr>
          <w:rFonts w:ascii="Arial" w:hAnsi="Arial" w:cs="Arial"/>
          <w:b/>
          <w:bCs/>
          <w:i w:val="0"/>
          <w:iCs w:val="0"/>
          <w:noProof/>
          <w:color w:val="auto"/>
          <w:sz w:val="24"/>
          <w:szCs w:val="24"/>
        </w:rPr>
        <w:t>3</w:t>
      </w:r>
      <w:r w:rsidRPr="00EB056A">
        <w:rPr>
          <w:rFonts w:ascii="Arial" w:hAnsi="Arial" w:cs="Arial"/>
          <w:b/>
          <w:bCs/>
          <w:i w:val="0"/>
          <w:iCs w:val="0"/>
          <w:color w:val="auto"/>
          <w:sz w:val="24"/>
          <w:szCs w:val="24"/>
        </w:rPr>
        <w:fldChar w:fldCharType="end"/>
      </w:r>
      <w:bookmarkEnd w:id="20"/>
      <w:r w:rsidRPr="00EB056A">
        <w:rPr>
          <w:rFonts w:ascii="Arial" w:hAnsi="Arial" w:cs="Arial"/>
          <w:b/>
          <w:bCs/>
          <w:i w:val="0"/>
          <w:iCs w:val="0"/>
          <w:color w:val="auto"/>
          <w:sz w:val="24"/>
          <w:szCs w:val="24"/>
        </w:rPr>
        <w:t>: Main brain aneurysm types</w:t>
      </w:r>
      <w:r w:rsidR="00EB2BFF">
        <w:rPr>
          <w:rFonts w:ascii="Arial" w:hAnsi="Arial" w:cs="Arial"/>
          <w:b/>
          <w:bCs/>
          <w:i w:val="0"/>
          <w:iCs w:val="0"/>
          <w:color w:val="auto"/>
          <w:sz w:val="24"/>
          <w:szCs w:val="24"/>
        </w:rPr>
        <w:t xml:space="preserve">. </w:t>
      </w:r>
      <w:r w:rsidR="00743A5D" w:rsidRPr="00EB2BFF">
        <w:rPr>
          <w:rFonts w:ascii="Arial" w:hAnsi="Arial" w:cs="Arial"/>
          <w:i w:val="0"/>
          <w:iCs w:val="0"/>
          <w:color w:val="000000" w:themeColor="text1"/>
          <w:sz w:val="24"/>
          <w:szCs w:val="24"/>
        </w:rPr>
        <w:t>Aneurysm</w:t>
      </w:r>
      <w:r w:rsidR="00EB2BFF" w:rsidRPr="00EB2BFF">
        <w:rPr>
          <w:rFonts w:ascii="Arial" w:hAnsi="Arial" w:cs="Arial"/>
          <w:i w:val="0"/>
          <w:iCs w:val="0"/>
          <w:color w:val="000000" w:themeColor="text1"/>
          <w:sz w:val="24"/>
          <w:szCs w:val="24"/>
        </w:rPr>
        <w:t>s are classified</w:t>
      </w:r>
      <w:r w:rsidR="00743A5D" w:rsidRPr="00EB2BFF">
        <w:rPr>
          <w:rFonts w:ascii="Arial" w:hAnsi="Arial" w:cs="Arial"/>
          <w:i w:val="0"/>
          <w:iCs w:val="0"/>
          <w:color w:val="000000" w:themeColor="text1"/>
          <w:sz w:val="24"/>
          <w:szCs w:val="24"/>
        </w:rPr>
        <w:t xml:space="preserve"> </w:t>
      </w:r>
      <w:r w:rsidR="00EB2BFF" w:rsidRPr="00EB2BFF">
        <w:rPr>
          <w:rFonts w:ascii="Arial" w:hAnsi="Arial" w:cs="Arial"/>
          <w:i w:val="0"/>
          <w:iCs w:val="0"/>
          <w:color w:val="000000" w:themeColor="text1"/>
          <w:sz w:val="24"/>
          <w:szCs w:val="24"/>
        </w:rPr>
        <w:t>based</w:t>
      </w:r>
      <w:r w:rsidR="00743A5D" w:rsidRPr="00EB2BFF">
        <w:rPr>
          <w:rFonts w:ascii="Arial" w:hAnsi="Arial" w:cs="Arial"/>
          <w:i w:val="0"/>
          <w:iCs w:val="0"/>
          <w:color w:val="000000" w:themeColor="text1"/>
          <w:sz w:val="24"/>
          <w:szCs w:val="24"/>
        </w:rPr>
        <w:t xml:space="preserve"> </w:t>
      </w:r>
      <w:r w:rsidR="00EF2074" w:rsidRPr="00EB2BFF">
        <w:rPr>
          <w:rFonts w:ascii="Arial" w:hAnsi="Arial" w:cs="Arial"/>
          <w:i w:val="0"/>
          <w:iCs w:val="0"/>
          <w:color w:val="000000" w:themeColor="text1"/>
          <w:sz w:val="24"/>
          <w:szCs w:val="24"/>
        </w:rPr>
        <w:t>on</w:t>
      </w:r>
      <w:r w:rsidR="00743A5D" w:rsidRPr="00EB2BFF">
        <w:rPr>
          <w:rFonts w:ascii="Arial" w:hAnsi="Arial" w:cs="Arial"/>
          <w:i w:val="0"/>
          <w:iCs w:val="0"/>
          <w:color w:val="000000" w:themeColor="text1"/>
          <w:sz w:val="24"/>
          <w:szCs w:val="24"/>
        </w:rPr>
        <w:t xml:space="preserve"> their locations and sizes. Normal</w:t>
      </w:r>
      <w:r w:rsidR="00C373EC" w:rsidRPr="00EB2BFF">
        <w:rPr>
          <w:rFonts w:ascii="Arial" w:hAnsi="Arial" w:cs="Arial"/>
          <w:i w:val="0"/>
          <w:iCs w:val="0"/>
          <w:color w:val="000000" w:themeColor="text1"/>
          <w:sz w:val="24"/>
          <w:szCs w:val="24"/>
        </w:rPr>
        <w:t xml:space="preserve"> aneurysm size </w:t>
      </w:r>
      <w:r w:rsidR="00EB2BFF">
        <w:rPr>
          <w:rFonts w:ascii="Arial" w:hAnsi="Arial" w:cs="Arial"/>
          <w:i w:val="0"/>
          <w:iCs w:val="0"/>
          <w:color w:val="000000" w:themeColor="text1"/>
          <w:sz w:val="24"/>
          <w:szCs w:val="24"/>
        </w:rPr>
        <w:t>is</w:t>
      </w:r>
      <w:r w:rsidR="00C373EC" w:rsidRPr="00EB2BFF">
        <w:rPr>
          <w:rFonts w:ascii="Arial" w:hAnsi="Arial" w:cs="Arial"/>
          <w:i w:val="0"/>
          <w:iCs w:val="0"/>
          <w:color w:val="000000" w:themeColor="text1"/>
          <w:sz w:val="24"/>
          <w:szCs w:val="24"/>
        </w:rPr>
        <w:t xml:space="preserve"> between 2</w:t>
      </w:r>
      <w:r w:rsidR="00EB2BFF">
        <w:rPr>
          <w:rFonts w:ascii="Arial" w:hAnsi="Arial" w:cs="Arial"/>
          <w:i w:val="0"/>
          <w:iCs w:val="0"/>
          <w:color w:val="000000" w:themeColor="text1"/>
          <w:sz w:val="24"/>
          <w:szCs w:val="24"/>
        </w:rPr>
        <w:t xml:space="preserve"> mm</w:t>
      </w:r>
      <w:r w:rsidR="00C373EC" w:rsidRPr="00EB2BFF">
        <w:rPr>
          <w:rFonts w:ascii="Arial" w:hAnsi="Arial" w:cs="Arial"/>
          <w:i w:val="0"/>
          <w:iCs w:val="0"/>
          <w:color w:val="000000" w:themeColor="text1"/>
          <w:sz w:val="24"/>
          <w:szCs w:val="24"/>
        </w:rPr>
        <w:t xml:space="preserve"> and 25 mm</w:t>
      </w:r>
      <w:r w:rsidR="00EB2BFF">
        <w:rPr>
          <w:rFonts w:ascii="Arial" w:hAnsi="Arial" w:cs="Arial"/>
          <w:i w:val="0"/>
          <w:iCs w:val="0"/>
          <w:color w:val="000000" w:themeColor="text1"/>
          <w:sz w:val="24"/>
          <w:szCs w:val="24"/>
        </w:rPr>
        <w:t xml:space="preserve"> in diameter</w:t>
      </w:r>
      <w:r w:rsidR="00C373EC" w:rsidRPr="00EB2BFF">
        <w:rPr>
          <w:rFonts w:ascii="Arial" w:hAnsi="Arial" w:cs="Arial"/>
          <w:i w:val="0"/>
          <w:iCs w:val="0"/>
          <w:color w:val="000000" w:themeColor="text1"/>
          <w:sz w:val="24"/>
          <w:szCs w:val="24"/>
        </w:rPr>
        <w:t xml:space="preserve">. </w:t>
      </w:r>
      <w:r w:rsidR="00EB2BFF">
        <w:rPr>
          <w:rFonts w:ascii="Arial" w:hAnsi="Arial" w:cs="Arial"/>
          <w:i w:val="0"/>
          <w:iCs w:val="0"/>
          <w:color w:val="000000" w:themeColor="text1"/>
          <w:sz w:val="24"/>
          <w:szCs w:val="24"/>
        </w:rPr>
        <w:t xml:space="preserve">(A) </w:t>
      </w:r>
      <w:r w:rsidR="00C373EC" w:rsidRPr="00EB2BFF">
        <w:rPr>
          <w:rFonts w:ascii="Arial" w:hAnsi="Arial" w:cs="Arial"/>
          <w:i w:val="0"/>
          <w:iCs w:val="0"/>
          <w:color w:val="000000" w:themeColor="text1"/>
          <w:sz w:val="24"/>
          <w:szCs w:val="24"/>
        </w:rPr>
        <w:t>Under this threshold</w:t>
      </w:r>
      <w:r w:rsidR="00EB2BFF">
        <w:rPr>
          <w:rFonts w:ascii="Arial" w:hAnsi="Arial" w:cs="Arial"/>
          <w:i w:val="0"/>
          <w:iCs w:val="0"/>
          <w:color w:val="000000" w:themeColor="text1"/>
          <w:sz w:val="24"/>
          <w:szCs w:val="24"/>
        </w:rPr>
        <w:t>,</w:t>
      </w:r>
      <w:r w:rsidR="00C373EC" w:rsidRPr="00EB2BFF">
        <w:rPr>
          <w:rFonts w:ascii="Arial" w:hAnsi="Arial" w:cs="Arial"/>
          <w:i w:val="0"/>
          <w:iCs w:val="0"/>
          <w:color w:val="000000" w:themeColor="text1"/>
          <w:sz w:val="24"/>
          <w:szCs w:val="24"/>
        </w:rPr>
        <w:t xml:space="preserve"> they are </w:t>
      </w:r>
      <w:r w:rsidR="0085300F" w:rsidRPr="00EB2BFF">
        <w:rPr>
          <w:rFonts w:ascii="Arial" w:hAnsi="Arial" w:cs="Arial"/>
          <w:i w:val="0"/>
          <w:iCs w:val="0"/>
          <w:color w:val="000000" w:themeColor="text1"/>
          <w:sz w:val="24"/>
          <w:szCs w:val="24"/>
        </w:rPr>
        <w:t>defined as</w:t>
      </w:r>
      <w:r w:rsidR="00C373EC" w:rsidRPr="00EB2BFF">
        <w:rPr>
          <w:rFonts w:ascii="Arial" w:hAnsi="Arial" w:cs="Arial"/>
          <w:i w:val="0"/>
          <w:iCs w:val="0"/>
          <w:color w:val="000000" w:themeColor="text1"/>
          <w:sz w:val="24"/>
          <w:szCs w:val="24"/>
        </w:rPr>
        <w:t xml:space="preserve"> micro aneurysms</w:t>
      </w:r>
      <w:r w:rsidR="00EB2BFF">
        <w:rPr>
          <w:rFonts w:ascii="Arial" w:hAnsi="Arial" w:cs="Arial"/>
          <w:i w:val="0"/>
          <w:iCs w:val="0"/>
          <w:color w:val="000000" w:themeColor="text1"/>
          <w:sz w:val="24"/>
          <w:szCs w:val="24"/>
        </w:rPr>
        <w:t>, while (B)</w:t>
      </w:r>
      <w:r w:rsidR="00C373EC" w:rsidRPr="00EB2BFF">
        <w:rPr>
          <w:rFonts w:ascii="Arial" w:hAnsi="Arial" w:cs="Arial"/>
          <w:i w:val="0"/>
          <w:iCs w:val="0"/>
          <w:color w:val="000000" w:themeColor="text1"/>
          <w:sz w:val="24"/>
          <w:szCs w:val="24"/>
        </w:rPr>
        <w:t xml:space="preserve"> giant aneurysms</w:t>
      </w:r>
      <w:r w:rsidR="003F5A35" w:rsidRPr="00EB2BFF">
        <w:rPr>
          <w:rFonts w:ascii="Arial" w:hAnsi="Arial" w:cs="Arial"/>
          <w:i w:val="0"/>
          <w:iCs w:val="0"/>
          <w:color w:val="000000" w:themeColor="text1"/>
          <w:sz w:val="24"/>
          <w:szCs w:val="24"/>
        </w:rPr>
        <w:t xml:space="preserve"> </w:t>
      </w:r>
      <w:r w:rsidR="00EB2BFF">
        <w:rPr>
          <w:rFonts w:ascii="Arial" w:hAnsi="Arial" w:cs="Arial"/>
          <w:i w:val="0"/>
          <w:iCs w:val="0"/>
          <w:color w:val="000000" w:themeColor="text1"/>
          <w:sz w:val="24"/>
          <w:szCs w:val="24"/>
        </w:rPr>
        <w:t xml:space="preserve">fall </w:t>
      </w:r>
      <w:r w:rsidR="003F5A35" w:rsidRPr="00EB2BFF">
        <w:rPr>
          <w:rFonts w:ascii="Arial" w:hAnsi="Arial" w:cs="Arial"/>
          <w:i w:val="0"/>
          <w:iCs w:val="0"/>
          <w:color w:val="000000" w:themeColor="text1"/>
          <w:sz w:val="24"/>
          <w:szCs w:val="24"/>
        </w:rPr>
        <w:t>above</w:t>
      </w:r>
      <w:r w:rsidR="00C373EC" w:rsidRPr="00EB2BFF">
        <w:rPr>
          <w:rFonts w:ascii="Arial" w:hAnsi="Arial" w:cs="Arial"/>
          <w:i w:val="0"/>
          <w:iCs w:val="0"/>
          <w:color w:val="000000" w:themeColor="text1"/>
          <w:sz w:val="24"/>
          <w:szCs w:val="24"/>
        </w:rPr>
        <w:t xml:space="preserve">. </w:t>
      </w:r>
      <w:r w:rsidR="00EB2BFF">
        <w:rPr>
          <w:rFonts w:ascii="Arial" w:hAnsi="Arial" w:cs="Arial"/>
          <w:i w:val="0"/>
          <w:iCs w:val="0"/>
          <w:color w:val="000000" w:themeColor="text1"/>
          <w:sz w:val="24"/>
          <w:szCs w:val="24"/>
        </w:rPr>
        <w:t xml:space="preserve">(C) </w:t>
      </w:r>
      <w:r w:rsidR="005E3EF1" w:rsidRPr="00EB2BFF">
        <w:rPr>
          <w:rFonts w:ascii="Arial" w:hAnsi="Arial" w:cs="Arial"/>
          <w:i w:val="0"/>
          <w:iCs w:val="0"/>
          <w:color w:val="000000" w:themeColor="text1"/>
          <w:sz w:val="24"/>
          <w:szCs w:val="24"/>
        </w:rPr>
        <w:t xml:space="preserve">Aneurysms </w:t>
      </w:r>
      <w:r w:rsidR="00EB2BFF">
        <w:rPr>
          <w:rFonts w:ascii="Arial" w:hAnsi="Arial" w:cs="Arial"/>
          <w:i w:val="0"/>
          <w:iCs w:val="0"/>
          <w:color w:val="000000" w:themeColor="text1"/>
          <w:sz w:val="24"/>
          <w:szCs w:val="24"/>
        </w:rPr>
        <w:t xml:space="preserve">located </w:t>
      </w:r>
      <w:r w:rsidR="00EB2BFF" w:rsidRPr="00BF4187">
        <w:rPr>
          <w:rFonts w:ascii="Arial" w:hAnsi="Arial" w:cs="Arial"/>
          <w:i w:val="0"/>
          <w:iCs w:val="0"/>
          <w:color w:val="000000" w:themeColor="text1"/>
          <w:sz w:val="24"/>
          <w:szCs w:val="24"/>
        </w:rPr>
        <w:t>at bifurcations of blood vessels</w:t>
      </w:r>
      <w:r w:rsidR="00EB2BFF">
        <w:rPr>
          <w:rFonts w:ascii="Arial" w:hAnsi="Arial" w:cs="Arial"/>
          <w:i w:val="0"/>
          <w:iCs w:val="0"/>
          <w:color w:val="000000" w:themeColor="text1"/>
          <w:sz w:val="24"/>
          <w:szCs w:val="24"/>
        </w:rPr>
        <w:t>,</w:t>
      </w:r>
      <w:r w:rsidR="005E3EF1" w:rsidRPr="00EB2BFF">
        <w:rPr>
          <w:rFonts w:ascii="Arial" w:hAnsi="Arial" w:cs="Arial"/>
          <w:i w:val="0"/>
          <w:iCs w:val="0"/>
          <w:color w:val="000000" w:themeColor="text1"/>
          <w:sz w:val="24"/>
          <w:szCs w:val="24"/>
        </w:rPr>
        <w:t xml:space="preserve"> but outside </w:t>
      </w:r>
      <w:r w:rsidR="00245DFA" w:rsidRPr="00EB2BFF">
        <w:rPr>
          <w:rFonts w:ascii="Arial" w:hAnsi="Arial" w:cs="Arial"/>
          <w:i w:val="0"/>
          <w:iCs w:val="0"/>
          <w:color w:val="000000" w:themeColor="text1"/>
          <w:sz w:val="24"/>
          <w:szCs w:val="24"/>
        </w:rPr>
        <w:t>the vessel</w:t>
      </w:r>
      <w:r w:rsidR="00EB2BFF">
        <w:rPr>
          <w:rFonts w:ascii="Arial" w:hAnsi="Arial" w:cs="Arial"/>
          <w:i w:val="0"/>
          <w:iCs w:val="0"/>
          <w:color w:val="000000" w:themeColor="text1"/>
          <w:sz w:val="24"/>
          <w:szCs w:val="24"/>
        </w:rPr>
        <w:t>,</w:t>
      </w:r>
      <w:r w:rsidR="00245DFA" w:rsidRPr="00EB2BFF">
        <w:rPr>
          <w:rFonts w:ascii="Arial" w:hAnsi="Arial" w:cs="Arial"/>
          <w:i w:val="0"/>
          <w:iCs w:val="0"/>
          <w:color w:val="000000" w:themeColor="text1"/>
          <w:sz w:val="24"/>
          <w:szCs w:val="24"/>
        </w:rPr>
        <w:t xml:space="preserve"> are</w:t>
      </w:r>
      <w:r w:rsidR="00EB2BFF">
        <w:rPr>
          <w:rFonts w:ascii="Arial" w:hAnsi="Arial" w:cs="Arial"/>
          <w:i w:val="0"/>
          <w:iCs w:val="0"/>
          <w:color w:val="000000" w:themeColor="text1"/>
          <w:sz w:val="24"/>
          <w:szCs w:val="24"/>
        </w:rPr>
        <w:t xml:space="preserve"> denoted as</w:t>
      </w:r>
      <w:r w:rsidR="00245DFA" w:rsidRPr="00EB2BFF">
        <w:rPr>
          <w:rFonts w:ascii="Arial" w:hAnsi="Arial" w:cs="Arial"/>
          <w:i w:val="0"/>
          <w:iCs w:val="0"/>
          <w:color w:val="000000" w:themeColor="text1"/>
          <w:sz w:val="24"/>
          <w:szCs w:val="24"/>
        </w:rPr>
        <w:t xml:space="preserve"> saccular aneurysms.</w:t>
      </w:r>
      <w:r w:rsidR="00EB2BFF">
        <w:rPr>
          <w:rFonts w:ascii="Arial" w:hAnsi="Arial" w:cs="Arial"/>
          <w:i w:val="0"/>
          <w:iCs w:val="0"/>
          <w:color w:val="000000" w:themeColor="text1"/>
          <w:sz w:val="24"/>
          <w:szCs w:val="24"/>
        </w:rPr>
        <w:t xml:space="preserve"> (D) </w:t>
      </w:r>
      <w:r w:rsidR="00EB2BFF" w:rsidRPr="00BF4187">
        <w:rPr>
          <w:rFonts w:ascii="Arial" w:hAnsi="Arial" w:cs="Arial"/>
          <w:i w:val="0"/>
          <w:iCs w:val="0"/>
          <w:color w:val="000000" w:themeColor="text1"/>
          <w:sz w:val="24"/>
          <w:szCs w:val="24"/>
        </w:rPr>
        <w:t>Aneurysms at bifurcations of blood vessels</w:t>
      </w:r>
      <w:r w:rsidR="00EB2BFF">
        <w:rPr>
          <w:rFonts w:ascii="Arial" w:hAnsi="Arial" w:cs="Arial"/>
          <w:i w:val="0"/>
          <w:iCs w:val="0"/>
          <w:color w:val="000000" w:themeColor="text1"/>
          <w:sz w:val="24"/>
          <w:szCs w:val="24"/>
        </w:rPr>
        <w:t>, but located</w:t>
      </w:r>
      <w:r w:rsidR="00EB2BFF" w:rsidRPr="00BF4187">
        <w:rPr>
          <w:rFonts w:ascii="Arial" w:hAnsi="Arial" w:cs="Arial"/>
          <w:i w:val="0"/>
          <w:iCs w:val="0"/>
          <w:color w:val="000000" w:themeColor="text1"/>
          <w:sz w:val="24"/>
          <w:szCs w:val="24"/>
        </w:rPr>
        <w:t xml:space="preserve"> inside one of the branches of the bifurcation</w:t>
      </w:r>
      <w:r w:rsidR="00EB2BFF">
        <w:rPr>
          <w:rFonts w:ascii="Arial" w:hAnsi="Arial" w:cs="Arial"/>
          <w:i w:val="0"/>
          <w:iCs w:val="0"/>
          <w:color w:val="000000" w:themeColor="text1"/>
          <w:sz w:val="24"/>
          <w:szCs w:val="24"/>
        </w:rPr>
        <w:t>,</w:t>
      </w:r>
      <w:r w:rsidR="00EB2BFF" w:rsidRPr="00BF4187">
        <w:rPr>
          <w:rFonts w:ascii="Arial" w:hAnsi="Arial" w:cs="Arial"/>
          <w:i w:val="0"/>
          <w:iCs w:val="0"/>
          <w:color w:val="000000" w:themeColor="text1"/>
          <w:sz w:val="24"/>
          <w:szCs w:val="24"/>
        </w:rPr>
        <w:t xml:space="preserve"> are named fusiform aneurysm</w:t>
      </w:r>
      <w:r w:rsidR="00EB2BFF">
        <w:rPr>
          <w:rFonts w:ascii="Arial" w:hAnsi="Arial" w:cs="Arial"/>
          <w:i w:val="0"/>
          <w:iCs w:val="0"/>
          <w:color w:val="000000" w:themeColor="text1"/>
          <w:sz w:val="24"/>
          <w:szCs w:val="24"/>
        </w:rPr>
        <w:t>s</w:t>
      </w:r>
      <w:r w:rsidR="00EB2BFF" w:rsidRPr="00BF4187">
        <w:rPr>
          <w:rFonts w:ascii="Arial" w:hAnsi="Arial" w:cs="Arial"/>
          <w:i w:val="0"/>
          <w:iCs w:val="0"/>
          <w:color w:val="000000" w:themeColor="text1"/>
          <w:sz w:val="24"/>
          <w:szCs w:val="24"/>
        </w:rPr>
        <w:t>.</w:t>
      </w:r>
      <w:bookmarkEnd w:id="21"/>
    </w:p>
    <w:p w14:paraId="1E6ED036" w14:textId="75FA496F" w:rsidR="00876233" w:rsidRDefault="00B966AD" w:rsidP="00004F5E">
      <w:pPr>
        <w:pStyle w:val="Titre2"/>
        <w:numPr>
          <w:ilvl w:val="1"/>
          <w:numId w:val="12"/>
        </w:numPr>
        <w:spacing w:line="480" w:lineRule="auto"/>
        <w:jc w:val="both"/>
        <w:rPr>
          <w:rFonts w:ascii="Arial" w:hAnsi="Arial" w:cs="Arial"/>
          <w:b/>
          <w:bCs/>
          <w:color w:val="auto"/>
        </w:rPr>
      </w:pPr>
      <w:bookmarkStart w:id="22" w:name="_Toc83026911"/>
      <w:bookmarkStart w:id="23" w:name="_Toc106903209"/>
      <w:r w:rsidRPr="00B046A2">
        <w:rPr>
          <w:rFonts w:ascii="Arial" w:hAnsi="Arial" w:cs="Arial"/>
          <w:b/>
          <w:bCs/>
          <w:color w:val="auto"/>
        </w:rPr>
        <w:t>Current treatments</w:t>
      </w:r>
      <w:bookmarkEnd w:id="22"/>
      <w:bookmarkEnd w:id="23"/>
    </w:p>
    <w:p w14:paraId="36F69804" w14:textId="3839A24C" w:rsidR="00954B01" w:rsidRPr="00B046A2" w:rsidRDefault="001455E1" w:rsidP="006E7531">
      <w:pPr>
        <w:spacing w:line="480" w:lineRule="auto"/>
        <w:ind w:firstLine="540"/>
        <w:jc w:val="both"/>
        <w:rPr>
          <w:rFonts w:ascii="Arial" w:hAnsi="Arial" w:cs="Arial"/>
        </w:rPr>
      </w:pPr>
      <w:r w:rsidRPr="000231DD">
        <w:rPr>
          <w:rFonts w:ascii="Arial" w:hAnsi="Arial" w:cs="Arial"/>
          <w:sz w:val="24"/>
          <w:szCs w:val="24"/>
        </w:rPr>
        <w:t xml:space="preserve">The current aneurysm treatments are medical devices that are place inside </w:t>
      </w:r>
      <w:r w:rsidR="00493638" w:rsidRPr="000231DD">
        <w:rPr>
          <w:rFonts w:ascii="Arial" w:hAnsi="Arial" w:cs="Arial"/>
          <w:sz w:val="24"/>
          <w:szCs w:val="24"/>
        </w:rPr>
        <w:t xml:space="preserve">or </w:t>
      </w:r>
      <w:r w:rsidR="000231DD">
        <w:rPr>
          <w:rFonts w:ascii="Arial" w:hAnsi="Arial" w:cs="Arial"/>
          <w:sz w:val="24"/>
          <w:szCs w:val="24"/>
        </w:rPr>
        <w:t>around the neck of the aneurysm</w:t>
      </w:r>
      <w:r w:rsidR="00493638" w:rsidRPr="000231DD">
        <w:rPr>
          <w:rFonts w:ascii="Arial" w:hAnsi="Arial" w:cs="Arial"/>
          <w:sz w:val="24"/>
          <w:szCs w:val="24"/>
        </w:rPr>
        <w:t xml:space="preserve"> to </w:t>
      </w:r>
      <w:r w:rsidR="007D45CE" w:rsidRPr="000231DD">
        <w:rPr>
          <w:rFonts w:ascii="Arial" w:hAnsi="Arial" w:cs="Arial"/>
          <w:sz w:val="24"/>
          <w:szCs w:val="24"/>
        </w:rPr>
        <w:t>stop</w:t>
      </w:r>
      <w:r w:rsidR="00493638" w:rsidRPr="000231DD">
        <w:rPr>
          <w:rFonts w:ascii="Arial" w:hAnsi="Arial" w:cs="Arial"/>
          <w:sz w:val="24"/>
          <w:szCs w:val="24"/>
        </w:rPr>
        <w:t xml:space="preserve"> blood from </w:t>
      </w:r>
      <w:r w:rsidR="000231DD">
        <w:rPr>
          <w:rFonts w:ascii="Arial" w:hAnsi="Arial" w:cs="Arial"/>
          <w:sz w:val="24"/>
          <w:szCs w:val="24"/>
        </w:rPr>
        <w:t>flowing</w:t>
      </w:r>
      <w:r w:rsidR="00493638" w:rsidRPr="000231DD">
        <w:rPr>
          <w:rFonts w:ascii="Arial" w:hAnsi="Arial" w:cs="Arial"/>
          <w:sz w:val="24"/>
          <w:szCs w:val="24"/>
        </w:rPr>
        <w:t xml:space="preserve"> inside aneurysms and </w:t>
      </w:r>
      <w:r w:rsidR="007D45CE" w:rsidRPr="000231DD">
        <w:rPr>
          <w:rFonts w:ascii="Arial" w:hAnsi="Arial" w:cs="Arial"/>
          <w:sz w:val="24"/>
          <w:szCs w:val="24"/>
        </w:rPr>
        <w:t xml:space="preserve">prevent aneurysm rupture. The most used treatments </w:t>
      </w:r>
      <w:r w:rsidR="003E7EE8" w:rsidRPr="000231DD">
        <w:rPr>
          <w:rFonts w:ascii="Arial" w:hAnsi="Arial" w:cs="Arial"/>
          <w:sz w:val="24"/>
          <w:szCs w:val="24"/>
        </w:rPr>
        <w:t>include surgical clips, coils, stents</w:t>
      </w:r>
      <w:r w:rsidR="000231DD">
        <w:rPr>
          <w:rFonts w:ascii="Arial" w:hAnsi="Arial" w:cs="Arial"/>
          <w:sz w:val="24"/>
          <w:szCs w:val="24"/>
        </w:rPr>
        <w:t xml:space="preserve">, </w:t>
      </w:r>
      <w:r w:rsidR="001E3298">
        <w:rPr>
          <w:rFonts w:ascii="Arial" w:hAnsi="Arial" w:cs="Arial"/>
          <w:sz w:val="24"/>
          <w:szCs w:val="24"/>
        </w:rPr>
        <w:t xml:space="preserve">and liquid fillers, </w:t>
      </w:r>
      <w:r w:rsidR="000231DD">
        <w:rPr>
          <w:rFonts w:ascii="Arial" w:hAnsi="Arial" w:cs="Arial"/>
          <w:sz w:val="24"/>
          <w:szCs w:val="24"/>
        </w:rPr>
        <w:t>which are discussed below</w:t>
      </w:r>
      <w:r w:rsidR="003E7EE8" w:rsidRPr="000231DD">
        <w:rPr>
          <w:rFonts w:ascii="Arial" w:hAnsi="Arial" w:cs="Arial"/>
          <w:sz w:val="24"/>
          <w:szCs w:val="24"/>
        </w:rPr>
        <w:t>.</w:t>
      </w:r>
    </w:p>
    <w:p w14:paraId="0ADF7990" w14:textId="4F99D26B" w:rsidR="00954B01" w:rsidRPr="00B046A2" w:rsidRDefault="00194F5C" w:rsidP="00B046A2">
      <w:pPr>
        <w:pStyle w:val="Titre3"/>
        <w:spacing w:line="480" w:lineRule="auto"/>
        <w:jc w:val="both"/>
        <w:rPr>
          <w:rFonts w:ascii="Arial" w:hAnsi="Arial" w:cs="Arial"/>
          <w:b/>
          <w:bCs/>
          <w:color w:val="auto"/>
        </w:rPr>
      </w:pPr>
      <w:bookmarkStart w:id="24" w:name="_Toc83026912"/>
      <w:bookmarkStart w:id="25" w:name="_Toc106903210"/>
      <w:r>
        <w:rPr>
          <w:rFonts w:ascii="Arial" w:hAnsi="Arial" w:cs="Arial"/>
          <w:b/>
          <w:bCs/>
          <w:color w:val="auto"/>
        </w:rPr>
        <w:lastRenderedPageBreak/>
        <w:t>1.</w:t>
      </w:r>
      <w:r w:rsidR="007D5EA1">
        <w:rPr>
          <w:rFonts w:ascii="Arial" w:hAnsi="Arial" w:cs="Arial"/>
          <w:b/>
          <w:bCs/>
          <w:color w:val="auto"/>
        </w:rPr>
        <w:t>4</w:t>
      </w:r>
      <w:r>
        <w:rPr>
          <w:rFonts w:ascii="Arial" w:hAnsi="Arial" w:cs="Arial"/>
          <w:b/>
          <w:bCs/>
          <w:color w:val="auto"/>
        </w:rPr>
        <w:t xml:space="preserve">.1 </w:t>
      </w:r>
      <w:r w:rsidR="009C75E9" w:rsidRPr="00B046A2">
        <w:rPr>
          <w:rFonts w:ascii="Arial" w:hAnsi="Arial" w:cs="Arial"/>
          <w:b/>
          <w:bCs/>
          <w:color w:val="auto"/>
        </w:rPr>
        <w:t>S</w:t>
      </w:r>
      <w:r w:rsidR="00B966AD" w:rsidRPr="00B046A2">
        <w:rPr>
          <w:rFonts w:ascii="Arial" w:hAnsi="Arial" w:cs="Arial"/>
          <w:b/>
          <w:bCs/>
          <w:color w:val="auto"/>
        </w:rPr>
        <w:t>urgical clipping</w:t>
      </w:r>
      <w:bookmarkEnd w:id="24"/>
      <w:bookmarkEnd w:id="25"/>
    </w:p>
    <w:p w14:paraId="27025A5C" w14:textId="3922E1A8" w:rsidR="005400A6" w:rsidRPr="00B046A2" w:rsidRDefault="005400A6" w:rsidP="00EB056A">
      <w:pPr>
        <w:spacing w:line="480" w:lineRule="auto"/>
        <w:ind w:firstLine="720"/>
        <w:jc w:val="both"/>
        <w:rPr>
          <w:rFonts w:ascii="Arial" w:hAnsi="Arial" w:cs="Arial"/>
          <w:sz w:val="24"/>
          <w:szCs w:val="24"/>
        </w:rPr>
      </w:pPr>
      <w:r w:rsidRPr="00B046A2">
        <w:rPr>
          <w:rFonts w:ascii="Arial" w:hAnsi="Arial" w:cs="Arial"/>
          <w:sz w:val="24"/>
          <w:szCs w:val="24"/>
        </w:rPr>
        <w:t xml:space="preserve">Surgical clipping </w:t>
      </w:r>
      <w:r w:rsidR="009C75E9" w:rsidRPr="00B046A2">
        <w:rPr>
          <w:rFonts w:ascii="Arial" w:hAnsi="Arial" w:cs="Arial"/>
          <w:sz w:val="24"/>
          <w:szCs w:val="24"/>
        </w:rPr>
        <w:t xml:space="preserve">requires </w:t>
      </w:r>
      <w:r w:rsidRPr="00B046A2">
        <w:rPr>
          <w:rFonts w:ascii="Arial" w:hAnsi="Arial" w:cs="Arial"/>
          <w:sz w:val="24"/>
          <w:szCs w:val="24"/>
        </w:rPr>
        <w:t xml:space="preserve">an open skull surgery to access and block the aneurysm with a clip, </w:t>
      </w:r>
      <w:r w:rsidR="009C75E9" w:rsidRPr="00B046A2">
        <w:rPr>
          <w:rFonts w:ascii="Arial" w:hAnsi="Arial" w:cs="Arial"/>
          <w:sz w:val="24"/>
          <w:szCs w:val="24"/>
        </w:rPr>
        <w:t xml:space="preserve">which </w:t>
      </w:r>
      <w:r w:rsidRPr="00B046A2">
        <w:rPr>
          <w:rFonts w:ascii="Arial" w:hAnsi="Arial" w:cs="Arial"/>
          <w:sz w:val="24"/>
          <w:szCs w:val="24"/>
        </w:rPr>
        <w:t>restore</w:t>
      </w:r>
      <w:r w:rsidR="009C75E9" w:rsidRPr="00B046A2">
        <w:rPr>
          <w:rFonts w:ascii="Arial" w:hAnsi="Arial" w:cs="Arial"/>
          <w:sz w:val="24"/>
          <w:szCs w:val="24"/>
        </w:rPr>
        <w:t>s</w:t>
      </w:r>
      <w:r w:rsidRPr="00B046A2">
        <w:rPr>
          <w:rFonts w:ascii="Arial" w:hAnsi="Arial" w:cs="Arial"/>
          <w:sz w:val="24"/>
          <w:szCs w:val="24"/>
        </w:rPr>
        <w:t xml:space="preserve"> normal blood circulation in the main vessel (</w:t>
      </w:r>
      <w:r w:rsidR="00283F33" w:rsidRPr="00B046A2">
        <w:rPr>
          <w:rFonts w:ascii="Arial" w:hAnsi="Arial" w:cs="Arial"/>
          <w:sz w:val="24"/>
          <w:szCs w:val="24"/>
        </w:rPr>
        <w:fldChar w:fldCharType="begin"/>
      </w:r>
      <w:r w:rsidR="00283F33" w:rsidRPr="00B046A2">
        <w:rPr>
          <w:rFonts w:ascii="Arial" w:hAnsi="Arial" w:cs="Arial"/>
          <w:sz w:val="24"/>
          <w:szCs w:val="24"/>
        </w:rPr>
        <w:instrText xml:space="preserve"> REF _Ref81823196 \h  \* MERGEFORMAT </w:instrText>
      </w:r>
      <w:r w:rsidR="00283F33" w:rsidRPr="00B046A2">
        <w:rPr>
          <w:rFonts w:ascii="Arial" w:hAnsi="Arial" w:cs="Arial"/>
          <w:sz w:val="24"/>
          <w:szCs w:val="24"/>
        </w:rPr>
      </w:r>
      <w:r w:rsidR="00283F33" w:rsidRPr="00B046A2">
        <w:rPr>
          <w:rFonts w:ascii="Arial" w:hAnsi="Arial" w:cs="Arial"/>
          <w:sz w:val="24"/>
          <w:szCs w:val="24"/>
        </w:rPr>
        <w:fldChar w:fldCharType="separate"/>
      </w:r>
      <w:r w:rsidR="005C4791" w:rsidRPr="005C4791">
        <w:rPr>
          <w:rFonts w:ascii="Arial" w:hAnsi="Arial" w:cs="Arial"/>
          <w:sz w:val="24"/>
          <w:szCs w:val="24"/>
        </w:rPr>
        <w:t xml:space="preserve">Figure </w:t>
      </w:r>
      <w:r w:rsidR="005C4791" w:rsidRPr="005C4791">
        <w:rPr>
          <w:rFonts w:ascii="Arial" w:hAnsi="Arial" w:cs="Arial"/>
          <w:noProof/>
          <w:sz w:val="24"/>
          <w:szCs w:val="24"/>
        </w:rPr>
        <w:t>4</w:t>
      </w:r>
      <w:r w:rsidR="00283F33" w:rsidRPr="00B046A2">
        <w:rPr>
          <w:rFonts w:ascii="Arial" w:hAnsi="Arial" w:cs="Arial"/>
          <w:sz w:val="24"/>
          <w:szCs w:val="24"/>
        </w:rPr>
        <w:fldChar w:fldCharType="end"/>
      </w:r>
      <w:r w:rsidRPr="00B046A2">
        <w:rPr>
          <w:rFonts w:ascii="Arial" w:hAnsi="Arial" w:cs="Arial"/>
          <w:sz w:val="24"/>
          <w:szCs w:val="24"/>
        </w:rPr>
        <w:t xml:space="preserve">). </w:t>
      </w:r>
      <w:r w:rsidR="00522375" w:rsidRPr="00EB056A">
        <w:rPr>
          <w:rFonts w:ascii="Arial" w:hAnsi="Arial" w:cs="Arial"/>
          <w:sz w:val="24"/>
          <w:szCs w:val="24"/>
        </w:rPr>
        <w:t>Patients treated with surgical c</w:t>
      </w:r>
      <w:r w:rsidR="00522375" w:rsidRPr="008B6BF0">
        <w:rPr>
          <w:rFonts w:ascii="Arial" w:hAnsi="Arial" w:cs="Arial"/>
          <w:sz w:val="24"/>
          <w:szCs w:val="24"/>
        </w:rPr>
        <w:t>lip</w:t>
      </w:r>
      <w:r w:rsidR="00522375">
        <w:rPr>
          <w:rFonts w:ascii="Arial" w:hAnsi="Arial" w:cs="Arial"/>
          <w:sz w:val="24"/>
          <w:szCs w:val="24"/>
        </w:rPr>
        <w:t>s</w:t>
      </w:r>
      <w:r w:rsidR="00522375" w:rsidRPr="008B6BF0">
        <w:rPr>
          <w:rFonts w:ascii="Arial" w:hAnsi="Arial" w:cs="Arial"/>
          <w:sz w:val="24"/>
          <w:szCs w:val="24"/>
        </w:rPr>
        <w:t xml:space="preserve"> have high survival rates. </w:t>
      </w:r>
      <w:r w:rsidR="00522375">
        <w:rPr>
          <w:rFonts w:ascii="Arial" w:hAnsi="Arial" w:cs="Arial"/>
          <w:sz w:val="24"/>
          <w:szCs w:val="24"/>
        </w:rPr>
        <w:t>For example, i</w:t>
      </w:r>
      <w:r w:rsidR="00522375" w:rsidRPr="008B6BF0">
        <w:rPr>
          <w:rFonts w:ascii="Arial" w:hAnsi="Arial" w:cs="Arial"/>
          <w:sz w:val="24"/>
          <w:szCs w:val="24"/>
        </w:rPr>
        <w:t>n the</w:t>
      </w:r>
      <w:r w:rsidR="002A4FB5">
        <w:rPr>
          <w:rFonts w:ascii="Arial" w:hAnsi="Arial" w:cs="Arial"/>
          <w:sz w:val="24"/>
          <w:szCs w:val="24"/>
        </w:rPr>
        <w:t xml:space="preserve"> United Kingdom</w:t>
      </w:r>
      <w:r w:rsidR="00522375" w:rsidRPr="008B6BF0">
        <w:rPr>
          <w:rFonts w:ascii="Arial" w:hAnsi="Arial" w:cs="Arial"/>
          <w:sz w:val="24"/>
          <w:szCs w:val="24"/>
        </w:rPr>
        <w:t xml:space="preserve"> </w:t>
      </w:r>
      <w:r w:rsidR="002A4FB5">
        <w:rPr>
          <w:rFonts w:ascii="Arial" w:hAnsi="Arial" w:cs="Arial"/>
          <w:sz w:val="24"/>
          <w:szCs w:val="24"/>
        </w:rPr>
        <w:t>(</w:t>
      </w:r>
      <w:r w:rsidR="00522375" w:rsidRPr="008B6BF0">
        <w:rPr>
          <w:rFonts w:ascii="Arial" w:hAnsi="Arial" w:cs="Arial"/>
          <w:sz w:val="24"/>
          <w:szCs w:val="24"/>
        </w:rPr>
        <w:t>UK</w:t>
      </w:r>
      <w:r w:rsidR="002A4FB5">
        <w:rPr>
          <w:rFonts w:ascii="Arial" w:hAnsi="Arial" w:cs="Arial"/>
          <w:sz w:val="24"/>
          <w:szCs w:val="24"/>
        </w:rPr>
        <w:t>)</w:t>
      </w:r>
      <w:r w:rsidR="00522375" w:rsidRPr="008B6BF0">
        <w:rPr>
          <w:rFonts w:ascii="Arial" w:hAnsi="Arial" w:cs="Arial"/>
          <w:sz w:val="24"/>
          <w:szCs w:val="24"/>
        </w:rPr>
        <w:t xml:space="preserve"> cohort of </w:t>
      </w:r>
      <w:r w:rsidR="00522375">
        <w:rPr>
          <w:rFonts w:ascii="Arial" w:hAnsi="Arial" w:cs="Arial"/>
          <w:sz w:val="24"/>
          <w:szCs w:val="24"/>
        </w:rPr>
        <w:t>an</w:t>
      </w:r>
      <w:r w:rsidR="00522375" w:rsidRPr="008B6BF0">
        <w:rPr>
          <w:rFonts w:ascii="Arial" w:hAnsi="Arial" w:cs="Arial"/>
          <w:sz w:val="24"/>
          <w:szCs w:val="24"/>
        </w:rPr>
        <w:t xml:space="preserve"> international subarachnoid aneurysm trial, Molyneux </w:t>
      </w:r>
      <w:r w:rsidR="00522375" w:rsidRPr="008B6BF0">
        <w:rPr>
          <w:rFonts w:ascii="Arial" w:hAnsi="Arial" w:cs="Arial"/>
          <w:i/>
          <w:iCs/>
          <w:sz w:val="24"/>
          <w:szCs w:val="24"/>
        </w:rPr>
        <w:t>et al.</w:t>
      </w:r>
      <w:r w:rsidR="00522375" w:rsidRPr="008B6BF0">
        <w:rPr>
          <w:rFonts w:ascii="Arial" w:hAnsi="Arial" w:cs="Arial"/>
          <w:i/>
          <w:iCs/>
          <w:sz w:val="24"/>
          <w:szCs w:val="24"/>
        </w:rPr>
        <w:fldChar w:fldCharType="begin"/>
      </w:r>
      <w:r w:rsidR="005B4F59">
        <w:rPr>
          <w:rFonts w:ascii="Arial" w:hAnsi="Arial" w:cs="Arial"/>
          <w:i/>
          <w:iCs/>
          <w:sz w:val="24"/>
          <w:szCs w:val="24"/>
        </w:rPr>
        <w:instrText xml:space="preserve"> ADDIN ZOTERO_ITEM CSL_CITATION {"citationID":"OeZNTZLA","properties":{"formattedCitation":"\\super 4\\nosupersub{}","plainCitation":"4","noteIndex":0},"citationItems":[{"id":6,"uris":["http://zotero.org/users/6508478/items/JVVJZL89"],"itemData":{"id":6,"type":"article-journal","abstract":"BACKGROUND: Previous analyses of the International Subarachnoid Aneurysm Trial (ISAT) cohort have reported on the risks of recurrent subarachnoid haemorrhage and death or dependency for a minimum of 5 years and up to a maximum of 14 years after treatment of a ruptured intracranial aneurysm with either neurosurgical clipping or endovascular coiling. At 1 year there was a 7% absolute and a 24% relative risk reduction of death and dependency in the coiling group compared with the clipping group, but the medium-term results showed the increased need for re-treatment of the target aneurysm in the patients given coiling. We report the long-term follow-up of patients in this UK cohort.\nMETHODS: In ISAT, patients were randomly allocated to either neurosurgical clipping or endovascular coiling after a subarachnoid haemorrhage, assuming treatment equipoise, between Sept 12, 1994, and May 1, 2002. We followed up 1644 patients in 22 UK neurosurgical centres for death and clinical outcomes for 10·0-18·5 years. We assessed dependency as self-reported modified Rankin scale score obtained through yearly questionnaires. Data for recurrent aneurysms and rebleeding events were collected from questionnaires and from hospital and general practitioner records. The Office for National Statistics supplied data on deaths. This study is registered, number ISRCTN49866681.\nFINDINGS: At 10 years, 674 (83%) of 809 patients allocated endovascular coiling and 657 (79%) of 835 patients allocated neurosurgical clipping were alive (odds ratio [OR] 1·35, 95% CI 1·06-1·73). Of 1003 individuals who returned a questionnaire at 10 years, 435 (82%) patients treated with endovascular coiling and 370 (78%) patients treated with neurosurgical clipping were independent (modified Rankin scale score 0-2; OR 1·25; 95% CI 0·92-1·71). Patients in the endovascular treatment group were more likely to be alive and independent at 10 years than were patients in the neurosurgery group (OR 1·34, 95% CI 1·07-1·67). 33 patients had a recurrent subarachnoid haemorrhage more than 1 year after their initial haemorrhage (17 from the target aneurysm).\nINTERPRETATION: Although rates of increased dependency alone did not differ between groups, the probability of death or dependency was significantly greater in the neurosurgical group than in the endovascular group. Rebleeding was more likely after endovascular coiling than after neurosurgical clipping, but the risk was small and the probability of disability-free survival was significantly greater in the endovascular group than in the neurosurgical group at 10 years.\nFUNDING: UK Medical Research Council.","container-title":"Lancet (London, England)","DOI":"10.1016/S0140-6736(14)60975-2","ISSN":"1474-547X","issue":"9969","journalAbbreviation":"Lancet","language":"eng","note":"PMID: 25465111\nPMCID: PMC4356153","page":"691-697","source":"PubMed","title":"The durability of endovascular coiling versus neurosurgical clipping of ruptured cerebral aneurysms: 18 year follow-up of the UK cohort of the International Subarachnoid Aneurysm Trial (ISAT)","title-short":"The durability of endovascular coiling versus neurosurgical clipping of ruptured cerebral aneurysms","volume":"385","author":[{"family":"Molyneux","given":"Andrew J."},{"family":"Birks","given":"Jacqueline"},{"family":"Clarke","given":"Alison"},{"family":"Sneade","given":"Mary"},{"family":"Kerr","given":"Richard S. C."}],"issued":{"date-parts":[["2015",2,21]]}}}],"schema":"https://github.com/citation-style-language/schema/raw/master/csl-citation.json"} </w:instrText>
      </w:r>
      <w:r w:rsidR="00522375" w:rsidRPr="008B6BF0">
        <w:rPr>
          <w:rFonts w:ascii="Arial" w:hAnsi="Arial" w:cs="Arial"/>
          <w:i/>
          <w:iCs/>
          <w:sz w:val="24"/>
          <w:szCs w:val="24"/>
        </w:rPr>
        <w:fldChar w:fldCharType="separate"/>
      </w:r>
      <w:r w:rsidR="00522375" w:rsidRPr="008B6BF0">
        <w:rPr>
          <w:rFonts w:ascii="Arial" w:hAnsi="Arial" w:cs="Arial"/>
          <w:sz w:val="24"/>
          <w:szCs w:val="24"/>
          <w:vertAlign w:val="superscript"/>
        </w:rPr>
        <w:t>4</w:t>
      </w:r>
      <w:r w:rsidR="00522375" w:rsidRPr="008B6BF0">
        <w:rPr>
          <w:rFonts w:ascii="Arial" w:hAnsi="Arial" w:cs="Arial"/>
          <w:i/>
          <w:iCs/>
          <w:sz w:val="24"/>
          <w:szCs w:val="24"/>
        </w:rPr>
        <w:fldChar w:fldCharType="end"/>
      </w:r>
      <w:r w:rsidR="00522375" w:rsidRPr="008B6BF0">
        <w:rPr>
          <w:rFonts w:ascii="Arial" w:hAnsi="Arial" w:cs="Arial"/>
          <w:sz w:val="24"/>
          <w:szCs w:val="24"/>
        </w:rPr>
        <w:t xml:space="preserve"> reported that, 10 years after surgical clipping, 79% of the 835 patients were alive. </w:t>
      </w:r>
      <w:r w:rsidR="00522375" w:rsidRPr="00EB056A">
        <w:rPr>
          <w:rFonts w:ascii="Arial" w:hAnsi="Arial" w:cs="Arial"/>
          <w:sz w:val="24"/>
          <w:szCs w:val="24"/>
        </w:rPr>
        <w:t>In addition, clipping is suited to most brain aneurysms types</w:t>
      </w:r>
      <w:r w:rsidR="00522375" w:rsidRPr="00EB056A">
        <w:rPr>
          <w:rFonts w:ascii="Arial" w:hAnsi="Arial" w:cs="Arial"/>
          <w:sz w:val="24"/>
          <w:szCs w:val="24"/>
        </w:rPr>
        <w:fldChar w:fldCharType="begin"/>
      </w:r>
      <w:r w:rsidR="005B4F59">
        <w:rPr>
          <w:rFonts w:ascii="Arial" w:hAnsi="Arial" w:cs="Arial"/>
          <w:sz w:val="24"/>
          <w:szCs w:val="24"/>
        </w:rPr>
        <w:instrText xml:space="preserve"> ADDIN ZOTERO_ITEM CSL_CITATION {"citationID":"Lt9QyqMI","properties":{"formattedCitation":"\\super 25\\nosupersub{}","plainCitation":"25","noteIndex":0},"citationItems":[{"id":45,"uris":["http://zotero.org/users/6508478/items/MX5VEDG7"],"itemData":{"id":45,"type":"article-journal","abstract":"Intracranial aneurysm is a leading cause of stroke. Its treatment has evolved over the past 2 decades. This review summarizes the treatment strategies for intracranial aneurysms from 3 different perspectives: open surgery approach, transluminal treatment approach, and new technologies being used or trialed. We introduce most of the available treatment techniques in detail, including contralateral clipping, wrapping and clipping, double catheters assisting coiling and waffle-cone technique, and so on. Data from major trials such as Analysis of Treatment by Endovascular approach of Non-ruptured Aneurysms (ATENA), Internal Subarachnoid Trial (ISAT), Clinical and Anatomical Results in the Treatment of Ruptured Intracranial Aneurysms (CLARITY), and Barrow Ruptured Aneurysm Trial (BRAT) as well as information from other clinical reports and local experience are reviewed to suggest a clinical pathway for treating different types of intracranial aneurysms. It will be a valuable supplement to the current existing guidelines. We hope it could help assisting real-time decision-making in clinical practices and also encourage advancements in managing the disease.","container-title":"Angiology","DOI":"10.1177/0003319717700503","ISSN":"0003-3197","issue":"1","journalAbbreviation":"Angiology","language":"en","page":"17-30","source":"SAGE Journals","title":"Current Treatment Strategies for Intracranial Aneurysms: An Overview","title-short":"Current Treatment Strategies for Intracranial Aneurysms","volume":"69","author":[{"family":"Zhao","given":"Junjie"},{"family":"Lin","given":"Hao"},{"family":"Summers","given":"Richard"},{"family":"Yang","given":"Mingmin"},{"family":"Cousins","given":"Brian G."},{"family":"Tsui","given":"Janice"}],"issued":{"date-parts":[["2018",1,1]]}}}],"schema":"https://github.com/citation-style-language/schema/raw/master/csl-citation.json"} </w:instrText>
      </w:r>
      <w:r w:rsidR="00522375" w:rsidRPr="00EB056A">
        <w:rPr>
          <w:rFonts w:ascii="Arial" w:hAnsi="Arial" w:cs="Arial"/>
          <w:sz w:val="24"/>
          <w:szCs w:val="24"/>
        </w:rPr>
        <w:fldChar w:fldCharType="separate"/>
      </w:r>
      <w:r w:rsidR="00766016" w:rsidRPr="00766016">
        <w:rPr>
          <w:rFonts w:ascii="Arial" w:hAnsi="Arial" w:cs="Arial"/>
          <w:sz w:val="24"/>
          <w:szCs w:val="24"/>
          <w:vertAlign w:val="superscript"/>
        </w:rPr>
        <w:t>25</w:t>
      </w:r>
      <w:r w:rsidR="00522375" w:rsidRPr="00EB056A">
        <w:rPr>
          <w:rFonts w:ascii="Arial" w:hAnsi="Arial" w:cs="Arial"/>
          <w:sz w:val="24"/>
          <w:szCs w:val="24"/>
        </w:rPr>
        <w:fldChar w:fldCharType="end"/>
      </w:r>
      <w:r w:rsidR="00522375" w:rsidRPr="00EB056A">
        <w:rPr>
          <w:rFonts w:ascii="Arial" w:hAnsi="Arial" w:cs="Arial"/>
          <w:sz w:val="24"/>
          <w:szCs w:val="24"/>
        </w:rPr>
        <w:t xml:space="preserve"> and patients can be treated even if their aneurysm is ruptured</w:t>
      </w:r>
      <w:r w:rsidR="00522375" w:rsidRPr="00EB056A">
        <w:rPr>
          <w:rFonts w:ascii="Arial" w:hAnsi="Arial" w:cs="Arial"/>
          <w:sz w:val="24"/>
          <w:szCs w:val="24"/>
        </w:rPr>
        <w:fldChar w:fldCharType="begin"/>
      </w:r>
      <w:r w:rsidR="005B4F59">
        <w:rPr>
          <w:rFonts w:ascii="Arial" w:hAnsi="Arial" w:cs="Arial"/>
          <w:sz w:val="24"/>
          <w:szCs w:val="24"/>
        </w:rPr>
        <w:instrText xml:space="preserve"> ADDIN ZOTERO_ITEM CSL_CITATION {"citationID":"ECliFv7t","properties":{"formattedCitation":"\\super 27\\nosupersub{}","plainCitation":"27","noteIndex":0},"citationItems":[{"id":8,"uris":["http://zotero.org/users/6508478/items/34NS6RPP"],"itemData":{"id":8,"type":"article-journal","abstract":"BACKGROUND: The extent of obliteration of ruptured intracranial aneurysms treated with coil embolization has been correlated with the risk of rerupture. However, many practitioners consider that a small neck remnant is unlikely to result in significant risk after coiling.\nOBJECTIVE: To report our recent experience with ruptured anterior cerebral artery aneurysms treated with endovascular coiling, which recurred or reruptured, requiring microsurgical clipping for subsequent treatment.\nMETHODS: Retrospective review of patients with intracranial aneurysms treated at our institution since August 2018. Patient and aneurysm characteristics, initial and subsequent treatment approaches, and outcomes were reviewed.\nRESULTS: Six patients were included. Out of those 6 patients, 5 patients had anterior communicating artery aneurysms, and 1 patient had a pericallosal aneurysm. All initially presented with subarachnoid hemorrhage (SAH) and were treated with coiling. Recurrence occurred at a median of 7.5 mo. In 2 cases, retreatment was initially performed with repeat endovascular coiling, but further recurrence was observed. Rerupture from the residual or recurrent aneurysm occurred in 3 cases. In 2 cases, the aneurysm dome recurred; in 1 case, rerupture occurred from the neck. All 6 patients underwent treatment with microsurgical clipping. Follow-up catheter angiography demonstrated a complete occlusion of the aneurysm in all cases with the preservation of the parent vessel.\nCONCLUSION: Anterior cerebral artery aneurysms may recur after endovascular treatment, and even small neck remnants present a risk of rerupture after an initial SAH. Complete treatment requires a complete exclusion of the aneurysm from the circulation. Even in cases that have been previously coiled, microsurgical clipping can represent a safe and effective treatment option.","container-title":"Operative Neurosurgery (Hagerstown, Md.)","DOI":"10.1093/ons/opaa103","ISSN":"2332-4260","issue":"4","journalAbbreviation":"Oper Neurosurg (Hagerstown)","language":"eng","note":"PMID: 32409831","page":"393-402","source":"PubMed","title":"Definitive Treatment With Microsurgical Clipping After Recurrence and Rerupture of Coiled Anterior Cerebral Artery Aneurysms","volume":"19","author":[{"family":"Raper","given":"Daniel M. S."},{"family":"Rutledge","given":"Caleb"},{"family":"Winkler","given":"Ethan A."},{"family":"Abla","given":"Adib A."}],"issued":{"date-parts":[["2020",9,15]]}}}],"schema":"https://github.com/citation-style-language/schema/raw/master/csl-citation.json"} </w:instrText>
      </w:r>
      <w:r w:rsidR="00522375" w:rsidRPr="00EB056A">
        <w:rPr>
          <w:rFonts w:ascii="Arial" w:hAnsi="Arial" w:cs="Arial"/>
          <w:sz w:val="24"/>
          <w:szCs w:val="24"/>
        </w:rPr>
        <w:fldChar w:fldCharType="separate"/>
      </w:r>
      <w:r w:rsidR="00766016" w:rsidRPr="00766016">
        <w:rPr>
          <w:rFonts w:ascii="Arial" w:hAnsi="Arial" w:cs="Arial"/>
          <w:sz w:val="24"/>
          <w:szCs w:val="24"/>
          <w:vertAlign w:val="superscript"/>
        </w:rPr>
        <w:t>27</w:t>
      </w:r>
      <w:r w:rsidR="00522375" w:rsidRPr="00EB056A">
        <w:rPr>
          <w:rFonts w:ascii="Arial" w:hAnsi="Arial" w:cs="Arial"/>
          <w:sz w:val="24"/>
          <w:szCs w:val="24"/>
        </w:rPr>
        <w:fldChar w:fldCharType="end"/>
      </w:r>
      <w:r w:rsidR="00522375" w:rsidRPr="00EB056A">
        <w:rPr>
          <w:rFonts w:ascii="Arial" w:hAnsi="Arial" w:cs="Arial"/>
          <w:sz w:val="24"/>
          <w:szCs w:val="24"/>
        </w:rPr>
        <w:t xml:space="preserve">. In a study by Raper </w:t>
      </w:r>
      <w:r w:rsidR="00522375" w:rsidRPr="00EB056A">
        <w:rPr>
          <w:rFonts w:ascii="Arial" w:hAnsi="Arial" w:cs="Arial"/>
          <w:i/>
          <w:iCs/>
          <w:sz w:val="24"/>
          <w:szCs w:val="24"/>
        </w:rPr>
        <w:t>et al</w:t>
      </w:r>
      <w:r w:rsidR="00DE3749">
        <w:rPr>
          <w:rFonts w:ascii="Arial" w:hAnsi="Arial" w:cs="Arial"/>
          <w:i/>
          <w:iCs/>
          <w:sz w:val="24"/>
          <w:szCs w:val="24"/>
        </w:rPr>
        <w:t>.</w:t>
      </w:r>
      <w:r w:rsidR="00522375" w:rsidRPr="00EB056A">
        <w:rPr>
          <w:rFonts w:ascii="Arial" w:hAnsi="Arial" w:cs="Arial"/>
          <w:i/>
          <w:iCs/>
          <w:sz w:val="24"/>
          <w:szCs w:val="24"/>
        </w:rPr>
        <w:fldChar w:fldCharType="begin"/>
      </w:r>
      <w:r w:rsidR="005B4F59">
        <w:rPr>
          <w:rFonts w:ascii="Arial" w:hAnsi="Arial" w:cs="Arial"/>
          <w:i/>
          <w:iCs/>
          <w:sz w:val="24"/>
          <w:szCs w:val="24"/>
        </w:rPr>
        <w:instrText xml:space="preserve"> ADDIN ZOTERO_ITEM CSL_CITATION {"citationID":"ThTjKGz3","properties":{"formattedCitation":"\\super 27\\nosupersub{}","plainCitation":"27","noteIndex":0},"citationItems":[{"id":8,"uris":["http://zotero.org/users/6508478/items/34NS6RPP"],"itemData":{"id":8,"type":"article-journal","abstract":"BACKGROUND: The extent of obliteration of ruptured intracranial aneurysms treated with coil embolization has been correlated with the risk of rerupture. However, many practitioners consider that a small neck remnant is unlikely to result in significant risk after coiling.\nOBJECTIVE: To report our recent experience with ruptured anterior cerebral artery aneurysms treated with endovascular coiling, which recurred or reruptured, requiring microsurgical clipping for subsequent treatment.\nMETHODS: Retrospective review of patients with intracranial aneurysms treated at our institution since August 2018. Patient and aneurysm characteristics, initial and subsequent treatment approaches, and outcomes were reviewed.\nRESULTS: Six patients were included. Out of those 6 patients, 5 patients had anterior communicating artery aneurysms, and 1 patient had a pericallosal aneurysm. All initially presented with subarachnoid hemorrhage (SAH) and were treated with coiling. Recurrence occurred at a median of 7.5 mo. In 2 cases, retreatment was initially performed with repeat endovascular coiling, but further recurrence was observed. Rerupture from the residual or recurrent aneurysm occurred in 3 cases. In 2 cases, the aneurysm dome recurred; in 1 case, rerupture occurred from the neck. All 6 patients underwent treatment with microsurgical clipping. Follow-up catheter angiography demonstrated a complete occlusion of the aneurysm in all cases with the preservation of the parent vessel.\nCONCLUSION: Anterior cerebral artery aneurysms may recur after endovascular treatment, and even small neck remnants present a risk of rerupture after an initial SAH. Complete treatment requires a complete exclusion of the aneurysm from the circulation. Even in cases that have been previously coiled, microsurgical clipping can represent a safe and effective treatment option.","container-title":"Operative Neurosurgery (Hagerstown, Md.)","DOI":"10.1093/ons/opaa103","ISSN":"2332-4260","issue":"4","journalAbbreviation":"Oper Neurosurg (Hagerstown)","language":"eng","note":"PMID: 32409831","page":"393-402","source":"PubMed","title":"Definitive Treatment With Microsurgical Clipping After Recurrence and Rerupture of Coiled Anterior Cerebral Artery Aneurysms","volume":"19","author":[{"family":"Raper","given":"Daniel M. S."},{"family":"Rutledge","given":"Caleb"},{"family":"Winkler","given":"Ethan A."},{"family":"Abla","given":"Adib A."}],"issued":{"date-parts":[["2020",9,15]]}}}],"schema":"https://github.com/citation-style-language/schema/raw/master/csl-citation.json"} </w:instrText>
      </w:r>
      <w:r w:rsidR="00522375" w:rsidRPr="00EB056A">
        <w:rPr>
          <w:rFonts w:ascii="Arial" w:hAnsi="Arial" w:cs="Arial"/>
          <w:i/>
          <w:iCs/>
          <w:sz w:val="24"/>
          <w:szCs w:val="24"/>
        </w:rPr>
        <w:fldChar w:fldCharType="separate"/>
      </w:r>
      <w:r w:rsidR="00766016" w:rsidRPr="00766016">
        <w:rPr>
          <w:rFonts w:ascii="Arial" w:hAnsi="Arial" w:cs="Arial"/>
          <w:sz w:val="24"/>
          <w:szCs w:val="24"/>
          <w:vertAlign w:val="superscript"/>
        </w:rPr>
        <w:t>27</w:t>
      </w:r>
      <w:r w:rsidR="00522375" w:rsidRPr="00EB056A">
        <w:rPr>
          <w:rFonts w:ascii="Arial" w:hAnsi="Arial" w:cs="Arial"/>
          <w:i/>
          <w:iCs/>
          <w:sz w:val="24"/>
          <w:szCs w:val="24"/>
        </w:rPr>
        <w:fldChar w:fldCharType="end"/>
      </w:r>
      <w:r w:rsidR="00522375" w:rsidRPr="00EB056A">
        <w:rPr>
          <w:rFonts w:ascii="Arial" w:hAnsi="Arial" w:cs="Arial"/>
          <w:i/>
          <w:iCs/>
          <w:sz w:val="24"/>
          <w:szCs w:val="24"/>
        </w:rPr>
        <w:t xml:space="preserve">, </w:t>
      </w:r>
      <w:r w:rsidR="00522375" w:rsidRPr="00EB056A">
        <w:rPr>
          <w:rFonts w:ascii="Arial" w:hAnsi="Arial" w:cs="Arial"/>
          <w:sz w:val="24"/>
          <w:szCs w:val="24"/>
        </w:rPr>
        <w:t>six patients who were initially treated with coils had aneurysm ruptures, but surgical clipping fully closed these ruptured aneurysm necks.</w:t>
      </w:r>
    </w:p>
    <w:p w14:paraId="20514321" w14:textId="274B9DDB" w:rsidR="005400A6" w:rsidRPr="00EB056A" w:rsidRDefault="009F298A" w:rsidP="00EB056A">
      <w:pPr>
        <w:spacing w:line="480" w:lineRule="auto"/>
        <w:jc w:val="center"/>
        <w:rPr>
          <w:rFonts w:ascii="Arial" w:hAnsi="Arial" w:cs="Arial"/>
          <w:sz w:val="24"/>
          <w:szCs w:val="24"/>
        </w:rPr>
      </w:pPr>
      <w:r w:rsidRPr="00EB056A">
        <w:rPr>
          <w:rFonts w:ascii="Arial" w:hAnsi="Arial" w:cs="Arial"/>
          <w:noProof/>
        </w:rPr>
        <w:drawing>
          <wp:inline distT="0" distB="0" distL="0" distR="0" wp14:anchorId="1AF3ACD5" wp14:editId="5531093A">
            <wp:extent cx="4114087" cy="1395412"/>
            <wp:effectExtent l="0" t="0" r="1270" b="0"/>
            <wp:docPr id="3" name="Picture 3" descr="A picture containing text, tool, sciss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tool, scissors&#10;&#10;Description automatically generated"/>
                    <pic:cNvPicPr/>
                  </pic:nvPicPr>
                  <pic:blipFill rotWithShape="1">
                    <a:blip r:embed="rId12"/>
                    <a:srcRect t="1212" b="10036"/>
                    <a:stretch/>
                  </pic:blipFill>
                  <pic:spPr bwMode="auto">
                    <a:xfrm>
                      <a:off x="0" y="0"/>
                      <a:ext cx="4126794" cy="1399722"/>
                    </a:xfrm>
                    <a:prstGeom prst="rect">
                      <a:avLst/>
                    </a:prstGeom>
                    <a:ln>
                      <a:noFill/>
                    </a:ln>
                    <a:extLst>
                      <a:ext uri="{53640926-AAD7-44D8-BBD7-CCE9431645EC}">
                        <a14:shadowObscured xmlns:a14="http://schemas.microsoft.com/office/drawing/2010/main"/>
                      </a:ext>
                    </a:extLst>
                  </pic:spPr>
                </pic:pic>
              </a:graphicData>
            </a:graphic>
          </wp:inline>
        </w:drawing>
      </w:r>
    </w:p>
    <w:p w14:paraId="4E756CD7" w14:textId="384FCEAD" w:rsidR="005400A6" w:rsidRPr="00EB056A" w:rsidRDefault="005400A6" w:rsidP="00834360">
      <w:pPr>
        <w:pStyle w:val="Lgende"/>
        <w:spacing w:line="276" w:lineRule="auto"/>
        <w:jc w:val="both"/>
      </w:pPr>
      <w:bookmarkStart w:id="26" w:name="_Ref81823196"/>
      <w:bookmarkStart w:id="27" w:name="_Toc83025405"/>
      <w:bookmarkStart w:id="28" w:name="_Toc105918969"/>
      <w:r w:rsidRPr="000231DD">
        <w:rPr>
          <w:rFonts w:ascii="Arial" w:hAnsi="Arial" w:cs="Arial"/>
          <w:b/>
          <w:bCs/>
          <w:i w:val="0"/>
          <w:iCs w:val="0"/>
          <w:color w:val="000000" w:themeColor="text1"/>
          <w:sz w:val="24"/>
          <w:szCs w:val="24"/>
        </w:rPr>
        <w:t xml:space="preserve">Figure </w:t>
      </w:r>
      <w:r w:rsidRPr="003B7652">
        <w:rPr>
          <w:rFonts w:ascii="Arial" w:hAnsi="Arial" w:cs="Arial"/>
          <w:b/>
          <w:bCs/>
          <w:i w:val="0"/>
          <w:iCs w:val="0"/>
          <w:color w:val="000000" w:themeColor="text1"/>
          <w:sz w:val="24"/>
          <w:szCs w:val="24"/>
        </w:rPr>
        <w:fldChar w:fldCharType="begin"/>
      </w:r>
      <w:r w:rsidRPr="000231DD">
        <w:rPr>
          <w:rFonts w:ascii="Arial" w:hAnsi="Arial" w:cs="Arial"/>
          <w:b/>
          <w:bCs/>
          <w:i w:val="0"/>
          <w:iCs w:val="0"/>
          <w:color w:val="000000" w:themeColor="text1"/>
          <w:sz w:val="24"/>
          <w:szCs w:val="24"/>
        </w:rPr>
        <w:instrText xml:space="preserve"> SEQ Figure \* ARABIC </w:instrText>
      </w:r>
      <w:r w:rsidRPr="003B7652">
        <w:rPr>
          <w:rFonts w:ascii="Arial" w:hAnsi="Arial" w:cs="Arial"/>
          <w:b/>
          <w:bCs/>
          <w:i w:val="0"/>
          <w:iCs w:val="0"/>
          <w:color w:val="000000" w:themeColor="text1"/>
          <w:sz w:val="24"/>
          <w:szCs w:val="24"/>
        </w:rPr>
        <w:fldChar w:fldCharType="separate"/>
      </w:r>
      <w:r w:rsidR="005C4791">
        <w:rPr>
          <w:rFonts w:ascii="Arial" w:hAnsi="Arial" w:cs="Arial"/>
          <w:b/>
          <w:bCs/>
          <w:i w:val="0"/>
          <w:iCs w:val="0"/>
          <w:noProof/>
          <w:color w:val="000000" w:themeColor="text1"/>
          <w:sz w:val="24"/>
          <w:szCs w:val="24"/>
        </w:rPr>
        <w:t>4</w:t>
      </w:r>
      <w:r w:rsidRPr="003B7652">
        <w:rPr>
          <w:rFonts w:ascii="Arial" w:hAnsi="Arial" w:cs="Arial"/>
          <w:b/>
          <w:bCs/>
          <w:i w:val="0"/>
          <w:iCs w:val="0"/>
          <w:color w:val="000000" w:themeColor="text1"/>
          <w:sz w:val="24"/>
          <w:szCs w:val="24"/>
        </w:rPr>
        <w:fldChar w:fldCharType="end"/>
      </w:r>
      <w:bookmarkEnd w:id="26"/>
      <w:r w:rsidRPr="000231DD">
        <w:rPr>
          <w:rFonts w:ascii="Arial" w:hAnsi="Arial" w:cs="Arial"/>
          <w:b/>
          <w:bCs/>
          <w:i w:val="0"/>
          <w:iCs w:val="0"/>
          <w:color w:val="000000" w:themeColor="text1"/>
          <w:sz w:val="24"/>
          <w:szCs w:val="24"/>
        </w:rPr>
        <w:t xml:space="preserve">: </w:t>
      </w:r>
      <w:r w:rsidR="000231DD" w:rsidRPr="000231DD">
        <w:rPr>
          <w:rFonts w:ascii="Arial" w:hAnsi="Arial" w:cs="Arial"/>
          <w:b/>
          <w:bCs/>
          <w:i w:val="0"/>
          <w:iCs w:val="0"/>
          <w:color w:val="000000" w:themeColor="text1"/>
          <w:sz w:val="24"/>
          <w:szCs w:val="24"/>
        </w:rPr>
        <w:t>R</w:t>
      </w:r>
      <w:r w:rsidRPr="000231DD">
        <w:rPr>
          <w:rFonts w:ascii="Arial" w:hAnsi="Arial" w:cs="Arial"/>
          <w:b/>
          <w:bCs/>
          <w:i w:val="0"/>
          <w:iCs w:val="0"/>
          <w:color w:val="000000" w:themeColor="text1"/>
          <w:sz w:val="24"/>
          <w:szCs w:val="24"/>
        </w:rPr>
        <w:t>epresentation of a surgical clip on a saccular aneurysm neck</w:t>
      </w:r>
      <w:bookmarkEnd w:id="27"/>
      <w:r w:rsidR="000231DD" w:rsidRPr="000231DD">
        <w:rPr>
          <w:rFonts w:ascii="Arial" w:hAnsi="Arial" w:cs="Arial"/>
          <w:b/>
          <w:bCs/>
          <w:i w:val="0"/>
          <w:iCs w:val="0"/>
          <w:color w:val="000000" w:themeColor="text1"/>
          <w:sz w:val="24"/>
          <w:szCs w:val="24"/>
        </w:rPr>
        <w:t xml:space="preserve">. </w:t>
      </w:r>
      <w:r w:rsidR="000231DD" w:rsidRPr="000231DD">
        <w:rPr>
          <w:rFonts w:ascii="Arial" w:hAnsi="Arial" w:cs="Arial"/>
          <w:i w:val="0"/>
          <w:iCs w:val="0"/>
          <w:color w:val="000000" w:themeColor="text1"/>
          <w:sz w:val="24"/>
          <w:szCs w:val="24"/>
        </w:rPr>
        <w:t>The s</w:t>
      </w:r>
      <w:r w:rsidR="0032616A" w:rsidRPr="000231DD">
        <w:rPr>
          <w:rFonts w:ascii="Arial" w:hAnsi="Arial" w:cs="Arial"/>
          <w:i w:val="0"/>
          <w:iCs w:val="0"/>
          <w:color w:val="000000" w:themeColor="text1"/>
          <w:sz w:val="24"/>
          <w:szCs w:val="24"/>
        </w:rPr>
        <w:t xml:space="preserve">urgical clip </w:t>
      </w:r>
      <w:r w:rsidR="00207B4B" w:rsidRPr="000231DD">
        <w:rPr>
          <w:rFonts w:ascii="Arial" w:hAnsi="Arial" w:cs="Arial"/>
          <w:i w:val="0"/>
          <w:iCs w:val="0"/>
          <w:color w:val="000000" w:themeColor="text1"/>
          <w:sz w:val="24"/>
          <w:szCs w:val="24"/>
        </w:rPr>
        <w:t>pinch</w:t>
      </w:r>
      <w:r w:rsidR="000231DD">
        <w:rPr>
          <w:rFonts w:ascii="Arial" w:hAnsi="Arial" w:cs="Arial"/>
          <w:i w:val="0"/>
          <w:iCs w:val="0"/>
          <w:color w:val="000000" w:themeColor="text1"/>
          <w:sz w:val="24"/>
          <w:szCs w:val="24"/>
        </w:rPr>
        <w:t>es</w:t>
      </w:r>
      <w:r w:rsidR="00207B4B" w:rsidRPr="000231DD">
        <w:rPr>
          <w:rFonts w:ascii="Arial" w:hAnsi="Arial" w:cs="Arial"/>
          <w:i w:val="0"/>
          <w:iCs w:val="0"/>
          <w:color w:val="000000" w:themeColor="text1"/>
          <w:sz w:val="24"/>
          <w:szCs w:val="24"/>
        </w:rPr>
        <w:t xml:space="preserve"> the aneurysm neck to prevent blood from going in the aneurysm </w:t>
      </w:r>
      <w:r w:rsidR="00B33B34" w:rsidRPr="000231DD">
        <w:rPr>
          <w:rFonts w:ascii="Arial" w:hAnsi="Arial" w:cs="Arial"/>
          <w:i w:val="0"/>
          <w:iCs w:val="0"/>
          <w:color w:val="000000" w:themeColor="text1"/>
          <w:sz w:val="24"/>
          <w:szCs w:val="24"/>
        </w:rPr>
        <w:t>and causing aneurysm rupture.</w:t>
      </w:r>
      <w:bookmarkEnd w:id="28"/>
    </w:p>
    <w:p w14:paraId="184E346C" w14:textId="2D5059A3" w:rsidR="00194F5C" w:rsidRDefault="004C2AE9" w:rsidP="007F60CB">
      <w:pPr>
        <w:spacing w:line="480" w:lineRule="auto"/>
        <w:ind w:firstLine="720"/>
        <w:jc w:val="both"/>
      </w:pPr>
      <w:r>
        <w:rPr>
          <w:rFonts w:ascii="Arial" w:hAnsi="Arial" w:cs="Arial"/>
          <w:sz w:val="24"/>
          <w:szCs w:val="24"/>
        </w:rPr>
        <w:t>Unfortunately</w:t>
      </w:r>
      <w:r w:rsidR="005400A6" w:rsidRPr="00EB056A">
        <w:rPr>
          <w:rFonts w:ascii="Arial" w:hAnsi="Arial" w:cs="Arial"/>
          <w:sz w:val="24"/>
          <w:szCs w:val="24"/>
        </w:rPr>
        <w:t>, surgical clipping can be expensive</w:t>
      </w:r>
      <w:r w:rsidR="005400A6" w:rsidRPr="00937E50">
        <w:rPr>
          <w:rFonts w:ascii="Arial" w:hAnsi="Arial" w:cs="Arial"/>
          <w:sz w:val="24"/>
          <w:szCs w:val="24"/>
        </w:rPr>
        <w:t xml:space="preserve">. </w:t>
      </w:r>
      <w:r w:rsidR="002A4FB5">
        <w:rPr>
          <w:rFonts w:ascii="Arial" w:hAnsi="Arial" w:cs="Arial"/>
          <w:sz w:val="24"/>
          <w:szCs w:val="24"/>
        </w:rPr>
        <w:t>For example, t</w:t>
      </w:r>
      <w:r w:rsidR="00556FB2">
        <w:rPr>
          <w:rFonts w:ascii="Arial" w:hAnsi="Arial" w:cs="Arial"/>
          <w:sz w:val="24"/>
          <w:szCs w:val="24"/>
        </w:rPr>
        <w:t>he</w:t>
      </w:r>
      <w:r w:rsidR="00556FB2" w:rsidRPr="00937E50">
        <w:rPr>
          <w:rFonts w:ascii="Arial" w:hAnsi="Arial" w:cs="Arial"/>
          <w:sz w:val="24"/>
          <w:szCs w:val="24"/>
        </w:rPr>
        <w:t xml:space="preserve"> </w:t>
      </w:r>
      <w:r w:rsidR="005400A6" w:rsidRPr="00937E50">
        <w:rPr>
          <w:rFonts w:ascii="Arial" w:hAnsi="Arial" w:cs="Arial"/>
          <w:sz w:val="24"/>
          <w:szCs w:val="24"/>
        </w:rPr>
        <w:t>average cost</w:t>
      </w:r>
      <w:r w:rsidR="00FD6FD4">
        <w:rPr>
          <w:rFonts w:ascii="Arial" w:hAnsi="Arial" w:cs="Arial"/>
          <w:sz w:val="24"/>
          <w:szCs w:val="24"/>
        </w:rPr>
        <w:t xml:space="preserve"> of the c</w:t>
      </w:r>
      <w:r w:rsidR="00806814">
        <w:rPr>
          <w:rFonts w:ascii="Arial" w:hAnsi="Arial" w:cs="Arial"/>
          <w:sz w:val="24"/>
          <w:szCs w:val="24"/>
        </w:rPr>
        <w:t>lipping procedure</w:t>
      </w:r>
      <w:r w:rsidR="005400A6" w:rsidRPr="00937E50">
        <w:rPr>
          <w:rFonts w:ascii="Arial" w:hAnsi="Arial" w:cs="Arial"/>
          <w:sz w:val="24"/>
          <w:szCs w:val="24"/>
        </w:rPr>
        <w:t xml:space="preserve"> </w:t>
      </w:r>
      <w:r w:rsidR="005400A6" w:rsidRPr="00EB056A">
        <w:rPr>
          <w:rFonts w:ascii="Arial" w:hAnsi="Arial" w:cs="Arial"/>
          <w:sz w:val="24"/>
          <w:szCs w:val="24"/>
        </w:rPr>
        <w:t>in the US was $24,000</w:t>
      </w:r>
      <w:r w:rsidR="002A4FB5">
        <w:rPr>
          <w:rFonts w:ascii="Arial" w:hAnsi="Arial" w:cs="Arial"/>
          <w:sz w:val="24"/>
          <w:szCs w:val="24"/>
        </w:rPr>
        <w:t xml:space="preserve"> in 2008</w:t>
      </w:r>
      <w:r w:rsidR="005400A6" w:rsidRPr="00EB056A">
        <w:rPr>
          <w:rFonts w:ascii="Arial" w:hAnsi="Arial" w:cs="Arial"/>
          <w:sz w:val="24"/>
          <w:szCs w:val="24"/>
        </w:rPr>
        <w:fldChar w:fldCharType="begin"/>
      </w:r>
      <w:r w:rsidR="005B4F59">
        <w:rPr>
          <w:rFonts w:ascii="Arial" w:hAnsi="Arial" w:cs="Arial"/>
          <w:sz w:val="24"/>
          <w:szCs w:val="24"/>
        </w:rPr>
        <w:instrText xml:space="preserve"> ADDIN ZOTERO_ITEM CSL_CITATION {"citationID":"abEjhjCg","properties":{"formattedCitation":"\\super 3\\nosupersub{}","plainCitation":"3","noteIndex":0},"citationItems":[{"id":22,"uris":["http://zotero.org/users/6508478/items/EKMLKFBH"],"itemData":{"id":22,"type":"article-journal","abstract":"BACKGROUND AND PURPOSE: Both endovascular and surgical options are available for treatment of unruptured cerebral aneurysms. We conducted a study to determine the costs versus Medicare reimbursement for hospitalization of these patients, which is important information for understanding the economic impact of these patients on hospitals.\nMATERIALS AND METHODS: Using the NIS, we identified hospitalizations for clipping and coiling of unruptured cerebral aneurysms from 2001 to 2008 by cross-matching ICD-9 codes for diagnosis of unruptured aneurysm with procedure codes for clipping or coiling of cerebral aneurysms and excluding all patients with subarachnoid hemorrhage and intracerebral hemorrhage. Hospital costs for 2008 were correlated with age, sex, and discharge status and compared with Medicare payments.\nRESULTS: Costs of both clipping and coiling have increased from 2001 to 2008. The median 2008 hospital costs were $23,574 (IQR, $18,233-$29,941) for clipping and $25,734 (IQR, $17,436-$35,846) for coiling without complications, which were higher than the average Medicare payment of $12,599. The median hospital costs were $36,188 (IQR, $21,831-$55,308) for clipping and $40,502 (IQR, $24,289-$50,108) for coiling treatments complicated by major morbidity and $68,165 (IQR, $32,972-$100,211) for clipping and $56,020 for coiling treatments complicated by mortality, which were higher than the average Medicare payment for patients with major complications and comorbidities of $22,946. In multivariate analysis, female sex was associated with higher costs for coiling (P = .02), and poor discharge status was associated with higher costs for both clipping (P &lt; .001) and coiling (P &lt; .001).\nCONCLUSIONS: Hospitalization costs for patients undergoing clipping and coiling of unruptured cerebral aneurysms are substantially higher than Medicare payments.","container-title":"AJNR. American journal of neuroradiology","DOI":"10.3174/ajnr.A2739","ISSN":"1936-959X","issue":"1","journalAbbreviation":"AJNR Am J Neuroradiol","language":"eng","note":"PMID: 22033718\nPMCID: PMC7966155","page":"49-51","source":"PubMed","title":"Hospitalization costs for endovascular and surgical treatment of unruptured cerebral aneurysms in the United States are substantially higher than medicare payments","volume":"33","author":[{"family":"Brinjikji","given":"W."},{"family":"Kallmes","given":"D. F."},{"family":"Lanzino","given":"G."},{"family":"Cloft","given":"H. J."}],"issued":{"date-parts":[["2012",1]]}}}],"schema":"https://github.com/citation-style-language/schema/raw/master/csl-citation.json"} </w:instrText>
      </w:r>
      <w:r w:rsidR="005400A6" w:rsidRPr="00EB056A">
        <w:rPr>
          <w:rFonts w:ascii="Arial" w:hAnsi="Arial" w:cs="Arial"/>
          <w:sz w:val="24"/>
          <w:szCs w:val="24"/>
        </w:rPr>
        <w:fldChar w:fldCharType="separate"/>
      </w:r>
      <w:r w:rsidR="005400A6" w:rsidRPr="00EB056A">
        <w:rPr>
          <w:rFonts w:ascii="Arial" w:hAnsi="Arial" w:cs="Arial"/>
          <w:sz w:val="24"/>
          <w:szCs w:val="24"/>
          <w:vertAlign w:val="superscript"/>
        </w:rPr>
        <w:t>3</w:t>
      </w:r>
      <w:r w:rsidR="005400A6" w:rsidRPr="00EB056A">
        <w:rPr>
          <w:rFonts w:ascii="Arial" w:hAnsi="Arial" w:cs="Arial"/>
          <w:sz w:val="24"/>
          <w:szCs w:val="24"/>
        </w:rPr>
        <w:fldChar w:fldCharType="end"/>
      </w:r>
      <w:r w:rsidR="005400A6" w:rsidRPr="00EB056A">
        <w:rPr>
          <w:rFonts w:ascii="Arial" w:hAnsi="Arial" w:cs="Arial"/>
          <w:sz w:val="24"/>
          <w:szCs w:val="24"/>
        </w:rPr>
        <w:t xml:space="preserve">. In a 20-year cost comparison of surgical </w:t>
      </w:r>
      <w:r w:rsidR="005400A6" w:rsidRPr="00937E50">
        <w:rPr>
          <w:rFonts w:ascii="Arial" w:hAnsi="Arial" w:cs="Arial"/>
          <w:sz w:val="24"/>
          <w:szCs w:val="24"/>
        </w:rPr>
        <w:t>clipping</w:t>
      </w:r>
      <w:r w:rsidR="00CB0C85">
        <w:rPr>
          <w:rFonts w:ascii="Arial" w:hAnsi="Arial" w:cs="Arial"/>
          <w:sz w:val="24"/>
          <w:szCs w:val="24"/>
        </w:rPr>
        <w:t xml:space="preserve"> procedures</w:t>
      </w:r>
      <w:r w:rsidR="005400A6" w:rsidRPr="00937E50">
        <w:rPr>
          <w:rFonts w:ascii="Arial" w:hAnsi="Arial" w:cs="Arial"/>
          <w:sz w:val="24"/>
          <w:szCs w:val="24"/>
        </w:rPr>
        <w:t xml:space="preserve">, </w:t>
      </w:r>
      <w:r w:rsidR="005400A6" w:rsidRPr="00EB056A">
        <w:rPr>
          <w:rFonts w:ascii="Arial" w:hAnsi="Arial" w:cs="Arial"/>
          <w:sz w:val="24"/>
          <w:szCs w:val="24"/>
        </w:rPr>
        <w:t xml:space="preserve">Engele </w:t>
      </w:r>
      <w:r w:rsidR="005400A6" w:rsidRPr="00EB056A">
        <w:rPr>
          <w:rFonts w:ascii="Arial" w:hAnsi="Arial" w:cs="Arial"/>
          <w:i/>
          <w:iCs/>
          <w:sz w:val="24"/>
          <w:szCs w:val="24"/>
        </w:rPr>
        <w:t>et al.</w:t>
      </w:r>
      <w:r w:rsidR="005400A6" w:rsidRPr="00EB056A">
        <w:rPr>
          <w:rFonts w:ascii="Arial" w:hAnsi="Arial" w:cs="Arial"/>
          <w:i/>
          <w:iCs/>
          <w:sz w:val="24"/>
          <w:szCs w:val="24"/>
        </w:rPr>
        <w:fldChar w:fldCharType="begin"/>
      </w:r>
      <w:r w:rsidR="005B4F59">
        <w:rPr>
          <w:rFonts w:ascii="Arial" w:hAnsi="Arial" w:cs="Arial"/>
          <w:i/>
          <w:iCs/>
          <w:sz w:val="24"/>
          <w:szCs w:val="24"/>
        </w:rPr>
        <w:instrText xml:space="preserve"> ADDIN ZOTERO_ITEM CSL_CITATION {"citationID":"ySdZZlCZ","properties":{"formattedCitation":"\\super 28\\nosupersub{}","plainCitation":"28","noteIndex":0},"citationItems":[{"id":21,"uris":["http://zotero.org/users/6508478/items/QDNGGQB7"],"itemData":{"id":21,"type":"article-journal","abstract":"Objectives\nRupture of unruptured intracranial aneurysms (UIA) is the main cause for subarachnoid hemorrhage. UIA are widespread among the population. Advanced technology enables us to diagnose UIAs with increasing reliability and subsequently treat them. There are 2 main treatment options: surgical clipping and endovascular treatment of the aneurysm. This article aims to analyze costs of neurosurgical clipping and the endovascular approach to treat UIA, and to give an overview over the existing literature.\nMethods\nA systematic literature search was conducted using the databases Ovid MEDLINE, PubMed, and NHS EED. Articles were divided into 2 groups based on the perspective from which costs were evaluated (health care provider or payer). Costs were inflated to the year 2015 and converted to international dollars.\nResults\nThe literature search yielded 137 different articles out of which 15 have been considered relevant and have been included in this review. Not only absolute numbers but also the cost ratio of both treatment modalities showed substantial variations. The coiling procedure tends to be more expensive for health care providers but cheaper for cost bearers. Without any exception, the authors determined shorter lengths of stay for patients who underwent the coiling procedure.\nConclusions\nDue to different definitions of hospital costs and hardly reproducible calculations, comparability of the stated numbers is limited. Besides the economic impact, outcomes must be considered when making a treatment decision. The 2 treatment modalities are not equally suitable in every patient nor for every aneurysm location.","container-title":"World Neurosurgery","DOI":"10.1016/j.wneu.2019.01.195","ISSN":"1878-8750","journalAbbreviation":"World Neurosurgery","language":"en","page":"461-468","source":"ScienceDirect","title":"Cost Comparison of Surgical Clipping and Endovascular Coiling of Unruptured Intracranial Aneurysms: A Systematic Review","title-short":"Cost Comparison of Surgical Clipping and Endovascular Coiling of Unruptured Intracranial Aneurysms","volume":"125","author":[{"family":"Engele","given":"Tobias"},{"family":"Brettschneider","given":"Christian"},{"family":"Emami","given":"Pedram"},{"family":"König","given":"Hans-Helmut"}],"issued":{"date-parts":[["2019",5,1]]}}}],"schema":"https://github.com/citation-style-language/schema/raw/master/csl-citation.json"} </w:instrText>
      </w:r>
      <w:r w:rsidR="005400A6" w:rsidRPr="00EB056A">
        <w:rPr>
          <w:rFonts w:ascii="Arial" w:hAnsi="Arial" w:cs="Arial"/>
          <w:i/>
          <w:iCs/>
          <w:sz w:val="24"/>
          <w:szCs w:val="24"/>
        </w:rPr>
        <w:fldChar w:fldCharType="separate"/>
      </w:r>
      <w:r w:rsidR="00766016" w:rsidRPr="00766016">
        <w:rPr>
          <w:rFonts w:ascii="Arial" w:hAnsi="Arial" w:cs="Arial"/>
          <w:sz w:val="24"/>
          <w:szCs w:val="24"/>
          <w:vertAlign w:val="superscript"/>
        </w:rPr>
        <w:t>28</w:t>
      </w:r>
      <w:r w:rsidR="005400A6" w:rsidRPr="00EB056A">
        <w:rPr>
          <w:rFonts w:ascii="Arial" w:hAnsi="Arial" w:cs="Arial"/>
          <w:i/>
          <w:iCs/>
          <w:sz w:val="24"/>
          <w:szCs w:val="24"/>
        </w:rPr>
        <w:fldChar w:fldCharType="end"/>
      </w:r>
      <w:r w:rsidR="005400A6" w:rsidRPr="00EB056A">
        <w:rPr>
          <w:rFonts w:ascii="Arial" w:hAnsi="Arial" w:cs="Arial"/>
          <w:i/>
          <w:iCs/>
          <w:sz w:val="24"/>
          <w:szCs w:val="24"/>
        </w:rPr>
        <w:t>,</w:t>
      </w:r>
      <w:r w:rsidR="005400A6" w:rsidRPr="00EB056A">
        <w:rPr>
          <w:rFonts w:ascii="Arial" w:hAnsi="Arial" w:cs="Arial"/>
          <w:sz w:val="24"/>
          <w:szCs w:val="24"/>
        </w:rPr>
        <w:t xml:space="preserve"> found that clipping costs are hospital-dependent, vary between $20,000 and $80,000, and can be up to 30% more expensive than coiling</w:t>
      </w:r>
      <w:r w:rsidR="005400A6" w:rsidRPr="00EB056A">
        <w:rPr>
          <w:rFonts w:ascii="Arial" w:hAnsi="Arial" w:cs="Arial"/>
          <w:sz w:val="24"/>
          <w:szCs w:val="24"/>
        </w:rPr>
        <w:fldChar w:fldCharType="begin"/>
      </w:r>
      <w:r w:rsidR="005B4F59">
        <w:rPr>
          <w:rFonts w:ascii="Arial" w:hAnsi="Arial" w:cs="Arial"/>
          <w:sz w:val="24"/>
          <w:szCs w:val="24"/>
        </w:rPr>
        <w:instrText xml:space="preserve"> ADDIN ZOTERO_ITEM CSL_CITATION {"citationID":"FYBgUig9","properties":{"formattedCitation":"\\super 28\\nosupersub{}","plainCitation":"28","noteIndex":0},"citationItems":[{"id":21,"uris":["http://zotero.org/users/6508478/items/QDNGGQB7"],"itemData":{"id":21,"type":"article-journal","abstract":"Objectives\nRupture of unruptured intracranial aneurysms (UIA) is the main cause for subarachnoid hemorrhage. UIA are widespread among the population. Advanced technology enables us to diagnose UIAs with increasing reliability and subsequently treat them. There are 2 main treatment options: surgical clipping and endovascular treatment of the aneurysm. This article aims to analyze costs of neurosurgical clipping and the endovascular approach to treat UIA, and to give an overview over the existing literature.\nMethods\nA systematic literature search was conducted using the databases Ovid MEDLINE, PubMed, and NHS EED. Articles were divided into 2 groups based on the perspective from which costs were evaluated (health care provider or payer). Costs were inflated to the year 2015 and converted to international dollars.\nResults\nThe literature search yielded 137 different articles out of which 15 have been considered relevant and have been included in this review. Not only absolute numbers but also the cost ratio of both treatment modalities showed substantial variations. The coiling procedure tends to be more expensive for health care providers but cheaper for cost bearers. Without any exception, the authors determined shorter lengths of stay for patients who underwent the coiling procedure.\nConclusions\nDue to different definitions of hospital costs and hardly reproducible calculations, comparability of the stated numbers is limited. Besides the economic impact, outcomes must be considered when making a treatment decision. The 2 treatment modalities are not equally suitable in every patient nor for every aneurysm location.","container-title":"World Neurosurgery","DOI":"10.1016/j.wneu.2019.01.195","ISSN":"1878-8750","journalAbbreviation":"World Neurosurgery","language":"en","page":"461-468","source":"ScienceDirect","title":"Cost Comparison of Surgical Clipping and Endovascular Coiling of Unruptured Intracranial Aneurysms: A Systematic Review","title-short":"Cost Comparison of Surgical Clipping and Endovascular Coiling of Unruptured Intracranial Aneurysms","volume":"125","author":[{"family":"Engele","given":"Tobias"},{"family":"Brettschneider","given":"Christian"},{"family":"Emami","given":"Pedram"},{"family":"König","given":"Hans-Helmut"}],"issued":{"date-parts":[["2019",5,1]]}}}],"schema":"https://github.com/citation-style-language/schema/raw/master/csl-citation.json"} </w:instrText>
      </w:r>
      <w:r w:rsidR="005400A6" w:rsidRPr="00EB056A">
        <w:rPr>
          <w:rFonts w:ascii="Arial" w:hAnsi="Arial" w:cs="Arial"/>
          <w:sz w:val="24"/>
          <w:szCs w:val="24"/>
        </w:rPr>
        <w:fldChar w:fldCharType="separate"/>
      </w:r>
      <w:r w:rsidR="00766016" w:rsidRPr="00766016">
        <w:rPr>
          <w:rFonts w:ascii="Arial" w:hAnsi="Arial" w:cs="Arial"/>
          <w:sz w:val="24"/>
          <w:szCs w:val="24"/>
          <w:vertAlign w:val="superscript"/>
        </w:rPr>
        <w:t>28</w:t>
      </w:r>
      <w:r w:rsidR="005400A6" w:rsidRPr="00EB056A">
        <w:rPr>
          <w:rFonts w:ascii="Arial" w:hAnsi="Arial" w:cs="Arial"/>
          <w:sz w:val="24"/>
          <w:szCs w:val="24"/>
        </w:rPr>
        <w:fldChar w:fldCharType="end"/>
      </w:r>
      <w:r w:rsidR="005400A6" w:rsidRPr="00EB056A">
        <w:rPr>
          <w:rFonts w:ascii="Arial" w:hAnsi="Arial" w:cs="Arial"/>
          <w:sz w:val="24"/>
          <w:szCs w:val="24"/>
        </w:rPr>
        <w:t xml:space="preserve">. Moreover, clipping requires an open surgery of the skull, </w:t>
      </w:r>
      <w:r w:rsidR="005400A6" w:rsidRPr="00EB056A">
        <w:rPr>
          <w:rFonts w:ascii="Arial" w:hAnsi="Arial" w:cs="Arial"/>
          <w:sz w:val="24"/>
          <w:szCs w:val="24"/>
        </w:rPr>
        <w:lastRenderedPageBreak/>
        <w:t>which increases chances of complications</w:t>
      </w:r>
      <w:r w:rsidR="005400A6" w:rsidRPr="00EB056A">
        <w:rPr>
          <w:rFonts w:ascii="Arial" w:hAnsi="Arial" w:cs="Arial"/>
          <w:sz w:val="24"/>
          <w:szCs w:val="24"/>
        </w:rPr>
        <w:fldChar w:fldCharType="begin"/>
      </w:r>
      <w:r w:rsidR="005B4F59">
        <w:rPr>
          <w:rFonts w:ascii="Arial" w:hAnsi="Arial" w:cs="Arial"/>
          <w:sz w:val="24"/>
          <w:szCs w:val="24"/>
        </w:rPr>
        <w:instrText xml:space="preserve"> ADDIN ZOTERO_ITEM CSL_CITATION {"citationID":"3vGWGYsR","properties":{"formattedCitation":"\\super 29\\nosupersub{}","plainCitation":"29","noteIndex":0},"citationItems":[{"id":7,"uris":["http://zotero.org/users/6508478/items/E9TEQIT5"],"itemData":{"id":7,"type":"post-weblog","abstract":"Surgery poses the lowest risk when it is performed before an aneurysm ruptures. The patient’s condition, the size and location of the aneurysm, and other factors determine the risk of surgery. Your doctor will discuss the risks and benefits of surgery with you and your family and answer any questions you may have. Clipping is … Continue reading \"Surgical Treatment: Clipping\"","container-title":"Brain Aneurysm Foundation","language":"en","title":"Surgical Treatment: Clipping","title-short":"Surgical Treatment","URL":"https://bafound.org/treatment/surgical-treatment-clipping/","accessed":{"date-parts":[["2021",7,13]]}}}],"schema":"https://github.com/citation-style-language/schema/raw/master/csl-citation.json"} </w:instrText>
      </w:r>
      <w:r w:rsidR="005400A6" w:rsidRPr="00EB056A">
        <w:rPr>
          <w:rFonts w:ascii="Arial" w:hAnsi="Arial" w:cs="Arial"/>
          <w:sz w:val="24"/>
          <w:szCs w:val="24"/>
        </w:rPr>
        <w:fldChar w:fldCharType="separate"/>
      </w:r>
      <w:r w:rsidR="00766016" w:rsidRPr="00766016">
        <w:rPr>
          <w:rFonts w:ascii="Arial" w:hAnsi="Arial" w:cs="Arial"/>
          <w:sz w:val="24"/>
          <w:szCs w:val="24"/>
          <w:vertAlign w:val="superscript"/>
        </w:rPr>
        <w:t>29</w:t>
      </w:r>
      <w:r w:rsidR="005400A6" w:rsidRPr="00EB056A">
        <w:rPr>
          <w:rFonts w:ascii="Arial" w:hAnsi="Arial" w:cs="Arial"/>
          <w:sz w:val="24"/>
          <w:szCs w:val="24"/>
        </w:rPr>
        <w:fldChar w:fldCharType="end"/>
      </w:r>
      <w:r w:rsidR="005400A6" w:rsidRPr="00EB056A">
        <w:rPr>
          <w:rFonts w:ascii="Arial" w:hAnsi="Arial" w:cs="Arial"/>
          <w:sz w:val="24"/>
          <w:szCs w:val="24"/>
        </w:rPr>
        <w:t xml:space="preserve">. Hoffman </w:t>
      </w:r>
      <w:r w:rsidR="005400A6" w:rsidRPr="00EB056A">
        <w:rPr>
          <w:rFonts w:ascii="Arial" w:hAnsi="Arial" w:cs="Arial"/>
          <w:i/>
          <w:iCs/>
          <w:sz w:val="24"/>
          <w:szCs w:val="24"/>
        </w:rPr>
        <w:t>et al</w:t>
      </w:r>
      <w:r w:rsidR="00DE3749">
        <w:rPr>
          <w:rFonts w:ascii="Arial" w:hAnsi="Arial" w:cs="Arial"/>
          <w:i/>
          <w:iCs/>
          <w:sz w:val="24"/>
          <w:szCs w:val="24"/>
        </w:rPr>
        <w:t>.</w:t>
      </w:r>
      <w:r w:rsidR="005400A6" w:rsidRPr="00EB056A">
        <w:rPr>
          <w:rFonts w:ascii="Arial" w:hAnsi="Arial" w:cs="Arial"/>
          <w:i/>
          <w:iCs/>
          <w:sz w:val="24"/>
          <w:szCs w:val="24"/>
        </w:rPr>
        <w:fldChar w:fldCharType="begin"/>
      </w:r>
      <w:r w:rsidR="005B4F59">
        <w:rPr>
          <w:rFonts w:ascii="Arial" w:hAnsi="Arial" w:cs="Arial"/>
          <w:i/>
          <w:iCs/>
          <w:sz w:val="24"/>
          <w:szCs w:val="24"/>
        </w:rPr>
        <w:instrText xml:space="preserve"> ADDIN ZOTERO_ITEM CSL_CITATION {"citationID":"UD5UWEc1","properties":{"formattedCitation":"\\super 30\\nosupersub{}","plainCitation":"30","noteIndex":0},"citationItems":[{"id":19,"uris":["http://zotero.org/users/6508478/items/ZI593EAI"],"itemData":{"id":19,"type":"article-journal","abstract":"Background: In the treatment of aneurysmal subarachnoid hemorrhage (aSAH), microsurgical clipping, and endovascular therapy (EVT) with coiling are modalities for securing the ruptured aneurysm. Little data is available regarding associated readmission rates. We sought to determine whether readmission rates differed according to treatment modality for ruptured intracranial aneurysms. Methods: The Nationwide Readmissions Database (NRD) was used to identify adults who experienced aSAH and underwent clipping or EVT. Primary outcomes of interest were the incidences of 30- and 90-day readmissions (30dRA, 90dRA). Propensity score matching was used to generate matched pairs based on age, comorbidities, hospital volume, and hemorrhage severity. Results: We identified 13,623 and 11,160 patients who were eligible for 30dRA and 90dRA analyses, respectively. Among the patients eligible for 30dRA and 90dRA, we created 4282 and 3518 propensity score-matched pairs, respectively. There was no difference in the incidence of 30dRA (12.4% for clipping versus 11.2% for EVT; P = .094). However, 90dRA occurred more frequently after clipping (22.5%) compared to EVT (19.7%; P = .003). Clipping was associated with poor outcome after 30dRA (odds ratio [OR] = 1.51, 95% confidence interval [CI] 1.21-1.88, P &lt; .001) and after 90dRA (OR = 1.60, 95% CI 1.34-1.91, P = .001). Mean duration to readmission and cost of readmission did not vary, but clipping was associated with longer lengths of stay during readmission. Conclusions: Microsurgical clipping of ruptured aneurysms is associated with a greater incidence of 90dRA, but not 30dRA, compared to EVT. Poor outcomes after readmission are more common following clipping.","container-title":"Journal of Stroke and Cerebrovascular Diseases","DOI":"10.1016/j.jstrokecerebrovasdis.2020.104696","ISSN":"1052-3057","issue":"5","journalAbbreviation":"Journal of Stroke and Cerebrovascular Diseases","language":"en","page":"104696","source":"ScienceDirect","title":"A Propensity Score-Matched Comparison of Readmission Rates Associated With Microsurgical Clipping and Endovascular Treatment of Ruptured Intracranial Aneurysms","volume":"29","author":[{"family":"Hoffman","given":"Haydn"},{"family":"Jalal","given":"Muhammad S."},{"family":"Chin","given":"Lawrence S."}],"issued":{"date-parts":[["2020",5,1]]}}}],"schema":"https://github.com/citation-style-language/schema/raw/master/csl-citation.json"} </w:instrText>
      </w:r>
      <w:r w:rsidR="005400A6" w:rsidRPr="00EB056A">
        <w:rPr>
          <w:rFonts w:ascii="Arial" w:hAnsi="Arial" w:cs="Arial"/>
          <w:i/>
          <w:iCs/>
          <w:sz w:val="24"/>
          <w:szCs w:val="24"/>
        </w:rPr>
        <w:fldChar w:fldCharType="separate"/>
      </w:r>
      <w:r w:rsidR="00766016" w:rsidRPr="00766016">
        <w:rPr>
          <w:rFonts w:ascii="Arial" w:hAnsi="Arial" w:cs="Arial"/>
          <w:sz w:val="24"/>
          <w:szCs w:val="24"/>
          <w:vertAlign w:val="superscript"/>
        </w:rPr>
        <w:t>30</w:t>
      </w:r>
      <w:r w:rsidR="005400A6" w:rsidRPr="00EB056A">
        <w:rPr>
          <w:rFonts w:ascii="Arial" w:hAnsi="Arial" w:cs="Arial"/>
          <w:i/>
          <w:iCs/>
          <w:sz w:val="24"/>
          <w:szCs w:val="24"/>
        </w:rPr>
        <w:fldChar w:fldCharType="end"/>
      </w:r>
      <w:r w:rsidR="005400A6" w:rsidRPr="00EB056A">
        <w:rPr>
          <w:rFonts w:ascii="Arial" w:hAnsi="Arial" w:cs="Arial"/>
          <w:sz w:val="24"/>
          <w:szCs w:val="24"/>
        </w:rPr>
        <w:t xml:space="preserve"> studied 7036 patients</w:t>
      </w:r>
      <w:r w:rsidR="00822F0F">
        <w:rPr>
          <w:rFonts w:ascii="Arial" w:hAnsi="Arial" w:cs="Arial"/>
          <w:sz w:val="24"/>
          <w:szCs w:val="24"/>
        </w:rPr>
        <w:t>,</w:t>
      </w:r>
      <w:r w:rsidR="005400A6" w:rsidRPr="00EB056A">
        <w:rPr>
          <w:rFonts w:ascii="Arial" w:hAnsi="Arial" w:cs="Arial"/>
          <w:sz w:val="24"/>
          <w:szCs w:val="24"/>
        </w:rPr>
        <w:t xml:space="preserve"> half</w:t>
      </w:r>
      <w:r w:rsidR="00822F0F">
        <w:rPr>
          <w:rFonts w:ascii="Arial" w:hAnsi="Arial" w:cs="Arial"/>
          <w:sz w:val="24"/>
          <w:szCs w:val="24"/>
        </w:rPr>
        <w:t xml:space="preserve"> of </w:t>
      </w:r>
      <w:r w:rsidR="00B1008D">
        <w:rPr>
          <w:rFonts w:ascii="Arial" w:hAnsi="Arial" w:cs="Arial"/>
          <w:sz w:val="24"/>
          <w:szCs w:val="24"/>
        </w:rPr>
        <w:t>the patients</w:t>
      </w:r>
      <w:r w:rsidR="00822F0F">
        <w:rPr>
          <w:rFonts w:ascii="Arial" w:hAnsi="Arial" w:cs="Arial"/>
          <w:sz w:val="24"/>
          <w:szCs w:val="24"/>
        </w:rPr>
        <w:t xml:space="preserve"> were</w:t>
      </w:r>
      <w:r w:rsidR="005400A6" w:rsidRPr="00EB056A">
        <w:rPr>
          <w:rFonts w:ascii="Arial" w:hAnsi="Arial" w:cs="Arial"/>
          <w:sz w:val="24"/>
          <w:szCs w:val="24"/>
        </w:rPr>
        <w:t xml:space="preserve"> treated with coils and </w:t>
      </w:r>
      <w:r w:rsidR="00822F0F">
        <w:rPr>
          <w:rFonts w:ascii="Arial" w:hAnsi="Arial" w:cs="Arial"/>
          <w:sz w:val="24"/>
          <w:szCs w:val="24"/>
        </w:rPr>
        <w:t>the other</w:t>
      </w:r>
      <w:r w:rsidR="00B1008D">
        <w:rPr>
          <w:rFonts w:ascii="Arial" w:hAnsi="Arial" w:cs="Arial"/>
          <w:sz w:val="24"/>
          <w:szCs w:val="24"/>
        </w:rPr>
        <w:t xml:space="preserve"> half </w:t>
      </w:r>
      <w:r w:rsidR="005400A6" w:rsidRPr="00EB056A">
        <w:rPr>
          <w:rFonts w:ascii="Arial" w:hAnsi="Arial" w:cs="Arial"/>
          <w:sz w:val="24"/>
          <w:szCs w:val="24"/>
        </w:rPr>
        <w:t>with clips</w:t>
      </w:r>
      <w:r>
        <w:rPr>
          <w:rFonts w:ascii="Arial" w:hAnsi="Arial" w:cs="Arial"/>
          <w:sz w:val="24"/>
          <w:szCs w:val="24"/>
        </w:rPr>
        <w:t>, finding</w:t>
      </w:r>
      <w:r w:rsidR="005400A6" w:rsidRPr="00EB056A">
        <w:rPr>
          <w:rFonts w:ascii="Arial" w:hAnsi="Arial" w:cs="Arial"/>
          <w:sz w:val="24"/>
          <w:szCs w:val="24"/>
        </w:rPr>
        <w:t xml:space="preserve"> that patients with clips were 20% more likely to be readmitted at the hospital, 90 days after treatment, than patients with coils</w:t>
      </w:r>
      <w:r w:rsidR="005400A6" w:rsidRPr="00EB056A">
        <w:rPr>
          <w:rFonts w:ascii="Arial" w:hAnsi="Arial" w:cs="Arial"/>
          <w:sz w:val="24"/>
          <w:szCs w:val="24"/>
        </w:rPr>
        <w:fldChar w:fldCharType="begin"/>
      </w:r>
      <w:r w:rsidR="005B4F59">
        <w:rPr>
          <w:rFonts w:ascii="Arial" w:hAnsi="Arial" w:cs="Arial"/>
          <w:sz w:val="24"/>
          <w:szCs w:val="24"/>
        </w:rPr>
        <w:instrText xml:space="preserve"> ADDIN ZOTERO_ITEM CSL_CITATION {"citationID":"BqjmWKqF","properties":{"formattedCitation":"\\super 30\\nosupersub{}","plainCitation":"30","noteIndex":0},"citationItems":[{"id":19,"uris":["http://zotero.org/users/6508478/items/ZI593EAI"],"itemData":{"id":19,"type":"article-journal","abstract":"Background: In the treatment of aneurysmal subarachnoid hemorrhage (aSAH), microsurgical clipping, and endovascular therapy (EVT) with coiling are modalities for securing the ruptured aneurysm. Little data is available regarding associated readmission rates. We sought to determine whether readmission rates differed according to treatment modality for ruptured intracranial aneurysms. Methods: The Nationwide Readmissions Database (NRD) was used to identify adults who experienced aSAH and underwent clipping or EVT. Primary outcomes of interest were the incidences of 30- and 90-day readmissions (30dRA, 90dRA). Propensity score matching was used to generate matched pairs based on age, comorbidities, hospital volume, and hemorrhage severity. Results: We identified 13,623 and 11,160 patients who were eligible for 30dRA and 90dRA analyses, respectively. Among the patients eligible for 30dRA and 90dRA, we created 4282 and 3518 propensity score-matched pairs, respectively. There was no difference in the incidence of 30dRA (12.4% for clipping versus 11.2% for EVT; P = .094). However, 90dRA occurred more frequently after clipping (22.5%) compared to EVT (19.7%; P = .003). Clipping was associated with poor outcome after 30dRA (odds ratio [OR] = 1.51, 95% confidence interval [CI] 1.21-1.88, P &lt; .001) and after 90dRA (OR = 1.60, 95% CI 1.34-1.91, P = .001). Mean duration to readmission and cost of readmission did not vary, but clipping was associated with longer lengths of stay during readmission. Conclusions: Microsurgical clipping of ruptured aneurysms is associated with a greater incidence of 90dRA, but not 30dRA, compared to EVT. Poor outcomes after readmission are more common following clipping.","container-title":"Journal of Stroke and Cerebrovascular Diseases","DOI":"10.1016/j.jstrokecerebrovasdis.2020.104696","ISSN":"1052-3057","issue":"5","journalAbbreviation":"Journal of Stroke and Cerebrovascular Diseases","language":"en","page":"104696","source":"ScienceDirect","title":"A Propensity Score-Matched Comparison of Readmission Rates Associated With Microsurgical Clipping and Endovascular Treatment of Ruptured Intracranial Aneurysms","volume":"29","author":[{"family":"Hoffman","given":"Haydn"},{"family":"Jalal","given":"Muhammad S."},{"family":"Chin","given":"Lawrence S."}],"issued":{"date-parts":[["2020",5,1]]}}}],"schema":"https://github.com/citation-style-language/schema/raw/master/csl-citation.json"} </w:instrText>
      </w:r>
      <w:r w:rsidR="005400A6" w:rsidRPr="00EB056A">
        <w:rPr>
          <w:rFonts w:ascii="Arial" w:hAnsi="Arial" w:cs="Arial"/>
          <w:sz w:val="24"/>
          <w:szCs w:val="24"/>
        </w:rPr>
        <w:fldChar w:fldCharType="separate"/>
      </w:r>
      <w:r w:rsidR="00766016" w:rsidRPr="00766016">
        <w:rPr>
          <w:rFonts w:ascii="Arial" w:hAnsi="Arial" w:cs="Arial"/>
          <w:sz w:val="24"/>
          <w:szCs w:val="24"/>
          <w:vertAlign w:val="superscript"/>
        </w:rPr>
        <w:t>30</w:t>
      </w:r>
      <w:r w:rsidR="005400A6" w:rsidRPr="00EB056A">
        <w:rPr>
          <w:rFonts w:ascii="Arial" w:hAnsi="Arial" w:cs="Arial"/>
          <w:sz w:val="24"/>
          <w:szCs w:val="24"/>
        </w:rPr>
        <w:fldChar w:fldCharType="end"/>
      </w:r>
      <w:r w:rsidR="005400A6" w:rsidRPr="00EB056A">
        <w:rPr>
          <w:rFonts w:ascii="Arial" w:hAnsi="Arial" w:cs="Arial"/>
          <w:sz w:val="24"/>
          <w:szCs w:val="24"/>
        </w:rPr>
        <w:t xml:space="preserve">. </w:t>
      </w:r>
      <w:r w:rsidR="00F64CCC">
        <w:rPr>
          <w:rFonts w:ascii="Arial" w:hAnsi="Arial" w:cs="Arial"/>
          <w:sz w:val="24"/>
          <w:szCs w:val="24"/>
        </w:rPr>
        <w:t xml:space="preserve">In summary, clips </w:t>
      </w:r>
      <w:r w:rsidR="00FE2C6D">
        <w:rPr>
          <w:rFonts w:ascii="Arial" w:hAnsi="Arial" w:cs="Arial"/>
          <w:sz w:val="24"/>
          <w:szCs w:val="24"/>
        </w:rPr>
        <w:t xml:space="preserve">have a high successful aneurysm closure rate, </w:t>
      </w:r>
      <w:r w:rsidR="004E25F3">
        <w:rPr>
          <w:rFonts w:ascii="Arial" w:hAnsi="Arial" w:cs="Arial"/>
          <w:sz w:val="24"/>
          <w:szCs w:val="24"/>
        </w:rPr>
        <w:t>even</w:t>
      </w:r>
      <w:r w:rsidR="00FE2C6D">
        <w:rPr>
          <w:rFonts w:ascii="Arial" w:hAnsi="Arial" w:cs="Arial"/>
          <w:sz w:val="24"/>
          <w:szCs w:val="24"/>
        </w:rPr>
        <w:t xml:space="preserve"> in patients with ruptured aneurysms, and are suited to most aneurysm types. However</w:t>
      </w:r>
      <w:r w:rsidR="004E25F3">
        <w:rPr>
          <w:rFonts w:ascii="Arial" w:hAnsi="Arial" w:cs="Arial"/>
          <w:sz w:val="24"/>
          <w:szCs w:val="24"/>
        </w:rPr>
        <w:t xml:space="preserve">, </w:t>
      </w:r>
      <w:r>
        <w:rPr>
          <w:rFonts w:ascii="Arial" w:hAnsi="Arial" w:cs="Arial"/>
          <w:sz w:val="24"/>
          <w:szCs w:val="24"/>
        </w:rPr>
        <w:t xml:space="preserve">clips </w:t>
      </w:r>
      <w:r w:rsidR="004E25F3">
        <w:rPr>
          <w:rFonts w:ascii="Arial" w:hAnsi="Arial" w:cs="Arial"/>
          <w:sz w:val="24"/>
          <w:szCs w:val="24"/>
        </w:rPr>
        <w:t>are expensive</w:t>
      </w:r>
      <w:r>
        <w:rPr>
          <w:rFonts w:ascii="Arial" w:hAnsi="Arial" w:cs="Arial"/>
          <w:sz w:val="24"/>
          <w:szCs w:val="24"/>
        </w:rPr>
        <w:t>,</w:t>
      </w:r>
      <w:r w:rsidR="004E25F3">
        <w:rPr>
          <w:rFonts w:ascii="Arial" w:hAnsi="Arial" w:cs="Arial"/>
          <w:sz w:val="24"/>
          <w:szCs w:val="24"/>
        </w:rPr>
        <w:t xml:space="preserve"> require </w:t>
      </w:r>
      <w:r>
        <w:rPr>
          <w:rFonts w:ascii="Arial" w:hAnsi="Arial" w:cs="Arial"/>
          <w:sz w:val="24"/>
          <w:szCs w:val="24"/>
        </w:rPr>
        <w:t>an invasive surgical procedure, and may result in a higher readmission rate</w:t>
      </w:r>
      <w:r w:rsidR="004E25F3">
        <w:rPr>
          <w:rFonts w:ascii="Arial" w:hAnsi="Arial" w:cs="Arial"/>
          <w:sz w:val="24"/>
          <w:szCs w:val="24"/>
        </w:rPr>
        <w:t xml:space="preserve">. </w:t>
      </w:r>
      <w:r w:rsidR="00FE2C6D">
        <w:rPr>
          <w:rFonts w:ascii="Arial" w:hAnsi="Arial" w:cs="Arial"/>
          <w:sz w:val="24"/>
          <w:szCs w:val="24"/>
        </w:rPr>
        <w:t xml:space="preserve"> </w:t>
      </w:r>
      <w:bookmarkStart w:id="29" w:name="_Toc83026913"/>
    </w:p>
    <w:p w14:paraId="57F9F9D1" w14:textId="0BE8BE6D" w:rsidR="00954B01" w:rsidRPr="00E47A33" w:rsidRDefault="00194F5C" w:rsidP="00E47A33">
      <w:pPr>
        <w:pStyle w:val="Titre3"/>
        <w:spacing w:line="480" w:lineRule="auto"/>
        <w:jc w:val="both"/>
        <w:rPr>
          <w:rFonts w:ascii="Arial" w:hAnsi="Arial" w:cs="Arial"/>
          <w:b/>
          <w:bCs/>
          <w:color w:val="auto"/>
        </w:rPr>
      </w:pPr>
      <w:bookmarkStart w:id="30" w:name="_Toc106903211"/>
      <w:r>
        <w:rPr>
          <w:rFonts w:ascii="Arial" w:hAnsi="Arial" w:cs="Arial"/>
          <w:b/>
          <w:bCs/>
          <w:color w:val="auto"/>
        </w:rPr>
        <w:t>1.</w:t>
      </w:r>
      <w:r w:rsidR="00CB7697">
        <w:rPr>
          <w:rFonts w:ascii="Arial" w:hAnsi="Arial" w:cs="Arial"/>
          <w:b/>
          <w:bCs/>
          <w:color w:val="auto"/>
        </w:rPr>
        <w:t>4</w:t>
      </w:r>
      <w:r>
        <w:rPr>
          <w:rFonts w:ascii="Arial" w:hAnsi="Arial" w:cs="Arial"/>
          <w:b/>
          <w:bCs/>
          <w:color w:val="auto"/>
        </w:rPr>
        <w:t xml:space="preserve">.2 </w:t>
      </w:r>
      <w:r w:rsidR="009C75E9" w:rsidRPr="00E47A33">
        <w:rPr>
          <w:rFonts w:ascii="Arial" w:hAnsi="Arial" w:cs="Arial"/>
          <w:b/>
          <w:bCs/>
          <w:color w:val="auto"/>
        </w:rPr>
        <w:t>C</w:t>
      </w:r>
      <w:r w:rsidR="005400A6" w:rsidRPr="00E47A33">
        <w:rPr>
          <w:rFonts w:ascii="Arial" w:hAnsi="Arial" w:cs="Arial"/>
          <w:b/>
          <w:bCs/>
          <w:color w:val="auto"/>
        </w:rPr>
        <w:t>oiling</w:t>
      </w:r>
      <w:bookmarkEnd w:id="29"/>
      <w:bookmarkEnd w:id="30"/>
    </w:p>
    <w:p w14:paraId="3FC2CC41" w14:textId="77777777" w:rsidR="005C4791" w:rsidRPr="005C4791" w:rsidRDefault="005400A6" w:rsidP="00272628">
      <w:pPr>
        <w:spacing w:line="480" w:lineRule="auto"/>
        <w:ind w:firstLine="720"/>
        <w:jc w:val="both"/>
        <w:rPr>
          <w:rFonts w:ascii="Arial" w:hAnsi="Arial" w:cs="Arial"/>
          <w:sz w:val="24"/>
          <w:szCs w:val="24"/>
        </w:rPr>
      </w:pPr>
      <w:r w:rsidRPr="00E47A33">
        <w:rPr>
          <w:rFonts w:ascii="Arial" w:hAnsi="Arial" w:cs="Arial"/>
          <w:sz w:val="24"/>
          <w:szCs w:val="24"/>
        </w:rPr>
        <w:t>Coiling is a minimally invasive aneurysm treatment</w:t>
      </w:r>
      <w:r w:rsidR="008F7BCC">
        <w:rPr>
          <w:rFonts w:ascii="Arial" w:hAnsi="Arial" w:cs="Arial"/>
          <w:sz w:val="24"/>
          <w:szCs w:val="24"/>
        </w:rPr>
        <w:t xml:space="preserve"> that </w:t>
      </w:r>
      <w:r w:rsidRPr="00E47A33">
        <w:rPr>
          <w:rFonts w:ascii="Arial" w:hAnsi="Arial" w:cs="Arial"/>
          <w:sz w:val="24"/>
          <w:szCs w:val="24"/>
        </w:rPr>
        <w:t>consists in inserting a wire-containing catheter</w:t>
      </w:r>
      <w:r w:rsidR="006D4772">
        <w:rPr>
          <w:rFonts w:ascii="Arial" w:hAnsi="Arial" w:cs="Arial"/>
          <w:sz w:val="24"/>
          <w:szCs w:val="24"/>
        </w:rPr>
        <w:t>, also known as a coil,</w:t>
      </w:r>
      <w:r w:rsidRPr="00E47A33">
        <w:rPr>
          <w:rFonts w:ascii="Arial" w:hAnsi="Arial" w:cs="Arial"/>
          <w:sz w:val="24"/>
          <w:szCs w:val="24"/>
        </w:rPr>
        <w:t xml:space="preserve"> in a vessel near the aneurysm and coiling the wire to fill the aneurysm</w:t>
      </w:r>
      <w:r w:rsidRPr="00E47A33">
        <w:rPr>
          <w:rFonts w:ascii="Arial" w:hAnsi="Arial" w:cs="Arial"/>
          <w:sz w:val="24"/>
          <w:szCs w:val="24"/>
        </w:rPr>
        <w:fldChar w:fldCharType="begin"/>
      </w:r>
      <w:r w:rsidR="005B4F59">
        <w:rPr>
          <w:rFonts w:ascii="Arial" w:hAnsi="Arial" w:cs="Arial"/>
          <w:sz w:val="24"/>
          <w:szCs w:val="24"/>
        </w:rPr>
        <w:instrText xml:space="preserve"> ADDIN ZOTERO_ITEM CSL_CITATION {"citationID":"9fdg7ZSc","properties":{"formattedCitation":"\\super 31\\nosupersub{}","plainCitation":"31","noteIndex":0},"citationItems":[{"id":41,"uris":["http://zotero.org/users/6508478/items/XX4L6UPB"],"itemData":{"id":41,"type":"webpage","abstract":"Explore treatment options for brain aneurysms, including flow diversion, a minimally invasive procedure.","language":"en","title":"Aneurysm Flow Diversion - About the Therapy","URL":"https://www.medtronic.com/us-en/patients/treatments-therapies/aneurysm-flow-diversion/about.html","author":[{"literal":"Medtronic"}],"accessed":{"date-parts":[["2021",5,25]]}}}],"schema":"https://github.com/citation-style-language/schema/raw/master/csl-citation.json"} </w:instrText>
      </w:r>
      <w:r w:rsidRPr="00E47A33">
        <w:rPr>
          <w:rFonts w:ascii="Arial" w:hAnsi="Arial" w:cs="Arial"/>
          <w:sz w:val="24"/>
          <w:szCs w:val="24"/>
        </w:rPr>
        <w:fldChar w:fldCharType="separate"/>
      </w:r>
      <w:r w:rsidR="00766016" w:rsidRPr="00766016">
        <w:rPr>
          <w:rFonts w:ascii="Arial" w:hAnsi="Arial" w:cs="Arial"/>
          <w:sz w:val="24"/>
          <w:szCs w:val="24"/>
          <w:vertAlign w:val="superscript"/>
        </w:rPr>
        <w:t>31</w:t>
      </w:r>
      <w:r w:rsidRPr="00E47A33">
        <w:rPr>
          <w:rFonts w:ascii="Arial" w:hAnsi="Arial" w:cs="Arial"/>
          <w:sz w:val="24"/>
          <w:szCs w:val="24"/>
        </w:rPr>
        <w:fldChar w:fldCharType="end"/>
      </w:r>
      <w:r w:rsidRPr="00E47A33">
        <w:rPr>
          <w:rFonts w:ascii="Arial" w:hAnsi="Arial" w:cs="Arial"/>
          <w:sz w:val="24"/>
          <w:szCs w:val="24"/>
        </w:rPr>
        <w:t xml:space="preserve"> (</w:t>
      </w:r>
      <w:r w:rsidR="00BA031A" w:rsidRPr="00E47A33">
        <w:rPr>
          <w:rFonts w:ascii="Arial" w:hAnsi="Arial" w:cs="Arial"/>
          <w:sz w:val="24"/>
          <w:szCs w:val="24"/>
        </w:rPr>
        <w:fldChar w:fldCharType="begin"/>
      </w:r>
      <w:r w:rsidR="00BA031A" w:rsidRPr="00E47A33">
        <w:rPr>
          <w:rFonts w:ascii="Arial" w:hAnsi="Arial" w:cs="Arial"/>
          <w:sz w:val="24"/>
          <w:szCs w:val="24"/>
        </w:rPr>
        <w:instrText xml:space="preserve"> REF _Ref83025454 \h  \* MERGEFORMAT </w:instrText>
      </w:r>
      <w:r w:rsidR="00BA031A" w:rsidRPr="00E47A33">
        <w:rPr>
          <w:rFonts w:ascii="Arial" w:hAnsi="Arial" w:cs="Arial"/>
          <w:sz w:val="24"/>
          <w:szCs w:val="24"/>
        </w:rPr>
      </w:r>
      <w:r w:rsidR="00BA031A" w:rsidRPr="00E47A33">
        <w:rPr>
          <w:rFonts w:ascii="Arial" w:hAnsi="Arial" w:cs="Arial"/>
          <w:sz w:val="24"/>
          <w:szCs w:val="24"/>
        </w:rPr>
        <w:fldChar w:fldCharType="separate"/>
      </w:r>
      <w:r w:rsidR="005C4791" w:rsidRPr="005C4791">
        <w:rPr>
          <w:rFonts w:ascii="Arial" w:hAnsi="Arial" w:cs="Arial"/>
          <w:sz w:val="24"/>
          <w:szCs w:val="24"/>
        </w:rPr>
        <w:t xml:space="preserve">Figure </w:t>
      </w:r>
      <w:r w:rsidR="005C4791" w:rsidRPr="005C4791">
        <w:rPr>
          <w:rFonts w:ascii="Arial" w:hAnsi="Arial" w:cs="Arial"/>
          <w:noProof/>
          <w:sz w:val="24"/>
          <w:szCs w:val="24"/>
        </w:rPr>
        <w:t>5</w:t>
      </w:r>
      <w:r w:rsidR="00BA031A" w:rsidRPr="00E47A33">
        <w:rPr>
          <w:rFonts w:ascii="Arial" w:hAnsi="Arial" w:cs="Arial"/>
          <w:sz w:val="24"/>
          <w:szCs w:val="24"/>
        </w:rPr>
        <w:fldChar w:fldCharType="end"/>
      </w:r>
      <w:r w:rsidRPr="00E47A33">
        <w:rPr>
          <w:rFonts w:ascii="Arial" w:hAnsi="Arial" w:cs="Arial"/>
          <w:sz w:val="24"/>
          <w:szCs w:val="24"/>
        </w:rPr>
        <w:t>). To reinforce</w:t>
      </w:r>
      <w:r w:rsidR="00E76FF1">
        <w:rPr>
          <w:rFonts w:ascii="Arial" w:hAnsi="Arial" w:cs="Arial"/>
          <w:sz w:val="24"/>
          <w:szCs w:val="24"/>
        </w:rPr>
        <w:t xml:space="preserve"> the</w:t>
      </w:r>
      <w:r w:rsidRPr="00E47A33">
        <w:rPr>
          <w:rFonts w:ascii="Arial" w:hAnsi="Arial" w:cs="Arial"/>
          <w:sz w:val="24"/>
          <w:szCs w:val="24"/>
        </w:rPr>
        <w:t xml:space="preserve"> vessel wall, stents can be inserted along with coils (see </w:t>
      </w:r>
      <w:r w:rsidR="00E12874" w:rsidRPr="00E47A33">
        <w:rPr>
          <w:rFonts w:ascii="Arial" w:hAnsi="Arial" w:cs="Arial"/>
          <w:sz w:val="24"/>
          <w:szCs w:val="24"/>
        </w:rPr>
        <w:fldChar w:fldCharType="begin"/>
      </w:r>
      <w:r w:rsidR="00E12874" w:rsidRPr="00E47A33">
        <w:rPr>
          <w:rFonts w:ascii="Arial" w:hAnsi="Arial" w:cs="Arial"/>
          <w:sz w:val="24"/>
          <w:szCs w:val="24"/>
        </w:rPr>
        <w:instrText xml:space="preserve"> REF _Ref84241647 \h  \* MERGEFORMAT </w:instrText>
      </w:r>
      <w:r w:rsidR="00E12874" w:rsidRPr="00E47A33">
        <w:rPr>
          <w:rFonts w:ascii="Arial" w:hAnsi="Arial" w:cs="Arial"/>
          <w:sz w:val="24"/>
          <w:szCs w:val="24"/>
        </w:rPr>
      </w:r>
      <w:r w:rsidR="00E12874" w:rsidRPr="00E47A33">
        <w:rPr>
          <w:rFonts w:ascii="Arial" w:hAnsi="Arial" w:cs="Arial"/>
          <w:sz w:val="24"/>
          <w:szCs w:val="24"/>
        </w:rPr>
        <w:fldChar w:fldCharType="separate"/>
      </w:r>
    </w:p>
    <w:p w14:paraId="083301EC" w14:textId="5EB058D1" w:rsidR="005400A6" w:rsidRPr="00EB056A" w:rsidRDefault="005C4791" w:rsidP="008F7BCC">
      <w:pPr>
        <w:spacing w:line="480" w:lineRule="auto"/>
        <w:ind w:firstLine="720"/>
        <w:jc w:val="both"/>
        <w:rPr>
          <w:rFonts w:ascii="Arial" w:hAnsi="Arial" w:cs="Arial"/>
          <w:sz w:val="24"/>
          <w:szCs w:val="24"/>
        </w:rPr>
      </w:pPr>
      <w:r w:rsidRPr="005C4791">
        <w:rPr>
          <w:rFonts w:ascii="Arial" w:hAnsi="Arial" w:cs="Arial"/>
          <w:sz w:val="24"/>
          <w:szCs w:val="24"/>
        </w:rPr>
        <w:t>1.</w:t>
      </w:r>
      <w:r>
        <w:rPr>
          <w:rFonts w:ascii="Arial" w:hAnsi="Arial" w:cs="Arial"/>
          <w:b/>
          <w:bCs/>
        </w:rPr>
        <w:t xml:space="preserve">4.3 </w:t>
      </w:r>
      <w:r w:rsidRPr="00EB056A">
        <w:rPr>
          <w:rFonts w:ascii="Arial" w:hAnsi="Arial" w:cs="Arial"/>
          <w:b/>
          <w:bCs/>
        </w:rPr>
        <w:t>Stent</w:t>
      </w:r>
      <w:r w:rsidR="00E12874" w:rsidRPr="00E47A33">
        <w:rPr>
          <w:rFonts w:ascii="Arial" w:hAnsi="Arial" w:cs="Arial"/>
          <w:sz w:val="24"/>
          <w:szCs w:val="24"/>
        </w:rPr>
        <w:fldChar w:fldCharType="end"/>
      </w:r>
      <w:r w:rsidR="005400A6" w:rsidRPr="00EB056A">
        <w:rPr>
          <w:rFonts w:ascii="Arial" w:hAnsi="Arial" w:cs="Arial"/>
          <w:sz w:val="24"/>
          <w:szCs w:val="24"/>
        </w:rPr>
        <w:t xml:space="preserve"> subsection</w:t>
      </w:r>
      <w:r w:rsidR="006D4772">
        <w:rPr>
          <w:rFonts w:ascii="Arial" w:hAnsi="Arial" w:cs="Arial"/>
          <w:sz w:val="24"/>
          <w:szCs w:val="24"/>
        </w:rPr>
        <w:t xml:space="preserve"> below</w:t>
      </w:r>
      <w:r w:rsidR="005400A6" w:rsidRPr="00EB056A">
        <w:rPr>
          <w:rFonts w:ascii="Arial" w:hAnsi="Arial" w:cs="Arial"/>
          <w:sz w:val="24"/>
          <w:szCs w:val="24"/>
        </w:rPr>
        <w:t>)</w:t>
      </w:r>
      <w:r w:rsidR="00C167BA" w:rsidRPr="007459E1">
        <w:rPr>
          <w:rFonts w:ascii="Arial" w:hAnsi="Arial" w:cs="Arial"/>
          <w:sz w:val="24"/>
          <w:szCs w:val="24"/>
        </w:rPr>
        <w:fldChar w:fldCharType="begin"/>
      </w:r>
      <w:r w:rsidR="005B4F59">
        <w:rPr>
          <w:rFonts w:ascii="Arial" w:hAnsi="Arial" w:cs="Arial"/>
          <w:sz w:val="24"/>
          <w:szCs w:val="24"/>
        </w:rPr>
        <w:instrText xml:space="preserve"> ADDIN ZOTERO_ITEM CSL_CITATION {"citationID":"Ckm0Ja8B","properties":{"formattedCitation":"\\super 25\\nosupersub{}","plainCitation":"25","noteIndex":0},"citationItems":[{"id":45,"uris":["http://zotero.org/users/6508478/items/MX5VEDG7"],"itemData":{"id":45,"type":"article-journal","abstract":"Intracranial aneurysm is a leading cause of stroke. Its treatment has evolved over the past 2 decades. This review summarizes the treatment strategies for intracranial aneurysms from 3 different perspectives: open surgery approach, transluminal treatment approach, and new technologies being used or trialed. We introduce most of the available treatment techniques in detail, including contralateral clipping, wrapping and clipping, double catheters assisting coiling and waffle-cone technique, and so on. Data from major trials such as Analysis of Treatment by Endovascular approach of Non-ruptured Aneurysms (ATENA), Internal Subarachnoid Trial (ISAT), Clinical and Anatomical Results in the Treatment of Ruptured Intracranial Aneurysms (CLARITY), and Barrow Ruptured Aneurysm Trial (BRAT) as well as information from other clinical reports and local experience are reviewed to suggest a clinical pathway for treating different types of intracranial aneurysms. It will be a valuable supplement to the current existing guidelines. We hope it could help assisting real-time decision-making in clinical practices and also encourage advancements in managing the disease.","container-title":"Angiology","DOI":"10.1177/0003319717700503","ISSN":"0003-3197","issue":"1","journalAbbreviation":"Angiology","language":"en","page":"17-30","source":"SAGE Journals","title":"Current Treatment Strategies for Intracranial Aneurysms: An Overview","title-short":"Current Treatment Strategies for Intracranial Aneurysms","volume":"69","author":[{"family":"Zhao","given":"Junjie"},{"family":"Lin","given":"Hao"},{"family":"Summers","given":"Richard"},{"family":"Yang","given":"Mingmin"},{"family":"Cousins","given":"Brian G."},{"family":"Tsui","given":"Janice"}],"issued":{"date-parts":[["2018",1,1]]}}}],"schema":"https://github.com/citation-style-language/schema/raw/master/csl-citation.json"} </w:instrText>
      </w:r>
      <w:r w:rsidR="00C167BA" w:rsidRPr="007459E1">
        <w:rPr>
          <w:rFonts w:ascii="Arial" w:hAnsi="Arial" w:cs="Arial"/>
          <w:sz w:val="24"/>
          <w:szCs w:val="24"/>
        </w:rPr>
        <w:fldChar w:fldCharType="separate"/>
      </w:r>
      <w:r w:rsidR="00766016" w:rsidRPr="00766016">
        <w:rPr>
          <w:rFonts w:ascii="Arial" w:hAnsi="Arial" w:cs="Arial"/>
          <w:sz w:val="24"/>
          <w:szCs w:val="24"/>
          <w:vertAlign w:val="superscript"/>
        </w:rPr>
        <w:t>25</w:t>
      </w:r>
      <w:r w:rsidR="00C167BA" w:rsidRPr="007459E1">
        <w:rPr>
          <w:rFonts w:ascii="Arial" w:hAnsi="Arial" w:cs="Arial"/>
          <w:sz w:val="24"/>
          <w:szCs w:val="24"/>
        </w:rPr>
        <w:fldChar w:fldCharType="end"/>
      </w:r>
      <w:r w:rsidR="00C167BA" w:rsidRPr="00EB056A">
        <w:rPr>
          <w:rFonts w:ascii="Arial" w:hAnsi="Arial" w:cs="Arial"/>
          <w:sz w:val="24"/>
          <w:szCs w:val="24"/>
        </w:rPr>
        <w:t xml:space="preserve">. Stents are often inserted before coils, because they help in the process of coiling </w:t>
      </w:r>
      <w:r w:rsidR="00C167BA">
        <w:rPr>
          <w:rFonts w:ascii="Arial" w:hAnsi="Arial" w:cs="Arial"/>
          <w:sz w:val="24"/>
          <w:szCs w:val="24"/>
        </w:rPr>
        <w:t xml:space="preserve">within </w:t>
      </w:r>
      <w:r w:rsidR="00C167BA" w:rsidRPr="00EB056A">
        <w:rPr>
          <w:rFonts w:ascii="Arial" w:hAnsi="Arial" w:cs="Arial"/>
          <w:sz w:val="24"/>
          <w:szCs w:val="24"/>
        </w:rPr>
        <w:t>complex giant and fusiform aneurysms</w:t>
      </w:r>
      <w:r w:rsidR="00C167BA" w:rsidRPr="00EB056A">
        <w:rPr>
          <w:rFonts w:ascii="Arial" w:hAnsi="Arial" w:cs="Arial"/>
          <w:sz w:val="24"/>
          <w:szCs w:val="24"/>
        </w:rPr>
        <w:fldChar w:fldCharType="begin"/>
      </w:r>
      <w:r w:rsidR="005B4F59">
        <w:rPr>
          <w:rFonts w:ascii="Arial" w:hAnsi="Arial" w:cs="Arial"/>
          <w:sz w:val="24"/>
          <w:szCs w:val="24"/>
        </w:rPr>
        <w:instrText xml:space="preserve"> ADDIN ZOTERO_ITEM CSL_CITATION {"citationID":"txBLiSVm","properties":{"formattedCitation":"\\super 25\\nosupersub{}","plainCitation":"25","noteIndex":0},"citationItems":[{"id":45,"uris":["http://zotero.org/users/6508478/items/MX5VEDG7"],"itemData":{"id":45,"type":"article-journal","abstract":"Intracranial aneurysm is a leading cause of stroke. Its treatment has evolved over the past 2 decades. This review summarizes the treatment strategies for intracranial aneurysms from 3 different perspectives: open surgery approach, transluminal treatment approach, and new technologies being used or trialed. We introduce most of the available treatment techniques in detail, including contralateral clipping, wrapping and clipping, double catheters assisting coiling and waffle-cone technique, and so on. Data from major trials such as Analysis of Treatment by Endovascular approach of Non-ruptured Aneurysms (ATENA), Internal Subarachnoid Trial (ISAT), Clinical and Anatomical Results in the Treatment of Ruptured Intracranial Aneurysms (CLARITY), and Barrow Ruptured Aneurysm Trial (BRAT) as well as information from other clinical reports and local experience are reviewed to suggest a clinical pathway for treating different types of intracranial aneurysms. It will be a valuable supplement to the current existing guidelines. We hope it could help assisting real-time decision-making in clinical practices and also encourage advancements in managing the disease.","container-title":"Angiology","DOI":"10.1177/0003319717700503","ISSN":"0003-3197","issue":"1","journalAbbreviation":"Angiology","language":"en","page":"17-30","source":"SAGE Journals","title":"Current Treatment Strategies for Intracranial Aneurysms: An Overview","title-short":"Current Treatment Strategies for Intracranial Aneurysms","volume":"69","author":[{"family":"Zhao","given":"Junjie"},{"family":"Lin","given":"Hao"},{"family":"Summers","given":"Richard"},{"family":"Yang","given":"Mingmin"},{"family":"Cousins","given":"Brian G."},{"family":"Tsui","given":"Janice"}],"issued":{"date-parts":[["2018",1,1]]}}}],"schema":"https://github.com/citation-style-language/schema/raw/master/csl-citation.json"} </w:instrText>
      </w:r>
      <w:r w:rsidR="00C167BA" w:rsidRPr="00EB056A">
        <w:rPr>
          <w:rFonts w:ascii="Arial" w:hAnsi="Arial" w:cs="Arial"/>
          <w:sz w:val="24"/>
          <w:szCs w:val="24"/>
        </w:rPr>
        <w:fldChar w:fldCharType="separate"/>
      </w:r>
      <w:r w:rsidR="00766016" w:rsidRPr="00766016">
        <w:rPr>
          <w:rFonts w:ascii="Arial" w:hAnsi="Arial" w:cs="Arial"/>
          <w:sz w:val="24"/>
          <w:szCs w:val="24"/>
          <w:vertAlign w:val="superscript"/>
        </w:rPr>
        <w:t>25</w:t>
      </w:r>
      <w:r w:rsidR="00C167BA" w:rsidRPr="00EB056A">
        <w:rPr>
          <w:rFonts w:ascii="Arial" w:hAnsi="Arial" w:cs="Arial"/>
          <w:sz w:val="24"/>
          <w:szCs w:val="24"/>
        </w:rPr>
        <w:fldChar w:fldCharType="end"/>
      </w:r>
      <w:r w:rsidR="00C167BA" w:rsidRPr="00EB056A">
        <w:rPr>
          <w:rFonts w:ascii="Arial" w:hAnsi="Arial" w:cs="Arial"/>
          <w:sz w:val="24"/>
          <w:szCs w:val="24"/>
        </w:rPr>
        <w:t>.</w:t>
      </w:r>
    </w:p>
    <w:p w14:paraId="27DD5F3A" w14:textId="02AEB481" w:rsidR="005400A6" w:rsidRPr="00EB056A" w:rsidRDefault="00A93D90" w:rsidP="00EB056A">
      <w:pPr>
        <w:spacing w:line="480" w:lineRule="auto"/>
        <w:jc w:val="both"/>
        <w:rPr>
          <w:rFonts w:ascii="Arial" w:hAnsi="Arial" w:cs="Arial"/>
          <w:sz w:val="24"/>
          <w:szCs w:val="24"/>
        </w:rPr>
      </w:pPr>
      <w:r w:rsidRPr="00EB056A">
        <w:rPr>
          <w:rFonts w:ascii="Arial" w:hAnsi="Arial" w:cs="Arial"/>
          <w:noProof/>
        </w:rPr>
        <w:drawing>
          <wp:inline distT="0" distB="0" distL="0" distR="0" wp14:anchorId="034F77BB" wp14:editId="45D880EC">
            <wp:extent cx="4738895" cy="1524000"/>
            <wp:effectExtent l="0" t="0" r="5080" b="0"/>
            <wp:docPr id="14" name="Picture 1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Diagram&#10;&#10;Description automatically generated"/>
                    <pic:cNvPicPr/>
                  </pic:nvPicPr>
                  <pic:blipFill rotWithShape="1">
                    <a:blip r:embed="rId13"/>
                    <a:srcRect b="13273"/>
                    <a:stretch/>
                  </pic:blipFill>
                  <pic:spPr bwMode="auto">
                    <a:xfrm>
                      <a:off x="0" y="0"/>
                      <a:ext cx="4766465" cy="1532866"/>
                    </a:xfrm>
                    <a:prstGeom prst="rect">
                      <a:avLst/>
                    </a:prstGeom>
                    <a:ln>
                      <a:noFill/>
                    </a:ln>
                    <a:extLst>
                      <a:ext uri="{53640926-AAD7-44D8-BBD7-CCE9431645EC}">
                        <a14:shadowObscured xmlns:a14="http://schemas.microsoft.com/office/drawing/2010/main"/>
                      </a:ext>
                    </a:extLst>
                  </pic:spPr>
                </pic:pic>
              </a:graphicData>
            </a:graphic>
          </wp:inline>
        </w:drawing>
      </w:r>
    </w:p>
    <w:p w14:paraId="793319EC" w14:textId="61920C01" w:rsidR="00DE4A26" w:rsidRPr="001260F2" w:rsidRDefault="005400A6" w:rsidP="00834360">
      <w:pPr>
        <w:pStyle w:val="Lgende"/>
        <w:spacing w:after="0" w:line="276" w:lineRule="auto"/>
        <w:jc w:val="both"/>
        <w:rPr>
          <w:rFonts w:ascii="Arial" w:hAnsi="Arial" w:cs="Arial"/>
          <w:i w:val="0"/>
          <w:iCs w:val="0"/>
          <w:color w:val="000000" w:themeColor="text1"/>
          <w:sz w:val="24"/>
          <w:szCs w:val="24"/>
        </w:rPr>
      </w:pPr>
      <w:bookmarkStart w:id="31" w:name="_Ref83025454"/>
      <w:bookmarkStart w:id="32" w:name="_Toc83025406"/>
      <w:bookmarkStart w:id="33" w:name="_Toc105918970"/>
      <w:r w:rsidRPr="00EB056A">
        <w:rPr>
          <w:rFonts w:ascii="Arial" w:hAnsi="Arial" w:cs="Arial"/>
          <w:b/>
          <w:bCs/>
          <w:i w:val="0"/>
          <w:iCs w:val="0"/>
          <w:color w:val="auto"/>
          <w:sz w:val="24"/>
          <w:szCs w:val="24"/>
        </w:rPr>
        <w:t xml:space="preserve">Figure </w:t>
      </w:r>
      <w:r w:rsidRPr="00EB056A">
        <w:rPr>
          <w:rFonts w:ascii="Arial" w:hAnsi="Arial" w:cs="Arial"/>
          <w:b/>
          <w:bCs/>
          <w:i w:val="0"/>
          <w:iCs w:val="0"/>
          <w:color w:val="auto"/>
          <w:sz w:val="24"/>
          <w:szCs w:val="24"/>
        </w:rPr>
        <w:fldChar w:fldCharType="begin"/>
      </w:r>
      <w:r w:rsidRPr="00EB056A">
        <w:rPr>
          <w:rFonts w:ascii="Arial" w:hAnsi="Arial" w:cs="Arial"/>
          <w:b/>
          <w:bCs/>
          <w:i w:val="0"/>
          <w:iCs w:val="0"/>
          <w:color w:val="auto"/>
          <w:sz w:val="24"/>
          <w:szCs w:val="24"/>
        </w:rPr>
        <w:instrText xml:space="preserve"> SEQ Figure \* ARABIC </w:instrText>
      </w:r>
      <w:r w:rsidRPr="00EB056A">
        <w:rPr>
          <w:rFonts w:ascii="Arial" w:hAnsi="Arial" w:cs="Arial"/>
          <w:b/>
          <w:bCs/>
          <w:i w:val="0"/>
          <w:iCs w:val="0"/>
          <w:color w:val="auto"/>
          <w:sz w:val="24"/>
          <w:szCs w:val="24"/>
        </w:rPr>
        <w:fldChar w:fldCharType="separate"/>
      </w:r>
      <w:r w:rsidR="005C4791">
        <w:rPr>
          <w:rFonts w:ascii="Arial" w:hAnsi="Arial" w:cs="Arial"/>
          <w:b/>
          <w:bCs/>
          <w:i w:val="0"/>
          <w:iCs w:val="0"/>
          <w:noProof/>
          <w:color w:val="auto"/>
          <w:sz w:val="24"/>
          <w:szCs w:val="24"/>
        </w:rPr>
        <w:t>5</w:t>
      </w:r>
      <w:r w:rsidRPr="00EB056A">
        <w:rPr>
          <w:rFonts w:ascii="Arial" w:hAnsi="Arial" w:cs="Arial"/>
          <w:b/>
          <w:bCs/>
          <w:i w:val="0"/>
          <w:iCs w:val="0"/>
          <w:color w:val="auto"/>
          <w:sz w:val="24"/>
          <w:szCs w:val="24"/>
        </w:rPr>
        <w:fldChar w:fldCharType="end"/>
      </w:r>
      <w:bookmarkEnd w:id="31"/>
      <w:r w:rsidRPr="00EB056A">
        <w:rPr>
          <w:rFonts w:ascii="Arial" w:hAnsi="Arial" w:cs="Arial"/>
          <w:b/>
          <w:bCs/>
          <w:i w:val="0"/>
          <w:iCs w:val="0"/>
          <w:color w:val="auto"/>
          <w:sz w:val="24"/>
          <w:szCs w:val="24"/>
        </w:rPr>
        <w:t xml:space="preserve">: </w:t>
      </w:r>
      <w:r w:rsidR="004C2AE9">
        <w:rPr>
          <w:rFonts w:ascii="Arial" w:hAnsi="Arial" w:cs="Arial"/>
          <w:b/>
          <w:bCs/>
          <w:i w:val="0"/>
          <w:iCs w:val="0"/>
          <w:color w:val="auto"/>
          <w:sz w:val="24"/>
          <w:szCs w:val="24"/>
        </w:rPr>
        <w:t>Representation of the i</w:t>
      </w:r>
      <w:r w:rsidRPr="00EB056A">
        <w:rPr>
          <w:rFonts w:ascii="Arial" w:hAnsi="Arial" w:cs="Arial"/>
          <w:b/>
          <w:bCs/>
          <w:i w:val="0"/>
          <w:iCs w:val="0"/>
          <w:color w:val="auto"/>
          <w:sz w:val="24"/>
          <w:szCs w:val="24"/>
        </w:rPr>
        <w:t>nsertion of a coil in a saccular aneurysm</w:t>
      </w:r>
      <w:bookmarkEnd w:id="32"/>
      <w:r w:rsidR="004C2AE9">
        <w:rPr>
          <w:rFonts w:ascii="Arial" w:hAnsi="Arial" w:cs="Arial"/>
          <w:b/>
          <w:bCs/>
          <w:i w:val="0"/>
          <w:iCs w:val="0"/>
          <w:color w:val="auto"/>
          <w:sz w:val="24"/>
          <w:szCs w:val="24"/>
        </w:rPr>
        <w:t xml:space="preserve">. </w:t>
      </w:r>
      <w:r w:rsidR="007B2D3F" w:rsidRPr="001260F2">
        <w:rPr>
          <w:rFonts w:ascii="Arial" w:hAnsi="Arial" w:cs="Arial"/>
          <w:i w:val="0"/>
          <w:iCs w:val="0"/>
          <w:color w:val="000000" w:themeColor="text1"/>
          <w:sz w:val="24"/>
          <w:szCs w:val="24"/>
        </w:rPr>
        <w:t>A micro catheter is inserted in a patient blood vessel</w:t>
      </w:r>
      <w:r w:rsidR="000647EB" w:rsidRPr="001260F2">
        <w:rPr>
          <w:rFonts w:ascii="Arial" w:hAnsi="Arial" w:cs="Arial"/>
          <w:i w:val="0"/>
          <w:iCs w:val="0"/>
          <w:color w:val="000000" w:themeColor="text1"/>
          <w:sz w:val="24"/>
          <w:szCs w:val="24"/>
        </w:rPr>
        <w:t xml:space="preserve"> to deploy and coil </w:t>
      </w:r>
      <w:r w:rsidR="006D4772" w:rsidRPr="001260F2">
        <w:rPr>
          <w:rFonts w:ascii="Arial" w:hAnsi="Arial" w:cs="Arial"/>
          <w:i w:val="0"/>
          <w:iCs w:val="0"/>
          <w:color w:val="000000" w:themeColor="text1"/>
          <w:sz w:val="24"/>
          <w:szCs w:val="24"/>
        </w:rPr>
        <w:t>(</w:t>
      </w:r>
      <w:r w:rsidR="000647EB" w:rsidRPr="001260F2">
        <w:rPr>
          <w:rFonts w:ascii="Arial" w:hAnsi="Arial" w:cs="Arial"/>
          <w:i w:val="0"/>
          <w:iCs w:val="0"/>
          <w:color w:val="000000" w:themeColor="text1"/>
          <w:sz w:val="24"/>
          <w:szCs w:val="24"/>
        </w:rPr>
        <w:t>a wire</w:t>
      </w:r>
      <w:r w:rsidR="006D4772" w:rsidRPr="001260F2">
        <w:rPr>
          <w:rFonts w:ascii="Arial" w:hAnsi="Arial" w:cs="Arial"/>
          <w:i w:val="0"/>
          <w:iCs w:val="0"/>
          <w:color w:val="000000" w:themeColor="text1"/>
          <w:sz w:val="24"/>
          <w:szCs w:val="24"/>
        </w:rPr>
        <w:t>)</w:t>
      </w:r>
      <w:r w:rsidR="000647EB" w:rsidRPr="001260F2">
        <w:rPr>
          <w:rFonts w:ascii="Arial" w:hAnsi="Arial" w:cs="Arial"/>
          <w:i w:val="0"/>
          <w:iCs w:val="0"/>
          <w:color w:val="000000" w:themeColor="text1"/>
          <w:sz w:val="24"/>
          <w:szCs w:val="24"/>
        </w:rPr>
        <w:t xml:space="preserve"> into the aneurysm</w:t>
      </w:r>
      <w:r w:rsidR="00BD51EC" w:rsidRPr="001260F2">
        <w:rPr>
          <w:rFonts w:ascii="Arial" w:hAnsi="Arial" w:cs="Arial"/>
          <w:i w:val="0"/>
          <w:iCs w:val="0"/>
          <w:color w:val="000000" w:themeColor="text1"/>
          <w:sz w:val="24"/>
          <w:szCs w:val="24"/>
        </w:rPr>
        <w:t xml:space="preserve"> to prevent blood from flowing inside the aneurysm.</w:t>
      </w:r>
      <w:bookmarkEnd w:id="33"/>
    </w:p>
    <w:p w14:paraId="32731059" w14:textId="77777777" w:rsidR="00FD4E05" w:rsidRPr="00EB056A" w:rsidRDefault="00FD4E05" w:rsidP="00EB056A">
      <w:pPr>
        <w:rPr>
          <w:i/>
          <w:iCs/>
        </w:rPr>
      </w:pPr>
    </w:p>
    <w:p w14:paraId="6352C3D1" w14:textId="62E63997" w:rsidR="00194F5C" w:rsidRDefault="005400A6" w:rsidP="00272628">
      <w:pPr>
        <w:spacing w:line="480" w:lineRule="auto"/>
        <w:ind w:firstLine="720"/>
        <w:jc w:val="both"/>
      </w:pPr>
      <w:r w:rsidRPr="00EB056A">
        <w:rPr>
          <w:rFonts w:ascii="Arial" w:hAnsi="Arial" w:cs="Arial"/>
          <w:sz w:val="24"/>
          <w:szCs w:val="24"/>
        </w:rPr>
        <w:lastRenderedPageBreak/>
        <w:t xml:space="preserve">Coiling is efficient and less invasive than surgical clipping. </w:t>
      </w:r>
      <w:r w:rsidR="00CC04D4">
        <w:rPr>
          <w:rFonts w:ascii="Arial" w:hAnsi="Arial" w:cs="Arial"/>
          <w:sz w:val="24"/>
          <w:szCs w:val="24"/>
        </w:rPr>
        <w:t>T</w:t>
      </w:r>
      <w:r w:rsidR="00CC04D4" w:rsidRPr="00FA49D8">
        <w:rPr>
          <w:rFonts w:ascii="Arial" w:hAnsi="Arial" w:cs="Arial"/>
          <w:sz w:val="24"/>
          <w:szCs w:val="24"/>
        </w:rPr>
        <w:t xml:space="preserve">he </w:t>
      </w:r>
      <w:r w:rsidR="00CC04D4">
        <w:rPr>
          <w:rFonts w:ascii="Arial" w:hAnsi="Arial" w:cs="Arial"/>
          <w:sz w:val="24"/>
          <w:szCs w:val="24"/>
        </w:rPr>
        <w:t>I</w:t>
      </w:r>
      <w:r w:rsidR="00CC04D4" w:rsidRPr="0027118D">
        <w:rPr>
          <w:rFonts w:ascii="Arial" w:hAnsi="Arial" w:cs="Arial"/>
          <w:sz w:val="24"/>
          <w:szCs w:val="24"/>
        </w:rPr>
        <w:t xml:space="preserve">nternational </w:t>
      </w:r>
      <w:r w:rsidR="00CC04D4">
        <w:rPr>
          <w:rFonts w:ascii="Arial" w:hAnsi="Arial" w:cs="Arial"/>
          <w:sz w:val="24"/>
          <w:szCs w:val="24"/>
        </w:rPr>
        <w:t>S</w:t>
      </w:r>
      <w:r w:rsidR="00CC04D4" w:rsidRPr="0027118D">
        <w:rPr>
          <w:rFonts w:ascii="Arial" w:hAnsi="Arial" w:cs="Arial"/>
          <w:sz w:val="24"/>
          <w:szCs w:val="24"/>
        </w:rPr>
        <w:t xml:space="preserve">ubarachnoid </w:t>
      </w:r>
      <w:r w:rsidR="00CC04D4">
        <w:rPr>
          <w:rFonts w:ascii="Arial" w:hAnsi="Arial" w:cs="Arial"/>
          <w:sz w:val="24"/>
          <w:szCs w:val="24"/>
        </w:rPr>
        <w:t>A</w:t>
      </w:r>
      <w:r w:rsidR="00CC04D4" w:rsidRPr="0027118D">
        <w:rPr>
          <w:rFonts w:ascii="Arial" w:hAnsi="Arial" w:cs="Arial"/>
          <w:sz w:val="24"/>
          <w:szCs w:val="24"/>
        </w:rPr>
        <w:t xml:space="preserve">neurysm </w:t>
      </w:r>
      <w:r w:rsidR="00CC04D4">
        <w:rPr>
          <w:rFonts w:ascii="Arial" w:hAnsi="Arial" w:cs="Arial"/>
          <w:sz w:val="24"/>
          <w:szCs w:val="24"/>
        </w:rPr>
        <w:t>T</w:t>
      </w:r>
      <w:r w:rsidR="00CC04D4" w:rsidRPr="0027118D">
        <w:rPr>
          <w:rFonts w:ascii="Arial" w:hAnsi="Arial" w:cs="Arial"/>
          <w:sz w:val="24"/>
          <w:szCs w:val="24"/>
        </w:rPr>
        <w:t>rial</w:t>
      </w:r>
      <w:r w:rsidR="00CC04D4">
        <w:rPr>
          <w:rFonts w:ascii="Arial" w:hAnsi="Arial" w:cs="Arial"/>
          <w:sz w:val="24"/>
          <w:szCs w:val="24"/>
        </w:rPr>
        <w:t xml:space="preserve"> recorded the recovery </w:t>
      </w:r>
      <w:r w:rsidR="00540B4F">
        <w:rPr>
          <w:rFonts w:ascii="Arial" w:hAnsi="Arial" w:cs="Arial"/>
          <w:sz w:val="24"/>
          <w:szCs w:val="24"/>
        </w:rPr>
        <w:t>rates</w:t>
      </w:r>
      <w:r w:rsidR="00CC04D4">
        <w:rPr>
          <w:rFonts w:ascii="Arial" w:hAnsi="Arial" w:cs="Arial"/>
          <w:sz w:val="24"/>
          <w:szCs w:val="24"/>
        </w:rPr>
        <w:t xml:space="preserve"> of 2,143 patients with coils or stents-treated aneurysms</w:t>
      </w:r>
      <w:r w:rsidR="00666869" w:rsidRPr="00E47A33">
        <w:rPr>
          <w:rFonts w:ascii="Arial" w:hAnsi="Arial" w:cs="Arial"/>
          <w:i/>
          <w:iCs/>
          <w:sz w:val="24"/>
          <w:szCs w:val="24"/>
        </w:rPr>
        <w:fldChar w:fldCharType="begin"/>
      </w:r>
      <w:r w:rsidR="005B4F59">
        <w:rPr>
          <w:rFonts w:ascii="Arial" w:hAnsi="Arial" w:cs="Arial"/>
          <w:i/>
          <w:iCs/>
          <w:sz w:val="24"/>
          <w:szCs w:val="24"/>
        </w:rPr>
        <w:instrText xml:space="preserve"> ADDIN ZOTERO_ITEM CSL_CITATION {"citationID":"iVt3kXYY","properties":{"formattedCitation":"\\super 4\\nosupersub{}","plainCitation":"4","noteIndex":0},"citationItems":[{"id":6,"uris":["http://zotero.org/users/6508478/items/JVVJZL89"],"itemData":{"id":6,"type":"article-journal","abstract":"BACKGROUND: Previous analyses of the International Subarachnoid Aneurysm Trial (ISAT) cohort have reported on the risks of recurrent subarachnoid haemorrhage and death or dependency for a minimum of 5 years and up to a maximum of 14 years after treatment of a ruptured intracranial aneurysm with either neurosurgical clipping or endovascular coiling. At 1 year there was a 7% absolute and a 24% relative risk reduction of death and dependency in the coiling group compared with the clipping group, but the medium-term results showed the increased need for re-treatment of the target aneurysm in the patients given coiling. We report the long-term follow-up of patients in this UK cohort.\nMETHODS: In ISAT, patients were randomly allocated to either neurosurgical clipping or endovascular coiling after a subarachnoid haemorrhage, assuming treatment equipoise, between Sept 12, 1994, and May 1, 2002. We followed up 1644 patients in 22 UK neurosurgical centres for death and clinical outcomes for 10·0-18·5 years. We assessed dependency as self-reported modified Rankin scale score obtained through yearly questionnaires. Data for recurrent aneurysms and rebleeding events were collected from questionnaires and from hospital and general practitioner records. The Office for National Statistics supplied data on deaths. This study is registered, number ISRCTN49866681.\nFINDINGS: At 10 years, 674 (83%) of 809 patients allocated endovascular coiling and 657 (79%) of 835 patients allocated neurosurgical clipping were alive (odds ratio [OR] 1·35, 95% CI 1·06-1·73). Of 1003 individuals who returned a questionnaire at 10 years, 435 (82%) patients treated with endovascular coiling and 370 (78%) patients treated with neurosurgical clipping were independent (modified Rankin scale score 0-2; OR 1·25; 95% CI 0·92-1·71). Patients in the endovascular treatment group were more likely to be alive and independent at 10 years than were patients in the neurosurgery group (OR 1·34, 95% CI 1·07-1·67). 33 patients had a recurrent subarachnoid haemorrhage more than 1 year after their initial haemorrhage (17 from the target aneurysm).\nINTERPRETATION: Although rates of increased dependency alone did not differ between groups, the probability of death or dependency was significantly greater in the neurosurgical group than in the endovascular group. Rebleeding was more likely after endovascular coiling than after neurosurgical clipping, but the risk was small and the probability of disability-free survival was significantly greater in the endovascular group than in the neurosurgical group at 10 years.\nFUNDING: UK Medical Research Council.","container-title":"Lancet (London, England)","DOI":"10.1016/S0140-6736(14)60975-2","ISSN":"1474-547X","issue":"9969","journalAbbreviation":"Lancet","language":"eng","note":"PMID: 25465111\nPMCID: PMC4356153","page":"691-697","source":"PubMed","title":"The durability of endovascular coiling versus neurosurgical clipping of ruptured cerebral aneurysms: 18 year follow-up of the UK cohort of the International Subarachnoid Aneurysm Trial (ISAT)","title-short":"The durability of endovascular coiling versus neurosurgical clipping of ruptured cerebral aneurysms","volume":"385","author":[{"family":"Molyneux","given":"Andrew J."},{"family":"Birks","given":"Jacqueline"},{"family":"Clarke","given":"Alison"},{"family":"Sneade","given":"Mary"},{"family":"Kerr","given":"Richard S. C."}],"issued":{"date-parts":[["2015",2,21]]}}}],"schema":"https://github.com/citation-style-language/schema/raw/master/csl-citation.json"} </w:instrText>
      </w:r>
      <w:r w:rsidR="00666869" w:rsidRPr="00E47A33">
        <w:rPr>
          <w:rFonts w:ascii="Arial" w:hAnsi="Arial" w:cs="Arial"/>
          <w:i/>
          <w:iCs/>
          <w:sz w:val="24"/>
          <w:szCs w:val="24"/>
        </w:rPr>
        <w:fldChar w:fldCharType="separate"/>
      </w:r>
      <w:r w:rsidR="00666869" w:rsidRPr="00E47A33">
        <w:rPr>
          <w:rFonts w:ascii="Arial" w:hAnsi="Arial" w:cs="Arial"/>
          <w:sz w:val="24"/>
          <w:szCs w:val="24"/>
          <w:vertAlign w:val="superscript"/>
        </w:rPr>
        <w:t>4</w:t>
      </w:r>
      <w:r w:rsidR="00666869" w:rsidRPr="00E47A33">
        <w:rPr>
          <w:rFonts w:ascii="Arial" w:hAnsi="Arial" w:cs="Arial"/>
          <w:i/>
          <w:iCs/>
          <w:sz w:val="24"/>
          <w:szCs w:val="24"/>
        </w:rPr>
        <w:fldChar w:fldCharType="end"/>
      </w:r>
      <w:r w:rsidR="00540B4F">
        <w:rPr>
          <w:rFonts w:ascii="Arial" w:hAnsi="Arial" w:cs="Arial"/>
          <w:sz w:val="24"/>
          <w:szCs w:val="24"/>
        </w:rPr>
        <w:t>.</w:t>
      </w:r>
      <w:r w:rsidR="00CC04D4" w:rsidRPr="00CC04D4">
        <w:rPr>
          <w:rFonts w:ascii="Arial" w:hAnsi="Arial" w:cs="Arial"/>
          <w:sz w:val="24"/>
          <w:szCs w:val="24"/>
        </w:rPr>
        <w:t xml:space="preserve"> </w:t>
      </w:r>
      <w:r w:rsidRPr="00E47A33">
        <w:rPr>
          <w:rFonts w:ascii="Arial" w:hAnsi="Arial" w:cs="Arial"/>
          <w:sz w:val="24"/>
          <w:szCs w:val="24"/>
        </w:rPr>
        <w:t xml:space="preserve">In </w:t>
      </w:r>
      <w:r w:rsidR="002A4FB5">
        <w:rPr>
          <w:rFonts w:ascii="Arial" w:hAnsi="Arial" w:cs="Arial"/>
          <w:sz w:val="24"/>
          <w:szCs w:val="24"/>
        </w:rPr>
        <w:t>the</w:t>
      </w:r>
      <w:r w:rsidRPr="00E47A33">
        <w:rPr>
          <w:rFonts w:ascii="Arial" w:hAnsi="Arial" w:cs="Arial"/>
          <w:sz w:val="24"/>
          <w:szCs w:val="24"/>
        </w:rPr>
        <w:t xml:space="preserve"> UK cohort of</w:t>
      </w:r>
      <w:r w:rsidR="00CC04D4">
        <w:rPr>
          <w:rFonts w:ascii="Arial" w:hAnsi="Arial" w:cs="Arial"/>
          <w:sz w:val="24"/>
          <w:szCs w:val="24"/>
        </w:rPr>
        <w:t xml:space="preserve"> this trial</w:t>
      </w:r>
      <w:r w:rsidR="003706F4">
        <w:rPr>
          <w:rFonts w:ascii="Arial" w:hAnsi="Arial" w:cs="Arial"/>
          <w:sz w:val="24"/>
          <w:szCs w:val="24"/>
        </w:rPr>
        <w:t>,</w:t>
      </w:r>
      <w:r w:rsidRPr="00E47A33">
        <w:rPr>
          <w:rFonts w:ascii="Arial" w:hAnsi="Arial" w:cs="Arial"/>
          <w:sz w:val="24"/>
          <w:szCs w:val="24"/>
        </w:rPr>
        <w:t xml:space="preserve"> Molyneux </w:t>
      </w:r>
      <w:r w:rsidRPr="00E47A33">
        <w:rPr>
          <w:rFonts w:ascii="Arial" w:hAnsi="Arial" w:cs="Arial"/>
          <w:i/>
          <w:iCs/>
          <w:sz w:val="24"/>
          <w:szCs w:val="24"/>
        </w:rPr>
        <w:t>et al.</w:t>
      </w:r>
      <w:r w:rsidR="0047757D" w:rsidRPr="00E47A33">
        <w:rPr>
          <w:rFonts w:ascii="Arial" w:hAnsi="Arial" w:cs="Arial"/>
          <w:i/>
          <w:iCs/>
          <w:sz w:val="24"/>
          <w:szCs w:val="24"/>
        </w:rPr>
        <w:fldChar w:fldCharType="begin"/>
      </w:r>
      <w:r w:rsidR="0047757D">
        <w:rPr>
          <w:rFonts w:ascii="Arial" w:hAnsi="Arial" w:cs="Arial"/>
          <w:i/>
          <w:iCs/>
          <w:sz w:val="24"/>
          <w:szCs w:val="24"/>
        </w:rPr>
        <w:instrText xml:space="preserve"> ADDIN ZOTERO_ITEM CSL_CITATION {"citationID":"za3TJ0p7","properties":{"formattedCitation":"\\super 4\\nosupersub{}","plainCitation":"4","noteIndex":0},"citationItems":[{"id":6,"uris":["http://zotero.org/users/6508478/items/JVVJZL89"],"itemData":{"id":6,"type":"article-journal","abstract":"BACKGROUND: Previous analyses of the International Subarachnoid Aneurysm Trial (ISAT) cohort have reported on the risks of recurrent subarachnoid haemorrhage and death or dependency for a minimum of 5 years and up to a maximum of 14 years after treatment of a ruptured intracranial aneurysm with either neurosurgical clipping or endovascular coiling. At 1 year there was a 7% absolute and a 24% relative risk reduction of death and dependency in the coiling group compared with the clipping group, but the medium-term results showed the increased need for re-treatment of the target aneurysm in the patients given coiling. We report the long-term follow-up of patients in this UK cohort.\nMETHODS: In ISAT, patients were randomly allocated to either neurosurgical clipping or endovascular coiling after a subarachnoid haemorrhage, assuming treatment equipoise, between Sept 12, 1994, and May 1, 2002. We followed up 1644 patients in 22 UK neurosurgical centres for death and clinical outcomes for 10·0-18·5 years. We assessed dependency as self-reported modified Rankin scale score obtained through yearly questionnaires. Data for recurrent aneurysms and rebleeding events were collected from questionnaires and from hospital and general practitioner records. The Office for National Statistics supplied data on deaths. This study is registered, number ISRCTN49866681.\nFINDINGS: At 10 years, 674 (83%) of 809 patients allocated endovascular coiling and 657 (79%) of 835 patients allocated neurosurgical clipping were alive (odds ratio [OR] 1·35, 95% CI 1·06-1·73). Of 1003 individuals who returned a questionnaire at 10 years, 435 (82%) patients treated with endovascular coiling and 370 (78%) patients treated with neurosurgical clipping were independent (modified Rankin scale score 0-2; OR 1·25; 95% CI 0·92-1·71). Patients in the endovascular treatment group were more likely to be alive and independent at 10 years than were patients in the neurosurgery group (OR 1·34, 95% CI 1·07-1·67). 33 patients had a recurrent subarachnoid haemorrhage more than 1 year after their initial haemorrhage (17 from the target aneurysm).\nINTERPRETATION: Although rates of increased dependency alone did not differ between groups, the probability of death or dependency was significantly greater in the neurosurgical group than in the endovascular group. Rebleeding was more likely after endovascular coiling than after neurosurgical clipping, but the risk was small and the probability of disability-free survival was significantly greater in the endovascular group than in the neurosurgical group at 10 years.\nFUNDING: UK Medical Research Council.","container-title":"Lancet (London, England)","DOI":"10.1016/S0140-6736(14)60975-2","ISSN":"1474-547X","issue":"9969","journalAbbreviation":"Lancet","language":"eng","note":"PMID: 25465111\nPMCID: PMC4356153","page":"691-697","source":"PubMed","title":"The durability of endovascular coiling versus neurosurgical clipping of ruptured cerebral aneurysms: 18 year follow-up of the UK cohort of the International Subarachnoid Aneurysm Trial (ISAT)","title-short":"The durability of endovascular coiling versus neurosurgical clipping of ruptured cerebral aneurysms","volume":"385","author":[{"family":"Molyneux","given":"Andrew J."},{"family":"Birks","given":"Jacqueline"},{"family":"Clarke","given":"Alison"},{"family":"Sneade","given":"Mary"},{"family":"Kerr","given":"Richard S. C."}],"issued":{"date-parts":[["2015",2,21]]}}}],"schema":"https://github.com/citation-style-language/schema/raw/master/csl-citation.json"} </w:instrText>
      </w:r>
      <w:r w:rsidR="0047757D" w:rsidRPr="00E47A33">
        <w:rPr>
          <w:rFonts w:ascii="Arial" w:hAnsi="Arial" w:cs="Arial"/>
          <w:i/>
          <w:iCs/>
          <w:sz w:val="24"/>
          <w:szCs w:val="24"/>
        </w:rPr>
        <w:fldChar w:fldCharType="separate"/>
      </w:r>
      <w:r w:rsidR="0047757D" w:rsidRPr="00E47A33">
        <w:rPr>
          <w:rFonts w:ascii="Arial" w:hAnsi="Arial" w:cs="Arial"/>
          <w:sz w:val="24"/>
          <w:szCs w:val="24"/>
          <w:vertAlign w:val="superscript"/>
        </w:rPr>
        <w:t>4</w:t>
      </w:r>
      <w:r w:rsidR="0047757D" w:rsidRPr="00E47A33">
        <w:rPr>
          <w:rFonts w:ascii="Arial" w:hAnsi="Arial" w:cs="Arial"/>
          <w:i/>
          <w:iCs/>
          <w:sz w:val="24"/>
          <w:szCs w:val="24"/>
        </w:rPr>
        <w:fldChar w:fldCharType="end"/>
      </w:r>
      <w:r w:rsidRPr="00E47A33">
        <w:rPr>
          <w:rFonts w:ascii="Arial" w:hAnsi="Arial" w:cs="Arial"/>
          <w:sz w:val="24"/>
          <w:szCs w:val="24"/>
        </w:rPr>
        <w:t xml:space="preserve"> </w:t>
      </w:r>
      <w:r w:rsidR="00540B4F">
        <w:rPr>
          <w:rFonts w:ascii="Arial" w:hAnsi="Arial" w:cs="Arial"/>
          <w:sz w:val="24"/>
          <w:szCs w:val="24"/>
        </w:rPr>
        <w:t>observed</w:t>
      </w:r>
      <w:r w:rsidR="00540B4F" w:rsidRPr="00E47A33">
        <w:rPr>
          <w:rFonts w:ascii="Arial" w:hAnsi="Arial" w:cs="Arial"/>
          <w:sz w:val="24"/>
          <w:szCs w:val="24"/>
        </w:rPr>
        <w:t xml:space="preserve"> </w:t>
      </w:r>
      <w:r w:rsidRPr="00E47A33">
        <w:rPr>
          <w:rFonts w:ascii="Arial" w:hAnsi="Arial" w:cs="Arial"/>
          <w:sz w:val="24"/>
          <w:szCs w:val="24"/>
        </w:rPr>
        <w:t xml:space="preserve">that, 10 years after surgical clipping, 83% of the 809 patients were alive. </w:t>
      </w:r>
      <w:r w:rsidR="005956FA">
        <w:rPr>
          <w:rFonts w:ascii="Arial" w:hAnsi="Arial" w:cs="Arial"/>
          <w:sz w:val="24"/>
          <w:szCs w:val="24"/>
        </w:rPr>
        <w:t>In a similar study</w:t>
      </w:r>
      <w:r w:rsidR="006C5B68">
        <w:rPr>
          <w:rFonts w:ascii="Arial" w:hAnsi="Arial" w:cs="Arial"/>
          <w:sz w:val="24"/>
          <w:szCs w:val="24"/>
        </w:rPr>
        <w:t xml:space="preserve"> conducted in the United States</w:t>
      </w:r>
      <w:r w:rsidRPr="00E47A33">
        <w:rPr>
          <w:rFonts w:ascii="Arial" w:hAnsi="Arial" w:cs="Arial"/>
          <w:sz w:val="24"/>
          <w:szCs w:val="24"/>
        </w:rPr>
        <w:t xml:space="preserve">, </w:t>
      </w:r>
      <w:r w:rsidRPr="00EB056A">
        <w:rPr>
          <w:rFonts w:ascii="Arial" w:hAnsi="Arial" w:cs="Arial"/>
          <w:sz w:val="24"/>
          <w:szCs w:val="24"/>
        </w:rPr>
        <w:t xml:space="preserve">Hoffman </w:t>
      </w:r>
      <w:r w:rsidRPr="00EB056A">
        <w:rPr>
          <w:rFonts w:ascii="Arial" w:hAnsi="Arial" w:cs="Arial"/>
          <w:i/>
          <w:iCs/>
          <w:sz w:val="24"/>
          <w:szCs w:val="24"/>
        </w:rPr>
        <w:t>et al.</w:t>
      </w:r>
      <w:r w:rsidRPr="00EB056A">
        <w:rPr>
          <w:rFonts w:ascii="Arial" w:hAnsi="Arial" w:cs="Arial"/>
          <w:i/>
          <w:iCs/>
          <w:sz w:val="24"/>
          <w:szCs w:val="24"/>
        </w:rPr>
        <w:fldChar w:fldCharType="begin"/>
      </w:r>
      <w:r w:rsidR="005B4F59">
        <w:rPr>
          <w:rFonts w:ascii="Arial" w:hAnsi="Arial" w:cs="Arial"/>
          <w:i/>
          <w:iCs/>
          <w:sz w:val="24"/>
          <w:szCs w:val="24"/>
        </w:rPr>
        <w:instrText xml:space="preserve"> ADDIN ZOTERO_ITEM CSL_CITATION {"citationID":"ELGGiji8","properties":{"formattedCitation":"\\super 30\\nosupersub{}","plainCitation":"30","noteIndex":0},"citationItems":[{"id":19,"uris":["http://zotero.org/users/6508478/items/ZI593EAI"],"itemData":{"id":19,"type":"article-journal","abstract":"Background: In the treatment of aneurysmal subarachnoid hemorrhage (aSAH), microsurgical clipping, and endovascular therapy (EVT) with coiling are modalities for securing the ruptured aneurysm. Little data is available regarding associated readmission rates. We sought to determine whether readmission rates differed according to treatment modality for ruptured intracranial aneurysms. Methods: The Nationwide Readmissions Database (NRD) was used to identify adults who experienced aSAH and underwent clipping or EVT. Primary outcomes of interest were the incidences of 30- and 90-day readmissions (30dRA, 90dRA). Propensity score matching was used to generate matched pairs based on age, comorbidities, hospital volume, and hemorrhage severity. Results: We identified 13,623 and 11,160 patients who were eligible for 30dRA and 90dRA analyses, respectively. Among the patients eligible for 30dRA and 90dRA, we created 4282 and 3518 propensity score-matched pairs, respectively. There was no difference in the incidence of 30dRA (12.4% for clipping versus 11.2% for EVT; P = .094). However, 90dRA occurred more frequently after clipping (22.5%) compared to EVT (19.7%; P = .003). Clipping was associated with poor outcome after 30dRA (odds ratio [OR] = 1.51, 95% confidence interval [CI] 1.21-1.88, P &lt; .001) and after 90dRA (OR = 1.60, 95% CI 1.34-1.91, P = .001). Mean duration to readmission and cost of readmission did not vary, but clipping was associated with longer lengths of stay during readmission. Conclusions: Microsurgical clipping of ruptured aneurysms is associated with a greater incidence of 90dRA, but not 30dRA, compared to EVT. Poor outcomes after readmission are more common following clipping.","container-title":"Journal of Stroke and Cerebrovascular Diseases","DOI":"10.1016/j.jstrokecerebrovasdis.2020.104696","ISSN":"1052-3057","issue":"5","journalAbbreviation":"Journal of Stroke and Cerebrovascular Diseases","language":"en","page":"104696","source":"ScienceDirect","title":"A Propensity Score-Matched Comparison of Readmission Rates Associated With Microsurgical Clipping and Endovascular Treatment of Ruptured Intracranial Aneurysms","volume":"29","author":[{"family":"Hoffman","given":"Haydn"},{"family":"Jalal","given":"Muhammad S."},{"family":"Chin","given":"Lawrence S."}],"issued":{"date-parts":[["2020",5,1]]}}}],"schema":"https://github.com/citation-style-language/schema/raw/master/csl-citation.json"} </w:instrText>
      </w:r>
      <w:r w:rsidRPr="00EB056A">
        <w:rPr>
          <w:rFonts w:ascii="Arial" w:hAnsi="Arial" w:cs="Arial"/>
          <w:i/>
          <w:iCs/>
          <w:sz w:val="24"/>
          <w:szCs w:val="24"/>
        </w:rPr>
        <w:fldChar w:fldCharType="separate"/>
      </w:r>
      <w:r w:rsidR="00766016" w:rsidRPr="00766016">
        <w:rPr>
          <w:rFonts w:ascii="Arial" w:hAnsi="Arial" w:cs="Arial"/>
          <w:sz w:val="24"/>
          <w:szCs w:val="24"/>
          <w:vertAlign w:val="superscript"/>
        </w:rPr>
        <w:t>30</w:t>
      </w:r>
      <w:r w:rsidRPr="00EB056A">
        <w:rPr>
          <w:rFonts w:ascii="Arial" w:hAnsi="Arial" w:cs="Arial"/>
          <w:i/>
          <w:iCs/>
          <w:sz w:val="24"/>
          <w:szCs w:val="24"/>
        </w:rPr>
        <w:fldChar w:fldCharType="end"/>
      </w:r>
      <w:r w:rsidRPr="00EB056A">
        <w:rPr>
          <w:rFonts w:ascii="Arial" w:hAnsi="Arial" w:cs="Arial"/>
          <w:sz w:val="24"/>
          <w:szCs w:val="24"/>
        </w:rPr>
        <w:t xml:space="preserve"> recounted that of 8,564 patients</w:t>
      </w:r>
      <w:r w:rsidR="00876233" w:rsidRPr="00EB056A">
        <w:rPr>
          <w:rFonts w:ascii="Arial" w:hAnsi="Arial" w:cs="Arial"/>
          <w:sz w:val="24"/>
          <w:szCs w:val="24"/>
        </w:rPr>
        <w:t>, with</w:t>
      </w:r>
      <w:r w:rsidRPr="00EB056A">
        <w:rPr>
          <w:rFonts w:ascii="Arial" w:hAnsi="Arial" w:cs="Arial"/>
          <w:sz w:val="24"/>
          <w:szCs w:val="24"/>
        </w:rPr>
        <w:t xml:space="preserve"> half treated with coils and half with clips, those treated with coils had less severe 30-day readmission issues than patients treated with clipping.</w:t>
      </w:r>
      <w:r w:rsidR="004C32D3">
        <w:rPr>
          <w:rFonts w:ascii="Arial" w:hAnsi="Arial" w:cs="Arial"/>
          <w:sz w:val="24"/>
          <w:szCs w:val="24"/>
        </w:rPr>
        <w:t xml:space="preserve"> </w:t>
      </w:r>
      <w:r w:rsidR="006D4772">
        <w:rPr>
          <w:rFonts w:ascii="Arial" w:hAnsi="Arial" w:cs="Arial"/>
          <w:sz w:val="24"/>
          <w:szCs w:val="24"/>
        </w:rPr>
        <w:t>Unfortunately</w:t>
      </w:r>
      <w:r w:rsidRPr="00EB056A">
        <w:rPr>
          <w:rFonts w:ascii="Arial" w:hAnsi="Arial" w:cs="Arial"/>
          <w:sz w:val="24"/>
          <w:szCs w:val="24"/>
        </w:rPr>
        <w:t>, costs</w:t>
      </w:r>
      <w:r w:rsidR="006D4772">
        <w:rPr>
          <w:rFonts w:ascii="Arial" w:hAnsi="Arial" w:cs="Arial"/>
          <w:sz w:val="24"/>
          <w:szCs w:val="24"/>
        </w:rPr>
        <w:t xml:space="preserve"> for coiling procedures</w:t>
      </w:r>
      <w:r w:rsidRPr="00EB056A">
        <w:rPr>
          <w:rFonts w:ascii="Arial" w:hAnsi="Arial" w:cs="Arial"/>
          <w:sz w:val="24"/>
          <w:szCs w:val="24"/>
        </w:rPr>
        <w:t xml:space="preserve"> are high and vary </w:t>
      </w:r>
      <w:r w:rsidR="00C167BA">
        <w:rPr>
          <w:rFonts w:ascii="Arial" w:hAnsi="Arial" w:cs="Arial"/>
          <w:sz w:val="24"/>
          <w:szCs w:val="24"/>
        </w:rPr>
        <w:t>across</w:t>
      </w:r>
      <w:r w:rsidRPr="00EB056A">
        <w:rPr>
          <w:rFonts w:ascii="Arial" w:hAnsi="Arial" w:cs="Arial"/>
          <w:sz w:val="24"/>
          <w:szCs w:val="24"/>
        </w:rPr>
        <w:t xml:space="preserve"> hospital</w:t>
      </w:r>
      <w:r w:rsidR="00C167BA">
        <w:rPr>
          <w:rFonts w:ascii="Arial" w:hAnsi="Arial" w:cs="Arial"/>
          <w:sz w:val="24"/>
          <w:szCs w:val="24"/>
        </w:rPr>
        <w:t>s and regions</w:t>
      </w:r>
      <w:r w:rsidRPr="00EB056A">
        <w:rPr>
          <w:rFonts w:ascii="Arial" w:hAnsi="Arial" w:cs="Arial"/>
          <w:sz w:val="24"/>
          <w:szCs w:val="24"/>
        </w:rPr>
        <w:t xml:space="preserve">. Engele </w:t>
      </w:r>
      <w:r w:rsidRPr="00EB056A">
        <w:rPr>
          <w:rFonts w:ascii="Arial" w:hAnsi="Arial" w:cs="Arial"/>
          <w:i/>
          <w:iCs/>
          <w:sz w:val="24"/>
          <w:szCs w:val="24"/>
        </w:rPr>
        <w:t>et al.</w:t>
      </w:r>
      <w:r w:rsidRPr="00EB056A">
        <w:rPr>
          <w:rFonts w:ascii="Arial" w:hAnsi="Arial" w:cs="Arial"/>
          <w:i/>
          <w:iCs/>
          <w:sz w:val="24"/>
          <w:szCs w:val="24"/>
        </w:rPr>
        <w:fldChar w:fldCharType="begin"/>
      </w:r>
      <w:r w:rsidR="005B4F59">
        <w:rPr>
          <w:rFonts w:ascii="Arial" w:hAnsi="Arial" w:cs="Arial"/>
          <w:i/>
          <w:iCs/>
          <w:sz w:val="24"/>
          <w:szCs w:val="24"/>
        </w:rPr>
        <w:instrText xml:space="preserve"> ADDIN ZOTERO_ITEM CSL_CITATION {"citationID":"Zap8PhRt","properties":{"formattedCitation":"\\super 28\\nosupersub{}","plainCitation":"28","noteIndex":0},"citationItems":[{"id":21,"uris":["http://zotero.org/users/6508478/items/QDNGGQB7"],"itemData":{"id":21,"type":"article-journal","abstract":"Objectives\nRupture of unruptured intracranial aneurysms (UIA) is the main cause for subarachnoid hemorrhage. UIA are widespread among the population. Advanced technology enables us to diagnose UIAs with increasing reliability and subsequently treat them. There are 2 main treatment options: surgical clipping and endovascular treatment of the aneurysm. This article aims to analyze costs of neurosurgical clipping and the endovascular approach to treat UIA, and to give an overview over the existing literature.\nMethods\nA systematic literature search was conducted using the databases Ovid MEDLINE, PubMed, and NHS EED. Articles were divided into 2 groups based on the perspective from which costs were evaluated (health care provider or payer). Costs were inflated to the year 2015 and converted to international dollars.\nResults\nThe literature search yielded 137 different articles out of which 15 have been considered relevant and have been included in this review. Not only absolute numbers but also the cost ratio of both treatment modalities showed substantial variations. The coiling procedure tends to be more expensive for health care providers but cheaper for cost bearers. Without any exception, the authors determined shorter lengths of stay for patients who underwent the coiling procedure.\nConclusions\nDue to different definitions of hospital costs and hardly reproducible calculations, comparability of the stated numbers is limited. Besides the economic impact, outcomes must be considered when making a treatment decision. The 2 treatment modalities are not equally suitable in every patient nor for every aneurysm location.","container-title":"World Neurosurgery","DOI":"10.1016/j.wneu.2019.01.195","ISSN":"1878-8750","journalAbbreviation":"World Neurosurgery","language":"en","page":"461-468","source":"ScienceDirect","title":"Cost Comparison of Surgical Clipping and Endovascular Coiling of Unruptured Intracranial Aneurysms: A Systematic Review","title-short":"Cost Comparison of Surgical Clipping and Endovascular Coiling of Unruptured Intracranial Aneurysms","volume":"125","author":[{"family":"Engele","given":"Tobias"},{"family":"Brettschneider","given":"Christian"},{"family":"Emami","given":"Pedram"},{"family":"König","given":"Hans-Helmut"}],"issued":{"date-parts":[["2019",5,1]]}}}],"schema":"https://github.com/citation-style-language/schema/raw/master/csl-citation.json"} </w:instrText>
      </w:r>
      <w:r w:rsidRPr="00EB056A">
        <w:rPr>
          <w:rFonts w:ascii="Arial" w:hAnsi="Arial" w:cs="Arial"/>
          <w:i/>
          <w:iCs/>
          <w:sz w:val="24"/>
          <w:szCs w:val="24"/>
        </w:rPr>
        <w:fldChar w:fldCharType="separate"/>
      </w:r>
      <w:r w:rsidR="00766016" w:rsidRPr="00766016">
        <w:rPr>
          <w:rFonts w:ascii="Arial" w:hAnsi="Arial" w:cs="Arial"/>
          <w:sz w:val="24"/>
          <w:szCs w:val="24"/>
          <w:vertAlign w:val="superscript"/>
        </w:rPr>
        <w:t>28</w:t>
      </w:r>
      <w:r w:rsidRPr="00EB056A">
        <w:rPr>
          <w:rFonts w:ascii="Arial" w:hAnsi="Arial" w:cs="Arial"/>
          <w:i/>
          <w:iCs/>
          <w:sz w:val="24"/>
          <w:szCs w:val="24"/>
        </w:rPr>
        <w:fldChar w:fldCharType="end"/>
      </w:r>
      <w:r w:rsidRPr="00EB056A">
        <w:rPr>
          <w:rFonts w:ascii="Arial" w:hAnsi="Arial" w:cs="Arial"/>
          <w:sz w:val="24"/>
          <w:szCs w:val="24"/>
        </w:rPr>
        <w:t xml:space="preserve"> compared coiling and clipping costs during 20 years </w:t>
      </w:r>
      <w:r w:rsidR="006D4772">
        <w:rPr>
          <w:rFonts w:ascii="Arial" w:hAnsi="Arial" w:cs="Arial"/>
          <w:sz w:val="24"/>
          <w:szCs w:val="24"/>
        </w:rPr>
        <w:t>at various locations in</w:t>
      </w:r>
      <w:r w:rsidR="006D4772" w:rsidRPr="00EB056A">
        <w:rPr>
          <w:rFonts w:ascii="Arial" w:hAnsi="Arial" w:cs="Arial"/>
          <w:sz w:val="24"/>
          <w:szCs w:val="24"/>
        </w:rPr>
        <w:t xml:space="preserve"> </w:t>
      </w:r>
      <w:r w:rsidRPr="00EB056A">
        <w:rPr>
          <w:rFonts w:ascii="Arial" w:hAnsi="Arial" w:cs="Arial"/>
          <w:sz w:val="24"/>
          <w:szCs w:val="24"/>
        </w:rPr>
        <w:t>the US, and found that</w:t>
      </w:r>
      <w:r w:rsidR="006D4772">
        <w:rPr>
          <w:rFonts w:ascii="Arial" w:hAnsi="Arial" w:cs="Arial"/>
          <w:sz w:val="24"/>
          <w:szCs w:val="24"/>
        </w:rPr>
        <w:t xml:space="preserve"> while </w:t>
      </w:r>
      <w:r w:rsidRPr="00EB056A">
        <w:rPr>
          <w:rFonts w:ascii="Arial" w:hAnsi="Arial" w:cs="Arial"/>
          <w:sz w:val="24"/>
          <w:szCs w:val="24"/>
        </w:rPr>
        <w:t xml:space="preserve"> </w:t>
      </w:r>
      <w:r w:rsidR="006D4772" w:rsidRPr="00EB056A">
        <w:rPr>
          <w:rFonts w:ascii="Arial" w:hAnsi="Arial" w:cs="Arial"/>
          <w:sz w:val="24"/>
          <w:szCs w:val="24"/>
        </w:rPr>
        <w:t>coiling is 10 to 30% less expensive than clipping</w:t>
      </w:r>
      <w:r w:rsidR="006D4772">
        <w:rPr>
          <w:rFonts w:ascii="Arial" w:hAnsi="Arial" w:cs="Arial"/>
          <w:sz w:val="24"/>
          <w:szCs w:val="24"/>
        </w:rPr>
        <w:t xml:space="preserve">, coling </w:t>
      </w:r>
      <w:r w:rsidRPr="00EB056A">
        <w:rPr>
          <w:rFonts w:ascii="Arial" w:hAnsi="Arial" w:cs="Arial"/>
          <w:sz w:val="24"/>
          <w:szCs w:val="24"/>
        </w:rPr>
        <w:t xml:space="preserve">prices can vary </w:t>
      </w:r>
      <w:r w:rsidR="00D172A8" w:rsidRPr="00EB056A">
        <w:rPr>
          <w:rFonts w:ascii="Arial" w:hAnsi="Arial" w:cs="Arial"/>
          <w:sz w:val="24"/>
          <w:szCs w:val="24"/>
        </w:rPr>
        <w:t>from</w:t>
      </w:r>
      <w:r w:rsidRPr="00EB056A">
        <w:rPr>
          <w:rFonts w:ascii="Arial" w:hAnsi="Arial" w:cs="Arial"/>
          <w:sz w:val="24"/>
          <w:szCs w:val="24"/>
        </w:rPr>
        <w:t xml:space="preserve"> $13,000 to $83,000</w:t>
      </w:r>
      <w:r w:rsidR="006D4772">
        <w:rPr>
          <w:rFonts w:ascii="Arial" w:hAnsi="Arial" w:cs="Arial"/>
          <w:sz w:val="24"/>
          <w:szCs w:val="24"/>
        </w:rPr>
        <w:t>.</w:t>
      </w:r>
      <w:r w:rsidRPr="00EB056A">
        <w:rPr>
          <w:rFonts w:ascii="Arial" w:hAnsi="Arial" w:cs="Arial"/>
          <w:sz w:val="24"/>
          <w:szCs w:val="24"/>
        </w:rPr>
        <w:t xml:space="preserve"> </w:t>
      </w:r>
      <w:r w:rsidR="006D4772">
        <w:rPr>
          <w:rFonts w:ascii="Arial" w:hAnsi="Arial" w:cs="Arial"/>
          <w:sz w:val="24"/>
          <w:szCs w:val="24"/>
        </w:rPr>
        <w:t>Moreover</w:t>
      </w:r>
      <w:r w:rsidR="001F1E26">
        <w:rPr>
          <w:rFonts w:ascii="Arial" w:hAnsi="Arial" w:cs="Arial"/>
          <w:sz w:val="24"/>
          <w:szCs w:val="24"/>
        </w:rPr>
        <w:t xml:space="preserve">, </w:t>
      </w:r>
      <w:r w:rsidR="006D4772">
        <w:rPr>
          <w:rFonts w:ascii="Arial" w:hAnsi="Arial" w:cs="Arial"/>
          <w:sz w:val="24"/>
          <w:szCs w:val="24"/>
        </w:rPr>
        <w:t>c</w:t>
      </w:r>
      <w:r w:rsidR="00641F7E">
        <w:rPr>
          <w:rFonts w:ascii="Arial" w:hAnsi="Arial" w:cs="Arial"/>
          <w:sz w:val="24"/>
          <w:szCs w:val="24"/>
        </w:rPr>
        <w:t>oils can also induce thrombosis</w:t>
      </w:r>
      <w:r w:rsidR="0056678A">
        <w:rPr>
          <w:rFonts w:ascii="Arial" w:hAnsi="Arial" w:cs="Arial"/>
          <w:sz w:val="24"/>
          <w:szCs w:val="24"/>
        </w:rPr>
        <w:t>, blood clot formation,</w:t>
      </w:r>
      <w:r w:rsidR="00641F7E">
        <w:rPr>
          <w:rFonts w:ascii="Arial" w:hAnsi="Arial" w:cs="Arial"/>
          <w:sz w:val="24"/>
          <w:szCs w:val="24"/>
        </w:rPr>
        <w:t xml:space="preserve"> and inflammation</w:t>
      </w:r>
      <w:r w:rsidR="00FF5316">
        <w:rPr>
          <w:rFonts w:ascii="Arial" w:hAnsi="Arial" w:cs="Arial"/>
          <w:sz w:val="24"/>
          <w:szCs w:val="24"/>
        </w:rPr>
        <w:fldChar w:fldCharType="begin"/>
      </w:r>
      <w:r w:rsidR="005B4F59">
        <w:rPr>
          <w:rFonts w:ascii="Arial" w:hAnsi="Arial" w:cs="Arial"/>
          <w:sz w:val="24"/>
          <w:szCs w:val="24"/>
        </w:rPr>
        <w:instrText xml:space="preserve"> ADDIN ZOTERO_ITEM CSL_CITATION {"citationID":"BbNcxtMQ","properties":{"formattedCitation":"\\super 32\\nosupersub{}","plainCitation":"32","noteIndex":0},"citationItems":[{"id":1,"uris":["http://zotero.org/users/6508478/items/4A727H54"],"itemData":{"id":1,"type":"article-journal","abstract":"Background Flow diversion (FD) has emerged as superior minimally invasive therapy for cerebral aneurysms. However, aneurysms of small peripheral vessel segments have not yet been adequately treatable. More specifically, currently established devices necessitate large microcatheters which impede atraumatic maneuvering. The Silk Vista Baby (SVB), a novel flow diverter, offers the as yet unique feature of deliverability via a 0.017 inch microcatheter. This study reports our first experience with the SVB in challenging intracranial vessels employing a vessel-specific tailored microcatheter strategy.\nMaterials and methods 25 patients (27 aneurysms) were prospectively included. A total of 30 SVBs were employed, predominantly targeting demanding aneurysms of the anterior communicating artery complex. The efficacy of the FD was assessed using two-dimensional vector-based perfusion and conventional digital subtraction angiography (DSA) after implantation and at the first follow-up at 3 months. The first follow-up was available in 22 patients.\nResults All devices were implanted without technical or clinical complications. Eleven treatments were performed using the recommended Headway 17. In 14 interventions the even more maneuverable Excelsior SL10 was used, which was previously tried and tested for safety ’in vitro’ as an alternative delivery system. Aneurysmal influx was strongly reduced after implantation. All parent vessels remained patent. 17/27 aneurysms were completely occluded at first follow-up (</w:instrText>
      </w:r>
      <w:r w:rsidR="005B4F59">
        <w:rPr>
          <w:rFonts w:ascii="Cambria Math" w:hAnsi="Cambria Math" w:cs="Cambria Math"/>
          <w:sz w:val="24"/>
          <w:szCs w:val="24"/>
        </w:rPr>
        <w:instrText>∼</w:instrText>
      </w:r>
      <w:r w:rsidR="005B4F59">
        <w:rPr>
          <w:rFonts w:ascii="Arial" w:hAnsi="Arial" w:cs="Arial"/>
          <w:sz w:val="24"/>
          <w:szCs w:val="24"/>
        </w:rPr>
        <w:instrText xml:space="preserve">2.7 months), 6/27 aneurysms showed decreased influx or delayed washout and one remained unchanged. In three cases follow-up DSAs are remaining.\nConclusions SVB provides enhanced controllability in vulnerable segments beyond the circle of Willis. Smaller variants (2.25 mm and 2.75 mm) can safely be implanted via the superiorly navigable Excelsior SL10. Hence, the SVB represents the next evolutionary step in minimally invasive treatment of cerebral aneurysms.","container-title":"Journal of NeuroInterventional Surgery","DOI":"10.1136/neurintsurg-2019-014840","ISSN":"1759-8478, 1759-8486","issue":"12","language":"en","note":"PMID: 31088939","page":"1227-1234","source":"jnis.bmj.com","title":"Flow diversion beyond the circle of Willis: endovascular aneurysm treatment in peripheral cerebral arteries employing a novel low-profile flow diverting stent","title-short":"Flow diversion beyond the circle of Willis","volume":"11","author":[{"family":"Schob","given":"Stefan"},{"family":"Hoffmann","given":"Karl-Titus"},{"family":"Richter","given":"Cindy"},{"family":"Bhogal","given":"Pervinder"},{"family":"Köhlert","given":"Katharina"},{"family":"Planitzer","given":"Uwe"},{"family":"Ziganshyna","given":"Svitlana"},{"family":"Lindner","given":"Dirk"},{"family":"Scherlach","given":"Cordula"},{"family":"Nestler","given":"Ulf"},{"family":"Meixensberger","given":"Jürgen"},{"family":"Quäschling","given":"Ulf"}],"issued":{"date-parts":[["2019",12,1]]}}}],"schema":"https://github.com/citation-style-language/schema/raw/master/csl-citation.json"} </w:instrText>
      </w:r>
      <w:r w:rsidR="00FF5316">
        <w:rPr>
          <w:rFonts w:ascii="Arial" w:hAnsi="Arial" w:cs="Arial"/>
          <w:sz w:val="24"/>
          <w:szCs w:val="24"/>
        </w:rPr>
        <w:fldChar w:fldCharType="separate"/>
      </w:r>
      <w:r w:rsidR="00766016" w:rsidRPr="00766016">
        <w:rPr>
          <w:rFonts w:ascii="Arial" w:hAnsi="Arial" w:cs="Arial"/>
          <w:sz w:val="24"/>
          <w:szCs w:val="24"/>
          <w:vertAlign w:val="superscript"/>
        </w:rPr>
        <w:t>32</w:t>
      </w:r>
      <w:r w:rsidR="00FF5316">
        <w:rPr>
          <w:rFonts w:ascii="Arial" w:hAnsi="Arial" w:cs="Arial"/>
          <w:sz w:val="24"/>
          <w:szCs w:val="24"/>
        </w:rPr>
        <w:fldChar w:fldCharType="end"/>
      </w:r>
      <w:r w:rsidR="001E5898">
        <w:rPr>
          <w:rFonts w:ascii="Arial" w:hAnsi="Arial" w:cs="Arial"/>
          <w:sz w:val="24"/>
          <w:szCs w:val="24"/>
        </w:rPr>
        <w:t>.</w:t>
      </w:r>
      <w:r w:rsidR="001F1E26">
        <w:rPr>
          <w:rFonts w:ascii="Arial" w:hAnsi="Arial" w:cs="Arial"/>
          <w:sz w:val="24"/>
          <w:szCs w:val="24"/>
        </w:rPr>
        <w:t xml:space="preserve"> </w:t>
      </w:r>
      <w:r w:rsidR="006D4772">
        <w:rPr>
          <w:rFonts w:ascii="Arial" w:hAnsi="Arial" w:cs="Arial"/>
          <w:sz w:val="24"/>
          <w:szCs w:val="24"/>
        </w:rPr>
        <w:t>Taken together</w:t>
      </w:r>
      <w:r w:rsidR="001F1E26">
        <w:rPr>
          <w:rFonts w:ascii="Arial" w:hAnsi="Arial" w:cs="Arial"/>
          <w:sz w:val="24"/>
          <w:szCs w:val="24"/>
        </w:rPr>
        <w:t>, coil</w:t>
      </w:r>
      <w:r w:rsidR="001F0275">
        <w:rPr>
          <w:rFonts w:ascii="Arial" w:hAnsi="Arial" w:cs="Arial"/>
          <w:sz w:val="24"/>
          <w:szCs w:val="24"/>
        </w:rPr>
        <w:t>ing</w:t>
      </w:r>
      <w:r w:rsidR="001F1E26">
        <w:rPr>
          <w:rFonts w:ascii="Arial" w:hAnsi="Arial" w:cs="Arial"/>
          <w:sz w:val="24"/>
          <w:szCs w:val="24"/>
        </w:rPr>
        <w:t xml:space="preserve"> </w:t>
      </w:r>
      <w:r w:rsidR="001F0275">
        <w:rPr>
          <w:rFonts w:ascii="Arial" w:hAnsi="Arial" w:cs="Arial"/>
          <w:sz w:val="24"/>
          <w:szCs w:val="24"/>
        </w:rPr>
        <w:t>is a</w:t>
      </w:r>
      <w:r w:rsidR="001F1E26">
        <w:rPr>
          <w:rFonts w:ascii="Arial" w:hAnsi="Arial" w:cs="Arial"/>
          <w:sz w:val="24"/>
          <w:szCs w:val="24"/>
        </w:rPr>
        <w:t xml:space="preserve"> minimally invasive </w:t>
      </w:r>
      <w:r w:rsidR="001F0275">
        <w:rPr>
          <w:rFonts w:ascii="Arial" w:hAnsi="Arial" w:cs="Arial"/>
          <w:sz w:val="24"/>
          <w:szCs w:val="24"/>
        </w:rPr>
        <w:t>procedure</w:t>
      </w:r>
      <w:r w:rsidR="004A445F">
        <w:rPr>
          <w:rFonts w:ascii="Arial" w:hAnsi="Arial" w:cs="Arial"/>
          <w:sz w:val="24"/>
          <w:szCs w:val="24"/>
        </w:rPr>
        <w:t xml:space="preserve"> </w:t>
      </w:r>
      <w:r w:rsidR="001F0275">
        <w:rPr>
          <w:rFonts w:ascii="Arial" w:hAnsi="Arial" w:cs="Arial"/>
          <w:sz w:val="24"/>
          <w:szCs w:val="24"/>
        </w:rPr>
        <w:t xml:space="preserve">that </w:t>
      </w:r>
      <w:r w:rsidR="00C3027D">
        <w:rPr>
          <w:rFonts w:ascii="Arial" w:hAnsi="Arial" w:cs="Arial"/>
          <w:sz w:val="24"/>
          <w:szCs w:val="24"/>
        </w:rPr>
        <w:t>ha</w:t>
      </w:r>
      <w:r w:rsidR="001F0275">
        <w:rPr>
          <w:rFonts w:ascii="Arial" w:hAnsi="Arial" w:cs="Arial"/>
          <w:sz w:val="24"/>
          <w:szCs w:val="24"/>
        </w:rPr>
        <w:t>s</w:t>
      </w:r>
      <w:r w:rsidR="00C3027D">
        <w:rPr>
          <w:rFonts w:ascii="Arial" w:hAnsi="Arial" w:cs="Arial"/>
          <w:sz w:val="24"/>
          <w:szCs w:val="24"/>
        </w:rPr>
        <w:t xml:space="preserve"> a good aneurysm closure success rate</w:t>
      </w:r>
      <w:r w:rsidR="001F0275">
        <w:rPr>
          <w:rFonts w:ascii="Arial" w:hAnsi="Arial" w:cs="Arial"/>
          <w:sz w:val="24"/>
          <w:szCs w:val="24"/>
        </w:rPr>
        <w:t xml:space="preserve">, but </w:t>
      </w:r>
      <w:r w:rsidR="004A445F">
        <w:rPr>
          <w:rFonts w:ascii="Arial" w:hAnsi="Arial" w:cs="Arial"/>
          <w:sz w:val="24"/>
          <w:szCs w:val="24"/>
        </w:rPr>
        <w:t>it is</w:t>
      </w:r>
      <w:r w:rsidR="001F0275">
        <w:rPr>
          <w:rFonts w:ascii="Arial" w:hAnsi="Arial" w:cs="Arial"/>
          <w:sz w:val="24"/>
          <w:szCs w:val="24"/>
        </w:rPr>
        <w:t xml:space="preserve"> expensive and </w:t>
      </w:r>
      <w:r w:rsidR="004A445F">
        <w:rPr>
          <w:rFonts w:ascii="Arial" w:hAnsi="Arial" w:cs="Arial"/>
          <w:sz w:val="24"/>
          <w:szCs w:val="24"/>
        </w:rPr>
        <w:t>can cause inflammation</w:t>
      </w:r>
      <w:r w:rsidR="00C167BA">
        <w:rPr>
          <w:rFonts w:ascii="Arial" w:hAnsi="Arial" w:cs="Arial"/>
          <w:sz w:val="24"/>
          <w:szCs w:val="24"/>
        </w:rPr>
        <w:t xml:space="preserve"> and blood clot formation</w:t>
      </w:r>
      <w:r w:rsidR="004A445F">
        <w:rPr>
          <w:rFonts w:ascii="Arial" w:hAnsi="Arial" w:cs="Arial"/>
          <w:sz w:val="24"/>
          <w:szCs w:val="24"/>
        </w:rPr>
        <w:t>.</w:t>
      </w:r>
      <w:bookmarkStart w:id="34" w:name="_Ref84241647"/>
    </w:p>
    <w:p w14:paraId="77334142" w14:textId="1AE038C7" w:rsidR="00492571" w:rsidRPr="00EB056A" w:rsidRDefault="00194F5C" w:rsidP="00977099">
      <w:pPr>
        <w:pStyle w:val="Titre3"/>
        <w:spacing w:line="480" w:lineRule="auto"/>
        <w:jc w:val="both"/>
        <w:rPr>
          <w:rFonts w:ascii="Arial" w:hAnsi="Arial" w:cs="Arial"/>
          <w:b/>
          <w:bCs/>
          <w:color w:val="auto"/>
        </w:rPr>
      </w:pPr>
      <w:bookmarkStart w:id="35" w:name="_Toc106903212"/>
      <w:r>
        <w:rPr>
          <w:rFonts w:ascii="Arial" w:hAnsi="Arial" w:cs="Arial"/>
          <w:b/>
          <w:bCs/>
          <w:color w:val="auto"/>
        </w:rPr>
        <w:t>1.</w:t>
      </w:r>
      <w:r w:rsidR="00CB7697">
        <w:rPr>
          <w:rFonts w:ascii="Arial" w:hAnsi="Arial" w:cs="Arial"/>
          <w:b/>
          <w:bCs/>
          <w:color w:val="auto"/>
        </w:rPr>
        <w:t>4</w:t>
      </w:r>
      <w:r>
        <w:rPr>
          <w:rFonts w:ascii="Arial" w:hAnsi="Arial" w:cs="Arial"/>
          <w:b/>
          <w:bCs/>
          <w:color w:val="auto"/>
        </w:rPr>
        <w:t xml:space="preserve">.3 </w:t>
      </w:r>
      <w:r w:rsidR="00492571" w:rsidRPr="00EB056A">
        <w:rPr>
          <w:rFonts w:ascii="Arial" w:hAnsi="Arial" w:cs="Arial"/>
          <w:b/>
          <w:bCs/>
          <w:color w:val="auto"/>
        </w:rPr>
        <w:t>Stent</w:t>
      </w:r>
      <w:bookmarkEnd w:id="34"/>
      <w:r w:rsidR="00CB0B54" w:rsidRPr="00EB056A">
        <w:rPr>
          <w:rFonts w:ascii="Arial" w:hAnsi="Arial" w:cs="Arial"/>
          <w:b/>
          <w:bCs/>
          <w:color w:val="auto"/>
        </w:rPr>
        <w:t>s</w:t>
      </w:r>
      <w:bookmarkEnd w:id="35"/>
      <w:r w:rsidR="00492571" w:rsidRPr="00EB056A">
        <w:rPr>
          <w:rFonts w:ascii="Arial" w:hAnsi="Arial" w:cs="Arial"/>
          <w:b/>
          <w:bCs/>
          <w:color w:val="auto"/>
        </w:rPr>
        <w:t xml:space="preserve"> </w:t>
      </w:r>
    </w:p>
    <w:p w14:paraId="6CD1AE4C" w14:textId="4465FA75" w:rsidR="00ED47B4" w:rsidRDefault="006D4772" w:rsidP="005A49F2">
      <w:pPr>
        <w:spacing w:line="480" w:lineRule="auto"/>
        <w:ind w:firstLine="720"/>
        <w:jc w:val="both"/>
        <w:rPr>
          <w:rFonts w:ascii="Arial" w:hAnsi="Arial" w:cs="Arial"/>
          <w:sz w:val="24"/>
          <w:szCs w:val="24"/>
        </w:rPr>
      </w:pPr>
      <w:r>
        <w:rPr>
          <w:rFonts w:ascii="Arial" w:hAnsi="Arial" w:cs="Arial"/>
          <w:sz w:val="24"/>
          <w:szCs w:val="24"/>
        </w:rPr>
        <w:t>A s</w:t>
      </w:r>
      <w:r w:rsidR="00337A28">
        <w:rPr>
          <w:rFonts w:ascii="Arial" w:hAnsi="Arial" w:cs="Arial"/>
          <w:sz w:val="24"/>
          <w:szCs w:val="24"/>
        </w:rPr>
        <w:t xml:space="preserve">tent is a medical device shaped as </w:t>
      </w:r>
      <w:r w:rsidR="00C167BA">
        <w:rPr>
          <w:rFonts w:ascii="Arial" w:hAnsi="Arial" w:cs="Arial"/>
          <w:sz w:val="24"/>
          <w:szCs w:val="24"/>
        </w:rPr>
        <w:t xml:space="preserve">a </w:t>
      </w:r>
      <w:r w:rsidR="00337A28">
        <w:rPr>
          <w:rFonts w:ascii="Arial" w:hAnsi="Arial" w:cs="Arial"/>
          <w:sz w:val="24"/>
          <w:szCs w:val="24"/>
        </w:rPr>
        <w:t>tub</w:t>
      </w:r>
      <w:r w:rsidR="00C167BA">
        <w:rPr>
          <w:rFonts w:ascii="Arial" w:hAnsi="Arial" w:cs="Arial"/>
          <w:sz w:val="24"/>
          <w:szCs w:val="24"/>
        </w:rPr>
        <w:t>e</w:t>
      </w:r>
      <w:r w:rsidR="00337A28">
        <w:rPr>
          <w:rFonts w:ascii="Arial" w:hAnsi="Arial" w:cs="Arial"/>
          <w:sz w:val="24"/>
          <w:szCs w:val="24"/>
        </w:rPr>
        <w:t xml:space="preserve"> and made of </w:t>
      </w:r>
      <w:r w:rsidR="008E1F1B">
        <w:rPr>
          <w:rFonts w:ascii="Arial" w:hAnsi="Arial" w:cs="Arial"/>
          <w:sz w:val="24"/>
          <w:szCs w:val="24"/>
        </w:rPr>
        <w:t>a network of wire (</w:t>
      </w:r>
      <w:r w:rsidR="0022717E" w:rsidRPr="00706400">
        <w:rPr>
          <w:rFonts w:ascii="Arial" w:hAnsi="Arial" w:cs="Arial"/>
          <w:sz w:val="24"/>
          <w:szCs w:val="24"/>
        </w:rPr>
        <w:fldChar w:fldCharType="begin"/>
      </w:r>
      <w:r w:rsidR="0022717E" w:rsidRPr="005B7176">
        <w:rPr>
          <w:rFonts w:ascii="Arial" w:hAnsi="Arial" w:cs="Arial"/>
          <w:sz w:val="24"/>
          <w:szCs w:val="24"/>
        </w:rPr>
        <w:instrText xml:space="preserve"> REF _Ref102291704 \h </w:instrText>
      </w:r>
      <w:r w:rsidR="005B7176" w:rsidRPr="00C167BA">
        <w:rPr>
          <w:rFonts w:ascii="Arial" w:hAnsi="Arial" w:cs="Arial"/>
          <w:sz w:val="24"/>
          <w:szCs w:val="24"/>
        </w:rPr>
        <w:instrText xml:space="preserve"> \* MERGEFORMAT </w:instrText>
      </w:r>
      <w:r w:rsidR="0022717E" w:rsidRPr="00706400">
        <w:rPr>
          <w:rFonts w:ascii="Arial" w:hAnsi="Arial" w:cs="Arial"/>
          <w:sz w:val="24"/>
          <w:szCs w:val="24"/>
        </w:rPr>
      </w:r>
      <w:r w:rsidR="0022717E" w:rsidRPr="00706400">
        <w:rPr>
          <w:rFonts w:ascii="Arial" w:hAnsi="Arial" w:cs="Arial"/>
          <w:sz w:val="24"/>
          <w:szCs w:val="24"/>
        </w:rPr>
        <w:fldChar w:fldCharType="separate"/>
      </w:r>
      <w:r w:rsidR="005C4791" w:rsidRPr="005C4791">
        <w:rPr>
          <w:rFonts w:ascii="Arial" w:hAnsi="Arial" w:cs="Arial"/>
          <w:sz w:val="24"/>
          <w:szCs w:val="24"/>
        </w:rPr>
        <w:t xml:space="preserve">Figure </w:t>
      </w:r>
      <w:r w:rsidR="005C4791" w:rsidRPr="005C4791">
        <w:rPr>
          <w:rFonts w:ascii="Arial" w:hAnsi="Arial" w:cs="Arial"/>
          <w:noProof/>
          <w:sz w:val="24"/>
          <w:szCs w:val="24"/>
        </w:rPr>
        <w:t>6</w:t>
      </w:r>
      <w:r w:rsidR="0022717E" w:rsidRPr="00706400">
        <w:rPr>
          <w:rFonts w:ascii="Arial" w:hAnsi="Arial" w:cs="Arial"/>
          <w:sz w:val="24"/>
          <w:szCs w:val="24"/>
        </w:rPr>
        <w:fldChar w:fldCharType="end"/>
      </w:r>
      <w:r w:rsidR="008E1F1B">
        <w:rPr>
          <w:rFonts w:ascii="Arial" w:hAnsi="Arial" w:cs="Arial"/>
          <w:sz w:val="24"/>
          <w:szCs w:val="24"/>
        </w:rPr>
        <w:t xml:space="preserve">). </w:t>
      </w:r>
      <w:r w:rsidR="000A2E64" w:rsidRPr="00EB056A">
        <w:rPr>
          <w:rFonts w:ascii="Arial" w:hAnsi="Arial" w:cs="Arial"/>
          <w:sz w:val="24"/>
          <w:szCs w:val="24"/>
        </w:rPr>
        <w:t>Stent</w:t>
      </w:r>
      <w:r w:rsidR="00CB0B54" w:rsidRPr="00EB056A">
        <w:rPr>
          <w:rFonts w:ascii="Arial" w:hAnsi="Arial" w:cs="Arial"/>
          <w:sz w:val="24"/>
          <w:szCs w:val="24"/>
        </w:rPr>
        <w:t>s</w:t>
      </w:r>
      <w:r w:rsidR="000A2E64" w:rsidRPr="00EB056A">
        <w:rPr>
          <w:rFonts w:ascii="Arial" w:hAnsi="Arial" w:cs="Arial"/>
          <w:sz w:val="24"/>
          <w:szCs w:val="24"/>
        </w:rPr>
        <w:t xml:space="preserve"> are mostly used for stent-assisted coiling</w:t>
      </w:r>
      <w:r w:rsidR="00EF3527">
        <w:rPr>
          <w:rFonts w:ascii="Arial" w:hAnsi="Arial" w:cs="Arial"/>
          <w:sz w:val="24"/>
          <w:szCs w:val="24"/>
        </w:rPr>
        <w:t xml:space="preserve">; however, </w:t>
      </w:r>
      <w:r w:rsidR="000A2E64" w:rsidRPr="00EB056A">
        <w:rPr>
          <w:rFonts w:ascii="Arial" w:hAnsi="Arial" w:cs="Arial"/>
          <w:sz w:val="24"/>
          <w:szCs w:val="24"/>
        </w:rPr>
        <w:t>covered stents can be used on their own</w:t>
      </w:r>
      <w:r w:rsidR="00C167BA">
        <w:rPr>
          <w:rFonts w:ascii="Arial" w:hAnsi="Arial" w:cs="Arial"/>
          <w:sz w:val="24"/>
          <w:szCs w:val="24"/>
        </w:rPr>
        <w:t xml:space="preserve"> to treat aneurysms</w:t>
      </w:r>
      <w:r w:rsidR="000A2E64" w:rsidRPr="00EB056A">
        <w:rPr>
          <w:rFonts w:ascii="Arial" w:hAnsi="Arial" w:cs="Arial"/>
          <w:sz w:val="24"/>
          <w:szCs w:val="24"/>
        </w:rPr>
        <w:fldChar w:fldCharType="begin"/>
      </w:r>
      <w:r w:rsidR="005B4F59">
        <w:rPr>
          <w:rFonts w:ascii="Arial" w:hAnsi="Arial" w:cs="Arial"/>
          <w:sz w:val="24"/>
          <w:szCs w:val="24"/>
        </w:rPr>
        <w:instrText xml:space="preserve"> ADDIN ZOTERO_ITEM CSL_CITATION {"citationID":"IzcYvbkA","properties":{"formattedCitation":"\\super 25\\nosupersub{}","plainCitation":"25","noteIndex":0},"citationItems":[{"id":45,"uris":["http://zotero.org/users/6508478/items/MX5VEDG7"],"itemData":{"id":45,"type":"article-journal","abstract":"Intracranial aneurysm is a leading cause of stroke. Its treatment has evolved over the past 2 decades. This review summarizes the treatment strategies for intracranial aneurysms from 3 different perspectives: open surgery approach, transluminal treatment approach, and new technologies being used or trialed. We introduce most of the available treatment techniques in detail, including contralateral clipping, wrapping and clipping, double catheters assisting coiling and waffle-cone technique, and so on. Data from major trials such as Analysis of Treatment by Endovascular approach of Non-ruptured Aneurysms (ATENA), Internal Subarachnoid Trial (ISAT), Clinical and Anatomical Results in the Treatment of Ruptured Intracranial Aneurysms (CLARITY), and Barrow Ruptured Aneurysm Trial (BRAT) as well as information from other clinical reports and local experience are reviewed to suggest a clinical pathway for treating different types of intracranial aneurysms. It will be a valuable supplement to the current existing guidelines. We hope it could help assisting real-time decision-making in clinical practices and also encourage advancements in managing the disease.","container-title":"Angiology","DOI":"10.1177/0003319717700503","ISSN":"0003-3197","issue":"1","journalAbbreviation":"Angiology","language":"en","page":"17-30","source":"SAGE Journals","title":"Current Treatment Strategies for Intracranial Aneurysms: An Overview","title-short":"Current Treatment Strategies for Intracranial Aneurysms","volume":"69","author":[{"family":"Zhao","given":"Junjie"},{"family":"Lin","given":"Hao"},{"family":"Summers","given":"Richard"},{"family":"Yang","given":"Mingmin"},{"family":"Cousins","given":"Brian G."},{"family":"Tsui","given":"Janice"}],"issued":{"date-parts":[["2018",1,1]]}}}],"schema":"https://github.com/citation-style-language/schema/raw/master/csl-citation.json"} </w:instrText>
      </w:r>
      <w:r w:rsidR="000A2E64" w:rsidRPr="00EB056A">
        <w:rPr>
          <w:rFonts w:ascii="Arial" w:hAnsi="Arial" w:cs="Arial"/>
          <w:sz w:val="24"/>
          <w:szCs w:val="24"/>
        </w:rPr>
        <w:fldChar w:fldCharType="separate"/>
      </w:r>
      <w:r w:rsidR="00766016" w:rsidRPr="00766016">
        <w:rPr>
          <w:rFonts w:ascii="Arial" w:hAnsi="Arial" w:cs="Arial"/>
          <w:sz w:val="24"/>
          <w:szCs w:val="24"/>
          <w:vertAlign w:val="superscript"/>
        </w:rPr>
        <w:t>25</w:t>
      </w:r>
      <w:r w:rsidR="000A2E64" w:rsidRPr="00EB056A">
        <w:rPr>
          <w:rFonts w:ascii="Arial" w:hAnsi="Arial" w:cs="Arial"/>
          <w:sz w:val="24"/>
          <w:szCs w:val="24"/>
        </w:rPr>
        <w:fldChar w:fldCharType="end"/>
      </w:r>
      <w:r w:rsidR="000A2E64" w:rsidRPr="00EB056A">
        <w:rPr>
          <w:rFonts w:ascii="Arial" w:hAnsi="Arial" w:cs="Arial"/>
          <w:sz w:val="24"/>
          <w:szCs w:val="24"/>
        </w:rPr>
        <w:t>. Stents are inserted in patients the same way coils are</w:t>
      </w:r>
      <w:r w:rsidR="00EF3527">
        <w:rPr>
          <w:rFonts w:ascii="Arial" w:hAnsi="Arial" w:cs="Arial"/>
          <w:sz w:val="24"/>
          <w:szCs w:val="24"/>
        </w:rPr>
        <w:t>:</w:t>
      </w:r>
      <w:r w:rsidR="000A2E64" w:rsidRPr="00EB056A">
        <w:rPr>
          <w:rFonts w:ascii="Arial" w:hAnsi="Arial" w:cs="Arial"/>
          <w:sz w:val="24"/>
          <w:szCs w:val="24"/>
        </w:rPr>
        <w:t xml:space="preserve"> a </w:t>
      </w:r>
      <w:r w:rsidR="00EA3CC9" w:rsidRPr="00EB056A">
        <w:rPr>
          <w:rFonts w:ascii="Arial" w:hAnsi="Arial" w:cs="Arial"/>
          <w:sz w:val="24"/>
          <w:szCs w:val="24"/>
        </w:rPr>
        <w:t>micro</w:t>
      </w:r>
      <w:r w:rsidR="000A2E64" w:rsidRPr="00EB056A">
        <w:rPr>
          <w:rFonts w:ascii="Arial" w:hAnsi="Arial" w:cs="Arial"/>
          <w:sz w:val="24"/>
          <w:szCs w:val="24"/>
        </w:rPr>
        <w:t>catheter is introduced in a vein or artery up to the aneurysm location, where the stent is deployed</w:t>
      </w:r>
      <w:r w:rsidR="00C167BA">
        <w:rPr>
          <w:rFonts w:ascii="Arial" w:hAnsi="Arial" w:cs="Arial"/>
          <w:sz w:val="24"/>
          <w:szCs w:val="24"/>
        </w:rPr>
        <w:t xml:space="preserve"> through expansion of a balloon at the end of the microcatheter</w:t>
      </w:r>
      <w:r w:rsidR="00EA3CC9" w:rsidRPr="00EB056A">
        <w:rPr>
          <w:rFonts w:ascii="Arial" w:hAnsi="Arial" w:cs="Arial"/>
          <w:sz w:val="24"/>
          <w:szCs w:val="24"/>
        </w:rPr>
        <w:fldChar w:fldCharType="begin"/>
      </w:r>
      <w:r w:rsidR="005B4F59">
        <w:rPr>
          <w:rFonts w:ascii="Arial" w:hAnsi="Arial" w:cs="Arial"/>
          <w:sz w:val="24"/>
          <w:szCs w:val="24"/>
        </w:rPr>
        <w:instrText xml:space="preserve"> ADDIN ZOTERO_ITEM CSL_CITATION {"citationID":"OI9KoB0R","properties":{"formattedCitation":"\\super 33\\nosupersub{}","plainCitation":"33","noteIndex":0},"citationItems":[{"id":2,"uris":["http://zotero.org/users/6508478/items/S4XP24M2"],"itemData":{"id":2,"type":"article-journal","abstract":"Introduction The LVIS stent system (LVIS and LVIS Junior) is a self-expanding, retrievable, microstent system indicated for the treatment of wide-necked cerebral aneurysms (WNAs). The present pivotal study was performed to evaluate the safety and effectiveness of this device.\nMethods The US LVIS pivotal trial was a prospective, multicenter, single-arm, interventional study conducted at 21 US centers. The study enrolled 153 adults with WNAs of the anterior and posterior circulations. The study was conducted under good clinical practices and included independent adjudication of all adverse events. The primary effectiveness endpoint was defined as successful aneurysm treatment with the LVIS System as evidenced by complete (100%) aneurysm occlusion at 12 months on conventional angiography without retreatment and without significant (≥50%) stenosis of the treated artery at 12 months as determined by an independent core laboratory. The primary safety endpoint was defined as the rate of stroke or death within 30 days, or ipsilateral stroke or neurologic death with 12 months.\nResults One hundred and fifty-three patients enrolled at 21 investigational sites underwent attempted LVIS-assisted coil embolization. The mean age was 58.3±10.5 years and the majority of the participants (110/153, 71.9%) were female. Fifty-seven aneurysms (57/153, 37.3%) arose from the anterior cerebral artery, 43 (43/153, 28.1%) from the internal carotid artery, 17 (17/153, 11.1%) from the middle cerebral artery, 27 (27/153, 17.6%) from the basilar artery, six (6/153,3.9 %) from the PCA, and two from the vertebral artery. A single aneurysm arose from the superior cerebellar artery. The mean aneurysm dome height was 6.0±2.2 mm and mean width 5.5±2.3 mm. Mean neck width was 4.2±1.4 mm. A total of 22 participants presented for re-treatment of a previously ruptured (&gt;30 days prior to treatment) target aneurysm. The primary effectiveness endpoint was observed in 70.6% (108/153) in the intent to treat population (ITT). Of the evaluable participants with follow-up 12-month angiography, 79.1 % (110/139) demonstrated complete occlusion– 92.1% (128/139) in this population demonstrated ≥95% occlusion and 95% demonstrated ≥90% occlusion (132/139). Eight participants (5.2%, 8/153) had at least one primary safety event in the ITT population.\nConclusion The LVIS stent system allows safe and highly effective coil embolization of WNAs.\nClinical registration number NCT01793792.","container-title":"Journal of NeuroInterventional Surgery","DOI":"10.1136/neurintsurg-2018-014309","ISSN":"1759-8478, 1759-8486","issue":"4","language":"en","note":"PMID: 30297543","page":"357-361","source":"jnis.bmj.com","title":"The safety and effectiveness of the LVIS stent system for the treatment of wide-necked cerebral aneurysms: final results of the pivotal US LVIS trial","title-short":"The safety and effectiveness of the LVIS stent system for the treatment of wide-necked cerebral aneurysms","volume":"11","author":[{"family":"Fiorella","given":"David"},{"family":"Boulos","given":"Alan"},{"family":"Turk","given":"Aquilla S."},{"family":"Siddiqui","given":"Adnan H."},{"family":"Arthur","given":"Adam S."},{"family":"Diaz","given":"Orlando"},{"family":"Lopes","given":"Demetrius K."}],"issued":{"date-parts":[["2019",4,1]]}}}],"schema":"https://github.com/citation-style-language/schema/raw/master/csl-citation.json"} </w:instrText>
      </w:r>
      <w:r w:rsidR="00EA3CC9" w:rsidRPr="00EB056A">
        <w:rPr>
          <w:rFonts w:ascii="Arial" w:hAnsi="Arial" w:cs="Arial"/>
          <w:sz w:val="24"/>
          <w:szCs w:val="24"/>
        </w:rPr>
        <w:fldChar w:fldCharType="separate"/>
      </w:r>
      <w:r w:rsidR="00766016" w:rsidRPr="00766016">
        <w:rPr>
          <w:rFonts w:ascii="Arial" w:hAnsi="Arial" w:cs="Arial"/>
          <w:sz w:val="24"/>
          <w:szCs w:val="24"/>
          <w:vertAlign w:val="superscript"/>
        </w:rPr>
        <w:t>33</w:t>
      </w:r>
      <w:r w:rsidR="00EA3CC9" w:rsidRPr="00EB056A">
        <w:rPr>
          <w:rFonts w:ascii="Arial" w:hAnsi="Arial" w:cs="Arial"/>
          <w:sz w:val="24"/>
          <w:szCs w:val="24"/>
        </w:rPr>
        <w:fldChar w:fldCharType="end"/>
      </w:r>
      <w:r w:rsidR="000A2E64" w:rsidRPr="00EB056A">
        <w:rPr>
          <w:rFonts w:ascii="Arial" w:hAnsi="Arial" w:cs="Arial"/>
          <w:sz w:val="24"/>
          <w:szCs w:val="24"/>
        </w:rPr>
        <w:t xml:space="preserve">. </w:t>
      </w:r>
      <w:r w:rsidR="002142E1" w:rsidRPr="00EB056A">
        <w:rPr>
          <w:rFonts w:ascii="Arial" w:hAnsi="Arial" w:cs="Arial"/>
          <w:sz w:val="24"/>
          <w:szCs w:val="24"/>
        </w:rPr>
        <w:t xml:space="preserve">Stents allow aneurysms to disappear </w:t>
      </w:r>
      <w:r w:rsidR="002142E1">
        <w:rPr>
          <w:rFonts w:ascii="Arial" w:hAnsi="Arial" w:cs="Arial"/>
          <w:sz w:val="24"/>
          <w:szCs w:val="24"/>
        </w:rPr>
        <w:t xml:space="preserve">due </w:t>
      </w:r>
      <w:r w:rsidR="002142E1">
        <w:rPr>
          <w:rFonts w:ascii="Arial" w:hAnsi="Arial" w:cs="Arial"/>
          <w:sz w:val="24"/>
          <w:szCs w:val="24"/>
        </w:rPr>
        <w:lastRenderedPageBreak/>
        <w:t>to the</w:t>
      </w:r>
      <w:r w:rsidR="002142E1" w:rsidRPr="00EB056A">
        <w:rPr>
          <w:rFonts w:ascii="Arial" w:hAnsi="Arial" w:cs="Arial"/>
          <w:sz w:val="24"/>
          <w:szCs w:val="24"/>
        </w:rPr>
        <w:t xml:space="preserve"> gradual formation of a blood clot in the aneurysm, </w:t>
      </w:r>
      <w:r w:rsidR="002142E1">
        <w:rPr>
          <w:rFonts w:ascii="Arial" w:hAnsi="Arial" w:cs="Arial"/>
          <w:sz w:val="24"/>
          <w:szCs w:val="24"/>
        </w:rPr>
        <w:t>on the surface</w:t>
      </w:r>
      <w:r w:rsidR="002142E1" w:rsidRPr="00EB056A">
        <w:rPr>
          <w:rFonts w:ascii="Arial" w:hAnsi="Arial" w:cs="Arial"/>
          <w:sz w:val="24"/>
          <w:szCs w:val="24"/>
        </w:rPr>
        <w:t xml:space="preserve"> of the stent. The combination of the clot and the mesh of the stent support the formation of new tunica intima layer and then the reconstruction of the vessel walls</w:t>
      </w:r>
      <w:r w:rsidR="002142E1" w:rsidRPr="00EB056A">
        <w:rPr>
          <w:rFonts w:ascii="Arial" w:hAnsi="Arial" w:cs="Arial"/>
          <w:sz w:val="24"/>
          <w:szCs w:val="24"/>
        </w:rPr>
        <w:fldChar w:fldCharType="begin"/>
      </w:r>
      <w:r w:rsidR="005B4F59">
        <w:rPr>
          <w:rFonts w:ascii="Arial" w:hAnsi="Arial" w:cs="Arial"/>
          <w:sz w:val="24"/>
          <w:szCs w:val="24"/>
        </w:rPr>
        <w:instrText xml:space="preserve"> ADDIN ZOTERO_ITEM CSL_CITATION {"citationID":"0O3z4Lr5","properties":{"formattedCitation":"\\super 32\\nosupersub{}","plainCitation":"32","noteIndex":0},"citationItems":[{"id":1,"uris":["http://zotero.org/users/6508478/items/4A727H54"],"itemData":{"id":1,"type":"article-journal","abstract":"Background Flow diversion (FD) has emerged as superior minimally invasive therapy for cerebral aneurysms. However, aneurysms of small peripheral vessel segments have not yet been adequately treatable. More specifically, currently established devices necessitate large microcatheters which impede atraumatic maneuvering. The Silk Vista Baby (SVB), a novel flow diverter, offers the as yet unique feature of deliverability via a 0.017 inch microcatheter. This study reports our first experience with the SVB in challenging intracranial vessels employing a vessel-specific tailored microcatheter strategy.\nMaterials and methods 25 patients (27 aneurysms) were prospectively included. A total of 30 SVBs were employed, predominantly targeting demanding aneurysms of the anterior communicating artery complex. The efficacy of the FD was assessed using two-dimensional vector-based perfusion and conventional digital subtraction angiography (DSA) after implantation and at the first follow-up at 3 months. The first follow-up was available in 22 patients.\nResults All devices were implanted without technical or clinical complications. Eleven treatments were performed using the recommended Headway 17. In 14 interventions the even more maneuverable Excelsior SL10 was used, which was previously tried and tested for safety ’in vitro’ as an alternative delivery system. Aneurysmal influx was strongly reduced after implantation. All parent vessels remained patent. 17/27 aneurysms were completely occluded at first follow-up (</w:instrText>
      </w:r>
      <w:r w:rsidR="005B4F59">
        <w:rPr>
          <w:rFonts w:ascii="Cambria Math" w:hAnsi="Cambria Math" w:cs="Cambria Math"/>
          <w:sz w:val="24"/>
          <w:szCs w:val="24"/>
        </w:rPr>
        <w:instrText>∼</w:instrText>
      </w:r>
      <w:r w:rsidR="005B4F59">
        <w:rPr>
          <w:rFonts w:ascii="Arial" w:hAnsi="Arial" w:cs="Arial"/>
          <w:sz w:val="24"/>
          <w:szCs w:val="24"/>
        </w:rPr>
        <w:instrText xml:space="preserve">2.7 months), 6/27 aneurysms showed decreased influx or delayed washout and one remained unchanged. In three cases follow-up DSAs are remaining.\nConclusions SVB provides enhanced controllability in vulnerable segments beyond the circle of Willis. Smaller variants (2.25 mm and 2.75 mm) can safely be implanted via the superiorly navigable Excelsior SL10. Hence, the SVB represents the next evolutionary step in minimally invasive treatment of cerebral aneurysms.","container-title":"Journal of NeuroInterventional Surgery","DOI":"10.1136/neurintsurg-2019-014840","ISSN":"1759-8478, 1759-8486","issue":"12","language":"en","note":"PMID: 31088939","page":"1227-1234","source":"jnis.bmj.com","title":"Flow diversion beyond the circle of Willis: endovascular aneurysm treatment in peripheral cerebral arteries employing a novel low-profile flow diverting stent","title-short":"Flow diversion beyond the circle of Willis","volume":"11","author":[{"family":"Schob","given":"Stefan"},{"family":"Hoffmann","given":"Karl-Titus"},{"family":"Richter","given":"Cindy"},{"family":"Bhogal","given":"Pervinder"},{"family":"Köhlert","given":"Katharina"},{"family":"Planitzer","given":"Uwe"},{"family":"Ziganshyna","given":"Svitlana"},{"family":"Lindner","given":"Dirk"},{"family":"Scherlach","given":"Cordula"},{"family":"Nestler","given":"Ulf"},{"family":"Meixensberger","given":"Jürgen"},{"family":"Quäschling","given":"Ulf"}],"issued":{"date-parts":[["2019",12,1]]}}}],"schema":"https://github.com/citation-style-language/schema/raw/master/csl-citation.json"} </w:instrText>
      </w:r>
      <w:r w:rsidR="002142E1" w:rsidRPr="00EB056A">
        <w:rPr>
          <w:rFonts w:ascii="Arial" w:hAnsi="Arial" w:cs="Arial"/>
          <w:sz w:val="24"/>
          <w:szCs w:val="24"/>
        </w:rPr>
        <w:fldChar w:fldCharType="separate"/>
      </w:r>
      <w:r w:rsidR="00766016" w:rsidRPr="00766016">
        <w:rPr>
          <w:rFonts w:ascii="Arial" w:hAnsi="Arial" w:cs="Arial"/>
          <w:sz w:val="24"/>
          <w:szCs w:val="24"/>
          <w:vertAlign w:val="superscript"/>
        </w:rPr>
        <w:t>32</w:t>
      </w:r>
      <w:r w:rsidR="002142E1" w:rsidRPr="00EB056A">
        <w:rPr>
          <w:rFonts w:ascii="Arial" w:hAnsi="Arial" w:cs="Arial"/>
          <w:sz w:val="24"/>
          <w:szCs w:val="24"/>
        </w:rPr>
        <w:fldChar w:fldCharType="end"/>
      </w:r>
      <w:r w:rsidR="002142E1" w:rsidRPr="00EB056A">
        <w:rPr>
          <w:rFonts w:ascii="Arial" w:hAnsi="Arial" w:cs="Arial"/>
          <w:sz w:val="24"/>
          <w:szCs w:val="24"/>
        </w:rPr>
        <w:t>.</w:t>
      </w:r>
      <w:r w:rsidR="002142E1">
        <w:rPr>
          <w:rFonts w:ascii="Arial" w:hAnsi="Arial" w:cs="Arial"/>
          <w:sz w:val="24"/>
          <w:szCs w:val="24"/>
        </w:rPr>
        <w:t xml:space="preserve"> </w:t>
      </w:r>
      <w:r w:rsidR="001F17EC">
        <w:rPr>
          <w:rFonts w:ascii="Arial" w:hAnsi="Arial" w:cs="Arial"/>
          <w:sz w:val="24"/>
          <w:szCs w:val="24"/>
        </w:rPr>
        <w:t>In general</w:t>
      </w:r>
      <w:r w:rsidR="00CD3CFE">
        <w:rPr>
          <w:rFonts w:ascii="Arial" w:hAnsi="Arial" w:cs="Arial"/>
          <w:sz w:val="24"/>
          <w:szCs w:val="24"/>
        </w:rPr>
        <w:t>, s</w:t>
      </w:r>
      <w:r w:rsidR="00647E85" w:rsidRPr="00EB056A">
        <w:rPr>
          <w:rFonts w:ascii="Arial" w:hAnsi="Arial" w:cs="Arial"/>
          <w:sz w:val="24"/>
          <w:szCs w:val="24"/>
        </w:rPr>
        <w:t>tenting is an effective procedure</w:t>
      </w:r>
      <w:r w:rsidR="009D40FC">
        <w:rPr>
          <w:rFonts w:ascii="Arial" w:hAnsi="Arial" w:cs="Arial"/>
          <w:sz w:val="24"/>
          <w:szCs w:val="24"/>
        </w:rPr>
        <w:t xml:space="preserve">, with a previous study reporting that </w:t>
      </w:r>
      <w:r w:rsidR="003A0E0F" w:rsidRPr="00EB056A">
        <w:rPr>
          <w:rFonts w:ascii="Arial" w:hAnsi="Arial" w:cs="Arial"/>
          <w:sz w:val="24"/>
          <w:szCs w:val="24"/>
        </w:rPr>
        <w:t>70% of patients had a complete occlusion of their aneurysm</w:t>
      </w:r>
      <w:r w:rsidR="009D40FC">
        <w:rPr>
          <w:rFonts w:ascii="Arial" w:hAnsi="Arial" w:cs="Arial"/>
          <w:sz w:val="24"/>
          <w:szCs w:val="24"/>
        </w:rPr>
        <w:t xml:space="preserve"> after a year</w:t>
      </w:r>
      <w:r w:rsidR="003A0E0F" w:rsidRPr="00EB056A">
        <w:rPr>
          <w:rFonts w:ascii="Arial" w:hAnsi="Arial" w:cs="Arial"/>
          <w:sz w:val="24"/>
          <w:szCs w:val="24"/>
        </w:rPr>
        <w:t xml:space="preserve"> and 92% of patients had </w:t>
      </w:r>
      <w:r w:rsidR="00647E85" w:rsidRPr="00EB056A">
        <w:rPr>
          <w:rFonts w:ascii="Arial" w:hAnsi="Arial" w:cs="Arial"/>
          <w:sz w:val="24"/>
          <w:szCs w:val="24"/>
        </w:rPr>
        <w:t>90%</w:t>
      </w:r>
      <w:r w:rsidR="003A0E0F" w:rsidRPr="00EB056A">
        <w:rPr>
          <w:rFonts w:ascii="Arial" w:hAnsi="Arial" w:cs="Arial"/>
          <w:sz w:val="24"/>
          <w:szCs w:val="24"/>
        </w:rPr>
        <w:t xml:space="preserve"> of their aneurysm occluded after a year</w:t>
      </w:r>
      <w:r w:rsidR="003E0199" w:rsidRPr="00EB056A">
        <w:rPr>
          <w:rFonts w:ascii="Arial" w:hAnsi="Arial" w:cs="Arial"/>
          <w:sz w:val="24"/>
          <w:szCs w:val="24"/>
        </w:rPr>
        <w:fldChar w:fldCharType="begin"/>
      </w:r>
      <w:r w:rsidR="005B4F59">
        <w:rPr>
          <w:rFonts w:ascii="Arial" w:hAnsi="Arial" w:cs="Arial"/>
          <w:sz w:val="24"/>
          <w:szCs w:val="24"/>
        </w:rPr>
        <w:instrText xml:space="preserve"> ADDIN ZOTERO_ITEM CSL_CITATION {"citationID":"2WcSWMqo","properties":{"formattedCitation":"\\super 33\\nosupersub{}","plainCitation":"33","noteIndex":0},"citationItems":[{"id":2,"uris":["http://zotero.org/users/6508478/items/S4XP24M2"],"itemData":{"id":2,"type":"article-journal","abstract":"Introduction The LVIS stent system (LVIS and LVIS Junior) is a self-expanding, retrievable, microstent system indicated for the treatment of wide-necked cerebral aneurysms (WNAs). The present pivotal study was performed to evaluate the safety and effectiveness of this device.\nMethods The US LVIS pivotal trial was a prospective, multicenter, single-arm, interventional study conducted at 21 US centers. The study enrolled 153 adults with WNAs of the anterior and posterior circulations. The study was conducted under good clinical practices and included independent adjudication of all adverse events. The primary effectiveness endpoint was defined as successful aneurysm treatment with the LVIS System as evidenced by complete (100%) aneurysm occlusion at 12 months on conventional angiography without retreatment and without significant (≥50%) stenosis of the treated artery at 12 months as determined by an independent core laboratory. The primary safety endpoint was defined as the rate of stroke or death within 30 days, or ipsilateral stroke or neurologic death with 12 months.\nResults One hundred and fifty-three patients enrolled at 21 investigational sites underwent attempted LVIS-assisted coil embolization. The mean age was 58.3±10.5 years and the majority of the participants (110/153, 71.9%) were female. Fifty-seven aneurysms (57/153, 37.3%) arose from the anterior cerebral artery, 43 (43/153, 28.1%) from the internal carotid artery, 17 (17/153, 11.1%) from the middle cerebral artery, 27 (27/153, 17.6%) from the basilar artery, six (6/153,3.9 %) from the PCA, and two from the vertebral artery. A single aneurysm arose from the superior cerebellar artery. The mean aneurysm dome height was 6.0±2.2 mm and mean width 5.5±2.3 mm. Mean neck width was 4.2±1.4 mm. A total of 22 participants presented for re-treatment of a previously ruptured (&gt;30 days prior to treatment) target aneurysm. The primary effectiveness endpoint was observed in 70.6% (108/153) in the intent to treat population (ITT). Of the evaluable participants with follow-up 12-month angiography, 79.1 % (110/139) demonstrated complete occlusion– 92.1% (128/139) in this population demonstrated ≥95% occlusion and 95% demonstrated ≥90% occlusion (132/139). Eight participants (5.2%, 8/153) had at least one primary safety event in the ITT population.\nConclusion The LVIS stent system allows safe and highly effective coil embolization of WNAs.\nClinical registration number NCT01793792.","container-title":"Journal of NeuroInterventional Surgery","DOI":"10.1136/neurintsurg-2018-014309","ISSN":"1759-8478, 1759-8486","issue":"4","language":"en","note":"PMID: 30297543","page":"357-361","source":"jnis.bmj.com","title":"The safety and effectiveness of the LVIS stent system for the treatment of wide-necked cerebral aneurysms: final results of the pivotal US LVIS trial","title-short":"The safety and effectiveness of the LVIS stent system for the treatment of wide-necked cerebral aneurysms","volume":"11","author":[{"family":"Fiorella","given":"David"},{"family":"Boulos","given":"Alan"},{"family":"Turk","given":"Aquilla S."},{"family":"Siddiqui","given":"Adnan H."},{"family":"Arthur","given":"Adam S."},{"family":"Diaz","given":"Orlando"},{"family":"Lopes","given":"Demetrius K."}],"issued":{"date-parts":[["2019",4,1]]}}}],"schema":"https://github.com/citation-style-language/schema/raw/master/csl-citation.json"} </w:instrText>
      </w:r>
      <w:r w:rsidR="003E0199" w:rsidRPr="00EB056A">
        <w:rPr>
          <w:rFonts w:ascii="Arial" w:hAnsi="Arial" w:cs="Arial"/>
          <w:sz w:val="24"/>
          <w:szCs w:val="24"/>
        </w:rPr>
        <w:fldChar w:fldCharType="separate"/>
      </w:r>
      <w:r w:rsidR="00766016" w:rsidRPr="00766016">
        <w:rPr>
          <w:rFonts w:ascii="Arial" w:hAnsi="Arial" w:cs="Arial"/>
          <w:sz w:val="24"/>
          <w:szCs w:val="24"/>
          <w:vertAlign w:val="superscript"/>
        </w:rPr>
        <w:t>33</w:t>
      </w:r>
      <w:r w:rsidR="003E0199" w:rsidRPr="00EB056A">
        <w:rPr>
          <w:rFonts w:ascii="Arial" w:hAnsi="Arial" w:cs="Arial"/>
          <w:sz w:val="24"/>
          <w:szCs w:val="24"/>
        </w:rPr>
        <w:fldChar w:fldCharType="end"/>
      </w:r>
      <w:r w:rsidR="003A0E0F" w:rsidRPr="00EB056A">
        <w:rPr>
          <w:rFonts w:ascii="Arial" w:hAnsi="Arial" w:cs="Arial"/>
          <w:sz w:val="24"/>
          <w:szCs w:val="24"/>
        </w:rPr>
        <w:t>.</w:t>
      </w:r>
      <w:r w:rsidR="001F17EC">
        <w:rPr>
          <w:rFonts w:ascii="Arial" w:hAnsi="Arial" w:cs="Arial"/>
          <w:sz w:val="24"/>
          <w:szCs w:val="24"/>
        </w:rPr>
        <w:t xml:space="preserve"> However, t</w:t>
      </w:r>
      <w:r w:rsidR="001F17EC" w:rsidRPr="00EB056A">
        <w:rPr>
          <w:rFonts w:ascii="Arial" w:hAnsi="Arial" w:cs="Arial"/>
          <w:sz w:val="24"/>
          <w:szCs w:val="24"/>
        </w:rPr>
        <w:t>his procedure often requires taking anticoagulant medication</w:t>
      </w:r>
      <w:r w:rsidR="001F17EC">
        <w:rPr>
          <w:rFonts w:ascii="Arial" w:hAnsi="Arial" w:cs="Arial"/>
          <w:sz w:val="24"/>
          <w:szCs w:val="24"/>
        </w:rPr>
        <w:t xml:space="preserve"> to fluidify blood to prevent blood clot formation</w:t>
      </w:r>
      <w:r w:rsidR="001F17EC">
        <w:rPr>
          <w:rFonts w:ascii="Arial" w:hAnsi="Arial" w:cs="Arial"/>
          <w:sz w:val="24"/>
          <w:szCs w:val="24"/>
        </w:rPr>
        <w:fldChar w:fldCharType="begin"/>
      </w:r>
      <w:r w:rsidR="005B4F59">
        <w:rPr>
          <w:rFonts w:ascii="Arial" w:hAnsi="Arial" w:cs="Arial"/>
          <w:sz w:val="24"/>
          <w:szCs w:val="24"/>
        </w:rPr>
        <w:instrText xml:space="preserve"> ADDIN ZOTERO_ITEM CSL_CITATION {"citationID":"9DkXOKun","properties":{"formattedCitation":"\\super 33\\nosupersub{}","plainCitation":"33","noteIndex":0},"citationItems":[{"id":2,"uris":["http://zotero.org/users/6508478/items/S4XP24M2"],"itemData":{"id":2,"type":"article-journal","abstract":"Introduction The LVIS stent system (LVIS and LVIS Junior) is a self-expanding, retrievable, microstent system indicated for the treatment of wide-necked cerebral aneurysms (WNAs). The present pivotal study was performed to evaluate the safety and effectiveness of this device.\nMethods The US LVIS pivotal trial was a prospective, multicenter, single-arm, interventional study conducted at 21 US centers. The study enrolled 153 adults with WNAs of the anterior and posterior circulations. The study was conducted under good clinical practices and included independent adjudication of all adverse events. The primary effectiveness endpoint was defined as successful aneurysm treatment with the LVIS System as evidenced by complete (100%) aneurysm occlusion at 12 months on conventional angiography without retreatment and without significant (≥50%) stenosis of the treated artery at 12 months as determined by an independent core laboratory. The primary safety endpoint was defined as the rate of stroke or death within 30 days, or ipsilateral stroke or neurologic death with 12 months.\nResults One hundred and fifty-three patients enrolled at 21 investigational sites underwent attempted LVIS-assisted coil embolization. The mean age was 58.3±10.5 years and the majority of the participants (110/153, 71.9%) were female. Fifty-seven aneurysms (57/153, 37.3%) arose from the anterior cerebral artery, 43 (43/153, 28.1%) from the internal carotid artery, 17 (17/153, 11.1%) from the middle cerebral artery, 27 (27/153, 17.6%) from the basilar artery, six (6/153,3.9 %) from the PCA, and two from the vertebral artery. A single aneurysm arose from the superior cerebellar artery. The mean aneurysm dome height was 6.0±2.2 mm and mean width 5.5±2.3 mm. Mean neck width was 4.2±1.4 mm. A total of 22 participants presented for re-treatment of a previously ruptured (&gt;30 days prior to treatment) target aneurysm. The primary effectiveness endpoint was observed in 70.6% (108/153) in the intent to treat population (ITT). Of the evaluable participants with follow-up 12-month angiography, 79.1 % (110/139) demonstrated complete occlusion– 92.1% (128/139) in this population demonstrated ≥95% occlusion and 95% demonstrated ≥90% occlusion (132/139). Eight participants (5.2%, 8/153) had at least one primary safety event in the ITT population.\nConclusion The LVIS stent system allows safe and highly effective coil embolization of WNAs.\nClinical registration number NCT01793792.","container-title":"Journal of NeuroInterventional Surgery","DOI":"10.1136/neurintsurg-2018-014309","ISSN":"1759-8478, 1759-8486","issue":"4","language":"en","note":"PMID: 30297543","page":"357-361","source":"jnis.bmj.com","title":"The safety and effectiveness of the LVIS stent system for the treatment of wide-necked cerebral aneurysms: final results of the pivotal US LVIS trial","title-short":"The safety and effectiveness of the LVIS stent system for the treatment of wide-necked cerebral aneurysms","volume":"11","author":[{"family":"Fiorella","given":"David"},{"family":"Boulos","given":"Alan"},{"family":"Turk","given":"Aquilla S."},{"family":"Siddiqui","given":"Adnan H."},{"family":"Arthur","given":"Adam S."},{"family":"Diaz","given":"Orlando"},{"family":"Lopes","given":"Demetrius K."}],"issued":{"date-parts":[["2019",4,1]]}}}],"schema":"https://github.com/citation-style-language/schema/raw/master/csl-citation.json"} </w:instrText>
      </w:r>
      <w:r w:rsidR="001F17EC">
        <w:rPr>
          <w:rFonts w:ascii="Arial" w:hAnsi="Arial" w:cs="Arial"/>
          <w:sz w:val="24"/>
          <w:szCs w:val="24"/>
        </w:rPr>
        <w:fldChar w:fldCharType="separate"/>
      </w:r>
      <w:r w:rsidR="00766016" w:rsidRPr="00766016">
        <w:rPr>
          <w:rFonts w:ascii="Arial" w:hAnsi="Arial" w:cs="Arial"/>
          <w:sz w:val="24"/>
          <w:szCs w:val="24"/>
          <w:vertAlign w:val="superscript"/>
        </w:rPr>
        <w:t>33</w:t>
      </w:r>
      <w:r w:rsidR="001F17EC">
        <w:rPr>
          <w:rFonts w:ascii="Arial" w:hAnsi="Arial" w:cs="Arial"/>
          <w:sz w:val="24"/>
          <w:szCs w:val="24"/>
        </w:rPr>
        <w:fldChar w:fldCharType="end"/>
      </w:r>
      <w:r w:rsidR="001F17EC" w:rsidRPr="00EB056A">
        <w:rPr>
          <w:rFonts w:ascii="Arial" w:hAnsi="Arial" w:cs="Arial"/>
          <w:sz w:val="24"/>
          <w:szCs w:val="24"/>
        </w:rPr>
        <w:t xml:space="preserve">. In an American study on 153 patients, Fiorella </w:t>
      </w:r>
      <w:r w:rsidR="001F17EC" w:rsidRPr="00EB056A">
        <w:rPr>
          <w:rFonts w:ascii="Arial" w:hAnsi="Arial" w:cs="Arial"/>
          <w:i/>
          <w:iCs/>
          <w:sz w:val="24"/>
          <w:szCs w:val="24"/>
        </w:rPr>
        <w:t>et al</w:t>
      </w:r>
      <w:r w:rsidR="001F17EC">
        <w:rPr>
          <w:rFonts w:ascii="Arial" w:hAnsi="Arial" w:cs="Arial"/>
          <w:i/>
          <w:iCs/>
          <w:sz w:val="24"/>
          <w:szCs w:val="24"/>
        </w:rPr>
        <w:t>.</w:t>
      </w:r>
      <w:r w:rsidR="00B3534B" w:rsidRPr="00EB056A">
        <w:rPr>
          <w:rFonts w:ascii="Arial" w:hAnsi="Arial" w:cs="Arial"/>
          <w:sz w:val="24"/>
          <w:szCs w:val="24"/>
        </w:rPr>
        <w:fldChar w:fldCharType="begin"/>
      </w:r>
      <w:r w:rsidR="00B3534B">
        <w:rPr>
          <w:rFonts w:ascii="Arial" w:hAnsi="Arial" w:cs="Arial"/>
          <w:sz w:val="24"/>
          <w:szCs w:val="24"/>
        </w:rPr>
        <w:instrText xml:space="preserve"> ADDIN ZOTERO_ITEM CSL_CITATION {"citationID":"4H66ubeI","properties":{"formattedCitation":"\\super 33\\nosupersub{}","plainCitation":"33","noteIndex":0},"citationItems":[{"id":2,"uris":["http://zotero.org/users/6508478/items/S4XP24M2"],"itemData":{"id":2,"type":"article-journal","abstract":"Introduction The LVIS stent system (LVIS and LVIS Junior) is a self-expanding, retrievable, microstent system indicated for the treatment of wide-necked cerebral aneurysms (WNAs). The present pivotal study was performed to evaluate the safety and effectiveness of this device.\nMethods The US LVIS pivotal trial was a prospective, multicenter, single-arm, interventional study conducted at 21 US centers. The study enrolled 153 adults with WNAs of the anterior and posterior circulations. The study was conducted under good clinical practices and included independent adjudication of all adverse events. The primary effectiveness endpoint was defined as successful aneurysm treatment with the LVIS System as evidenced by complete (100%) aneurysm occlusion at 12 months on conventional angiography without retreatment and without significant (≥50%) stenosis of the treated artery at 12 months as determined by an independent core laboratory. The primary safety endpoint was defined as the rate of stroke or death within 30 days, or ipsilateral stroke or neurologic death with 12 months.\nResults One hundred and fifty-three patients enrolled at 21 investigational sites underwent attempted LVIS-assisted coil embolization. The mean age was 58.3±10.5 years and the majority of the participants (110/153, 71.9%) were female. Fifty-seven aneurysms (57/153, 37.3%) arose from the anterior cerebral artery, 43 (43/153, 28.1%) from the internal carotid artery, 17 (17/153, 11.1%) from the middle cerebral artery, 27 (27/153, 17.6%) from the basilar artery, six (6/153,3.9 %) from the PCA, and two from the vertebral artery. A single aneurysm arose from the superior cerebellar artery. The mean aneurysm dome height was 6.0±2.2 mm and mean width 5.5±2.3 mm. Mean neck width was 4.2±1.4 mm. A total of 22 participants presented for re-treatment of a previously ruptured (&gt;30 days prior to treatment) target aneurysm. The primary effectiveness endpoint was observed in 70.6% (108/153) in the intent to treat population (ITT). Of the evaluable participants with follow-up 12-month angiography, 79.1 % (110/139) demonstrated complete occlusion– 92.1% (128/139) in this population demonstrated ≥95% occlusion and 95% demonstrated ≥90% occlusion (132/139). Eight participants (5.2%, 8/153) had at least one primary safety event in the ITT population.\nConclusion The LVIS stent system allows safe and highly effective coil embolization of WNAs.\nClinical registration number NCT01793792.","container-title":"Journal of NeuroInterventional Surgery","DOI":"10.1136/neurintsurg-2018-014309","ISSN":"1759-8478, 1759-8486","issue":"4","language":"en","note":"PMID: 30297543","page":"357-361","source":"jnis.bmj.com","title":"The safety and effectiveness of the LVIS stent system for the treatment of wide-necked cerebral aneurysms: final results of the pivotal US LVIS trial","title-short":"The safety and effectiveness of the LVIS stent system for the treatment of wide-necked cerebral aneurysms","volume":"11","author":[{"family":"Fiorella","given":"David"},{"family":"Boulos","given":"Alan"},{"family":"Turk","given":"Aquilla S."},{"family":"Siddiqui","given":"Adnan H."},{"family":"Arthur","given":"Adam S."},{"family":"Diaz","given":"Orlando"},{"family":"Lopes","given":"Demetrius K."}],"issued":{"date-parts":[["2019",4,1]]}}}],"schema":"https://github.com/citation-style-language/schema/raw/master/csl-citation.json"} </w:instrText>
      </w:r>
      <w:r w:rsidR="00B3534B" w:rsidRPr="00EB056A">
        <w:rPr>
          <w:rFonts w:ascii="Arial" w:hAnsi="Arial" w:cs="Arial"/>
          <w:sz w:val="24"/>
          <w:szCs w:val="24"/>
        </w:rPr>
        <w:fldChar w:fldCharType="separate"/>
      </w:r>
      <w:r w:rsidR="00B3534B" w:rsidRPr="00766016">
        <w:rPr>
          <w:rFonts w:ascii="Arial" w:hAnsi="Arial" w:cs="Arial"/>
          <w:sz w:val="24"/>
          <w:szCs w:val="24"/>
          <w:vertAlign w:val="superscript"/>
        </w:rPr>
        <w:t>33</w:t>
      </w:r>
      <w:r w:rsidR="00B3534B" w:rsidRPr="00EB056A">
        <w:rPr>
          <w:rFonts w:ascii="Arial" w:hAnsi="Arial" w:cs="Arial"/>
          <w:sz w:val="24"/>
          <w:szCs w:val="24"/>
        </w:rPr>
        <w:fldChar w:fldCharType="end"/>
      </w:r>
      <w:r w:rsidR="001F17EC" w:rsidRPr="00EB056A">
        <w:rPr>
          <w:rFonts w:ascii="Arial" w:hAnsi="Arial" w:cs="Arial"/>
          <w:sz w:val="24"/>
          <w:szCs w:val="24"/>
        </w:rPr>
        <w:t xml:space="preserve"> reported that subjects were administered an anticoagulant a week before the procedure and at least 3 months after the procedure or </w:t>
      </w:r>
      <w:r w:rsidR="001F17EC" w:rsidRPr="00EB056A">
        <w:rPr>
          <w:rFonts w:ascii="Arial" w:hAnsi="Arial" w:cs="Arial"/>
          <w:i/>
          <w:iCs/>
          <w:sz w:val="24"/>
          <w:szCs w:val="24"/>
        </w:rPr>
        <w:t>ad vitam aeternam</w:t>
      </w:r>
      <w:r w:rsidR="001F17EC">
        <w:rPr>
          <w:rFonts w:ascii="Arial" w:hAnsi="Arial" w:cs="Arial"/>
          <w:i/>
          <w:iCs/>
          <w:sz w:val="24"/>
          <w:szCs w:val="24"/>
        </w:rPr>
        <w:t>,</w:t>
      </w:r>
      <w:r w:rsidR="001F17EC" w:rsidRPr="00EB056A">
        <w:rPr>
          <w:rFonts w:ascii="Arial" w:hAnsi="Arial" w:cs="Arial"/>
          <w:sz w:val="24"/>
          <w:szCs w:val="24"/>
        </w:rPr>
        <w:t xml:space="preserve"> </w:t>
      </w:r>
      <w:r w:rsidR="001F17EC">
        <w:rPr>
          <w:rFonts w:ascii="Arial" w:hAnsi="Arial" w:cs="Arial"/>
          <w:sz w:val="24"/>
          <w:szCs w:val="24"/>
        </w:rPr>
        <w:t>as needed</w:t>
      </w:r>
      <w:r w:rsidR="001F17EC" w:rsidRPr="00EB056A">
        <w:rPr>
          <w:rFonts w:ascii="Arial" w:hAnsi="Arial" w:cs="Arial"/>
          <w:sz w:val="24"/>
          <w:szCs w:val="24"/>
        </w:rPr>
        <w:t>.</w:t>
      </w:r>
    </w:p>
    <w:p w14:paraId="3F758EE2" w14:textId="2C6793E4" w:rsidR="00D0678B" w:rsidRDefault="00D0678B" w:rsidP="0023367A">
      <w:pPr>
        <w:spacing w:line="480" w:lineRule="auto"/>
        <w:ind w:firstLine="720"/>
        <w:jc w:val="center"/>
        <w:rPr>
          <w:rFonts w:ascii="Arial" w:hAnsi="Arial" w:cs="Arial"/>
          <w:sz w:val="24"/>
          <w:szCs w:val="24"/>
        </w:rPr>
      </w:pPr>
      <w:r>
        <w:rPr>
          <w:noProof/>
        </w:rPr>
        <w:drawing>
          <wp:inline distT="0" distB="0" distL="0" distR="0" wp14:anchorId="414D0E47" wp14:editId="6BACF76A">
            <wp:extent cx="3866833" cy="1738160"/>
            <wp:effectExtent l="0" t="0" r="63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3082" t="9031" r="4224" b="10573"/>
                    <a:stretch/>
                  </pic:blipFill>
                  <pic:spPr bwMode="auto">
                    <a:xfrm>
                      <a:off x="0" y="0"/>
                      <a:ext cx="3867140" cy="1738298"/>
                    </a:xfrm>
                    <a:prstGeom prst="rect">
                      <a:avLst/>
                    </a:prstGeom>
                    <a:ln>
                      <a:noFill/>
                    </a:ln>
                    <a:extLst>
                      <a:ext uri="{53640926-AAD7-44D8-BBD7-CCE9431645EC}">
                        <a14:shadowObscured xmlns:a14="http://schemas.microsoft.com/office/drawing/2010/main"/>
                      </a:ext>
                    </a:extLst>
                  </pic:spPr>
                </pic:pic>
              </a:graphicData>
            </a:graphic>
          </wp:inline>
        </w:drawing>
      </w:r>
    </w:p>
    <w:p w14:paraId="6459D185" w14:textId="70C41D92" w:rsidR="00FA714D" w:rsidRPr="00F14BB1" w:rsidRDefault="00D0678B" w:rsidP="00834360">
      <w:pPr>
        <w:pStyle w:val="Lgende"/>
        <w:spacing w:line="276" w:lineRule="auto"/>
        <w:jc w:val="both"/>
      </w:pPr>
      <w:bookmarkStart w:id="36" w:name="_Ref102291704"/>
      <w:bookmarkStart w:id="37" w:name="_Toc105918971"/>
      <w:r w:rsidRPr="00C167BA">
        <w:rPr>
          <w:rFonts w:ascii="Arial" w:hAnsi="Arial" w:cs="Arial"/>
          <w:b/>
          <w:bCs/>
          <w:i w:val="0"/>
          <w:iCs w:val="0"/>
          <w:color w:val="auto"/>
          <w:sz w:val="24"/>
          <w:szCs w:val="24"/>
        </w:rPr>
        <w:t xml:space="preserve">Figure </w:t>
      </w:r>
      <w:r w:rsidRPr="004609EB">
        <w:rPr>
          <w:rFonts w:ascii="Arial" w:hAnsi="Arial" w:cs="Arial"/>
          <w:b/>
          <w:bCs/>
          <w:i w:val="0"/>
          <w:iCs w:val="0"/>
          <w:color w:val="auto"/>
          <w:sz w:val="24"/>
          <w:szCs w:val="24"/>
        </w:rPr>
        <w:fldChar w:fldCharType="begin"/>
      </w:r>
      <w:r w:rsidRPr="004609EB">
        <w:rPr>
          <w:rFonts w:ascii="Arial" w:hAnsi="Arial" w:cs="Arial"/>
          <w:b/>
          <w:bCs/>
          <w:i w:val="0"/>
          <w:iCs w:val="0"/>
          <w:color w:val="auto"/>
          <w:sz w:val="24"/>
          <w:szCs w:val="24"/>
        </w:rPr>
        <w:instrText xml:space="preserve"> SEQ Figure \* ARABIC </w:instrText>
      </w:r>
      <w:r w:rsidRPr="004609EB">
        <w:rPr>
          <w:rFonts w:ascii="Arial" w:hAnsi="Arial" w:cs="Arial"/>
          <w:b/>
          <w:bCs/>
          <w:i w:val="0"/>
          <w:iCs w:val="0"/>
          <w:color w:val="auto"/>
          <w:sz w:val="24"/>
          <w:szCs w:val="24"/>
        </w:rPr>
        <w:fldChar w:fldCharType="separate"/>
      </w:r>
      <w:r w:rsidR="005C4791">
        <w:rPr>
          <w:rFonts w:ascii="Arial" w:hAnsi="Arial" w:cs="Arial"/>
          <w:b/>
          <w:bCs/>
          <w:i w:val="0"/>
          <w:iCs w:val="0"/>
          <w:noProof/>
          <w:color w:val="auto"/>
          <w:sz w:val="24"/>
          <w:szCs w:val="24"/>
        </w:rPr>
        <w:t>6</w:t>
      </w:r>
      <w:r w:rsidRPr="004609EB">
        <w:rPr>
          <w:rFonts w:ascii="Arial" w:hAnsi="Arial" w:cs="Arial"/>
          <w:b/>
          <w:bCs/>
          <w:i w:val="0"/>
          <w:iCs w:val="0"/>
          <w:color w:val="auto"/>
          <w:sz w:val="24"/>
          <w:szCs w:val="24"/>
        </w:rPr>
        <w:fldChar w:fldCharType="end"/>
      </w:r>
      <w:bookmarkEnd w:id="36"/>
      <w:r w:rsidRPr="00C167BA">
        <w:rPr>
          <w:rFonts w:ascii="Arial" w:hAnsi="Arial" w:cs="Arial"/>
          <w:b/>
          <w:bCs/>
          <w:i w:val="0"/>
          <w:iCs w:val="0"/>
          <w:color w:val="auto"/>
          <w:sz w:val="24"/>
          <w:szCs w:val="24"/>
        </w:rPr>
        <w:t xml:space="preserve">: </w:t>
      </w:r>
      <w:r w:rsidR="00C167BA">
        <w:rPr>
          <w:rFonts w:ascii="Arial" w:hAnsi="Arial" w:cs="Arial"/>
          <w:b/>
          <w:bCs/>
          <w:i w:val="0"/>
          <w:iCs w:val="0"/>
          <w:color w:val="auto"/>
          <w:sz w:val="24"/>
          <w:szCs w:val="24"/>
        </w:rPr>
        <w:t xml:space="preserve">Representation of a </w:t>
      </w:r>
      <w:r w:rsidR="00C167BA" w:rsidRPr="00C167BA">
        <w:rPr>
          <w:rFonts w:ascii="Arial" w:hAnsi="Arial" w:cs="Arial"/>
          <w:b/>
          <w:bCs/>
          <w:i w:val="0"/>
          <w:iCs w:val="0"/>
          <w:color w:val="auto"/>
          <w:sz w:val="24"/>
          <w:szCs w:val="24"/>
        </w:rPr>
        <w:t xml:space="preserve">stent. </w:t>
      </w:r>
      <w:r w:rsidRPr="003B7652">
        <w:rPr>
          <w:rFonts w:ascii="Arial" w:hAnsi="Arial" w:cs="Arial"/>
          <w:i w:val="0"/>
          <w:iCs w:val="0"/>
          <w:color w:val="000000" w:themeColor="text1"/>
          <w:sz w:val="24"/>
          <w:szCs w:val="24"/>
        </w:rPr>
        <w:t xml:space="preserve">A stent is a medical device made of a network of </w:t>
      </w:r>
      <w:r w:rsidR="00C167BA" w:rsidRPr="003B7652">
        <w:rPr>
          <w:rFonts w:ascii="Arial" w:hAnsi="Arial" w:cs="Arial"/>
          <w:i w:val="0"/>
          <w:iCs w:val="0"/>
          <w:color w:val="000000" w:themeColor="text1"/>
          <w:sz w:val="24"/>
          <w:szCs w:val="24"/>
        </w:rPr>
        <w:t xml:space="preserve">metal </w:t>
      </w:r>
      <w:r w:rsidRPr="003B7652">
        <w:rPr>
          <w:rFonts w:ascii="Arial" w:hAnsi="Arial" w:cs="Arial"/>
          <w:i w:val="0"/>
          <w:iCs w:val="0"/>
          <w:color w:val="000000" w:themeColor="text1"/>
          <w:sz w:val="24"/>
          <w:szCs w:val="24"/>
        </w:rPr>
        <w:t>wires.</w:t>
      </w:r>
      <w:bookmarkEnd w:id="37"/>
    </w:p>
    <w:p w14:paraId="577A0C5E" w14:textId="202E2167" w:rsidR="00C167BA" w:rsidRDefault="00915EB5" w:rsidP="00915EB5">
      <w:pPr>
        <w:spacing w:after="0" w:line="480" w:lineRule="auto"/>
        <w:ind w:firstLine="720"/>
        <w:jc w:val="both"/>
        <w:rPr>
          <w:rFonts w:ascii="Arial" w:hAnsi="Arial" w:cs="Arial"/>
          <w:sz w:val="24"/>
          <w:szCs w:val="24"/>
        </w:rPr>
      </w:pPr>
      <w:r>
        <w:rPr>
          <w:rFonts w:ascii="Arial" w:hAnsi="Arial" w:cs="Arial"/>
          <w:sz w:val="24"/>
          <w:szCs w:val="24"/>
        </w:rPr>
        <w:t>As mentioned previously, t</w:t>
      </w:r>
      <w:r w:rsidR="00FD4E05" w:rsidRPr="00C167BA">
        <w:rPr>
          <w:rFonts w:ascii="Arial" w:hAnsi="Arial" w:cs="Arial"/>
          <w:sz w:val="24"/>
          <w:szCs w:val="24"/>
        </w:rPr>
        <w:t>here are many clinical procedures that combine the use of stents and coils to heal aneurysms (</w:t>
      </w:r>
      <w:r w:rsidR="000E541C" w:rsidRPr="00C167BA">
        <w:rPr>
          <w:rFonts w:ascii="Arial" w:hAnsi="Arial" w:cs="Arial"/>
          <w:sz w:val="24"/>
          <w:szCs w:val="24"/>
        </w:rPr>
        <w:fldChar w:fldCharType="begin"/>
      </w:r>
      <w:r w:rsidR="000E541C" w:rsidRPr="00C167BA">
        <w:rPr>
          <w:rFonts w:ascii="Arial" w:hAnsi="Arial" w:cs="Arial"/>
          <w:sz w:val="24"/>
          <w:szCs w:val="24"/>
        </w:rPr>
        <w:instrText xml:space="preserve"> REF _Ref102292127 \h </w:instrText>
      </w:r>
      <w:r w:rsidR="005B7176" w:rsidRPr="00C167BA">
        <w:rPr>
          <w:rFonts w:ascii="Arial" w:hAnsi="Arial" w:cs="Arial"/>
          <w:sz w:val="24"/>
          <w:szCs w:val="24"/>
        </w:rPr>
        <w:instrText xml:space="preserve"> \* MERGEFORMAT </w:instrText>
      </w:r>
      <w:r w:rsidR="000E541C" w:rsidRPr="00C167BA">
        <w:rPr>
          <w:rFonts w:ascii="Arial" w:hAnsi="Arial" w:cs="Arial"/>
          <w:sz w:val="24"/>
          <w:szCs w:val="24"/>
        </w:rPr>
      </w:r>
      <w:r w:rsidR="000E541C" w:rsidRPr="00C167BA">
        <w:rPr>
          <w:rFonts w:ascii="Arial" w:hAnsi="Arial" w:cs="Arial"/>
          <w:sz w:val="24"/>
          <w:szCs w:val="24"/>
        </w:rPr>
        <w:fldChar w:fldCharType="separate"/>
      </w:r>
      <w:r w:rsidR="005C4791" w:rsidRPr="005C4791">
        <w:rPr>
          <w:rFonts w:ascii="Arial" w:hAnsi="Arial" w:cs="Arial"/>
          <w:sz w:val="24"/>
          <w:szCs w:val="24"/>
        </w:rPr>
        <w:t xml:space="preserve">Figure </w:t>
      </w:r>
      <w:r w:rsidR="005C4791" w:rsidRPr="005C4791">
        <w:rPr>
          <w:rFonts w:ascii="Arial" w:hAnsi="Arial" w:cs="Arial"/>
          <w:noProof/>
          <w:sz w:val="24"/>
          <w:szCs w:val="24"/>
        </w:rPr>
        <w:t>7</w:t>
      </w:r>
      <w:r w:rsidR="000E541C" w:rsidRPr="00C167BA">
        <w:rPr>
          <w:rFonts w:ascii="Arial" w:hAnsi="Arial" w:cs="Arial"/>
          <w:sz w:val="24"/>
          <w:szCs w:val="24"/>
        </w:rPr>
        <w:fldChar w:fldCharType="end"/>
      </w:r>
      <w:r w:rsidR="00FD4E05" w:rsidRPr="00C167BA">
        <w:rPr>
          <w:rFonts w:ascii="Arial" w:hAnsi="Arial" w:cs="Arial"/>
          <w:sz w:val="24"/>
          <w:szCs w:val="24"/>
        </w:rPr>
        <w:t xml:space="preserve">). The </w:t>
      </w:r>
      <w:r w:rsidR="0066360F" w:rsidRPr="00C167BA">
        <w:rPr>
          <w:rFonts w:ascii="Arial" w:hAnsi="Arial" w:cs="Arial"/>
          <w:sz w:val="24"/>
          <w:szCs w:val="24"/>
        </w:rPr>
        <w:t>best</w:t>
      </w:r>
      <w:r w:rsidR="0066360F">
        <w:rPr>
          <w:rFonts w:ascii="Arial" w:hAnsi="Arial" w:cs="Arial"/>
          <w:sz w:val="24"/>
          <w:szCs w:val="24"/>
        </w:rPr>
        <w:t>-known</w:t>
      </w:r>
      <w:r w:rsidR="00FD4E05" w:rsidRPr="00C167BA">
        <w:rPr>
          <w:rFonts w:ascii="Arial" w:hAnsi="Arial" w:cs="Arial"/>
          <w:sz w:val="24"/>
          <w:szCs w:val="24"/>
        </w:rPr>
        <w:t xml:space="preserve"> technique is called stent jail coiling (</w:t>
      </w:r>
      <w:r w:rsidR="000E541C" w:rsidRPr="00C167BA">
        <w:rPr>
          <w:rFonts w:ascii="Arial" w:hAnsi="Arial" w:cs="Arial"/>
          <w:sz w:val="24"/>
          <w:szCs w:val="24"/>
        </w:rPr>
        <w:fldChar w:fldCharType="begin"/>
      </w:r>
      <w:r w:rsidR="000E541C" w:rsidRPr="00C167BA">
        <w:rPr>
          <w:rFonts w:ascii="Arial" w:hAnsi="Arial" w:cs="Arial"/>
          <w:sz w:val="24"/>
          <w:szCs w:val="24"/>
        </w:rPr>
        <w:instrText xml:space="preserve"> REF _Ref102292127 \h </w:instrText>
      </w:r>
      <w:r w:rsidR="005B7176" w:rsidRPr="00C167BA">
        <w:rPr>
          <w:rFonts w:ascii="Arial" w:hAnsi="Arial" w:cs="Arial"/>
          <w:sz w:val="24"/>
          <w:szCs w:val="24"/>
        </w:rPr>
        <w:instrText xml:space="preserve"> \* MERGEFORMAT </w:instrText>
      </w:r>
      <w:r w:rsidR="000E541C" w:rsidRPr="00C167BA">
        <w:rPr>
          <w:rFonts w:ascii="Arial" w:hAnsi="Arial" w:cs="Arial"/>
          <w:sz w:val="24"/>
          <w:szCs w:val="24"/>
        </w:rPr>
      </w:r>
      <w:r w:rsidR="000E541C" w:rsidRPr="00C167BA">
        <w:rPr>
          <w:rFonts w:ascii="Arial" w:hAnsi="Arial" w:cs="Arial"/>
          <w:sz w:val="24"/>
          <w:szCs w:val="24"/>
        </w:rPr>
        <w:fldChar w:fldCharType="separate"/>
      </w:r>
      <w:r w:rsidR="005C4791" w:rsidRPr="005C4791">
        <w:rPr>
          <w:rFonts w:ascii="Arial" w:hAnsi="Arial" w:cs="Arial"/>
          <w:sz w:val="24"/>
          <w:szCs w:val="24"/>
        </w:rPr>
        <w:t xml:space="preserve">Figure </w:t>
      </w:r>
      <w:r w:rsidR="005C4791" w:rsidRPr="005C4791">
        <w:rPr>
          <w:rFonts w:ascii="Arial" w:hAnsi="Arial" w:cs="Arial"/>
          <w:noProof/>
          <w:sz w:val="24"/>
          <w:szCs w:val="24"/>
        </w:rPr>
        <w:t>7</w:t>
      </w:r>
      <w:r w:rsidR="000E541C" w:rsidRPr="00C167BA">
        <w:rPr>
          <w:rFonts w:ascii="Arial" w:hAnsi="Arial" w:cs="Arial"/>
          <w:sz w:val="24"/>
          <w:szCs w:val="24"/>
        </w:rPr>
        <w:fldChar w:fldCharType="end"/>
      </w:r>
      <w:r w:rsidR="00FD4E05" w:rsidRPr="00C167BA">
        <w:rPr>
          <w:rFonts w:ascii="Arial" w:hAnsi="Arial" w:cs="Arial"/>
          <w:sz w:val="24"/>
          <w:szCs w:val="24"/>
        </w:rPr>
        <w:t xml:space="preserve">A). </w:t>
      </w:r>
      <w:r w:rsidR="000E541C" w:rsidRPr="00C167BA">
        <w:rPr>
          <w:rFonts w:ascii="Arial" w:hAnsi="Arial" w:cs="Arial"/>
          <w:sz w:val="24"/>
          <w:szCs w:val="24"/>
        </w:rPr>
        <w:t xml:space="preserve">This technique </w:t>
      </w:r>
      <w:r w:rsidR="00FD4E05" w:rsidRPr="00C167BA">
        <w:rPr>
          <w:rFonts w:ascii="Arial" w:hAnsi="Arial" w:cs="Arial"/>
          <w:sz w:val="24"/>
          <w:szCs w:val="24"/>
        </w:rPr>
        <w:t xml:space="preserve">consists in inserting a stent using a microcatheter, </w:t>
      </w:r>
      <w:r w:rsidR="007F2247" w:rsidRPr="00C167BA">
        <w:rPr>
          <w:rFonts w:ascii="Arial" w:hAnsi="Arial" w:cs="Arial"/>
          <w:sz w:val="24"/>
          <w:szCs w:val="24"/>
        </w:rPr>
        <w:t xml:space="preserve">removing </w:t>
      </w:r>
      <w:r w:rsidR="00FD4E05" w:rsidRPr="00C167BA">
        <w:rPr>
          <w:rFonts w:ascii="Arial" w:hAnsi="Arial" w:cs="Arial"/>
          <w:sz w:val="24"/>
          <w:szCs w:val="24"/>
        </w:rPr>
        <w:t xml:space="preserve">the catheter, and then inserting a coil with another microcatheter. However, when the microcatheter for coil deployment is </w:t>
      </w:r>
      <w:r w:rsidR="007F2247" w:rsidRPr="00C167BA">
        <w:rPr>
          <w:rFonts w:ascii="Arial" w:hAnsi="Arial" w:cs="Arial"/>
          <w:sz w:val="24"/>
          <w:szCs w:val="24"/>
        </w:rPr>
        <w:t>removed</w:t>
      </w:r>
      <w:r w:rsidR="00FD4E05" w:rsidRPr="00C167BA">
        <w:rPr>
          <w:rFonts w:ascii="Arial" w:hAnsi="Arial" w:cs="Arial"/>
          <w:sz w:val="24"/>
          <w:szCs w:val="24"/>
        </w:rPr>
        <w:t xml:space="preserve">, </w:t>
      </w:r>
      <w:r w:rsidR="007F2247" w:rsidRPr="00C167BA">
        <w:rPr>
          <w:rFonts w:ascii="Arial" w:hAnsi="Arial" w:cs="Arial"/>
          <w:sz w:val="24"/>
          <w:szCs w:val="24"/>
        </w:rPr>
        <w:t xml:space="preserve">there </w:t>
      </w:r>
      <w:r w:rsidR="007F2247" w:rsidRPr="00C167BA">
        <w:rPr>
          <w:rFonts w:ascii="Arial" w:hAnsi="Arial" w:cs="Arial"/>
          <w:sz w:val="24"/>
          <w:szCs w:val="24"/>
        </w:rPr>
        <w:lastRenderedPageBreak/>
        <w:t>is a</w:t>
      </w:r>
      <w:r w:rsidR="00D87501" w:rsidRPr="00C167BA">
        <w:rPr>
          <w:rFonts w:ascii="Arial" w:hAnsi="Arial" w:cs="Arial"/>
          <w:sz w:val="24"/>
          <w:szCs w:val="24"/>
        </w:rPr>
        <w:t xml:space="preserve"> risk of </w:t>
      </w:r>
      <w:r w:rsidR="007F2247" w:rsidRPr="00C167BA">
        <w:rPr>
          <w:rFonts w:ascii="Arial" w:hAnsi="Arial" w:cs="Arial"/>
          <w:sz w:val="24"/>
          <w:szCs w:val="24"/>
        </w:rPr>
        <w:t xml:space="preserve">accidentally </w:t>
      </w:r>
      <w:r w:rsidR="00D87501" w:rsidRPr="00C167BA">
        <w:rPr>
          <w:rFonts w:ascii="Arial" w:hAnsi="Arial" w:cs="Arial"/>
          <w:sz w:val="24"/>
          <w:szCs w:val="24"/>
        </w:rPr>
        <w:t>moving the stent</w:t>
      </w:r>
      <w:r w:rsidR="00FD4E05" w:rsidRPr="00C167BA">
        <w:rPr>
          <w:rFonts w:ascii="Arial" w:hAnsi="Arial" w:cs="Arial"/>
          <w:sz w:val="24"/>
          <w:szCs w:val="24"/>
        </w:rPr>
        <w:t>. To solve this, another technique called semi-jailing (</w:t>
      </w:r>
      <w:r w:rsidR="000E541C" w:rsidRPr="00C167BA">
        <w:rPr>
          <w:rFonts w:ascii="Arial" w:hAnsi="Arial" w:cs="Arial"/>
          <w:sz w:val="24"/>
          <w:szCs w:val="24"/>
        </w:rPr>
        <w:fldChar w:fldCharType="begin"/>
      </w:r>
      <w:r w:rsidR="000E541C" w:rsidRPr="00C167BA">
        <w:rPr>
          <w:rFonts w:ascii="Arial" w:hAnsi="Arial" w:cs="Arial"/>
          <w:sz w:val="24"/>
          <w:szCs w:val="24"/>
        </w:rPr>
        <w:instrText xml:space="preserve"> REF _Ref102292127 \h </w:instrText>
      </w:r>
      <w:r w:rsidR="00110423" w:rsidRPr="00C167BA">
        <w:rPr>
          <w:rFonts w:ascii="Arial" w:hAnsi="Arial" w:cs="Arial"/>
          <w:sz w:val="24"/>
          <w:szCs w:val="24"/>
        </w:rPr>
        <w:instrText xml:space="preserve"> \* MERGEFORMAT </w:instrText>
      </w:r>
      <w:r w:rsidR="000E541C" w:rsidRPr="00C167BA">
        <w:rPr>
          <w:rFonts w:ascii="Arial" w:hAnsi="Arial" w:cs="Arial"/>
          <w:sz w:val="24"/>
          <w:szCs w:val="24"/>
        </w:rPr>
      </w:r>
      <w:r w:rsidR="000E541C" w:rsidRPr="00C167BA">
        <w:rPr>
          <w:rFonts w:ascii="Arial" w:hAnsi="Arial" w:cs="Arial"/>
          <w:sz w:val="24"/>
          <w:szCs w:val="24"/>
        </w:rPr>
        <w:fldChar w:fldCharType="separate"/>
      </w:r>
      <w:r w:rsidR="005C4791" w:rsidRPr="005C4791">
        <w:rPr>
          <w:rFonts w:ascii="Arial" w:hAnsi="Arial" w:cs="Arial"/>
          <w:sz w:val="24"/>
          <w:szCs w:val="24"/>
        </w:rPr>
        <w:t xml:space="preserve">Figure </w:t>
      </w:r>
      <w:r w:rsidR="005C4791" w:rsidRPr="005C4791">
        <w:rPr>
          <w:rFonts w:ascii="Arial" w:hAnsi="Arial" w:cs="Arial"/>
          <w:noProof/>
          <w:sz w:val="24"/>
          <w:szCs w:val="24"/>
        </w:rPr>
        <w:t>7</w:t>
      </w:r>
      <w:r w:rsidR="000E541C" w:rsidRPr="00C167BA">
        <w:rPr>
          <w:rFonts w:ascii="Arial" w:hAnsi="Arial" w:cs="Arial"/>
          <w:sz w:val="24"/>
          <w:szCs w:val="24"/>
        </w:rPr>
        <w:fldChar w:fldCharType="end"/>
      </w:r>
      <w:r w:rsidR="00FD4E05" w:rsidRPr="00C167BA">
        <w:rPr>
          <w:rFonts w:ascii="Arial" w:hAnsi="Arial" w:cs="Arial"/>
          <w:sz w:val="24"/>
          <w:szCs w:val="24"/>
        </w:rPr>
        <w:t>B) is used. In this method, the stent is only half deployed</w:t>
      </w:r>
      <w:r w:rsidR="007F2247" w:rsidRPr="00C167BA">
        <w:rPr>
          <w:rFonts w:ascii="Arial" w:hAnsi="Arial" w:cs="Arial"/>
          <w:sz w:val="24"/>
          <w:szCs w:val="24"/>
        </w:rPr>
        <w:t xml:space="preserve"> prior to insertion of </w:t>
      </w:r>
      <w:r w:rsidR="00FD4E05" w:rsidRPr="00C167BA">
        <w:rPr>
          <w:rFonts w:ascii="Arial" w:hAnsi="Arial" w:cs="Arial"/>
          <w:sz w:val="24"/>
          <w:szCs w:val="24"/>
        </w:rPr>
        <w:t>the coil</w:t>
      </w:r>
      <w:r w:rsidR="007F2247" w:rsidRPr="00C167BA">
        <w:rPr>
          <w:rFonts w:ascii="Arial" w:hAnsi="Arial" w:cs="Arial"/>
          <w:sz w:val="24"/>
          <w:szCs w:val="24"/>
        </w:rPr>
        <w:t>.</w:t>
      </w:r>
      <w:r w:rsidR="00FD4E05" w:rsidRPr="00C167BA">
        <w:rPr>
          <w:rFonts w:ascii="Arial" w:hAnsi="Arial" w:cs="Arial"/>
          <w:sz w:val="24"/>
          <w:szCs w:val="24"/>
        </w:rPr>
        <w:t xml:space="preserve"> </w:t>
      </w:r>
      <w:r w:rsidR="007F2247" w:rsidRPr="00C167BA">
        <w:rPr>
          <w:rFonts w:ascii="Arial" w:hAnsi="Arial" w:cs="Arial"/>
          <w:sz w:val="24"/>
          <w:szCs w:val="24"/>
        </w:rPr>
        <w:t>After the coil’s</w:t>
      </w:r>
      <w:r w:rsidR="00FD4E05" w:rsidRPr="00C167BA">
        <w:rPr>
          <w:rFonts w:ascii="Arial" w:hAnsi="Arial" w:cs="Arial"/>
          <w:sz w:val="24"/>
          <w:szCs w:val="24"/>
        </w:rPr>
        <w:t xml:space="preserve"> microcatheter is </w:t>
      </w:r>
      <w:r w:rsidR="007F2247" w:rsidRPr="00C167BA">
        <w:rPr>
          <w:rFonts w:ascii="Arial" w:hAnsi="Arial" w:cs="Arial"/>
          <w:sz w:val="24"/>
          <w:szCs w:val="24"/>
        </w:rPr>
        <w:t>removed</w:t>
      </w:r>
      <w:r w:rsidR="00FD4E05" w:rsidRPr="00C167BA">
        <w:rPr>
          <w:rFonts w:ascii="Arial" w:hAnsi="Arial" w:cs="Arial"/>
          <w:sz w:val="24"/>
          <w:szCs w:val="24"/>
        </w:rPr>
        <w:t>, the stent catheter is fully deployed</w:t>
      </w:r>
      <w:r w:rsidR="00FD4E05" w:rsidRPr="00C167BA">
        <w:rPr>
          <w:rFonts w:ascii="Arial" w:hAnsi="Arial" w:cs="Arial"/>
          <w:sz w:val="24"/>
          <w:szCs w:val="24"/>
        </w:rPr>
        <w:fldChar w:fldCharType="begin"/>
      </w:r>
      <w:r w:rsidR="005B4F59">
        <w:rPr>
          <w:rFonts w:ascii="Arial" w:hAnsi="Arial" w:cs="Arial"/>
          <w:sz w:val="24"/>
          <w:szCs w:val="24"/>
        </w:rPr>
        <w:instrText xml:space="preserve"> ADDIN ZOTERO_ITEM CSL_CITATION {"citationID":"lMackPzS","properties":{"formattedCitation":"\\super 34\\nosupersub{}","plainCitation":"34","noteIndex":0},"citationItems":[{"id":601,"uris":["http://zotero.org/users/6508478/items/KQBGVG89"],"itemData":{"id":601,"type":"article-journal","abstract":"Stent-assisted coiling of intracranial aneurysms is performed by placing a microcatheter through a stent's interstices or jailing the microcatheter between the stent and the artery. Both approaches impede manipulation of the microcatheter during coiling. We describe a modified jailing technique that improves catheter maneuverability and report the safety and efficacy of the method for the treatment of complex, wide-necked aneurysms.The semi-jailing technique involves the partial deployment of a retrievable stent, bridging part of the aneurysm neck while leaving space to maneuver the microcatheter. Twenty-two complex, wide-necked aneurysms, including 3 ruptured and 5 dissecting, were treated using the semi-jailing technique (15 women; mean age, 55.2 years).The semi-jailing technique was successfully applied in all cases. Immediate posttreatment angiograms showed total occlusion of the aneurysm in 17 cases (77%), neck remnant in 3 cases (14%), and aneurysm dome filling in 2 cases (9%). Follow-up angiography available in 10 patients at an average of 8.5 months showed progressive occlusion in 1 aneurysm and 7 remained occluded. In 2 cases of dissecting aneurysms, retreatment was required. No permanent periprocedural morbidity was encountered. One patient died of complications secondary to intracranial hemorrhage 6 days after treatment. In 2 cases (9%), thromboembolic events after final stent placement were successfully treated with intraarterial thrombolysis. No delayed stent migration was seen.Semi-jailing is a safe and effective stent-assisted coiling technique that facilitates treatment of complex, wide-necked aneurysms.","container-title":"Neurosurgery","DOI":"10.1227/01.NEU.0000356983.23189.16","ISSN":"0148-396X","issue":"6","journalAbbreviation":"Neurosurgery","page":"1131-1139","source":"Silverchair","title":"SEMI-JAILING TECHNIQUE FOR COIL EMBOLIZATION OF COMPLEX, WIDE-NECKED INTRACRANIAL ANEURYSMS","volume":"65","author":[{"family":"Hong","given":"Bo"},{"family":"Patel","given":"Neil V."},{"family":"Gounis","given":"Matthew J."},{"family":"DeLeo","given":"Michael J.","suffix":"III"},{"family":"Linfante","given":"Italo"},{"family":"Wojak","given":"Joan C."},{"family":"Wakhloo","given":"Ajay K."}],"issued":{"date-parts":[["2009",12,1]]}}}],"schema":"https://github.com/citation-style-language/schema/raw/master/csl-citation.json"} </w:instrText>
      </w:r>
      <w:r w:rsidR="00FD4E05" w:rsidRPr="00C167BA">
        <w:rPr>
          <w:rFonts w:ascii="Arial" w:hAnsi="Arial" w:cs="Arial"/>
          <w:sz w:val="24"/>
          <w:szCs w:val="24"/>
        </w:rPr>
        <w:fldChar w:fldCharType="separate"/>
      </w:r>
      <w:r w:rsidR="00766016" w:rsidRPr="00766016">
        <w:rPr>
          <w:rFonts w:ascii="Arial" w:hAnsi="Arial" w:cs="Arial"/>
          <w:sz w:val="24"/>
          <w:szCs w:val="24"/>
          <w:vertAlign w:val="superscript"/>
        </w:rPr>
        <w:t>34</w:t>
      </w:r>
      <w:r w:rsidR="00FD4E05" w:rsidRPr="00C167BA">
        <w:rPr>
          <w:rFonts w:ascii="Arial" w:hAnsi="Arial" w:cs="Arial"/>
          <w:sz w:val="24"/>
          <w:szCs w:val="24"/>
        </w:rPr>
        <w:fldChar w:fldCharType="end"/>
      </w:r>
      <w:r w:rsidR="00FD4E05" w:rsidRPr="00C167BA">
        <w:rPr>
          <w:rFonts w:ascii="Arial" w:hAnsi="Arial" w:cs="Arial"/>
          <w:sz w:val="24"/>
          <w:szCs w:val="24"/>
        </w:rPr>
        <w:t xml:space="preserve">. </w:t>
      </w:r>
    </w:p>
    <w:p w14:paraId="652E6951" w14:textId="77777777" w:rsidR="00193AC7" w:rsidRDefault="00193AC7" w:rsidP="00193AC7">
      <w:pPr>
        <w:pStyle w:val="Lgende"/>
        <w:spacing w:after="0" w:line="480" w:lineRule="auto"/>
        <w:rPr>
          <w:rFonts w:ascii="Arial" w:hAnsi="Arial" w:cs="Arial"/>
          <w:b/>
          <w:bCs/>
          <w:i w:val="0"/>
          <w:iCs w:val="0"/>
          <w:color w:val="auto"/>
          <w:sz w:val="24"/>
          <w:szCs w:val="24"/>
        </w:rPr>
      </w:pPr>
      <w:bookmarkStart w:id="38" w:name="_Ref85738956"/>
      <w:r>
        <w:rPr>
          <w:rFonts w:ascii="Arial" w:hAnsi="Arial" w:cs="Arial"/>
          <w:b/>
          <w:bCs/>
          <w:i w:val="0"/>
          <w:iCs w:val="0"/>
          <w:noProof/>
          <w:color w:val="auto"/>
          <w:sz w:val="24"/>
          <w:szCs w:val="24"/>
        </w:rPr>
        <w:drawing>
          <wp:inline distT="0" distB="0" distL="0" distR="0" wp14:anchorId="3704417A" wp14:editId="3950B186">
            <wp:extent cx="4813731" cy="1901190"/>
            <wp:effectExtent l="0" t="0" r="6350" b="3810"/>
            <wp:docPr id="39" name="Picture 3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fig stent.JPG"/>
                    <pic:cNvPicPr/>
                  </pic:nvPicPr>
                  <pic:blipFill>
                    <a:blip r:embed="rId15">
                      <a:extLst>
                        <a:ext uri="{28A0092B-C50C-407E-A947-70E740481C1C}">
                          <a14:useLocalDpi xmlns:a14="http://schemas.microsoft.com/office/drawing/2010/main" val="0"/>
                        </a:ext>
                      </a:extLst>
                    </a:blip>
                    <a:stretch>
                      <a:fillRect/>
                    </a:stretch>
                  </pic:blipFill>
                  <pic:spPr>
                    <a:xfrm>
                      <a:off x="0" y="0"/>
                      <a:ext cx="4838006" cy="1910778"/>
                    </a:xfrm>
                    <a:prstGeom prst="rect">
                      <a:avLst/>
                    </a:prstGeom>
                  </pic:spPr>
                </pic:pic>
              </a:graphicData>
            </a:graphic>
          </wp:inline>
        </w:drawing>
      </w:r>
    </w:p>
    <w:p w14:paraId="0370C12B" w14:textId="2E193A10" w:rsidR="00193AC7" w:rsidRPr="00525779" w:rsidRDefault="00193AC7" w:rsidP="00525779">
      <w:pPr>
        <w:jc w:val="both"/>
      </w:pPr>
      <w:bookmarkStart w:id="39" w:name="_Ref102292127"/>
      <w:r w:rsidRPr="00FC5425">
        <w:rPr>
          <w:rFonts w:ascii="Arial" w:hAnsi="Arial" w:cs="Arial"/>
          <w:b/>
          <w:bCs/>
          <w:sz w:val="24"/>
          <w:szCs w:val="24"/>
        </w:rPr>
        <w:t xml:space="preserve">Figure </w:t>
      </w:r>
      <w:r w:rsidRPr="00EB056A">
        <w:rPr>
          <w:rFonts w:ascii="Arial" w:hAnsi="Arial" w:cs="Arial"/>
          <w:b/>
          <w:bCs/>
          <w:i/>
          <w:iCs/>
          <w:sz w:val="24"/>
          <w:szCs w:val="24"/>
        </w:rPr>
        <w:fldChar w:fldCharType="begin"/>
      </w:r>
      <w:r w:rsidRPr="00FC5425">
        <w:rPr>
          <w:rFonts w:ascii="Arial" w:hAnsi="Arial" w:cs="Arial"/>
          <w:b/>
          <w:bCs/>
          <w:sz w:val="24"/>
          <w:szCs w:val="24"/>
        </w:rPr>
        <w:instrText xml:space="preserve"> SEQ Figure \* ARABIC </w:instrText>
      </w:r>
      <w:r w:rsidRPr="00EB056A">
        <w:rPr>
          <w:rFonts w:ascii="Arial" w:hAnsi="Arial" w:cs="Arial"/>
          <w:b/>
          <w:bCs/>
          <w:i/>
          <w:iCs/>
          <w:sz w:val="24"/>
          <w:szCs w:val="24"/>
        </w:rPr>
        <w:fldChar w:fldCharType="separate"/>
      </w:r>
      <w:r w:rsidR="005C4791">
        <w:rPr>
          <w:rFonts w:ascii="Arial" w:hAnsi="Arial" w:cs="Arial"/>
          <w:b/>
          <w:bCs/>
          <w:noProof/>
          <w:sz w:val="24"/>
          <w:szCs w:val="24"/>
        </w:rPr>
        <w:t>7</w:t>
      </w:r>
      <w:r w:rsidRPr="00EB056A">
        <w:rPr>
          <w:rFonts w:ascii="Arial" w:hAnsi="Arial" w:cs="Arial"/>
          <w:b/>
          <w:bCs/>
          <w:i/>
          <w:iCs/>
          <w:sz w:val="24"/>
          <w:szCs w:val="24"/>
        </w:rPr>
        <w:fldChar w:fldCharType="end"/>
      </w:r>
      <w:bookmarkEnd w:id="38"/>
      <w:bookmarkEnd w:id="39"/>
      <w:r w:rsidRPr="00FC5425">
        <w:rPr>
          <w:rFonts w:ascii="Arial" w:hAnsi="Arial" w:cs="Arial"/>
          <w:b/>
          <w:bCs/>
          <w:sz w:val="24"/>
          <w:szCs w:val="24"/>
        </w:rPr>
        <w:t xml:space="preserve">: </w:t>
      </w:r>
      <w:r>
        <w:rPr>
          <w:rFonts w:ascii="Arial" w:hAnsi="Arial" w:cs="Arial"/>
          <w:b/>
          <w:bCs/>
          <w:sz w:val="24"/>
          <w:szCs w:val="24"/>
        </w:rPr>
        <w:t>Representative schematics depicting s</w:t>
      </w:r>
      <w:r w:rsidRPr="00FC5425">
        <w:rPr>
          <w:rFonts w:ascii="Arial" w:hAnsi="Arial" w:cs="Arial"/>
          <w:b/>
          <w:bCs/>
          <w:sz w:val="24"/>
          <w:szCs w:val="24"/>
        </w:rPr>
        <w:t>tent types.</w:t>
      </w:r>
      <w:r>
        <w:rPr>
          <w:rFonts w:ascii="Arial" w:hAnsi="Arial" w:cs="Arial"/>
          <w:sz w:val="24"/>
          <w:szCs w:val="24"/>
        </w:rPr>
        <w:t xml:space="preserve"> </w:t>
      </w:r>
      <w:r w:rsidRPr="00EB056A">
        <w:rPr>
          <w:rFonts w:ascii="Arial" w:hAnsi="Arial" w:cs="Arial"/>
          <w:sz w:val="24"/>
          <w:szCs w:val="24"/>
        </w:rPr>
        <w:t>A</w:t>
      </w:r>
      <w:r>
        <w:rPr>
          <w:rFonts w:ascii="Arial" w:hAnsi="Arial" w:cs="Arial"/>
          <w:sz w:val="24"/>
          <w:szCs w:val="24"/>
        </w:rPr>
        <w:t>:</w:t>
      </w:r>
      <w:r w:rsidRPr="00EB056A">
        <w:rPr>
          <w:rFonts w:ascii="Arial" w:hAnsi="Arial" w:cs="Arial"/>
          <w:sz w:val="24"/>
          <w:szCs w:val="24"/>
        </w:rPr>
        <w:t xml:space="preserve"> Stent jail coiling: a stent is deployed with a microcatheter, then a coil is inserted. B</w:t>
      </w:r>
      <w:r>
        <w:rPr>
          <w:rFonts w:ascii="Arial" w:hAnsi="Arial" w:cs="Arial"/>
          <w:sz w:val="24"/>
          <w:szCs w:val="24"/>
        </w:rPr>
        <w:t>:</w:t>
      </w:r>
      <w:r w:rsidRPr="00EB056A">
        <w:rPr>
          <w:rFonts w:ascii="Arial" w:hAnsi="Arial" w:cs="Arial"/>
          <w:sz w:val="24"/>
          <w:szCs w:val="24"/>
        </w:rPr>
        <w:t xml:space="preserve"> Semi-jailing technique: a stent is half deployed with a microcatheter, then a coil is inserted, and finally the stent is fully deployed. C</w:t>
      </w:r>
      <w:r>
        <w:rPr>
          <w:rFonts w:ascii="Arial" w:hAnsi="Arial" w:cs="Arial"/>
          <w:sz w:val="24"/>
          <w:szCs w:val="24"/>
        </w:rPr>
        <w:t xml:space="preserve">: </w:t>
      </w:r>
      <w:r w:rsidRPr="00EB056A">
        <w:rPr>
          <w:rFonts w:ascii="Arial" w:hAnsi="Arial" w:cs="Arial"/>
          <w:sz w:val="24"/>
          <w:szCs w:val="24"/>
        </w:rPr>
        <w:t xml:space="preserve">Y stenting: </w:t>
      </w:r>
      <w:r>
        <w:rPr>
          <w:rFonts w:ascii="Arial" w:hAnsi="Arial" w:cs="Arial"/>
          <w:sz w:val="24"/>
          <w:szCs w:val="24"/>
        </w:rPr>
        <w:t>two</w:t>
      </w:r>
      <w:r w:rsidRPr="00EB056A">
        <w:rPr>
          <w:rFonts w:ascii="Arial" w:hAnsi="Arial" w:cs="Arial"/>
          <w:sz w:val="24"/>
          <w:szCs w:val="24"/>
        </w:rPr>
        <w:t xml:space="preserve"> stents are inserted in the main artery and through each branch of the bifurcation, and then is inserted a coil that leans on them from inside the aneurysm. D</w:t>
      </w:r>
      <w:r>
        <w:rPr>
          <w:rFonts w:ascii="Arial" w:hAnsi="Arial" w:cs="Arial"/>
          <w:sz w:val="24"/>
          <w:szCs w:val="24"/>
        </w:rPr>
        <w:t>:</w:t>
      </w:r>
      <w:r w:rsidRPr="00EB056A">
        <w:rPr>
          <w:rFonts w:ascii="Arial" w:hAnsi="Arial" w:cs="Arial"/>
          <w:sz w:val="24"/>
          <w:szCs w:val="24"/>
        </w:rPr>
        <w:t xml:space="preserve"> Waffle cone technique: a stent is deployed from the main artery to the neck of the aneurysm and then a coil is inserted in the aneurysm and leans on the stent. E</w:t>
      </w:r>
      <w:r>
        <w:rPr>
          <w:rFonts w:ascii="Arial" w:hAnsi="Arial" w:cs="Arial"/>
          <w:sz w:val="24"/>
          <w:szCs w:val="24"/>
        </w:rPr>
        <w:t>:</w:t>
      </w:r>
      <w:r w:rsidRPr="00EB056A">
        <w:rPr>
          <w:rFonts w:ascii="Arial" w:hAnsi="Arial" w:cs="Arial"/>
          <w:sz w:val="24"/>
          <w:szCs w:val="24"/>
        </w:rPr>
        <w:t xml:space="preserve"> Flow diverter stent: a stent is deployed through the aneurysm. F</w:t>
      </w:r>
      <w:r>
        <w:rPr>
          <w:rFonts w:ascii="Arial" w:hAnsi="Arial" w:cs="Arial"/>
          <w:sz w:val="24"/>
          <w:szCs w:val="24"/>
        </w:rPr>
        <w:t xml:space="preserve">: </w:t>
      </w:r>
      <w:r w:rsidRPr="00EB056A">
        <w:rPr>
          <w:rFonts w:ascii="Arial" w:hAnsi="Arial" w:cs="Arial"/>
          <w:sz w:val="24"/>
          <w:szCs w:val="24"/>
        </w:rPr>
        <w:t>Covered stent: a stent covered by expendable polymers is deployed through the aneurysm.</w:t>
      </w:r>
    </w:p>
    <w:p w14:paraId="7AFA08BE" w14:textId="77777777" w:rsidR="00193AC7" w:rsidRDefault="00193AC7" w:rsidP="00525779">
      <w:pPr>
        <w:pStyle w:val="Lgende"/>
        <w:spacing w:after="0" w:line="276" w:lineRule="auto"/>
        <w:jc w:val="both"/>
      </w:pPr>
    </w:p>
    <w:p w14:paraId="5A497C84" w14:textId="1E4FD80F" w:rsidR="00355D4D" w:rsidRPr="00100492" w:rsidRDefault="00100492" w:rsidP="00100492">
      <w:pPr>
        <w:spacing w:line="480" w:lineRule="auto"/>
        <w:ind w:firstLine="720"/>
        <w:jc w:val="both"/>
        <w:rPr>
          <w:rFonts w:ascii="Arial" w:hAnsi="Arial" w:cs="Arial"/>
          <w:sz w:val="24"/>
          <w:szCs w:val="24"/>
          <w:highlight w:val="yellow"/>
        </w:rPr>
      </w:pPr>
      <w:r w:rsidRPr="00EB056A">
        <w:rPr>
          <w:rFonts w:ascii="Arial" w:hAnsi="Arial" w:cs="Arial"/>
          <w:sz w:val="24"/>
          <w:szCs w:val="24"/>
        </w:rPr>
        <w:t>Another stenting method</w:t>
      </w:r>
      <w:r>
        <w:rPr>
          <w:rFonts w:ascii="Arial" w:hAnsi="Arial" w:cs="Arial"/>
          <w:sz w:val="24"/>
          <w:szCs w:val="24"/>
        </w:rPr>
        <w:t>,</w:t>
      </w:r>
      <w:r w:rsidRPr="00EB056A">
        <w:rPr>
          <w:rFonts w:ascii="Arial" w:hAnsi="Arial" w:cs="Arial"/>
          <w:sz w:val="24"/>
          <w:szCs w:val="24"/>
        </w:rPr>
        <w:t xml:space="preserve"> </w:t>
      </w:r>
      <w:r>
        <w:rPr>
          <w:rFonts w:ascii="Arial" w:hAnsi="Arial" w:cs="Arial"/>
          <w:sz w:val="24"/>
          <w:szCs w:val="24"/>
        </w:rPr>
        <w:t>called</w:t>
      </w:r>
      <w:r w:rsidRPr="00EB056A">
        <w:rPr>
          <w:rFonts w:ascii="Arial" w:hAnsi="Arial" w:cs="Arial"/>
          <w:sz w:val="24"/>
          <w:szCs w:val="24"/>
        </w:rPr>
        <w:t xml:space="preserve"> the Y-stenting technique (</w:t>
      </w:r>
      <w:r w:rsidRPr="00D03411">
        <w:rPr>
          <w:rFonts w:ascii="Arial" w:hAnsi="Arial" w:cs="Arial"/>
          <w:sz w:val="24"/>
          <w:szCs w:val="24"/>
        </w:rPr>
        <w:fldChar w:fldCharType="begin"/>
      </w:r>
      <w:r w:rsidRPr="00706400">
        <w:rPr>
          <w:rFonts w:ascii="Arial" w:hAnsi="Arial" w:cs="Arial"/>
          <w:sz w:val="24"/>
          <w:szCs w:val="24"/>
        </w:rPr>
        <w:instrText xml:space="preserve"> REF _Ref102292127 \h </w:instrText>
      </w:r>
      <w:r w:rsidRPr="001E3298">
        <w:rPr>
          <w:rFonts w:ascii="Arial" w:hAnsi="Arial" w:cs="Arial"/>
          <w:sz w:val="24"/>
          <w:szCs w:val="24"/>
        </w:rPr>
        <w:instrText xml:space="preserve"> \* MERGEFORMAT </w:instrText>
      </w:r>
      <w:r w:rsidRPr="00D03411">
        <w:rPr>
          <w:rFonts w:ascii="Arial" w:hAnsi="Arial" w:cs="Arial"/>
          <w:sz w:val="24"/>
          <w:szCs w:val="24"/>
        </w:rPr>
      </w:r>
      <w:r w:rsidRPr="00D03411">
        <w:rPr>
          <w:rFonts w:ascii="Arial" w:hAnsi="Arial" w:cs="Arial"/>
          <w:sz w:val="24"/>
          <w:szCs w:val="24"/>
        </w:rPr>
        <w:fldChar w:fldCharType="separate"/>
      </w:r>
      <w:r w:rsidR="005C4791" w:rsidRPr="005C4791">
        <w:rPr>
          <w:rFonts w:ascii="Arial" w:hAnsi="Arial" w:cs="Arial"/>
          <w:sz w:val="24"/>
          <w:szCs w:val="24"/>
        </w:rPr>
        <w:t xml:space="preserve">Figure </w:t>
      </w:r>
      <w:r w:rsidR="005C4791" w:rsidRPr="005C4791">
        <w:rPr>
          <w:rFonts w:ascii="Arial" w:hAnsi="Arial" w:cs="Arial"/>
          <w:i/>
          <w:iCs/>
          <w:noProof/>
          <w:sz w:val="24"/>
          <w:szCs w:val="24"/>
        </w:rPr>
        <w:t>7</w:t>
      </w:r>
      <w:r w:rsidRPr="00D03411">
        <w:rPr>
          <w:rFonts w:ascii="Arial" w:hAnsi="Arial" w:cs="Arial"/>
          <w:sz w:val="24"/>
          <w:szCs w:val="24"/>
        </w:rPr>
        <w:fldChar w:fldCharType="end"/>
      </w:r>
      <w:r w:rsidRPr="00EB056A">
        <w:rPr>
          <w:rFonts w:ascii="Arial" w:hAnsi="Arial" w:cs="Arial"/>
          <w:sz w:val="24"/>
          <w:szCs w:val="24"/>
        </w:rPr>
        <w:t>C)</w:t>
      </w:r>
      <w:r>
        <w:rPr>
          <w:rFonts w:ascii="Arial" w:hAnsi="Arial" w:cs="Arial"/>
          <w:sz w:val="24"/>
          <w:szCs w:val="24"/>
        </w:rPr>
        <w:t xml:space="preserve">, </w:t>
      </w:r>
      <w:r w:rsidRPr="00EB056A">
        <w:rPr>
          <w:rFonts w:ascii="Arial" w:hAnsi="Arial" w:cs="Arial"/>
          <w:sz w:val="24"/>
          <w:szCs w:val="24"/>
        </w:rPr>
        <w:t>is used for intracranial aneurysms located at bifurcations.</w:t>
      </w:r>
      <w:r>
        <w:rPr>
          <w:rFonts w:ascii="Arial" w:hAnsi="Arial" w:cs="Arial"/>
          <w:sz w:val="24"/>
          <w:szCs w:val="24"/>
        </w:rPr>
        <w:t xml:space="preserve"> As the main vessel splits into two branches at a bifurcation, two stents are inserted into the main vessel in this method, where one stent is placed in the main vessel and another in one branch of the bifurcation. Then,</w:t>
      </w:r>
      <w:r w:rsidRPr="00EB056A">
        <w:rPr>
          <w:rFonts w:ascii="Arial" w:hAnsi="Arial" w:cs="Arial"/>
          <w:sz w:val="24"/>
          <w:szCs w:val="24"/>
        </w:rPr>
        <w:t xml:space="preserve"> at least one coil </w:t>
      </w:r>
      <w:r>
        <w:rPr>
          <w:rFonts w:ascii="Arial" w:hAnsi="Arial" w:cs="Arial"/>
          <w:sz w:val="24"/>
          <w:szCs w:val="24"/>
        </w:rPr>
        <w:t>is inserted in the neck of the aneurysm and the coil l</w:t>
      </w:r>
      <w:r w:rsidRPr="00EB056A">
        <w:rPr>
          <w:rFonts w:ascii="Arial" w:hAnsi="Arial" w:cs="Arial"/>
          <w:sz w:val="24"/>
          <w:szCs w:val="24"/>
        </w:rPr>
        <w:t>ies on t</w:t>
      </w:r>
      <w:r>
        <w:rPr>
          <w:rFonts w:ascii="Arial" w:hAnsi="Arial" w:cs="Arial"/>
          <w:sz w:val="24"/>
          <w:szCs w:val="24"/>
        </w:rPr>
        <w:t>he t</w:t>
      </w:r>
      <w:r w:rsidRPr="00EB056A">
        <w:rPr>
          <w:rFonts w:ascii="Arial" w:hAnsi="Arial" w:cs="Arial"/>
          <w:sz w:val="24"/>
          <w:szCs w:val="24"/>
        </w:rPr>
        <w:t>wo stents</w:t>
      </w:r>
      <w:r w:rsidRPr="00EB056A">
        <w:rPr>
          <w:rFonts w:ascii="Arial" w:hAnsi="Arial" w:cs="Arial"/>
          <w:sz w:val="24"/>
          <w:szCs w:val="24"/>
        </w:rPr>
        <w:fldChar w:fldCharType="begin"/>
      </w:r>
      <w:r>
        <w:rPr>
          <w:rFonts w:ascii="Arial" w:hAnsi="Arial" w:cs="Arial"/>
          <w:sz w:val="24"/>
          <w:szCs w:val="24"/>
        </w:rPr>
        <w:instrText xml:space="preserve"> ADDIN ZOTERO_ITEM CSL_CITATION {"citationID":"KY0paLa4","properties":{"formattedCitation":"\\super 35\\nosupersub{}","plainCitation":"35","noteIndex":0},"citationItems":[{"id":603,"uris":["http://zotero.org/users/6508478/items/AURRYUN9"],"itemData":{"id":603,"type":"article-journal","abstract":"Background and purpose Coiling of wide neck, bifurcation aneurysms often requires creative techniques to ensure optimal and safe embolization. The Y stenting technique utilizing kissing stents provides an alternative endovascular treatment of this complex pathology.\nMaterials and methods A triple wire technique was used to place side by side stents within the parent artery and extending into the bilateral bifurcation vessels. The third wire enabled placement of a microcatheter within the aneurysm, which remained trapped by the opposing stents.\nResults 9 patients obtained acceptable angiographic partial or total occlusion of their aneurysm. Follow-up was variable, ranging from none to 26 months. There were two early deaths at postprocedures day 1 and 10, with one mortality being a direct result of the intervention. One patient experienced delayed in-stent thrombosis resulting in a periprocedural morbidity and mortality of 11% and 22%, respectively. One patient required retreatment.\nConclusion Y stenting utilizing the triple catheter technique is an alternative endovascular treatment for wide neck, bifurcation aneurysms. Caution should be used, especially in the setting of subarachnoid hemorrhage, as the complication rate and overall risk increase significantly with this technique's complexity.","container-title":"Journal of NeuroInterventional Surgery","DOI":"10.1136/jnis.2010.004275","ISSN":"1759-8478, 1759-8486","issue":"1","language":"en","note":"publisher: British Medical Journal Publishing Group\nsection: Hemorrhagic stroke\nPMID: 21990447","page":"16-21","source":"jnis.bmj.com","title":"Y stenting using kissing stents for the treatment of bifurcation aneurysms","volume":"4","author":[{"family":"Jankowitz","given":"Brian T."},{"family":"Thomas","given":"Ajith"},{"family":"Jovin","given":"Tudor"},{"family":"Horowitz","given":"Michael"}],"issued":{"date-parts":[["2012",1,1]]}}}],"schema":"https://github.com/citation-style-language/schema/raw/master/csl-citation.json"} </w:instrText>
      </w:r>
      <w:r w:rsidRPr="00EB056A">
        <w:rPr>
          <w:rFonts w:ascii="Arial" w:hAnsi="Arial" w:cs="Arial"/>
          <w:sz w:val="24"/>
          <w:szCs w:val="24"/>
        </w:rPr>
        <w:fldChar w:fldCharType="separate"/>
      </w:r>
      <w:r w:rsidRPr="00766016">
        <w:rPr>
          <w:rFonts w:ascii="Arial" w:hAnsi="Arial" w:cs="Arial"/>
          <w:sz w:val="24"/>
          <w:szCs w:val="24"/>
          <w:vertAlign w:val="superscript"/>
        </w:rPr>
        <w:t>35</w:t>
      </w:r>
      <w:r w:rsidRPr="00EB056A">
        <w:rPr>
          <w:rFonts w:ascii="Arial" w:hAnsi="Arial" w:cs="Arial"/>
          <w:sz w:val="24"/>
          <w:szCs w:val="24"/>
        </w:rPr>
        <w:fldChar w:fldCharType="end"/>
      </w:r>
      <w:r w:rsidRPr="00EB056A">
        <w:rPr>
          <w:rFonts w:ascii="Arial" w:hAnsi="Arial" w:cs="Arial"/>
          <w:sz w:val="24"/>
          <w:szCs w:val="24"/>
        </w:rPr>
        <w:t xml:space="preserve">. </w:t>
      </w:r>
      <w:r>
        <w:rPr>
          <w:rFonts w:ascii="Arial" w:hAnsi="Arial" w:cs="Arial"/>
          <w:sz w:val="24"/>
          <w:szCs w:val="24"/>
        </w:rPr>
        <w:t xml:space="preserve">Unfortunately, the </w:t>
      </w:r>
      <w:r w:rsidRPr="00EB056A">
        <w:rPr>
          <w:rFonts w:ascii="Arial" w:hAnsi="Arial" w:cs="Arial"/>
          <w:sz w:val="24"/>
          <w:szCs w:val="24"/>
        </w:rPr>
        <w:t xml:space="preserve">Y technique </w:t>
      </w:r>
      <w:r>
        <w:rPr>
          <w:rFonts w:ascii="Arial" w:hAnsi="Arial" w:cs="Arial"/>
          <w:sz w:val="24"/>
          <w:szCs w:val="24"/>
        </w:rPr>
        <w:t>is not</w:t>
      </w:r>
      <w:r w:rsidRPr="00EB056A">
        <w:rPr>
          <w:rFonts w:ascii="Arial" w:hAnsi="Arial" w:cs="Arial"/>
          <w:sz w:val="24"/>
          <w:szCs w:val="24"/>
        </w:rPr>
        <w:t xml:space="preserve"> appropriate</w:t>
      </w:r>
      <w:r>
        <w:rPr>
          <w:rFonts w:ascii="Arial" w:hAnsi="Arial" w:cs="Arial"/>
          <w:sz w:val="24"/>
          <w:szCs w:val="24"/>
        </w:rPr>
        <w:t xml:space="preserve"> </w:t>
      </w:r>
      <w:r w:rsidRPr="00EB056A">
        <w:rPr>
          <w:rFonts w:ascii="Arial" w:hAnsi="Arial" w:cs="Arial"/>
          <w:sz w:val="24"/>
          <w:szCs w:val="24"/>
        </w:rPr>
        <w:t>for wide-neck aneurysms at bifurcations</w:t>
      </w:r>
      <w:r>
        <w:rPr>
          <w:rFonts w:ascii="Arial" w:hAnsi="Arial" w:cs="Arial"/>
          <w:sz w:val="24"/>
          <w:szCs w:val="24"/>
        </w:rPr>
        <w:t>. As such,</w:t>
      </w:r>
      <w:r w:rsidRPr="00EB056A">
        <w:rPr>
          <w:rFonts w:ascii="Arial" w:hAnsi="Arial" w:cs="Arial"/>
          <w:sz w:val="24"/>
          <w:szCs w:val="24"/>
        </w:rPr>
        <w:t xml:space="preserve"> the waffle cone technique </w:t>
      </w:r>
      <w:r w:rsidRPr="00915EB5">
        <w:rPr>
          <w:rFonts w:ascii="Arial" w:hAnsi="Arial" w:cs="Arial"/>
          <w:sz w:val="24"/>
          <w:szCs w:val="24"/>
        </w:rPr>
        <w:lastRenderedPageBreak/>
        <w:t>(</w:t>
      </w:r>
      <w:r w:rsidRPr="00915EB5">
        <w:rPr>
          <w:rFonts w:ascii="Arial" w:hAnsi="Arial" w:cs="Arial"/>
          <w:sz w:val="24"/>
          <w:szCs w:val="24"/>
        </w:rPr>
        <w:fldChar w:fldCharType="begin"/>
      </w:r>
      <w:r w:rsidRPr="00915EB5">
        <w:rPr>
          <w:rFonts w:ascii="Arial" w:hAnsi="Arial" w:cs="Arial"/>
          <w:sz w:val="24"/>
          <w:szCs w:val="24"/>
        </w:rPr>
        <w:instrText xml:space="preserve"> REF _Ref102292127 \h  \* MERGEFORMAT </w:instrText>
      </w:r>
      <w:r w:rsidRPr="00915EB5">
        <w:rPr>
          <w:rFonts w:ascii="Arial" w:hAnsi="Arial" w:cs="Arial"/>
          <w:sz w:val="24"/>
          <w:szCs w:val="24"/>
        </w:rPr>
      </w:r>
      <w:r w:rsidRPr="00915EB5">
        <w:rPr>
          <w:rFonts w:ascii="Arial" w:hAnsi="Arial" w:cs="Arial"/>
          <w:sz w:val="24"/>
          <w:szCs w:val="24"/>
        </w:rPr>
        <w:fldChar w:fldCharType="separate"/>
      </w:r>
      <w:r w:rsidR="005C4791" w:rsidRPr="005C4791">
        <w:rPr>
          <w:rFonts w:ascii="Arial" w:hAnsi="Arial" w:cs="Arial"/>
          <w:sz w:val="24"/>
          <w:szCs w:val="24"/>
        </w:rPr>
        <w:t xml:space="preserve">Figure </w:t>
      </w:r>
      <w:r w:rsidR="005C4791" w:rsidRPr="005C4791">
        <w:rPr>
          <w:rFonts w:ascii="Arial" w:hAnsi="Arial" w:cs="Arial"/>
          <w:noProof/>
          <w:sz w:val="24"/>
          <w:szCs w:val="24"/>
        </w:rPr>
        <w:t>7</w:t>
      </w:r>
      <w:r w:rsidRPr="00915EB5">
        <w:rPr>
          <w:rFonts w:ascii="Arial" w:hAnsi="Arial" w:cs="Arial"/>
          <w:sz w:val="24"/>
          <w:szCs w:val="24"/>
        </w:rPr>
        <w:fldChar w:fldCharType="end"/>
      </w:r>
      <w:r w:rsidRPr="00915EB5">
        <w:rPr>
          <w:rFonts w:ascii="Arial" w:hAnsi="Arial" w:cs="Arial"/>
          <w:sz w:val="24"/>
          <w:szCs w:val="24"/>
        </w:rPr>
        <w:t>D) is used</w:t>
      </w:r>
      <w:r w:rsidRPr="00EB056A">
        <w:rPr>
          <w:rFonts w:ascii="Arial" w:hAnsi="Arial" w:cs="Arial"/>
          <w:sz w:val="24"/>
          <w:szCs w:val="24"/>
        </w:rPr>
        <w:t xml:space="preserve">. For the efficiency of this method, the maximum diameter of the stent </w:t>
      </w:r>
      <w:r w:rsidR="00012BAB">
        <w:rPr>
          <w:rFonts w:ascii="Arial" w:hAnsi="Arial" w:cs="Arial"/>
          <w:sz w:val="24"/>
          <w:szCs w:val="24"/>
        </w:rPr>
        <w:t>must</w:t>
      </w:r>
      <w:r w:rsidR="00012BAB" w:rsidRPr="00EB056A">
        <w:rPr>
          <w:rFonts w:ascii="Arial" w:hAnsi="Arial" w:cs="Arial"/>
          <w:sz w:val="24"/>
          <w:szCs w:val="24"/>
        </w:rPr>
        <w:t xml:space="preserve"> </w:t>
      </w:r>
      <w:r w:rsidRPr="00EB056A">
        <w:rPr>
          <w:rFonts w:ascii="Arial" w:hAnsi="Arial" w:cs="Arial"/>
          <w:sz w:val="24"/>
          <w:szCs w:val="24"/>
        </w:rPr>
        <w:t>be larger than the neck of the aneurysm. Compared to</w:t>
      </w:r>
      <w:r>
        <w:rPr>
          <w:rFonts w:ascii="Arial" w:hAnsi="Arial" w:cs="Arial"/>
          <w:sz w:val="24"/>
          <w:szCs w:val="24"/>
        </w:rPr>
        <w:t xml:space="preserve"> the</w:t>
      </w:r>
      <w:r w:rsidRPr="00EB056A">
        <w:rPr>
          <w:rFonts w:ascii="Arial" w:hAnsi="Arial" w:cs="Arial"/>
          <w:sz w:val="24"/>
          <w:szCs w:val="24"/>
        </w:rPr>
        <w:t xml:space="preserve"> Y technique which uses two stents, the waffle cone only uses one, which reduces the risks of thrombosis and stenosis (blood clot formation and vessel narrowing)</w:t>
      </w:r>
      <w:r w:rsidRPr="00EB056A">
        <w:rPr>
          <w:rFonts w:ascii="Arial" w:hAnsi="Arial" w:cs="Arial"/>
          <w:sz w:val="24"/>
          <w:szCs w:val="24"/>
        </w:rPr>
        <w:fldChar w:fldCharType="begin"/>
      </w:r>
      <w:r>
        <w:rPr>
          <w:rFonts w:ascii="Arial" w:hAnsi="Arial" w:cs="Arial"/>
          <w:sz w:val="24"/>
          <w:szCs w:val="24"/>
        </w:rPr>
        <w:instrText xml:space="preserve"> ADDIN ZOTERO_ITEM CSL_CITATION {"citationID":"LEXcn1ML","properties":{"formattedCitation":"\\super 36\\nosupersub{}","plainCitation":"36","noteIndex":0},"citationItems":[{"id":607,"uris":["http://zotero.org/users/6508478/items/WQYNLXYK"],"itemData":{"id":607,"type":"article-journal","abstract":"Background:\nLarge wide-necked arterial bifurcation aneurysms present a unique challenge for endovascular coil embolization treatment. One technique described in the literature deploys a Neuroform stent into the neck of the aneurysm in the shape of a waffle-cone, thereby acting as a scaffold for the coil mass. This case series presents four patients with large wide-necked bifurcation aneurysms treated with the closed-cell Enterprise stent using the waffle-cone technique.\n\nCase Description:\nFour patients (59 ± 18 years of age) with large wide-necked arterial bifurcation aneurysms (three basilar apex and one MCA bifurcation) were treated with the waffle-cone technique using the Enterprise stent as a supporting device for stent-assisted coil embolization. Three of the patients presented with aneurysmal subarachnoid hemorrhage (Hunt-Hess 2-3; Fisher Grade 3-4). There was no procedural morbidity or mortality associated with treatment itself. One aneurysm was completely obliterated, and three had small residual necks. One patient developed an area of PCA infarct and visual field cut one month after the procedure and required recoiling of the residual neck. The flared ends of the Enterprise stent remodeled the aneurysm neck by conforming to the shape of the neck without any technical difficulty, resulting in a stable scaffold holding the coils into the aneurysm.\n\nConclusion:\nThe closed cell construction, flexibility, and flared ends of the Enterprise stent allow it to conform to the waffle-cone configuration and provide a stable scaffold for coil embolization of large wide-necked arterial bifurcation aneurysms. We have had excellent initial results using the Enterprise stent with the waffle-cone technique. However, this technique is higher risk than standard treatment methods and therefore should be reserved for large wide-necked bifurcation aneurysms where Y stenting is needed, but not possible, and surgical clip ligation is not an option.","container-title":"Surgical Neurology International","DOI":"10.4103/2152-7806.106268","ISSN":"2229-5097","journalAbbreviation":"Surg Neurol Int","note":"PMID: 23493649\nPMCID: PMC3589841","page":"9","source":"PubMed Central","title":"Enterprise stent for waffle-cone stent-assisted coil embolization of large wide-necked arterial bifurcation aneurysms","volume":"4","author":[{"family":"Padalino","given":"David J."},{"family":"Singla","given":"Amit"},{"family":"Jacobsen","given":"Walter"},{"family":"Deshaies","given":"Eric M."}],"issued":{"date-parts":[["2013",1,28]]}}}],"schema":"https://github.com/citation-style-language/schema/raw/master/csl-citation.json"} </w:instrText>
      </w:r>
      <w:r w:rsidRPr="00EB056A">
        <w:rPr>
          <w:rFonts w:ascii="Arial" w:hAnsi="Arial" w:cs="Arial"/>
          <w:sz w:val="24"/>
          <w:szCs w:val="24"/>
        </w:rPr>
        <w:fldChar w:fldCharType="separate"/>
      </w:r>
      <w:r w:rsidRPr="00766016">
        <w:rPr>
          <w:rFonts w:ascii="Arial" w:hAnsi="Arial" w:cs="Arial"/>
          <w:sz w:val="24"/>
          <w:szCs w:val="24"/>
          <w:vertAlign w:val="superscript"/>
        </w:rPr>
        <w:t>36</w:t>
      </w:r>
      <w:r w:rsidRPr="00EB056A">
        <w:rPr>
          <w:rFonts w:ascii="Arial" w:hAnsi="Arial" w:cs="Arial"/>
          <w:sz w:val="24"/>
          <w:szCs w:val="24"/>
        </w:rPr>
        <w:fldChar w:fldCharType="end"/>
      </w:r>
      <w:r w:rsidRPr="00EB056A">
        <w:rPr>
          <w:rFonts w:ascii="Arial" w:hAnsi="Arial" w:cs="Arial"/>
          <w:sz w:val="24"/>
          <w:szCs w:val="24"/>
        </w:rPr>
        <w:t xml:space="preserve">, but </w:t>
      </w:r>
      <w:r>
        <w:rPr>
          <w:rFonts w:ascii="Arial" w:hAnsi="Arial" w:cs="Arial"/>
          <w:sz w:val="24"/>
          <w:szCs w:val="24"/>
        </w:rPr>
        <w:t>the technique</w:t>
      </w:r>
      <w:r w:rsidRPr="00EB056A">
        <w:rPr>
          <w:rFonts w:ascii="Arial" w:hAnsi="Arial" w:cs="Arial"/>
          <w:sz w:val="24"/>
          <w:szCs w:val="24"/>
        </w:rPr>
        <w:t xml:space="preserve"> requires a high dexterity to correctly position the stent</w:t>
      </w:r>
      <w:r w:rsidRPr="00EB056A">
        <w:rPr>
          <w:rFonts w:ascii="Arial" w:hAnsi="Arial" w:cs="Arial"/>
          <w:sz w:val="24"/>
          <w:szCs w:val="24"/>
        </w:rPr>
        <w:fldChar w:fldCharType="begin"/>
      </w:r>
      <w:r>
        <w:rPr>
          <w:rFonts w:ascii="Arial" w:hAnsi="Arial" w:cs="Arial"/>
          <w:sz w:val="24"/>
          <w:szCs w:val="24"/>
        </w:rPr>
        <w:instrText xml:space="preserve"> ADDIN ZOTERO_ITEM CSL_CITATION {"citationID":"lmDkohDe","properties":{"formattedCitation":"\\super 25\\nosupersub{}","plainCitation":"25","noteIndex":0},"citationItems":[{"id":45,"uris":["http://zotero.org/users/6508478/items/MX5VEDG7"],"itemData":{"id":45,"type":"article-journal","abstract":"Intracranial aneurysm is a leading cause of stroke. Its treatment has evolved over the past 2 decades. This review summarizes the treatment strategies for intracranial aneurysms from 3 different perspectives: open surgery approach, transluminal treatment approach, and new technologies being used or trialed. We introduce most of the available treatment techniques in detail, including contralateral clipping, wrapping and clipping, double catheters assisting coiling and waffle-cone technique, and so on. Data from major trials such as Analysis of Treatment by Endovascular approach of Non-ruptured Aneurysms (ATENA), Internal Subarachnoid Trial (ISAT), Clinical and Anatomical Results in the Treatment of Ruptured Intracranial Aneurysms (CLARITY), and Barrow Ruptured Aneurysm Trial (BRAT) as well as information from other clinical reports and local experience are reviewed to suggest a clinical pathway for treating different types of intracranial aneurysms. It will be a valuable supplement to the current existing guidelines. We hope it could help assisting real-time decision-making in clinical practices and also encourage advancements in managing the disease.","container-title":"Angiology","DOI":"10.1177/0003319717700503","ISSN":"0003-3197","issue":"1","journalAbbreviation":"Angiology","language":"en","page":"17-30","source":"SAGE Journals","title":"Current Treatment Strategies for Intracranial Aneurysms: An Overview","title-short":"Current Treatment Strategies for Intracranial Aneurysms","volume":"69","author":[{"family":"Zhao","given":"Junjie"},{"family":"Lin","given":"Hao"},{"family":"Summers","given":"Richard"},{"family":"Yang","given":"Mingmin"},{"family":"Cousins","given":"Brian G."},{"family":"Tsui","given":"Janice"}],"issued":{"date-parts":[["2018",1,1]]}}}],"schema":"https://github.com/citation-style-language/schema/raw/master/csl-citation.json"} </w:instrText>
      </w:r>
      <w:r w:rsidRPr="00EB056A">
        <w:rPr>
          <w:rFonts w:ascii="Arial" w:hAnsi="Arial" w:cs="Arial"/>
          <w:sz w:val="24"/>
          <w:szCs w:val="24"/>
        </w:rPr>
        <w:fldChar w:fldCharType="separate"/>
      </w:r>
      <w:r w:rsidRPr="00766016">
        <w:rPr>
          <w:rFonts w:ascii="Arial" w:hAnsi="Arial" w:cs="Arial"/>
          <w:sz w:val="24"/>
          <w:szCs w:val="24"/>
          <w:vertAlign w:val="superscript"/>
        </w:rPr>
        <w:t>25</w:t>
      </w:r>
      <w:r w:rsidRPr="00EB056A">
        <w:rPr>
          <w:rFonts w:ascii="Arial" w:hAnsi="Arial" w:cs="Arial"/>
          <w:sz w:val="24"/>
          <w:szCs w:val="24"/>
        </w:rPr>
        <w:fldChar w:fldCharType="end"/>
      </w:r>
      <w:r w:rsidRPr="00EB056A">
        <w:rPr>
          <w:rFonts w:ascii="Arial" w:hAnsi="Arial" w:cs="Arial"/>
          <w:sz w:val="24"/>
          <w:szCs w:val="24"/>
        </w:rPr>
        <w:t>.</w:t>
      </w:r>
    </w:p>
    <w:p w14:paraId="02FAD2F6" w14:textId="266DCCA8" w:rsidR="0011199F" w:rsidRPr="00EB056A" w:rsidRDefault="00295001" w:rsidP="00100492">
      <w:pPr>
        <w:spacing w:before="240" w:line="480" w:lineRule="auto"/>
        <w:ind w:firstLine="720"/>
        <w:jc w:val="both"/>
        <w:rPr>
          <w:rFonts w:ascii="Arial" w:hAnsi="Arial" w:cs="Arial"/>
          <w:sz w:val="24"/>
          <w:szCs w:val="24"/>
        </w:rPr>
      </w:pPr>
      <w:r w:rsidRPr="00EB056A">
        <w:rPr>
          <w:rFonts w:ascii="Arial" w:hAnsi="Arial" w:cs="Arial"/>
          <w:sz w:val="24"/>
          <w:szCs w:val="24"/>
        </w:rPr>
        <w:t>For fusiform aneurysms, which are</w:t>
      </w:r>
      <w:r w:rsidR="003F1024">
        <w:rPr>
          <w:rFonts w:ascii="Arial" w:hAnsi="Arial" w:cs="Arial"/>
          <w:sz w:val="24"/>
          <w:szCs w:val="24"/>
        </w:rPr>
        <w:t xml:space="preserve"> located</w:t>
      </w:r>
      <w:r w:rsidRPr="00EB056A">
        <w:rPr>
          <w:rFonts w:ascii="Arial" w:hAnsi="Arial" w:cs="Arial"/>
          <w:sz w:val="24"/>
          <w:szCs w:val="24"/>
        </w:rPr>
        <w:t xml:space="preserve"> at bifurcations but are in the main artery or vein</w:t>
      </w:r>
      <w:r w:rsidR="003F1024">
        <w:rPr>
          <w:rFonts w:ascii="Arial" w:hAnsi="Arial" w:cs="Arial"/>
          <w:sz w:val="24"/>
          <w:szCs w:val="24"/>
        </w:rPr>
        <w:t xml:space="preserve"> and thus,</w:t>
      </w:r>
      <w:r w:rsidRPr="00EB056A">
        <w:rPr>
          <w:rFonts w:ascii="Arial" w:hAnsi="Arial" w:cs="Arial"/>
          <w:sz w:val="24"/>
          <w:szCs w:val="24"/>
        </w:rPr>
        <w:t xml:space="preserve"> cannot be treated with</w:t>
      </w:r>
      <w:r w:rsidR="0073124C">
        <w:rPr>
          <w:rFonts w:ascii="Arial" w:hAnsi="Arial" w:cs="Arial"/>
          <w:sz w:val="24"/>
          <w:szCs w:val="24"/>
        </w:rPr>
        <w:t xml:space="preserve"> the</w:t>
      </w:r>
      <w:r w:rsidRPr="00EB056A">
        <w:rPr>
          <w:rFonts w:ascii="Arial" w:hAnsi="Arial" w:cs="Arial"/>
          <w:sz w:val="24"/>
          <w:szCs w:val="24"/>
        </w:rPr>
        <w:t xml:space="preserve"> Y stenting technique, flow diverter stents</w:t>
      </w:r>
      <w:r w:rsidR="00A65E93" w:rsidRPr="00EB056A">
        <w:rPr>
          <w:rFonts w:ascii="Arial" w:hAnsi="Arial" w:cs="Arial"/>
          <w:sz w:val="24"/>
          <w:szCs w:val="24"/>
        </w:rPr>
        <w:t xml:space="preserve"> (</w:t>
      </w:r>
      <w:r w:rsidR="00D75F76" w:rsidRPr="00D03411">
        <w:rPr>
          <w:rFonts w:ascii="Arial" w:hAnsi="Arial" w:cs="Arial"/>
          <w:sz w:val="24"/>
          <w:szCs w:val="24"/>
        </w:rPr>
        <w:fldChar w:fldCharType="begin"/>
      </w:r>
      <w:r w:rsidR="00D75F76" w:rsidRPr="00BE7B18">
        <w:rPr>
          <w:rFonts w:ascii="Arial" w:hAnsi="Arial" w:cs="Arial"/>
          <w:sz w:val="24"/>
          <w:szCs w:val="24"/>
        </w:rPr>
        <w:instrText xml:space="preserve"> REF _Ref102292127 \h </w:instrText>
      </w:r>
      <w:r w:rsidR="00706400" w:rsidRPr="001E3298">
        <w:rPr>
          <w:rFonts w:ascii="Arial" w:hAnsi="Arial" w:cs="Arial"/>
          <w:sz w:val="24"/>
          <w:szCs w:val="24"/>
        </w:rPr>
        <w:instrText xml:space="preserve"> \* MERGEFORMAT </w:instrText>
      </w:r>
      <w:r w:rsidR="00D75F76" w:rsidRPr="00D03411">
        <w:rPr>
          <w:rFonts w:ascii="Arial" w:hAnsi="Arial" w:cs="Arial"/>
          <w:sz w:val="24"/>
          <w:szCs w:val="24"/>
        </w:rPr>
      </w:r>
      <w:r w:rsidR="00D75F76" w:rsidRPr="00D03411">
        <w:rPr>
          <w:rFonts w:ascii="Arial" w:hAnsi="Arial" w:cs="Arial"/>
          <w:sz w:val="24"/>
          <w:szCs w:val="24"/>
        </w:rPr>
        <w:fldChar w:fldCharType="separate"/>
      </w:r>
      <w:r w:rsidR="005C4791" w:rsidRPr="005C4791">
        <w:rPr>
          <w:rFonts w:ascii="Arial" w:hAnsi="Arial" w:cs="Arial"/>
          <w:sz w:val="24"/>
          <w:szCs w:val="24"/>
        </w:rPr>
        <w:t xml:space="preserve">Figure </w:t>
      </w:r>
      <w:r w:rsidR="005C4791" w:rsidRPr="005C4791">
        <w:rPr>
          <w:rFonts w:ascii="Arial" w:hAnsi="Arial" w:cs="Arial"/>
          <w:i/>
          <w:iCs/>
          <w:noProof/>
          <w:sz w:val="24"/>
          <w:szCs w:val="24"/>
        </w:rPr>
        <w:t>7</w:t>
      </w:r>
      <w:r w:rsidR="00D75F76" w:rsidRPr="00D03411">
        <w:rPr>
          <w:rFonts w:ascii="Arial" w:hAnsi="Arial" w:cs="Arial"/>
          <w:sz w:val="24"/>
          <w:szCs w:val="24"/>
        </w:rPr>
        <w:fldChar w:fldCharType="end"/>
      </w:r>
      <w:r w:rsidR="00A65E93" w:rsidRPr="00EB056A">
        <w:rPr>
          <w:rFonts w:ascii="Arial" w:hAnsi="Arial" w:cs="Arial"/>
          <w:sz w:val="24"/>
          <w:szCs w:val="24"/>
        </w:rPr>
        <w:t>E)</w:t>
      </w:r>
      <w:r w:rsidRPr="00EB056A">
        <w:rPr>
          <w:rFonts w:ascii="Arial" w:hAnsi="Arial" w:cs="Arial"/>
          <w:sz w:val="24"/>
          <w:szCs w:val="24"/>
        </w:rPr>
        <w:t xml:space="preserve"> are </w:t>
      </w:r>
      <w:r w:rsidR="003F1024">
        <w:rPr>
          <w:rFonts w:ascii="Arial" w:hAnsi="Arial" w:cs="Arial"/>
          <w:sz w:val="24"/>
          <w:szCs w:val="24"/>
        </w:rPr>
        <w:t>utilized.</w:t>
      </w:r>
      <w:r w:rsidR="003F1024" w:rsidRPr="00EB056A">
        <w:rPr>
          <w:rFonts w:ascii="Arial" w:hAnsi="Arial" w:cs="Arial"/>
          <w:sz w:val="24"/>
          <w:szCs w:val="24"/>
        </w:rPr>
        <w:t xml:space="preserve"> </w:t>
      </w:r>
      <w:r w:rsidR="003F1024">
        <w:rPr>
          <w:rFonts w:ascii="Arial" w:hAnsi="Arial" w:cs="Arial"/>
          <w:sz w:val="24"/>
          <w:szCs w:val="24"/>
        </w:rPr>
        <w:t>Flow diverter</w:t>
      </w:r>
      <w:r w:rsidRPr="00EB056A">
        <w:rPr>
          <w:rFonts w:ascii="Arial" w:hAnsi="Arial" w:cs="Arial"/>
          <w:sz w:val="24"/>
          <w:szCs w:val="24"/>
        </w:rPr>
        <w:t xml:space="preserve"> focus and direct the blood flow in a straight line, while reinforcing the vessel wall</w:t>
      </w:r>
      <w:r w:rsidRPr="00EB056A">
        <w:rPr>
          <w:rFonts w:ascii="Arial" w:hAnsi="Arial" w:cs="Arial"/>
          <w:sz w:val="24"/>
          <w:szCs w:val="24"/>
        </w:rPr>
        <w:fldChar w:fldCharType="begin"/>
      </w:r>
      <w:r w:rsidR="005B4F59">
        <w:rPr>
          <w:rFonts w:ascii="Arial" w:hAnsi="Arial" w:cs="Arial"/>
          <w:sz w:val="24"/>
          <w:szCs w:val="24"/>
        </w:rPr>
        <w:instrText xml:space="preserve"> ADDIN ZOTERO_ITEM CSL_CITATION {"citationID":"2zYrh68Y","properties":{"formattedCitation":"\\super 25\\nosupersub{}","plainCitation":"25","noteIndex":0},"citationItems":[{"id":45,"uris":["http://zotero.org/users/6508478/items/MX5VEDG7"],"itemData":{"id":45,"type":"article-journal","abstract":"Intracranial aneurysm is a leading cause of stroke. Its treatment has evolved over the past 2 decades. This review summarizes the treatment strategies for intracranial aneurysms from 3 different perspectives: open surgery approach, transluminal treatment approach, and new technologies being used or trialed. We introduce most of the available treatment techniques in detail, including contralateral clipping, wrapping and clipping, double catheters assisting coiling and waffle-cone technique, and so on. Data from major trials such as Analysis of Treatment by Endovascular approach of Non-ruptured Aneurysms (ATENA), Internal Subarachnoid Trial (ISAT), Clinical and Anatomical Results in the Treatment of Ruptured Intracranial Aneurysms (CLARITY), and Barrow Ruptured Aneurysm Trial (BRAT) as well as information from other clinical reports and local experience are reviewed to suggest a clinical pathway for treating different types of intracranial aneurysms. It will be a valuable supplement to the current existing guidelines. We hope it could help assisting real-time decision-making in clinical practices and also encourage advancements in managing the disease.","container-title":"Angiology","DOI":"10.1177/0003319717700503","ISSN":"0003-3197","issue":"1","journalAbbreviation":"Angiology","language":"en","page":"17-30","source":"SAGE Journals","title":"Current Treatment Strategies for Intracranial Aneurysms: An Overview","title-short":"Current Treatment Strategies for Intracranial Aneurysms","volume":"69","author":[{"family":"Zhao","given":"Junjie"},{"family":"Lin","given":"Hao"},{"family":"Summers","given":"Richard"},{"family":"Yang","given":"Mingmin"},{"family":"Cousins","given":"Brian G."},{"family":"Tsui","given":"Janice"}],"issued":{"date-parts":[["2018",1,1]]}}}],"schema":"https://github.com/citation-style-language/schema/raw/master/csl-citation.json"} </w:instrText>
      </w:r>
      <w:r w:rsidRPr="00EB056A">
        <w:rPr>
          <w:rFonts w:ascii="Arial" w:hAnsi="Arial" w:cs="Arial"/>
          <w:sz w:val="24"/>
          <w:szCs w:val="24"/>
        </w:rPr>
        <w:fldChar w:fldCharType="separate"/>
      </w:r>
      <w:r w:rsidR="00766016" w:rsidRPr="00766016">
        <w:rPr>
          <w:rFonts w:ascii="Arial" w:hAnsi="Arial" w:cs="Arial"/>
          <w:sz w:val="24"/>
          <w:szCs w:val="24"/>
          <w:vertAlign w:val="superscript"/>
        </w:rPr>
        <w:t>25</w:t>
      </w:r>
      <w:r w:rsidRPr="00EB056A">
        <w:rPr>
          <w:rFonts w:ascii="Arial" w:hAnsi="Arial" w:cs="Arial"/>
          <w:sz w:val="24"/>
          <w:szCs w:val="24"/>
        </w:rPr>
        <w:fldChar w:fldCharType="end"/>
      </w:r>
      <w:r w:rsidRPr="00EB056A">
        <w:rPr>
          <w:rFonts w:ascii="Arial" w:hAnsi="Arial" w:cs="Arial"/>
          <w:sz w:val="24"/>
          <w:szCs w:val="24"/>
        </w:rPr>
        <w:t>.</w:t>
      </w:r>
      <w:r w:rsidR="00940DDD" w:rsidRPr="00EB056A">
        <w:rPr>
          <w:rFonts w:ascii="Arial" w:hAnsi="Arial" w:cs="Arial"/>
          <w:sz w:val="24"/>
          <w:szCs w:val="24"/>
        </w:rPr>
        <w:t xml:space="preserve"> </w:t>
      </w:r>
      <w:r w:rsidR="00764831" w:rsidRPr="00EB056A">
        <w:rPr>
          <w:rFonts w:ascii="Arial" w:hAnsi="Arial" w:cs="Arial"/>
          <w:sz w:val="24"/>
          <w:szCs w:val="24"/>
        </w:rPr>
        <w:t>Covered stents (</w:t>
      </w:r>
      <w:r w:rsidR="00D75F76" w:rsidRPr="00D03411">
        <w:rPr>
          <w:rFonts w:ascii="Arial" w:hAnsi="Arial" w:cs="Arial"/>
          <w:sz w:val="24"/>
          <w:szCs w:val="24"/>
        </w:rPr>
        <w:fldChar w:fldCharType="begin"/>
      </w:r>
      <w:r w:rsidR="00D75F76" w:rsidRPr="00706400">
        <w:rPr>
          <w:rFonts w:ascii="Arial" w:hAnsi="Arial" w:cs="Arial"/>
          <w:sz w:val="24"/>
          <w:szCs w:val="24"/>
        </w:rPr>
        <w:instrText xml:space="preserve"> REF _Ref102292127 \h </w:instrText>
      </w:r>
      <w:r w:rsidR="00706400" w:rsidRPr="001E3298">
        <w:rPr>
          <w:rFonts w:ascii="Arial" w:hAnsi="Arial" w:cs="Arial"/>
          <w:sz w:val="24"/>
          <w:szCs w:val="24"/>
        </w:rPr>
        <w:instrText xml:space="preserve"> \* MERGEFORMAT </w:instrText>
      </w:r>
      <w:r w:rsidR="00D75F76" w:rsidRPr="00D03411">
        <w:rPr>
          <w:rFonts w:ascii="Arial" w:hAnsi="Arial" w:cs="Arial"/>
          <w:sz w:val="24"/>
          <w:szCs w:val="24"/>
        </w:rPr>
      </w:r>
      <w:r w:rsidR="00D75F76" w:rsidRPr="00D03411">
        <w:rPr>
          <w:rFonts w:ascii="Arial" w:hAnsi="Arial" w:cs="Arial"/>
          <w:sz w:val="24"/>
          <w:szCs w:val="24"/>
        </w:rPr>
        <w:fldChar w:fldCharType="separate"/>
      </w:r>
      <w:r w:rsidR="005C4791" w:rsidRPr="005C4791">
        <w:rPr>
          <w:rFonts w:ascii="Arial" w:hAnsi="Arial" w:cs="Arial"/>
          <w:sz w:val="24"/>
          <w:szCs w:val="24"/>
        </w:rPr>
        <w:t xml:space="preserve">Figure </w:t>
      </w:r>
      <w:r w:rsidR="005C4791" w:rsidRPr="005C4791">
        <w:rPr>
          <w:rFonts w:ascii="Arial" w:hAnsi="Arial" w:cs="Arial"/>
          <w:i/>
          <w:iCs/>
          <w:noProof/>
          <w:sz w:val="24"/>
          <w:szCs w:val="24"/>
        </w:rPr>
        <w:t>7</w:t>
      </w:r>
      <w:r w:rsidR="00D75F76" w:rsidRPr="00D03411">
        <w:rPr>
          <w:rFonts w:ascii="Arial" w:hAnsi="Arial" w:cs="Arial"/>
          <w:sz w:val="24"/>
          <w:szCs w:val="24"/>
        </w:rPr>
        <w:fldChar w:fldCharType="end"/>
      </w:r>
      <w:r w:rsidR="00764831" w:rsidRPr="00EB056A">
        <w:rPr>
          <w:rFonts w:ascii="Arial" w:hAnsi="Arial" w:cs="Arial"/>
          <w:sz w:val="24"/>
          <w:szCs w:val="24"/>
        </w:rPr>
        <w:t>F) are a subgenre of flow diverter stents that are covered by a layer of expendable polymer as polyurethane</w:t>
      </w:r>
      <w:r w:rsidR="00764831" w:rsidRPr="00EB056A">
        <w:rPr>
          <w:rFonts w:ascii="Arial" w:hAnsi="Arial" w:cs="Arial"/>
          <w:sz w:val="24"/>
          <w:szCs w:val="24"/>
        </w:rPr>
        <w:fldChar w:fldCharType="begin"/>
      </w:r>
      <w:r w:rsidR="005B4F59">
        <w:rPr>
          <w:rFonts w:ascii="Arial" w:hAnsi="Arial" w:cs="Arial"/>
          <w:sz w:val="24"/>
          <w:szCs w:val="24"/>
        </w:rPr>
        <w:instrText xml:space="preserve"> ADDIN ZOTERO_ITEM CSL_CITATION {"citationID":"n808ie1o","properties":{"formattedCitation":"\\super 37\\nosupersub{}","plainCitation":"37","noteIndex":0},"citationItems":[{"id":644,"uris":["http://zotero.org/users/6508478/items/V7SRZAZX"],"itemData":{"id":644,"type":"webpage","title":"PK Papyrus","URL":"https://pkpapyrus.com/brochure/","accessed":{"date-parts":[["2021",11,16]]}}}],"schema":"https://github.com/citation-style-language/schema/raw/master/csl-citation.json"} </w:instrText>
      </w:r>
      <w:r w:rsidR="00764831" w:rsidRPr="00EB056A">
        <w:rPr>
          <w:rFonts w:ascii="Arial" w:hAnsi="Arial" w:cs="Arial"/>
          <w:sz w:val="24"/>
          <w:szCs w:val="24"/>
        </w:rPr>
        <w:fldChar w:fldCharType="separate"/>
      </w:r>
      <w:r w:rsidR="00766016" w:rsidRPr="00766016">
        <w:rPr>
          <w:rFonts w:ascii="Arial" w:hAnsi="Arial" w:cs="Arial"/>
          <w:sz w:val="24"/>
          <w:szCs w:val="24"/>
          <w:vertAlign w:val="superscript"/>
        </w:rPr>
        <w:t>37</w:t>
      </w:r>
      <w:r w:rsidR="00764831" w:rsidRPr="00EB056A">
        <w:rPr>
          <w:rFonts w:ascii="Arial" w:hAnsi="Arial" w:cs="Arial"/>
          <w:sz w:val="24"/>
          <w:szCs w:val="24"/>
        </w:rPr>
        <w:fldChar w:fldCharType="end"/>
      </w:r>
      <w:r w:rsidR="00764831" w:rsidRPr="00EB056A">
        <w:rPr>
          <w:rFonts w:ascii="Arial" w:hAnsi="Arial" w:cs="Arial"/>
          <w:sz w:val="24"/>
          <w:szCs w:val="24"/>
        </w:rPr>
        <w:t xml:space="preserve"> or expanded polytetrafluoroethylene</w:t>
      </w:r>
      <w:r w:rsidR="00764831" w:rsidRPr="00EB056A">
        <w:rPr>
          <w:rFonts w:ascii="Arial" w:hAnsi="Arial" w:cs="Arial"/>
          <w:sz w:val="24"/>
          <w:szCs w:val="24"/>
        </w:rPr>
        <w:fldChar w:fldCharType="begin"/>
      </w:r>
      <w:r w:rsidR="005B4F59">
        <w:rPr>
          <w:rFonts w:ascii="Arial" w:hAnsi="Arial" w:cs="Arial"/>
          <w:sz w:val="24"/>
          <w:szCs w:val="24"/>
        </w:rPr>
        <w:instrText xml:space="preserve"> ADDIN ZOTERO_ITEM CSL_CITATION {"citationID":"mjKXCLLb","properties":{"formattedCitation":"\\super 38\\nosupersub{}","plainCitation":"38","noteIndex":0},"citationItems":[{"id":643,"uris":["http://zotero.org/users/6508478/items/KZL5U3QL"],"itemData":{"id":643,"type":"article-journal","abstract":"An expandable, flexible, metal (nitinol) tube-shaped device (stent) that is covered with a material called expanded polytetrafluoroethylene (ePTFE).","container-title":"FDA","language":"en","source":"www.fda.gov","title":"COVERA™ Vascular Covered Stent - P170042/S002","URL":"https://www.fda.gov/medical-devices/recently-approved-devices/coveratm-vascular-covered-stent-p170042s002","author":[{"family":"Health","given":"Center for Devices and Radiological"}],"accessed":{"date-parts":[["2021",11,16]]},"issued":{"date-parts":[["2019",12,20]]}}}],"schema":"https://github.com/citation-style-language/schema/raw/master/csl-citation.json"} </w:instrText>
      </w:r>
      <w:r w:rsidR="00764831" w:rsidRPr="00EB056A">
        <w:rPr>
          <w:rFonts w:ascii="Arial" w:hAnsi="Arial" w:cs="Arial"/>
          <w:sz w:val="24"/>
          <w:szCs w:val="24"/>
        </w:rPr>
        <w:fldChar w:fldCharType="separate"/>
      </w:r>
      <w:r w:rsidR="00766016" w:rsidRPr="00766016">
        <w:rPr>
          <w:rFonts w:ascii="Arial" w:hAnsi="Arial" w:cs="Arial"/>
          <w:sz w:val="24"/>
          <w:szCs w:val="24"/>
          <w:vertAlign w:val="superscript"/>
        </w:rPr>
        <w:t>38</w:t>
      </w:r>
      <w:r w:rsidR="00764831" w:rsidRPr="00EB056A">
        <w:rPr>
          <w:rFonts w:ascii="Arial" w:hAnsi="Arial" w:cs="Arial"/>
          <w:sz w:val="24"/>
          <w:szCs w:val="24"/>
        </w:rPr>
        <w:fldChar w:fldCharType="end"/>
      </w:r>
      <w:r w:rsidR="00764831" w:rsidRPr="00EB056A">
        <w:rPr>
          <w:rFonts w:ascii="Arial" w:hAnsi="Arial" w:cs="Arial"/>
          <w:sz w:val="24"/>
          <w:szCs w:val="24"/>
        </w:rPr>
        <w:t>.</w:t>
      </w:r>
      <w:r w:rsidR="00C55F5F">
        <w:rPr>
          <w:rFonts w:ascii="Arial" w:hAnsi="Arial" w:cs="Arial"/>
          <w:sz w:val="24"/>
          <w:szCs w:val="24"/>
        </w:rPr>
        <w:t xml:space="preserve"> This polymer layer</w:t>
      </w:r>
      <w:r w:rsidR="003F3E13">
        <w:rPr>
          <w:rFonts w:ascii="Arial" w:hAnsi="Arial" w:cs="Arial"/>
          <w:sz w:val="24"/>
          <w:szCs w:val="24"/>
        </w:rPr>
        <w:t xml:space="preserve"> completely prevent</w:t>
      </w:r>
      <w:r w:rsidR="00097EC0">
        <w:rPr>
          <w:rFonts w:ascii="Arial" w:hAnsi="Arial" w:cs="Arial"/>
          <w:sz w:val="24"/>
          <w:szCs w:val="24"/>
        </w:rPr>
        <w:t>s</w:t>
      </w:r>
      <w:r w:rsidR="003F3E13">
        <w:rPr>
          <w:rFonts w:ascii="Arial" w:hAnsi="Arial" w:cs="Arial"/>
          <w:sz w:val="24"/>
          <w:szCs w:val="24"/>
        </w:rPr>
        <w:t xml:space="preserve"> the blood from flowing in the aneurysm and</w:t>
      </w:r>
      <w:r w:rsidR="004F0EE5">
        <w:rPr>
          <w:rFonts w:ascii="Arial" w:hAnsi="Arial" w:cs="Arial"/>
          <w:sz w:val="24"/>
          <w:szCs w:val="24"/>
        </w:rPr>
        <w:t>, compared to</w:t>
      </w:r>
      <w:r w:rsidR="00D97D6D">
        <w:rPr>
          <w:rFonts w:ascii="Arial" w:hAnsi="Arial" w:cs="Arial"/>
          <w:sz w:val="24"/>
          <w:szCs w:val="24"/>
        </w:rPr>
        <w:t xml:space="preserve"> the uncovered network of wires of</w:t>
      </w:r>
      <w:r w:rsidR="004F0EE5">
        <w:rPr>
          <w:rFonts w:ascii="Arial" w:hAnsi="Arial" w:cs="Arial"/>
          <w:sz w:val="24"/>
          <w:szCs w:val="24"/>
        </w:rPr>
        <w:t xml:space="preserve"> flow diverter stents, </w:t>
      </w:r>
      <w:r w:rsidR="003F3E13">
        <w:rPr>
          <w:rFonts w:ascii="Arial" w:hAnsi="Arial" w:cs="Arial"/>
          <w:sz w:val="24"/>
          <w:szCs w:val="24"/>
        </w:rPr>
        <w:t>reduce</w:t>
      </w:r>
      <w:r w:rsidR="00D97D6D">
        <w:rPr>
          <w:rFonts w:ascii="Arial" w:hAnsi="Arial" w:cs="Arial"/>
          <w:sz w:val="24"/>
          <w:szCs w:val="24"/>
        </w:rPr>
        <w:t>s</w:t>
      </w:r>
      <w:r w:rsidR="003F3E13">
        <w:rPr>
          <w:rFonts w:ascii="Arial" w:hAnsi="Arial" w:cs="Arial"/>
          <w:sz w:val="24"/>
          <w:szCs w:val="24"/>
        </w:rPr>
        <w:t xml:space="preserve"> the risk of blood clot formation</w:t>
      </w:r>
      <w:r w:rsidR="009A1DB8">
        <w:rPr>
          <w:rFonts w:ascii="Arial" w:hAnsi="Arial" w:cs="Arial"/>
          <w:sz w:val="24"/>
          <w:szCs w:val="24"/>
        </w:rPr>
        <w:fldChar w:fldCharType="begin"/>
      </w:r>
      <w:r w:rsidR="005B4F59">
        <w:rPr>
          <w:rFonts w:ascii="Arial" w:hAnsi="Arial" w:cs="Arial"/>
          <w:sz w:val="24"/>
          <w:szCs w:val="24"/>
        </w:rPr>
        <w:instrText xml:space="preserve"> ADDIN ZOTERO_ITEM CSL_CITATION {"citationID":"IWTVzThW","properties":{"formattedCitation":"\\super 25\\nosupersub{}","plainCitation":"25","noteIndex":0},"citationItems":[{"id":45,"uris":["http://zotero.org/users/6508478/items/MX5VEDG7"],"itemData":{"id":45,"type":"article-journal","abstract":"Intracranial aneurysm is a leading cause of stroke. Its treatment has evolved over the past 2 decades. This review summarizes the treatment strategies for intracranial aneurysms from 3 different perspectives: open surgery approach, transluminal treatment approach, and new technologies being used or trialed. We introduce most of the available treatment techniques in detail, including contralateral clipping, wrapping and clipping, double catheters assisting coiling and waffle-cone technique, and so on. Data from major trials such as Analysis of Treatment by Endovascular approach of Non-ruptured Aneurysms (ATENA), Internal Subarachnoid Trial (ISAT), Clinical and Anatomical Results in the Treatment of Ruptured Intracranial Aneurysms (CLARITY), and Barrow Ruptured Aneurysm Trial (BRAT) as well as information from other clinical reports and local experience are reviewed to suggest a clinical pathway for treating different types of intracranial aneurysms. It will be a valuable supplement to the current existing guidelines. We hope it could help assisting real-time decision-making in clinical practices and also encourage advancements in managing the disease.","container-title":"Angiology","DOI":"10.1177/0003319717700503","ISSN":"0003-3197","issue":"1","journalAbbreviation":"Angiology","language":"en","page":"17-30","source":"SAGE Journals","title":"Current Treatment Strategies for Intracranial Aneurysms: An Overview","title-short":"Current Treatment Strategies for Intracranial Aneurysms","volume":"69","author":[{"family":"Zhao","given":"Junjie"},{"family":"Lin","given":"Hao"},{"family":"Summers","given":"Richard"},{"family":"Yang","given":"Mingmin"},{"family":"Cousins","given":"Brian G."},{"family":"Tsui","given":"Janice"}],"issued":{"date-parts":[["2018",1,1]]}}}],"schema":"https://github.com/citation-style-language/schema/raw/master/csl-citation.json"} </w:instrText>
      </w:r>
      <w:r w:rsidR="009A1DB8">
        <w:rPr>
          <w:rFonts w:ascii="Arial" w:hAnsi="Arial" w:cs="Arial"/>
          <w:sz w:val="24"/>
          <w:szCs w:val="24"/>
        </w:rPr>
        <w:fldChar w:fldCharType="separate"/>
      </w:r>
      <w:r w:rsidR="00766016" w:rsidRPr="00766016">
        <w:rPr>
          <w:rFonts w:ascii="Arial" w:hAnsi="Arial" w:cs="Arial"/>
          <w:sz w:val="24"/>
          <w:szCs w:val="24"/>
          <w:vertAlign w:val="superscript"/>
        </w:rPr>
        <w:t>25</w:t>
      </w:r>
      <w:r w:rsidR="009A1DB8">
        <w:rPr>
          <w:rFonts w:ascii="Arial" w:hAnsi="Arial" w:cs="Arial"/>
          <w:sz w:val="24"/>
          <w:szCs w:val="24"/>
        </w:rPr>
        <w:fldChar w:fldCharType="end"/>
      </w:r>
      <w:r w:rsidR="003F3E13">
        <w:rPr>
          <w:rFonts w:ascii="Arial" w:hAnsi="Arial" w:cs="Arial"/>
          <w:sz w:val="24"/>
          <w:szCs w:val="24"/>
        </w:rPr>
        <w:t xml:space="preserve">. </w:t>
      </w:r>
    </w:p>
    <w:p w14:paraId="5C7D9FAA" w14:textId="5F091E97" w:rsidR="007C0E22" w:rsidRDefault="00535A4D" w:rsidP="007C0E22">
      <w:pPr>
        <w:spacing w:line="480" w:lineRule="auto"/>
        <w:ind w:firstLine="720"/>
        <w:jc w:val="both"/>
        <w:rPr>
          <w:rFonts w:ascii="Arial" w:hAnsi="Arial" w:cs="Arial"/>
          <w:sz w:val="24"/>
          <w:szCs w:val="24"/>
        </w:rPr>
      </w:pPr>
      <w:r w:rsidRPr="00EB056A">
        <w:rPr>
          <w:rFonts w:ascii="Arial" w:hAnsi="Arial" w:cs="Arial"/>
          <w:sz w:val="24"/>
          <w:szCs w:val="24"/>
        </w:rPr>
        <w:t>Stent-assisted coiling allow</w:t>
      </w:r>
      <w:r w:rsidR="00B12DDC" w:rsidRPr="00EB056A">
        <w:rPr>
          <w:rFonts w:ascii="Arial" w:hAnsi="Arial" w:cs="Arial"/>
          <w:sz w:val="24"/>
          <w:szCs w:val="24"/>
        </w:rPr>
        <w:t>s</w:t>
      </w:r>
      <w:r w:rsidRPr="00EB056A">
        <w:rPr>
          <w:rFonts w:ascii="Arial" w:hAnsi="Arial" w:cs="Arial"/>
          <w:sz w:val="24"/>
          <w:szCs w:val="24"/>
        </w:rPr>
        <w:t xml:space="preserve"> </w:t>
      </w:r>
      <w:r w:rsidR="00B12DDC" w:rsidRPr="00EB056A">
        <w:rPr>
          <w:rFonts w:ascii="Arial" w:hAnsi="Arial" w:cs="Arial"/>
          <w:sz w:val="24"/>
          <w:szCs w:val="24"/>
        </w:rPr>
        <w:t xml:space="preserve">for </w:t>
      </w:r>
      <w:r w:rsidRPr="00EB056A">
        <w:rPr>
          <w:rFonts w:ascii="Arial" w:hAnsi="Arial" w:cs="Arial"/>
          <w:sz w:val="24"/>
          <w:szCs w:val="24"/>
        </w:rPr>
        <w:t>treatment</w:t>
      </w:r>
      <w:r w:rsidR="00B12DDC" w:rsidRPr="00EB056A">
        <w:rPr>
          <w:rFonts w:ascii="Arial" w:hAnsi="Arial" w:cs="Arial"/>
          <w:sz w:val="24"/>
          <w:szCs w:val="24"/>
        </w:rPr>
        <w:t xml:space="preserve"> </w:t>
      </w:r>
      <w:r w:rsidRPr="00EB056A">
        <w:rPr>
          <w:rFonts w:ascii="Arial" w:hAnsi="Arial" w:cs="Arial"/>
          <w:sz w:val="24"/>
          <w:szCs w:val="24"/>
        </w:rPr>
        <w:t>of brain aneurysms in intracranial locations</w:t>
      </w:r>
      <w:r w:rsidR="00B12DDC" w:rsidRPr="00EB056A">
        <w:rPr>
          <w:rFonts w:ascii="Arial" w:hAnsi="Arial" w:cs="Arial"/>
          <w:sz w:val="24"/>
          <w:szCs w:val="24"/>
        </w:rPr>
        <w:t xml:space="preserve"> including</w:t>
      </w:r>
      <w:r w:rsidRPr="00EB056A">
        <w:rPr>
          <w:rFonts w:ascii="Arial" w:hAnsi="Arial" w:cs="Arial"/>
          <w:sz w:val="24"/>
          <w:szCs w:val="24"/>
        </w:rPr>
        <w:t xml:space="preserve"> a</w:t>
      </w:r>
      <w:r w:rsidR="00B12DDC" w:rsidRPr="00EB056A">
        <w:rPr>
          <w:rFonts w:ascii="Arial" w:hAnsi="Arial" w:cs="Arial"/>
          <w:sz w:val="24"/>
          <w:szCs w:val="24"/>
        </w:rPr>
        <w:t>t the</w:t>
      </w:r>
      <w:r w:rsidRPr="00EB056A">
        <w:rPr>
          <w:rFonts w:ascii="Arial" w:hAnsi="Arial" w:cs="Arial"/>
          <w:sz w:val="24"/>
          <w:szCs w:val="24"/>
        </w:rPr>
        <w:t xml:space="preserve"> basilar trunk, middle cerebral arter</w:t>
      </w:r>
      <w:r w:rsidR="00B12DDC" w:rsidRPr="00EB056A">
        <w:rPr>
          <w:rFonts w:ascii="Arial" w:hAnsi="Arial" w:cs="Arial"/>
          <w:sz w:val="24"/>
          <w:szCs w:val="24"/>
        </w:rPr>
        <w:t>ies,</w:t>
      </w:r>
      <w:r w:rsidRPr="00EB056A">
        <w:rPr>
          <w:rFonts w:ascii="Arial" w:hAnsi="Arial" w:cs="Arial"/>
          <w:sz w:val="24"/>
          <w:szCs w:val="24"/>
        </w:rPr>
        <w:t xml:space="preserve"> or carotid bifurcation</w:t>
      </w:r>
      <w:r w:rsidR="00B12DDC" w:rsidRPr="00EB056A">
        <w:rPr>
          <w:rFonts w:ascii="Arial" w:hAnsi="Arial" w:cs="Arial"/>
          <w:sz w:val="24"/>
          <w:szCs w:val="24"/>
        </w:rPr>
        <w:t>s</w:t>
      </w:r>
      <w:r w:rsidR="001231BF" w:rsidRPr="00EB056A">
        <w:rPr>
          <w:rFonts w:ascii="Arial" w:hAnsi="Arial" w:cs="Arial"/>
          <w:sz w:val="24"/>
          <w:szCs w:val="24"/>
        </w:rPr>
        <w:fldChar w:fldCharType="begin"/>
      </w:r>
      <w:r w:rsidR="005B4F59">
        <w:rPr>
          <w:rFonts w:ascii="Arial" w:hAnsi="Arial" w:cs="Arial"/>
          <w:sz w:val="24"/>
          <w:szCs w:val="24"/>
        </w:rPr>
        <w:instrText xml:space="preserve"> ADDIN ZOTERO_ITEM CSL_CITATION {"citationID":"XBf8zRGV","properties":{"formattedCitation":"\\super 33\\nosupersub{}","plainCitation":"33","noteIndex":0},"citationItems":[{"id":2,"uris":["http://zotero.org/users/6508478/items/S4XP24M2"],"itemData":{"id":2,"type":"article-journal","abstract":"Introduction The LVIS stent system (LVIS and LVIS Junior) is a self-expanding, retrievable, microstent system indicated for the treatment of wide-necked cerebral aneurysms (WNAs). The present pivotal study was performed to evaluate the safety and effectiveness of this device.\nMethods The US LVIS pivotal trial was a prospective, multicenter, single-arm, interventional study conducted at 21 US centers. The study enrolled 153 adults with WNAs of the anterior and posterior circulations. The study was conducted under good clinical practices and included independent adjudication of all adverse events. The primary effectiveness endpoint was defined as successful aneurysm treatment with the LVIS System as evidenced by complete (100%) aneurysm occlusion at 12 months on conventional angiography without retreatment and without significant (≥50%) stenosis of the treated artery at 12 months as determined by an independent core laboratory. The primary safety endpoint was defined as the rate of stroke or death within 30 days, or ipsilateral stroke or neurologic death with 12 months.\nResults One hundred and fifty-three patients enrolled at 21 investigational sites underwent attempted LVIS-assisted coil embolization. The mean age was 58.3±10.5 years and the majority of the participants (110/153, 71.9%) were female. Fifty-seven aneurysms (57/153, 37.3%) arose from the anterior cerebral artery, 43 (43/153, 28.1%) from the internal carotid artery, 17 (17/153, 11.1%) from the middle cerebral artery, 27 (27/153, 17.6%) from the basilar artery, six (6/153,3.9 %) from the PCA, and two from the vertebral artery. A single aneurysm arose from the superior cerebellar artery. The mean aneurysm dome height was 6.0±2.2 mm and mean width 5.5±2.3 mm. Mean neck width was 4.2±1.4 mm. A total of 22 participants presented for re-treatment of a previously ruptured (&gt;30 days prior to treatment) target aneurysm. The primary effectiveness endpoint was observed in 70.6% (108/153) in the intent to treat population (ITT). Of the evaluable participants with follow-up 12-month angiography, 79.1 % (110/139) demonstrated complete occlusion– 92.1% (128/139) in this population demonstrated ≥95% occlusion and 95% demonstrated ≥90% occlusion (132/139). Eight participants (5.2%, 8/153) had at least one primary safety event in the ITT population.\nConclusion The LVIS stent system allows safe and highly effective coil embolization of WNAs.\nClinical registration number NCT01793792.","container-title":"Journal of NeuroInterventional Surgery","DOI":"10.1136/neurintsurg-2018-014309","ISSN":"1759-8478, 1759-8486","issue":"4","language":"en","note":"PMID: 30297543","page":"357-361","source":"jnis.bmj.com","title":"The safety and effectiveness of the LVIS stent system for the treatment of wide-necked cerebral aneurysms: final results of the pivotal US LVIS trial","title-short":"The safety and effectiveness of the LVIS stent system for the treatment of wide-necked cerebral aneurysms","volume":"11","author":[{"family":"Fiorella","given":"David"},{"family":"Boulos","given":"Alan"},{"family":"Turk","given":"Aquilla S."},{"family":"Siddiqui","given":"Adnan H."},{"family":"Arthur","given":"Adam S."},{"family":"Diaz","given":"Orlando"},{"family":"Lopes","given":"Demetrius K."}],"issued":{"date-parts":[["2019",4,1]]}}}],"schema":"https://github.com/citation-style-language/schema/raw/master/csl-citation.json"} </w:instrText>
      </w:r>
      <w:r w:rsidR="001231BF" w:rsidRPr="00EB056A">
        <w:rPr>
          <w:rFonts w:ascii="Arial" w:hAnsi="Arial" w:cs="Arial"/>
          <w:sz w:val="24"/>
          <w:szCs w:val="24"/>
        </w:rPr>
        <w:fldChar w:fldCharType="separate"/>
      </w:r>
      <w:r w:rsidR="00766016" w:rsidRPr="00766016">
        <w:rPr>
          <w:rFonts w:ascii="Arial" w:hAnsi="Arial" w:cs="Arial"/>
          <w:sz w:val="24"/>
          <w:szCs w:val="24"/>
          <w:vertAlign w:val="superscript"/>
        </w:rPr>
        <w:t>33</w:t>
      </w:r>
      <w:r w:rsidR="001231BF" w:rsidRPr="00EB056A">
        <w:rPr>
          <w:rFonts w:ascii="Arial" w:hAnsi="Arial" w:cs="Arial"/>
          <w:sz w:val="24"/>
          <w:szCs w:val="24"/>
        </w:rPr>
        <w:fldChar w:fldCharType="end"/>
      </w:r>
      <w:r w:rsidR="001231BF" w:rsidRPr="00EB056A">
        <w:rPr>
          <w:rFonts w:ascii="Arial" w:hAnsi="Arial" w:cs="Arial"/>
          <w:sz w:val="24"/>
          <w:szCs w:val="24"/>
        </w:rPr>
        <w:t>.</w:t>
      </w:r>
      <w:r w:rsidRPr="00EB056A">
        <w:rPr>
          <w:rFonts w:ascii="Arial" w:hAnsi="Arial" w:cs="Arial"/>
          <w:sz w:val="24"/>
          <w:szCs w:val="24"/>
        </w:rPr>
        <w:t xml:space="preserve"> </w:t>
      </w:r>
      <w:r w:rsidR="009B5548" w:rsidRPr="00EB056A">
        <w:rPr>
          <w:rFonts w:ascii="Arial" w:hAnsi="Arial" w:cs="Arial"/>
          <w:sz w:val="24"/>
          <w:szCs w:val="24"/>
        </w:rPr>
        <w:t xml:space="preserve">One of the most </w:t>
      </w:r>
      <w:r w:rsidR="00B12DDC" w:rsidRPr="00EB056A">
        <w:rPr>
          <w:rFonts w:ascii="Arial" w:hAnsi="Arial" w:cs="Arial"/>
          <w:sz w:val="24"/>
          <w:szCs w:val="24"/>
        </w:rPr>
        <w:t xml:space="preserve">difficult locations in which a </w:t>
      </w:r>
      <w:r w:rsidR="009B5548" w:rsidRPr="00EB056A">
        <w:rPr>
          <w:rFonts w:ascii="Arial" w:hAnsi="Arial" w:cs="Arial"/>
          <w:sz w:val="24"/>
          <w:szCs w:val="24"/>
        </w:rPr>
        <w:t>stent can</w:t>
      </w:r>
      <w:r w:rsidR="00B12DDC" w:rsidRPr="00EB056A">
        <w:rPr>
          <w:rFonts w:ascii="Arial" w:hAnsi="Arial" w:cs="Arial"/>
          <w:sz w:val="24"/>
          <w:szCs w:val="24"/>
        </w:rPr>
        <w:t xml:space="preserve"> aid in the treatment of a brain</w:t>
      </w:r>
      <w:r w:rsidR="009B5548" w:rsidRPr="00EB056A">
        <w:rPr>
          <w:rFonts w:ascii="Arial" w:hAnsi="Arial" w:cs="Arial"/>
          <w:sz w:val="24"/>
          <w:szCs w:val="24"/>
        </w:rPr>
        <w:t xml:space="preserve"> aneurysm is around the circle of Willis</w:t>
      </w:r>
      <w:r w:rsidR="00DB2906" w:rsidRPr="00EB056A">
        <w:rPr>
          <w:rFonts w:ascii="Arial" w:hAnsi="Arial" w:cs="Arial"/>
          <w:sz w:val="24"/>
          <w:szCs w:val="24"/>
        </w:rPr>
        <w:t xml:space="preserve">, which </w:t>
      </w:r>
      <w:r w:rsidR="00A56C5C" w:rsidRPr="00EB056A">
        <w:rPr>
          <w:rFonts w:ascii="Arial" w:hAnsi="Arial" w:cs="Arial"/>
          <w:sz w:val="24"/>
          <w:szCs w:val="24"/>
        </w:rPr>
        <w:t>is a strategic point of brain blood circulation</w:t>
      </w:r>
      <w:r w:rsidR="00BE7B18">
        <w:rPr>
          <w:rFonts w:ascii="Arial" w:hAnsi="Arial" w:cs="Arial"/>
          <w:sz w:val="24"/>
          <w:szCs w:val="24"/>
        </w:rPr>
        <w:t xml:space="preserve"> </w:t>
      </w:r>
      <w:r w:rsidR="00097EC0">
        <w:rPr>
          <w:rFonts w:ascii="Arial" w:hAnsi="Arial" w:cs="Arial"/>
          <w:sz w:val="24"/>
          <w:szCs w:val="24"/>
        </w:rPr>
        <w:t xml:space="preserve">as </w:t>
      </w:r>
      <w:r w:rsidR="00BE7B18">
        <w:rPr>
          <w:rFonts w:ascii="Arial" w:hAnsi="Arial" w:cs="Arial"/>
          <w:sz w:val="24"/>
          <w:szCs w:val="24"/>
        </w:rPr>
        <w:t>four of the main brain arteries are joined there</w:t>
      </w:r>
      <w:r w:rsidR="00BE7B18">
        <w:rPr>
          <w:rFonts w:ascii="Arial" w:hAnsi="Arial" w:cs="Arial"/>
          <w:sz w:val="24"/>
          <w:szCs w:val="24"/>
        </w:rPr>
        <w:fldChar w:fldCharType="begin"/>
      </w:r>
      <w:r w:rsidR="005B4F59">
        <w:rPr>
          <w:rFonts w:ascii="Arial" w:hAnsi="Arial" w:cs="Arial"/>
          <w:sz w:val="24"/>
          <w:szCs w:val="24"/>
        </w:rPr>
        <w:instrText xml:space="preserve"> ADDIN ZOTERO_ITEM CSL_CITATION {"citationID":"mFVWpfo5","properties":{"formattedCitation":"\\super 39\\nosupersub{}","plainCitation":"39","noteIndex":0},"citationItems":[{"id":47,"uris":["http://zotero.org/users/6508478/items/2XZA8MVG"],"itemData":{"id":47,"type":"article-journal","abstract":"The entire blood supply of the brain and spinal cord depends on two sets of branches from the dorsal aorta. The vertebral arteries arise from the subclavian arteries, and the internal carotid arteries are branches of the common carotid arteries. The vertebral arteries and the ten medullary arteries that arise from segmental branches of the aorta provide the primary vascularization of the spinal cord. These medullary arteries join to form the anterior and posterior spinal arteries (Figure 1.19). If any of the medullary arteries are obstructed or damaged (during abdominal surgery, for example), the blood supply to specific parts of the spinal cord may be compromised. The pattern of resulting neurological damage differs according to whether the supply to the posterior or anterior artery is interrupted. As might be expected from the arrangement of ascending and descending neural pathways in the spinal cord, loss of the posterior supply generally leads to loss of sensory functions, whereas loss of the anterior supply more often causes motor deficits.Figure 1.19Blood supply of the spinal cord. (A) View of the ventral (anterior) surface of the spinal cord. At the level of the medulla, the vertebral arteries give off branches that merge to form the anterior spinal artery. Approximately 10 to 12 segmental arteries (which arise from various branches of the aorta) join the anterior spinal artery along its course. These segmental arteries are known as medullary arteries. (B) The vertebral arteries (or the posterior inferior cerebellar artery) give rise to paired posterior spinal arteries that run along the dorsal (posterior) surface of the spinal cord. (C) Cross section through the spinal cord, illustrating the distribution of the anterior and posterior spinal arteries. The anterior spinal arteries give rise to numerous sulcal branches that supply the anterior two-thirds of the spinal cord. The posterior spinal arteries supply much of the dorsal horn and the dorsal columns. A network of vessels known as the vasocorona connects these two sources of supply and sends branches into the white matter around the margin of the spinal cord.","container-title":"Neuroscience. 2nd edition","language":"en","source":"www.ncbi.nlm.nih.gov","title":"The Blood Supply of the Brain and Spinal Cord","URL":"https://www.ncbi.nlm.nih.gov/books/NBK11042/","author":[{"family":"Purves","given":"Dale"},{"family":"Augustine","given":"George J."},{"family":"Fitzpatrick","given":"David"},{"family":"Katz","given":"Lawrence C."},{"family":"LaMantia","given":"Anthony-Samuel"},{"family":"McNamara","given":"James O."},{"family":"Williams","given":"S. Mark"}],"accessed":{"date-parts":[["2021",5,21]]},"issued":{"date-parts":[["2001"]]}}}],"schema":"https://github.com/citation-style-language/schema/raw/master/csl-citation.json"} </w:instrText>
      </w:r>
      <w:r w:rsidR="00BE7B18">
        <w:rPr>
          <w:rFonts w:ascii="Arial" w:hAnsi="Arial" w:cs="Arial"/>
          <w:sz w:val="24"/>
          <w:szCs w:val="24"/>
        </w:rPr>
        <w:fldChar w:fldCharType="separate"/>
      </w:r>
      <w:r w:rsidR="00766016" w:rsidRPr="00766016">
        <w:rPr>
          <w:rFonts w:ascii="Arial" w:hAnsi="Arial" w:cs="Arial"/>
          <w:sz w:val="24"/>
          <w:szCs w:val="24"/>
          <w:vertAlign w:val="superscript"/>
        </w:rPr>
        <w:t>39</w:t>
      </w:r>
      <w:r w:rsidR="00BE7B18">
        <w:rPr>
          <w:rFonts w:ascii="Arial" w:hAnsi="Arial" w:cs="Arial"/>
          <w:sz w:val="24"/>
          <w:szCs w:val="24"/>
        </w:rPr>
        <w:fldChar w:fldCharType="end"/>
      </w:r>
      <w:r w:rsidR="00DB2906" w:rsidRPr="00EB056A">
        <w:rPr>
          <w:rFonts w:ascii="Arial" w:hAnsi="Arial" w:cs="Arial"/>
          <w:sz w:val="24"/>
          <w:szCs w:val="24"/>
        </w:rPr>
        <w:t>.</w:t>
      </w:r>
      <w:r w:rsidR="00A56C5C" w:rsidRPr="00EB056A">
        <w:rPr>
          <w:rFonts w:ascii="Arial" w:hAnsi="Arial" w:cs="Arial"/>
          <w:sz w:val="24"/>
          <w:szCs w:val="24"/>
        </w:rPr>
        <w:t xml:space="preserve"> </w:t>
      </w:r>
      <w:r w:rsidR="00DB2906" w:rsidRPr="00EB056A">
        <w:rPr>
          <w:rFonts w:ascii="Arial" w:hAnsi="Arial" w:cs="Arial"/>
          <w:sz w:val="24"/>
          <w:szCs w:val="24"/>
        </w:rPr>
        <w:t>R</w:t>
      </w:r>
      <w:r w:rsidR="00A56C5C" w:rsidRPr="00EB056A">
        <w:rPr>
          <w:rFonts w:ascii="Arial" w:hAnsi="Arial" w:cs="Arial"/>
          <w:sz w:val="24"/>
          <w:szCs w:val="24"/>
        </w:rPr>
        <w:t>epairing</w:t>
      </w:r>
      <w:r w:rsidR="00DB2906" w:rsidRPr="00EB056A">
        <w:rPr>
          <w:rFonts w:ascii="Arial" w:hAnsi="Arial" w:cs="Arial"/>
          <w:sz w:val="24"/>
          <w:szCs w:val="24"/>
        </w:rPr>
        <w:t xml:space="preserve"> the vasculature in this location</w:t>
      </w:r>
      <w:r w:rsidR="00A56C5C" w:rsidRPr="00EB056A">
        <w:rPr>
          <w:rFonts w:ascii="Arial" w:hAnsi="Arial" w:cs="Arial"/>
          <w:sz w:val="24"/>
          <w:szCs w:val="24"/>
        </w:rPr>
        <w:t xml:space="preserve"> </w:t>
      </w:r>
      <w:r w:rsidR="00DB2906" w:rsidRPr="00EB056A">
        <w:rPr>
          <w:rFonts w:ascii="Arial" w:hAnsi="Arial" w:cs="Arial"/>
          <w:sz w:val="24"/>
          <w:szCs w:val="24"/>
        </w:rPr>
        <w:t>is</w:t>
      </w:r>
      <w:r w:rsidR="00A56C5C" w:rsidRPr="00EB056A">
        <w:rPr>
          <w:rFonts w:ascii="Arial" w:hAnsi="Arial" w:cs="Arial"/>
          <w:sz w:val="24"/>
          <w:szCs w:val="24"/>
        </w:rPr>
        <w:t xml:space="preserve"> crucial for </w:t>
      </w:r>
      <w:r w:rsidR="00DB2906" w:rsidRPr="00EB056A">
        <w:rPr>
          <w:rFonts w:ascii="Arial" w:hAnsi="Arial" w:cs="Arial"/>
          <w:sz w:val="24"/>
          <w:szCs w:val="24"/>
        </w:rPr>
        <w:t xml:space="preserve">maintaining brain tissue </w:t>
      </w:r>
      <w:r w:rsidR="00A56C5C" w:rsidRPr="00EB056A">
        <w:rPr>
          <w:rFonts w:ascii="Arial" w:hAnsi="Arial" w:cs="Arial"/>
          <w:sz w:val="24"/>
          <w:szCs w:val="24"/>
        </w:rPr>
        <w:t>integrity</w:t>
      </w:r>
      <w:r w:rsidR="004B46B0" w:rsidRPr="00EB056A">
        <w:rPr>
          <w:rFonts w:ascii="Arial" w:hAnsi="Arial" w:cs="Arial"/>
          <w:sz w:val="24"/>
          <w:szCs w:val="24"/>
        </w:rPr>
        <w:fldChar w:fldCharType="begin"/>
      </w:r>
      <w:r w:rsidR="005B4F59">
        <w:rPr>
          <w:rFonts w:ascii="Arial" w:hAnsi="Arial" w:cs="Arial"/>
          <w:sz w:val="24"/>
          <w:szCs w:val="24"/>
        </w:rPr>
        <w:instrText xml:space="preserve"> ADDIN ZOTERO_ITEM CSL_CITATION {"citationID":"RA8W5nnk","properties":{"formattedCitation":"\\super 39\\nosupersub{}","plainCitation":"39","noteIndex":0},"citationItems":[{"id":47,"uris":["http://zotero.org/users/6508478/items/2XZA8MVG"],"itemData":{"id":47,"type":"article-journal","abstract":"The entire blood supply of the brain and spinal cord depends on two sets of branches from the dorsal aorta. The vertebral arteries arise from the subclavian arteries, and the internal carotid arteries are branches of the common carotid arteries. The vertebral arteries and the ten medullary arteries that arise from segmental branches of the aorta provide the primary vascularization of the spinal cord. These medullary arteries join to form the anterior and posterior spinal arteries (Figure 1.19). If any of the medullary arteries are obstructed or damaged (during abdominal surgery, for example), the blood supply to specific parts of the spinal cord may be compromised. The pattern of resulting neurological damage differs according to whether the supply to the posterior or anterior artery is interrupted. As might be expected from the arrangement of ascending and descending neural pathways in the spinal cord, loss of the posterior supply generally leads to loss of sensory functions, whereas loss of the anterior supply more often causes motor deficits.Figure 1.19Blood supply of the spinal cord. (A) View of the ventral (anterior) surface of the spinal cord. At the level of the medulla, the vertebral arteries give off branches that merge to form the anterior spinal artery. Approximately 10 to 12 segmental arteries (which arise from various branches of the aorta) join the anterior spinal artery along its course. These segmental arteries are known as medullary arteries. (B) The vertebral arteries (or the posterior inferior cerebellar artery) give rise to paired posterior spinal arteries that run along the dorsal (posterior) surface of the spinal cord. (C) Cross section through the spinal cord, illustrating the distribution of the anterior and posterior spinal arteries. The anterior spinal arteries give rise to numerous sulcal branches that supply the anterior two-thirds of the spinal cord. The posterior spinal arteries supply much of the dorsal horn and the dorsal columns. A network of vessels known as the vasocorona connects these two sources of supply and sends branches into the white matter around the margin of the spinal cord.","container-title":"Neuroscience. 2nd edition","language":"en","source":"www.ncbi.nlm.nih.gov","title":"The Blood Supply of the Brain and Spinal Cord","URL":"https://www.ncbi.nlm.nih.gov/books/NBK11042/","author":[{"family":"Purves","given":"Dale"},{"family":"Augustine","given":"George J."},{"family":"Fitzpatrick","given":"David"},{"family":"Katz","given":"Lawrence C."},{"family":"LaMantia","given":"Anthony-Samuel"},{"family":"McNamara","given":"James O."},{"family":"Williams","given":"S. Mark"}],"accessed":{"date-parts":[["2021",5,21]]},"issued":{"date-parts":[["2001"]]}}}],"schema":"https://github.com/citation-style-language/schema/raw/master/csl-citation.json"} </w:instrText>
      </w:r>
      <w:r w:rsidR="004B46B0" w:rsidRPr="00EB056A">
        <w:rPr>
          <w:rFonts w:ascii="Arial" w:hAnsi="Arial" w:cs="Arial"/>
          <w:sz w:val="24"/>
          <w:szCs w:val="24"/>
        </w:rPr>
        <w:fldChar w:fldCharType="separate"/>
      </w:r>
      <w:r w:rsidR="00766016" w:rsidRPr="00766016">
        <w:rPr>
          <w:rFonts w:ascii="Arial" w:hAnsi="Arial" w:cs="Arial"/>
          <w:sz w:val="24"/>
          <w:szCs w:val="24"/>
          <w:vertAlign w:val="superscript"/>
        </w:rPr>
        <w:t>39</w:t>
      </w:r>
      <w:r w:rsidR="004B46B0" w:rsidRPr="00EB056A">
        <w:rPr>
          <w:rFonts w:ascii="Arial" w:hAnsi="Arial" w:cs="Arial"/>
          <w:sz w:val="24"/>
          <w:szCs w:val="24"/>
        </w:rPr>
        <w:fldChar w:fldCharType="end"/>
      </w:r>
      <w:r w:rsidR="00A56C5C" w:rsidRPr="00EB056A">
        <w:rPr>
          <w:rFonts w:ascii="Arial" w:hAnsi="Arial" w:cs="Arial"/>
          <w:sz w:val="24"/>
          <w:szCs w:val="24"/>
        </w:rPr>
        <w:t xml:space="preserve">. </w:t>
      </w:r>
      <w:r w:rsidR="00D12C30" w:rsidRPr="00EB056A">
        <w:rPr>
          <w:rFonts w:ascii="Arial" w:hAnsi="Arial" w:cs="Arial"/>
          <w:sz w:val="24"/>
          <w:szCs w:val="24"/>
        </w:rPr>
        <w:t xml:space="preserve">In a study of 25 patients with aneurysms on arteries of the circle of Willis, Schob </w:t>
      </w:r>
      <w:r w:rsidR="00D12C30" w:rsidRPr="00EB056A">
        <w:rPr>
          <w:rFonts w:ascii="Arial" w:hAnsi="Arial" w:cs="Arial"/>
          <w:i/>
          <w:iCs/>
          <w:sz w:val="24"/>
          <w:szCs w:val="24"/>
        </w:rPr>
        <w:t>et al</w:t>
      </w:r>
      <w:r w:rsidR="00DE3749">
        <w:rPr>
          <w:rFonts w:ascii="Arial" w:hAnsi="Arial" w:cs="Arial"/>
          <w:i/>
          <w:iCs/>
          <w:sz w:val="24"/>
          <w:szCs w:val="24"/>
        </w:rPr>
        <w:t>.</w:t>
      </w:r>
      <w:r w:rsidR="00D12C30" w:rsidRPr="00EB056A">
        <w:rPr>
          <w:rFonts w:ascii="Arial" w:hAnsi="Arial" w:cs="Arial"/>
          <w:sz w:val="24"/>
          <w:szCs w:val="24"/>
        </w:rPr>
        <w:fldChar w:fldCharType="begin"/>
      </w:r>
      <w:r w:rsidR="005B4F59">
        <w:rPr>
          <w:rFonts w:ascii="Arial" w:hAnsi="Arial" w:cs="Arial"/>
          <w:sz w:val="24"/>
          <w:szCs w:val="24"/>
        </w:rPr>
        <w:instrText xml:space="preserve"> ADDIN ZOTERO_ITEM CSL_CITATION {"citationID":"FcfmMIvK","properties":{"formattedCitation":"\\super 32\\nosupersub{}","plainCitation":"32","noteIndex":0},"citationItems":[{"id":1,"uris":["http://zotero.org/users/6508478/items/4A727H54"],"itemData":{"id":1,"type":"article-journal","abstract":"Background Flow diversion (FD) has emerged as superior minimally invasive therapy for cerebral aneurysms. However, aneurysms of small peripheral vessel segments have not yet been adequately treatable. More specifically, currently established devices necessitate large microcatheters which impede atraumatic maneuvering. The Silk Vista Baby (SVB), a novel flow diverter, offers the as yet unique feature of deliverability via a 0.017 inch microcatheter. This study reports our first experience with the SVB in challenging intracranial vessels employing a vessel-specific tailored microcatheter strategy.\nMaterials and methods 25 patients (27 aneurysms) were prospectively included. A total of 30 SVBs were employed, predominantly targeting demanding aneurysms of the anterior communicating artery complex. The efficacy of the FD was assessed using two-dimensional vector-based perfusion and conventional digital subtraction angiography (DSA) after implantation and at the first follow-up at 3 months. The first follow-up was available in 22 patients.\nResults All devices were implanted without technical or clinical complications. Eleven treatments were performed using the recommended Headway 17. In 14 interventions the even more maneuverable Excelsior SL10 was used, which was previously tried and tested for safety ’in vitro’ as an alternative delivery system. Aneurysmal influx was strongly reduced after implantation. All parent vessels remained patent. 17/27 aneurysms were completely occluded at first follow-up (</w:instrText>
      </w:r>
      <w:r w:rsidR="005B4F59">
        <w:rPr>
          <w:rFonts w:ascii="Cambria Math" w:hAnsi="Cambria Math" w:cs="Cambria Math"/>
          <w:sz w:val="24"/>
          <w:szCs w:val="24"/>
        </w:rPr>
        <w:instrText>∼</w:instrText>
      </w:r>
      <w:r w:rsidR="005B4F59">
        <w:rPr>
          <w:rFonts w:ascii="Arial" w:hAnsi="Arial" w:cs="Arial"/>
          <w:sz w:val="24"/>
          <w:szCs w:val="24"/>
        </w:rPr>
        <w:instrText xml:space="preserve">2.7 months), 6/27 aneurysms showed decreased influx or delayed washout and one remained unchanged. In three cases follow-up DSAs are remaining.\nConclusions SVB provides enhanced controllability in vulnerable segments beyond the circle of Willis. Smaller variants (2.25 mm and 2.75 mm) can safely be implanted via the superiorly navigable Excelsior SL10. Hence, the SVB represents the next evolutionary step in minimally invasive treatment of cerebral aneurysms.","container-title":"Journal of NeuroInterventional Surgery","DOI":"10.1136/neurintsurg-2019-014840","ISSN":"1759-8478, 1759-8486","issue":"12","language":"en","note":"PMID: 31088939","page":"1227-1234","source":"jnis.bmj.com","title":"Flow diversion beyond the circle of Willis: endovascular aneurysm treatment in peripheral cerebral arteries employing a novel low-profile flow diverting stent","title-short":"Flow diversion beyond the circle of Willis","volume":"11","author":[{"family":"Schob","given":"Stefan"},{"family":"Hoffmann","given":"Karl-Titus"},{"family":"Richter","given":"Cindy"},{"family":"Bhogal","given":"Pervinder"},{"family":"Köhlert","given":"Katharina"},{"family":"Planitzer","given":"Uwe"},{"family":"Ziganshyna","given":"Svitlana"},{"family":"Lindner","given":"Dirk"},{"family":"Scherlach","given":"Cordula"},{"family":"Nestler","given":"Ulf"},{"family":"Meixensberger","given":"Jürgen"},{"family":"Quäschling","given":"Ulf"}],"issued":{"date-parts":[["2019",12,1]]}}}],"schema":"https://github.com/citation-style-language/schema/raw/master/csl-citation.json"} </w:instrText>
      </w:r>
      <w:r w:rsidR="00D12C30" w:rsidRPr="00EB056A">
        <w:rPr>
          <w:rFonts w:ascii="Arial" w:hAnsi="Arial" w:cs="Arial"/>
          <w:sz w:val="24"/>
          <w:szCs w:val="24"/>
        </w:rPr>
        <w:fldChar w:fldCharType="separate"/>
      </w:r>
      <w:r w:rsidR="00766016" w:rsidRPr="00766016">
        <w:rPr>
          <w:rFonts w:ascii="Arial" w:hAnsi="Arial" w:cs="Arial"/>
          <w:sz w:val="24"/>
          <w:szCs w:val="24"/>
          <w:vertAlign w:val="superscript"/>
        </w:rPr>
        <w:t>32</w:t>
      </w:r>
      <w:r w:rsidR="00D12C30" w:rsidRPr="00EB056A">
        <w:rPr>
          <w:rFonts w:ascii="Arial" w:hAnsi="Arial" w:cs="Arial"/>
          <w:sz w:val="24"/>
          <w:szCs w:val="24"/>
        </w:rPr>
        <w:fldChar w:fldCharType="end"/>
      </w:r>
      <w:r w:rsidR="00D12C30" w:rsidRPr="00EB056A">
        <w:rPr>
          <w:rFonts w:ascii="Arial" w:hAnsi="Arial" w:cs="Arial"/>
          <w:sz w:val="24"/>
          <w:szCs w:val="24"/>
        </w:rPr>
        <w:t xml:space="preserve"> used 0.017 inch microcatheters to deliver stents and coils in </w:t>
      </w:r>
      <w:r w:rsidR="00F645D3" w:rsidRPr="00EB056A">
        <w:rPr>
          <w:rFonts w:ascii="Arial" w:hAnsi="Arial" w:cs="Arial"/>
          <w:sz w:val="24"/>
          <w:szCs w:val="24"/>
        </w:rPr>
        <w:lastRenderedPageBreak/>
        <w:t xml:space="preserve">proximal and distal segments of </w:t>
      </w:r>
      <w:r w:rsidR="003D3E18" w:rsidRPr="00EB056A">
        <w:rPr>
          <w:rFonts w:ascii="Arial" w:hAnsi="Arial" w:cs="Arial"/>
          <w:sz w:val="24"/>
          <w:szCs w:val="24"/>
        </w:rPr>
        <w:t xml:space="preserve">Willis’s Circle arteries in </w:t>
      </w:r>
      <w:r w:rsidR="00D12C30" w:rsidRPr="00EB056A">
        <w:rPr>
          <w:rFonts w:ascii="Arial" w:hAnsi="Arial" w:cs="Arial"/>
          <w:sz w:val="24"/>
          <w:szCs w:val="24"/>
        </w:rPr>
        <w:t xml:space="preserve">fusiform and </w:t>
      </w:r>
      <w:r w:rsidR="00F645D3" w:rsidRPr="00EB056A">
        <w:rPr>
          <w:rFonts w:ascii="Arial" w:hAnsi="Arial" w:cs="Arial"/>
          <w:sz w:val="24"/>
          <w:szCs w:val="24"/>
        </w:rPr>
        <w:t>saccular</w:t>
      </w:r>
      <w:r w:rsidR="00D12C30" w:rsidRPr="00EB056A">
        <w:rPr>
          <w:rFonts w:ascii="Arial" w:hAnsi="Arial" w:cs="Arial"/>
          <w:sz w:val="24"/>
          <w:szCs w:val="24"/>
        </w:rPr>
        <w:t xml:space="preserve"> aneurysms.</w:t>
      </w:r>
      <w:r w:rsidR="00D1064B" w:rsidRPr="00EB056A">
        <w:rPr>
          <w:rFonts w:ascii="Arial" w:hAnsi="Arial" w:cs="Arial"/>
          <w:sz w:val="24"/>
          <w:szCs w:val="24"/>
        </w:rPr>
        <w:t xml:space="preserve"> After 3 months, 63% of aneurysms were fully occluded and 85% were partially occluded</w:t>
      </w:r>
      <w:r w:rsidR="00D1064B" w:rsidRPr="00EB056A">
        <w:rPr>
          <w:rFonts w:ascii="Arial" w:hAnsi="Arial" w:cs="Arial"/>
          <w:sz w:val="24"/>
          <w:szCs w:val="24"/>
        </w:rPr>
        <w:fldChar w:fldCharType="begin"/>
      </w:r>
      <w:r w:rsidR="005B4F59">
        <w:rPr>
          <w:rFonts w:ascii="Arial" w:hAnsi="Arial" w:cs="Arial"/>
          <w:sz w:val="24"/>
          <w:szCs w:val="24"/>
        </w:rPr>
        <w:instrText xml:space="preserve"> ADDIN ZOTERO_ITEM CSL_CITATION {"citationID":"On3M80Nf","properties":{"formattedCitation":"\\super 32\\nosupersub{}","plainCitation":"32","noteIndex":0},"citationItems":[{"id":1,"uris":["http://zotero.org/users/6508478/items/4A727H54"],"itemData":{"id":1,"type":"article-journal","abstract":"Background Flow diversion (FD) has emerged as superior minimally invasive therapy for cerebral aneurysms. However, aneurysms of small peripheral vessel segments have not yet been adequately treatable. More specifically, currently established devices necessitate large microcatheters which impede atraumatic maneuvering. The Silk Vista Baby (SVB), a novel flow diverter, offers the as yet unique feature of deliverability via a 0.017 inch microcatheter. This study reports our first experience with the SVB in challenging intracranial vessels employing a vessel-specific tailored microcatheter strategy.\nMaterials and methods 25 patients (27 aneurysms) were prospectively included. A total of 30 SVBs were employed, predominantly targeting demanding aneurysms of the anterior communicating artery complex. The efficacy of the FD was assessed using two-dimensional vector-based perfusion and conventional digital subtraction angiography (DSA) after implantation and at the first follow-up at 3 months. The first follow-up was available in 22 patients.\nResults All devices were implanted without technical or clinical complications. Eleven treatments were performed using the recommended Headway 17. In 14 interventions the even more maneuverable Excelsior SL10 was used, which was previously tried and tested for safety ’in vitro’ as an alternative delivery system. Aneurysmal influx was strongly reduced after implantation. All parent vessels remained patent. 17/27 aneurysms were completely occluded at first follow-up (</w:instrText>
      </w:r>
      <w:r w:rsidR="005B4F59">
        <w:rPr>
          <w:rFonts w:ascii="Cambria Math" w:hAnsi="Cambria Math" w:cs="Cambria Math"/>
          <w:sz w:val="24"/>
          <w:szCs w:val="24"/>
        </w:rPr>
        <w:instrText>∼</w:instrText>
      </w:r>
      <w:r w:rsidR="005B4F59">
        <w:rPr>
          <w:rFonts w:ascii="Arial" w:hAnsi="Arial" w:cs="Arial"/>
          <w:sz w:val="24"/>
          <w:szCs w:val="24"/>
        </w:rPr>
        <w:instrText xml:space="preserve">2.7 months), 6/27 aneurysms showed decreased influx or delayed washout and one remained unchanged. In three cases follow-up DSAs are remaining.\nConclusions SVB provides enhanced controllability in vulnerable segments beyond the circle of Willis. Smaller variants (2.25 mm and 2.75 mm) can safely be implanted via the superiorly navigable Excelsior SL10. Hence, the SVB represents the next evolutionary step in minimally invasive treatment of cerebral aneurysms.","container-title":"Journal of NeuroInterventional Surgery","DOI":"10.1136/neurintsurg-2019-014840","ISSN":"1759-8478, 1759-8486","issue":"12","language":"en","note":"PMID: 31088939","page":"1227-1234","source":"jnis.bmj.com","title":"Flow diversion beyond the circle of Willis: endovascular aneurysm treatment in peripheral cerebral arteries employing a novel low-profile flow diverting stent","title-short":"Flow diversion beyond the circle of Willis","volume":"11","author":[{"family":"Schob","given":"Stefan"},{"family":"Hoffmann","given":"Karl-Titus"},{"family":"Richter","given":"Cindy"},{"family":"Bhogal","given":"Pervinder"},{"family":"Köhlert","given":"Katharina"},{"family":"Planitzer","given":"Uwe"},{"family":"Ziganshyna","given":"Svitlana"},{"family":"Lindner","given":"Dirk"},{"family":"Scherlach","given":"Cordula"},{"family":"Nestler","given":"Ulf"},{"family":"Meixensberger","given":"Jürgen"},{"family":"Quäschling","given":"Ulf"}],"issued":{"date-parts":[["2019",12,1]]}}}],"schema":"https://github.com/citation-style-language/schema/raw/master/csl-citation.json"} </w:instrText>
      </w:r>
      <w:r w:rsidR="00D1064B" w:rsidRPr="00EB056A">
        <w:rPr>
          <w:rFonts w:ascii="Arial" w:hAnsi="Arial" w:cs="Arial"/>
          <w:sz w:val="24"/>
          <w:szCs w:val="24"/>
        </w:rPr>
        <w:fldChar w:fldCharType="separate"/>
      </w:r>
      <w:r w:rsidR="00766016" w:rsidRPr="00766016">
        <w:rPr>
          <w:rFonts w:ascii="Arial" w:hAnsi="Arial" w:cs="Arial"/>
          <w:sz w:val="24"/>
          <w:szCs w:val="24"/>
          <w:vertAlign w:val="superscript"/>
        </w:rPr>
        <w:t>32</w:t>
      </w:r>
      <w:r w:rsidR="00D1064B" w:rsidRPr="00EB056A">
        <w:rPr>
          <w:rFonts w:ascii="Arial" w:hAnsi="Arial" w:cs="Arial"/>
          <w:sz w:val="24"/>
          <w:szCs w:val="24"/>
        </w:rPr>
        <w:fldChar w:fldCharType="end"/>
      </w:r>
      <w:r w:rsidR="00D1064B" w:rsidRPr="00EB056A">
        <w:rPr>
          <w:rFonts w:ascii="Arial" w:hAnsi="Arial" w:cs="Arial"/>
          <w:sz w:val="24"/>
          <w:szCs w:val="24"/>
        </w:rPr>
        <w:t xml:space="preserve">. </w:t>
      </w:r>
    </w:p>
    <w:p w14:paraId="733D6DBA" w14:textId="397EC274" w:rsidR="00F852E7" w:rsidRPr="00EB056A" w:rsidRDefault="00097EC0" w:rsidP="002F67FE">
      <w:pPr>
        <w:spacing w:line="480" w:lineRule="auto"/>
        <w:ind w:firstLine="720"/>
        <w:jc w:val="both"/>
        <w:rPr>
          <w:rFonts w:ascii="Arial" w:hAnsi="Arial" w:cs="Arial"/>
          <w:sz w:val="24"/>
          <w:szCs w:val="24"/>
        </w:rPr>
      </w:pPr>
      <w:r>
        <w:rPr>
          <w:rFonts w:ascii="Arial" w:hAnsi="Arial" w:cs="Arial"/>
          <w:sz w:val="24"/>
          <w:szCs w:val="24"/>
        </w:rPr>
        <w:t>Taken tog</w:t>
      </w:r>
      <w:r w:rsidR="00CB7697">
        <w:rPr>
          <w:rFonts w:ascii="Arial" w:hAnsi="Arial" w:cs="Arial"/>
          <w:sz w:val="24"/>
          <w:szCs w:val="24"/>
        </w:rPr>
        <w:t>e</w:t>
      </w:r>
      <w:r>
        <w:rPr>
          <w:rFonts w:ascii="Arial" w:hAnsi="Arial" w:cs="Arial"/>
          <w:sz w:val="24"/>
          <w:szCs w:val="24"/>
        </w:rPr>
        <w:t>ther</w:t>
      </w:r>
      <w:r w:rsidR="007C0E22">
        <w:rPr>
          <w:rFonts w:ascii="Arial" w:hAnsi="Arial" w:cs="Arial"/>
          <w:sz w:val="24"/>
          <w:szCs w:val="24"/>
        </w:rPr>
        <w:t xml:space="preserve">, stents </w:t>
      </w:r>
      <w:r w:rsidR="00C16351">
        <w:rPr>
          <w:rFonts w:ascii="Arial" w:hAnsi="Arial" w:cs="Arial"/>
          <w:sz w:val="24"/>
          <w:szCs w:val="24"/>
        </w:rPr>
        <w:t xml:space="preserve">are minimally invasive and </w:t>
      </w:r>
      <w:r w:rsidR="007C0E22">
        <w:rPr>
          <w:rFonts w:ascii="Arial" w:hAnsi="Arial" w:cs="Arial"/>
          <w:sz w:val="24"/>
          <w:szCs w:val="24"/>
        </w:rPr>
        <w:t>reinforce blood vessel</w:t>
      </w:r>
      <w:r w:rsidR="00C16351">
        <w:rPr>
          <w:rFonts w:ascii="Arial" w:hAnsi="Arial" w:cs="Arial"/>
          <w:sz w:val="24"/>
          <w:szCs w:val="24"/>
        </w:rPr>
        <w:t xml:space="preserve"> wall</w:t>
      </w:r>
      <w:r w:rsidR="007C0E22">
        <w:rPr>
          <w:rFonts w:ascii="Arial" w:hAnsi="Arial" w:cs="Arial"/>
          <w:sz w:val="24"/>
          <w:szCs w:val="24"/>
        </w:rPr>
        <w:t>s</w:t>
      </w:r>
      <w:r>
        <w:rPr>
          <w:rFonts w:ascii="Arial" w:hAnsi="Arial" w:cs="Arial"/>
          <w:sz w:val="24"/>
          <w:szCs w:val="24"/>
        </w:rPr>
        <w:t xml:space="preserve"> either alone or</w:t>
      </w:r>
      <w:r w:rsidR="007C0E22">
        <w:rPr>
          <w:rFonts w:ascii="Arial" w:hAnsi="Arial" w:cs="Arial"/>
          <w:sz w:val="24"/>
          <w:szCs w:val="24"/>
        </w:rPr>
        <w:t xml:space="preserve"> to enable coiling in a wide range of aneurysm types that </w:t>
      </w:r>
      <w:r>
        <w:rPr>
          <w:rFonts w:ascii="Arial" w:hAnsi="Arial" w:cs="Arial"/>
          <w:sz w:val="24"/>
          <w:szCs w:val="24"/>
        </w:rPr>
        <w:t xml:space="preserve">may </w:t>
      </w:r>
      <w:r w:rsidR="007C0E22">
        <w:rPr>
          <w:rFonts w:ascii="Arial" w:hAnsi="Arial" w:cs="Arial"/>
          <w:sz w:val="24"/>
          <w:szCs w:val="24"/>
        </w:rPr>
        <w:t xml:space="preserve">not be </w:t>
      </w:r>
      <w:r>
        <w:rPr>
          <w:rFonts w:ascii="Arial" w:hAnsi="Arial" w:cs="Arial"/>
          <w:sz w:val="24"/>
          <w:szCs w:val="24"/>
        </w:rPr>
        <w:t xml:space="preserve">candidates for </w:t>
      </w:r>
      <w:r w:rsidR="007C0E22">
        <w:rPr>
          <w:rFonts w:ascii="Arial" w:hAnsi="Arial" w:cs="Arial"/>
          <w:sz w:val="24"/>
          <w:szCs w:val="24"/>
        </w:rPr>
        <w:t>treat</w:t>
      </w:r>
      <w:r>
        <w:rPr>
          <w:rFonts w:ascii="Arial" w:hAnsi="Arial" w:cs="Arial"/>
          <w:sz w:val="24"/>
          <w:szCs w:val="24"/>
        </w:rPr>
        <w:t>ment</w:t>
      </w:r>
      <w:r w:rsidR="007C0E22">
        <w:rPr>
          <w:rFonts w:ascii="Arial" w:hAnsi="Arial" w:cs="Arial"/>
          <w:sz w:val="24"/>
          <w:szCs w:val="24"/>
        </w:rPr>
        <w:t xml:space="preserve"> by clipping or simple coiling. </w:t>
      </w:r>
      <w:r w:rsidR="00C16351">
        <w:rPr>
          <w:rFonts w:ascii="Arial" w:hAnsi="Arial" w:cs="Arial"/>
          <w:sz w:val="24"/>
          <w:szCs w:val="24"/>
        </w:rPr>
        <w:t>However, stents can require taking anticoagulant medication, can cause inflammation or thrombosis</w:t>
      </w:r>
      <w:r w:rsidR="00B22342">
        <w:rPr>
          <w:rFonts w:ascii="Arial" w:hAnsi="Arial" w:cs="Arial"/>
          <w:sz w:val="24"/>
          <w:szCs w:val="24"/>
        </w:rPr>
        <w:t>, stay forever in the patients</w:t>
      </w:r>
      <w:r>
        <w:rPr>
          <w:rFonts w:ascii="Arial" w:hAnsi="Arial" w:cs="Arial"/>
          <w:sz w:val="24"/>
          <w:szCs w:val="24"/>
        </w:rPr>
        <w:t>,</w:t>
      </w:r>
      <w:r w:rsidR="00B22342">
        <w:rPr>
          <w:rFonts w:ascii="Arial" w:hAnsi="Arial" w:cs="Arial"/>
          <w:sz w:val="24"/>
          <w:szCs w:val="24"/>
        </w:rPr>
        <w:t xml:space="preserve"> and </w:t>
      </w:r>
      <w:r w:rsidR="00F27022">
        <w:rPr>
          <w:rFonts w:ascii="Arial" w:hAnsi="Arial" w:cs="Arial"/>
          <w:sz w:val="24"/>
          <w:szCs w:val="24"/>
        </w:rPr>
        <w:t>for most stent types, do</w:t>
      </w:r>
      <w:r w:rsidR="00B22342">
        <w:rPr>
          <w:rFonts w:ascii="Arial" w:hAnsi="Arial" w:cs="Arial"/>
          <w:sz w:val="24"/>
          <w:szCs w:val="24"/>
        </w:rPr>
        <w:t xml:space="preserve"> not </w:t>
      </w:r>
      <w:r w:rsidR="00F27022">
        <w:rPr>
          <w:rFonts w:ascii="Arial" w:hAnsi="Arial" w:cs="Arial"/>
          <w:sz w:val="24"/>
          <w:szCs w:val="24"/>
        </w:rPr>
        <w:t>totally</w:t>
      </w:r>
      <w:r w:rsidR="00B22342">
        <w:rPr>
          <w:rFonts w:ascii="Arial" w:hAnsi="Arial" w:cs="Arial"/>
          <w:sz w:val="24"/>
          <w:szCs w:val="24"/>
        </w:rPr>
        <w:t xml:space="preserve"> heal nor rebuild the blood vessel wall</w:t>
      </w:r>
      <w:r w:rsidR="009A46BB">
        <w:rPr>
          <w:rFonts w:ascii="Arial" w:hAnsi="Arial" w:cs="Arial"/>
          <w:sz w:val="24"/>
          <w:szCs w:val="24"/>
        </w:rPr>
        <w:fldChar w:fldCharType="begin"/>
      </w:r>
      <w:r w:rsidR="005B4F59">
        <w:rPr>
          <w:rFonts w:ascii="Arial" w:hAnsi="Arial" w:cs="Arial"/>
          <w:sz w:val="24"/>
          <w:szCs w:val="24"/>
        </w:rPr>
        <w:instrText xml:space="preserve"> ADDIN ZOTERO_ITEM CSL_CITATION {"citationID":"kH0p7Ge7","properties":{"formattedCitation":"\\super 25,32\\nosupersub{}","plainCitation":"25,32","noteIndex":0},"citationItems":[{"id":45,"uris":["http://zotero.org/users/6508478/items/MX5VEDG7"],"itemData":{"id":45,"type":"article-journal","abstract":"Intracranial aneurysm is a leading cause of stroke. Its treatment has evolved over the past 2 decades. This review summarizes the treatment strategies for intracranial aneurysms from 3 different perspectives: open surgery approach, transluminal treatment approach, and new technologies being used or trialed. We introduce most of the available treatment techniques in detail, including contralateral clipping, wrapping and clipping, double catheters assisting coiling and waffle-cone technique, and so on. Data from major trials such as Analysis of Treatment by Endovascular approach of Non-ruptured Aneurysms (ATENA), Internal Subarachnoid Trial (ISAT), Clinical and Anatomical Results in the Treatment of Ruptured Intracranial Aneurysms (CLARITY), and Barrow Ruptured Aneurysm Trial (BRAT) as well as information from other clinical reports and local experience are reviewed to suggest a clinical pathway for treating different types of intracranial aneurysms. It will be a valuable supplement to the current existing guidelines. We hope it could help assisting real-time decision-making in clinical practices and also encourage advancements in managing the disease.","container-title":"Angiology","DOI":"10.1177/0003319717700503","ISSN":"0003-3197","issue":"1","journalAbbreviation":"Angiology","language":"en","page":"17-30","source":"SAGE Journals","title":"Current Treatment Strategies for Intracranial Aneurysms: An Overview","title-short":"Current Treatment Strategies for Intracranial Aneurysms","volume":"69","author":[{"family":"Zhao","given":"Junjie"},{"family":"Lin","given":"Hao"},{"family":"Summers","given":"Richard"},{"family":"Yang","given":"Mingmin"},{"family":"Cousins","given":"Brian G."},{"family":"Tsui","given":"Janice"}],"issued":{"date-parts":[["2018",1,1]]}}},{"id":1,"uris":["http://zotero.org/users/6508478/items/4A727H54"],"itemData":{"id":1,"type":"article-journal","abstract":"Background Flow diversion (FD) has emerged as superior minimally invasive therapy for cerebral aneurysms. However, aneurysms of small peripheral vessel segments have not yet been adequately treatable. More specifically, currently established devices necessitate large microcatheters which impede atraumatic maneuvering. The Silk Vista Baby (SVB), a novel flow diverter, offers the as yet unique feature of deliverability via a 0.017 inch microcatheter. This study reports our first experience with the SVB in challenging intracranial vessels employing a vessel-specific tailored microcatheter strategy.\nMaterials and methods 25 patients (27 aneurysms) were prospectively included. A total of 30 SVBs were employed, predominantly targeting demanding aneurysms of the anterior communicating artery complex. The efficacy of the FD was assessed using two-dimensional vector-based perfusion and conventional digital subtraction angiography (DSA) after implantation and at the first follow-up at 3 months. The first follow-up was available in 22 patients.\nResults All devices were implanted without technical or clinical complications. Eleven treatments were performed using the recommended Headway 17. In 14 interventions the even more maneuverable Excelsior SL10 was used, which was previously tried and tested for safety ’in vitro’ as an alternative delivery system. Aneurysmal influx was strongly reduced after implantation. All parent vessels remained patent. 17/27 aneurysms were completely occluded at first follow-up (</w:instrText>
      </w:r>
      <w:r w:rsidR="005B4F59">
        <w:rPr>
          <w:rFonts w:ascii="Cambria Math" w:hAnsi="Cambria Math" w:cs="Cambria Math"/>
          <w:sz w:val="24"/>
          <w:szCs w:val="24"/>
        </w:rPr>
        <w:instrText>∼</w:instrText>
      </w:r>
      <w:r w:rsidR="005B4F59">
        <w:rPr>
          <w:rFonts w:ascii="Arial" w:hAnsi="Arial" w:cs="Arial"/>
          <w:sz w:val="24"/>
          <w:szCs w:val="24"/>
        </w:rPr>
        <w:instrText xml:space="preserve">2.7 months), 6/27 aneurysms showed decreased influx or delayed washout and one remained unchanged. In three cases follow-up DSAs are remaining.\nConclusions SVB provides enhanced controllability in vulnerable segments beyond the circle of Willis. Smaller variants (2.25 mm and 2.75 mm) can safely be implanted via the superiorly navigable Excelsior SL10. Hence, the SVB represents the next evolutionary step in minimally invasive treatment of cerebral aneurysms.","container-title":"Journal of NeuroInterventional Surgery","DOI":"10.1136/neurintsurg-2019-014840","ISSN":"1759-8478, 1759-8486","issue":"12","language":"en","note":"PMID: 31088939","page":"1227-1234","source":"jnis.bmj.com","title":"Flow diversion beyond the circle of Willis: endovascular aneurysm treatment in peripheral cerebral arteries employing a novel low-profile flow diverting stent","title-short":"Flow diversion beyond the circle of Willis","volume":"11","author":[{"family":"Schob","given":"Stefan"},{"family":"Hoffmann","given":"Karl-Titus"},{"family":"Richter","given":"Cindy"},{"family":"Bhogal","given":"Pervinder"},{"family":"Köhlert","given":"Katharina"},{"family":"Planitzer","given":"Uwe"},{"family":"Ziganshyna","given":"Svitlana"},{"family":"Lindner","given":"Dirk"},{"family":"Scherlach","given":"Cordula"},{"family":"Nestler","given":"Ulf"},{"family":"Meixensberger","given":"Jürgen"},{"family":"Quäschling","given":"Ulf"}],"issued":{"date-parts":[["2019",12,1]]}}}],"schema":"https://github.com/citation-style-language/schema/raw/master/csl-citation.json"} </w:instrText>
      </w:r>
      <w:r w:rsidR="009A46BB">
        <w:rPr>
          <w:rFonts w:ascii="Arial" w:hAnsi="Arial" w:cs="Arial"/>
          <w:sz w:val="24"/>
          <w:szCs w:val="24"/>
        </w:rPr>
        <w:fldChar w:fldCharType="separate"/>
      </w:r>
      <w:r w:rsidR="00766016" w:rsidRPr="00766016">
        <w:rPr>
          <w:rFonts w:ascii="Arial" w:hAnsi="Arial" w:cs="Arial"/>
          <w:sz w:val="24"/>
          <w:szCs w:val="24"/>
          <w:vertAlign w:val="superscript"/>
        </w:rPr>
        <w:t>25,32</w:t>
      </w:r>
      <w:r w:rsidR="009A46BB">
        <w:rPr>
          <w:rFonts w:ascii="Arial" w:hAnsi="Arial" w:cs="Arial"/>
          <w:sz w:val="24"/>
          <w:szCs w:val="24"/>
        </w:rPr>
        <w:fldChar w:fldCharType="end"/>
      </w:r>
      <w:r w:rsidR="00B22342">
        <w:rPr>
          <w:rFonts w:ascii="Arial" w:hAnsi="Arial" w:cs="Arial"/>
          <w:sz w:val="24"/>
          <w:szCs w:val="24"/>
        </w:rPr>
        <w:t>.</w:t>
      </w:r>
    </w:p>
    <w:p w14:paraId="11B7AEA8" w14:textId="1C1C81FE" w:rsidR="006C12C0" w:rsidRPr="00EB056A" w:rsidRDefault="00194F5C" w:rsidP="00EB056A">
      <w:pPr>
        <w:pStyle w:val="Titre3"/>
        <w:spacing w:line="480" w:lineRule="auto"/>
        <w:jc w:val="both"/>
        <w:rPr>
          <w:rFonts w:ascii="Arial" w:hAnsi="Arial" w:cs="Arial"/>
          <w:b/>
          <w:bCs/>
          <w:color w:val="auto"/>
        </w:rPr>
      </w:pPr>
      <w:bookmarkStart w:id="40" w:name="_Toc77701670"/>
      <w:bookmarkStart w:id="41" w:name="_Toc106903213"/>
      <w:r>
        <w:rPr>
          <w:rFonts w:ascii="Arial" w:hAnsi="Arial" w:cs="Arial"/>
          <w:b/>
          <w:bCs/>
          <w:color w:val="auto"/>
        </w:rPr>
        <w:t>1.</w:t>
      </w:r>
      <w:r w:rsidR="00CB7697">
        <w:rPr>
          <w:rFonts w:ascii="Arial" w:hAnsi="Arial" w:cs="Arial"/>
          <w:b/>
          <w:bCs/>
          <w:color w:val="auto"/>
        </w:rPr>
        <w:t>4</w:t>
      </w:r>
      <w:r>
        <w:rPr>
          <w:rFonts w:ascii="Arial" w:hAnsi="Arial" w:cs="Arial"/>
          <w:b/>
          <w:bCs/>
          <w:color w:val="auto"/>
        </w:rPr>
        <w:t xml:space="preserve">.4 </w:t>
      </w:r>
      <w:r w:rsidR="0083571B" w:rsidRPr="00EB056A">
        <w:rPr>
          <w:rFonts w:ascii="Arial" w:hAnsi="Arial" w:cs="Arial"/>
          <w:b/>
          <w:bCs/>
          <w:color w:val="auto"/>
        </w:rPr>
        <w:t>L</w:t>
      </w:r>
      <w:r w:rsidR="006C12C0" w:rsidRPr="00EB056A">
        <w:rPr>
          <w:rFonts w:ascii="Arial" w:hAnsi="Arial" w:cs="Arial"/>
          <w:b/>
          <w:bCs/>
          <w:color w:val="auto"/>
        </w:rPr>
        <w:t>iquid fillers</w:t>
      </w:r>
      <w:bookmarkEnd w:id="40"/>
      <w:bookmarkEnd w:id="41"/>
    </w:p>
    <w:p w14:paraId="46F9D67C" w14:textId="716EEC9E" w:rsidR="00936B22" w:rsidRPr="00EB056A" w:rsidRDefault="007238A6" w:rsidP="00EB056A">
      <w:pPr>
        <w:spacing w:line="480" w:lineRule="auto"/>
        <w:ind w:firstLine="720"/>
        <w:jc w:val="both"/>
        <w:rPr>
          <w:rFonts w:ascii="Arial" w:eastAsia="Calibri" w:hAnsi="Arial" w:cs="Arial"/>
        </w:rPr>
      </w:pPr>
      <w:r w:rsidRPr="00EB056A">
        <w:rPr>
          <w:rFonts w:ascii="Arial" w:hAnsi="Arial" w:cs="Arial"/>
          <w:sz w:val="24"/>
          <w:szCs w:val="24"/>
        </w:rPr>
        <w:t xml:space="preserve">Liquid fillers, or embolic agents, are </w:t>
      </w:r>
      <w:r w:rsidR="00493B4D" w:rsidRPr="00EB056A">
        <w:rPr>
          <w:rFonts w:ascii="Arial" w:hAnsi="Arial" w:cs="Arial"/>
          <w:sz w:val="24"/>
          <w:szCs w:val="24"/>
        </w:rPr>
        <w:t xml:space="preserve">liquid polymers </w:t>
      </w:r>
      <w:r w:rsidR="008C2DF7" w:rsidRPr="00EB056A">
        <w:rPr>
          <w:rFonts w:ascii="Arial" w:hAnsi="Arial" w:cs="Arial"/>
          <w:sz w:val="24"/>
          <w:szCs w:val="24"/>
        </w:rPr>
        <w:t>mixed with imaging agents</w:t>
      </w:r>
      <w:r w:rsidR="00BA3860" w:rsidRPr="00EB056A">
        <w:rPr>
          <w:rFonts w:ascii="Arial" w:hAnsi="Arial" w:cs="Arial"/>
          <w:sz w:val="24"/>
          <w:szCs w:val="24"/>
        </w:rPr>
        <w:t xml:space="preserve">, </w:t>
      </w:r>
      <w:r w:rsidR="008E4E38" w:rsidRPr="00EB056A">
        <w:rPr>
          <w:rFonts w:ascii="Arial" w:hAnsi="Arial" w:cs="Arial"/>
          <w:sz w:val="24"/>
          <w:szCs w:val="24"/>
        </w:rPr>
        <w:t>which allow the procedure to be monitored by angiography</w:t>
      </w:r>
      <w:r w:rsidR="001965C5" w:rsidRPr="00EB056A">
        <w:rPr>
          <w:rFonts w:ascii="Arial" w:hAnsi="Arial" w:cs="Arial"/>
          <w:sz w:val="24"/>
          <w:szCs w:val="24"/>
        </w:rPr>
        <w:t>.</w:t>
      </w:r>
      <w:r w:rsidR="00BA3860" w:rsidRPr="00EB056A">
        <w:rPr>
          <w:rFonts w:ascii="Arial" w:hAnsi="Arial" w:cs="Arial"/>
          <w:sz w:val="24"/>
          <w:szCs w:val="24"/>
        </w:rPr>
        <w:t xml:space="preserve"> The mix is</w:t>
      </w:r>
      <w:r w:rsidR="008C2DF7" w:rsidRPr="00EB056A">
        <w:rPr>
          <w:rFonts w:ascii="Arial" w:hAnsi="Arial" w:cs="Arial"/>
          <w:sz w:val="24"/>
          <w:szCs w:val="24"/>
        </w:rPr>
        <w:t xml:space="preserve"> inserted into aneurysms through catheters and spontaneously solidify </w:t>
      </w:r>
      <w:r w:rsidR="0017116A" w:rsidRPr="00EB056A">
        <w:rPr>
          <w:rFonts w:ascii="Arial" w:hAnsi="Arial" w:cs="Arial"/>
          <w:sz w:val="24"/>
          <w:szCs w:val="24"/>
        </w:rPr>
        <w:t>in contact with blood</w:t>
      </w:r>
      <w:r w:rsidR="008E4E38" w:rsidRPr="00EB056A">
        <w:rPr>
          <w:rFonts w:ascii="Arial" w:hAnsi="Arial" w:cs="Arial"/>
          <w:sz w:val="24"/>
          <w:szCs w:val="24"/>
        </w:rPr>
        <w:fldChar w:fldCharType="begin"/>
      </w:r>
      <w:r w:rsidR="005B4F59">
        <w:rPr>
          <w:rFonts w:ascii="Arial" w:hAnsi="Arial" w:cs="Arial"/>
          <w:sz w:val="24"/>
          <w:szCs w:val="24"/>
        </w:rPr>
        <w:instrText xml:space="preserve"> ADDIN ZOTERO_ITEM CSL_CITATION {"citationID":"bcZrmhVH","properties":{"formattedCitation":"\\super 40\\nosupersub{}","plainCitation":"40","noteIndex":0},"citationItems":[{"id":667,"uris":["http://zotero.org/users/6508478/items/QNUN7CNI"],"itemData":{"id":667,"type":"article-journal","abstract":"Derzeit gibt es verschiedene Materialien zur endovaskulären Behandlung von Aneurysmen. Die Wahl des Materials hängt dabei von der Lokalisation und Konfiguration des Aneurysmas ab. Um eine optimale Aneurysmabehandlung zu gewährleisten, muss das Füllmaterial das Aneurysma inkorporieren und vom Trägergefäß durch Ausbildung einer Endothelschicht und Neointimaproliferation entlang des Aneurysmahalses isolieren. Dadurch kann das Aneurysma dauerhaft vom Blutfluss isoliert und so die geschwächte Gefäßwand langfristig stabilisiert werden, um eine nachfolgende Ruptur zu verhindern. Am häufigsten werden aktuell weiche Platinspiralen (Coils) verwendet. In den letzten Jahren wurden vermehrt Flüssigembolisate zur endovaskulären Behandlung von Aneurysmen entwickelt. Einer der Gründe ist dabei, dass die injizierte Flüssigkeit das Aneurysmalumen vollständig ausfüllt und somit unabhängig von der Aneurysmaform keine Lücke zwischen Füllmaterial und Aneurysmawand entsteht. Die meisten präklinischen und klinischen Studien liegen für Onyx vor. Insbesondere zur Behandlung von mykotischen Aneurysmen sowie Aneurysmen der distalen hinteren Strombahn erweist sich die Flüssigembolisation mit Onyx bereits als mögliche, effektive Behandlungsmethode.","container-title":"Der Radiologe","DOI":"10.1007/s00117-020-00668-4","ISSN":"1432-2102","issue":"4","journalAbbreviation":"Radiologe","language":"de","page":"325-328","source":"Springer Link","title":"Neue Wege zur Embolisation von Aneurysmen (Flüssigembolisat)","volume":"60","author":[{"family":"Fries","given":"Frederik"}],"issued":{"date-parts":[["2020",4,1]]}}}],"schema":"https://github.com/citation-style-language/schema/raw/master/csl-citation.json"} </w:instrText>
      </w:r>
      <w:r w:rsidR="008E4E38" w:rsidRPr="00EB056A">
        <w:rPr>
          <w:rFonts w:ascii="Arial" w:hAnsi="Arial" w:cs="Arial"/>
          <w:sz w:val="24"/>
          <w:szCs w:val="24"/>
        </w:rPr>
        <w:fldChar w:fldCharType="separate"/>
      </w:r>
      <w:r w:rsidR="00766016" w:rsidRPr="00766016">
        <w:rPr>
          <w:rFonts w:ascii="Arial" w:hAnsi="Arial" w:cs="Arial"/>
          <w:sz w:val="24"/>
          <w:szCs w:val="24"/>
          <w:vertAlign w:val="superscript"/>
        </w:rPr>
        <w:t>40</w:t>
      </w:r>
      <w:r w:rsidR="008E4E38" w:rsidRPr="00EB056A">
        <w:rPr>
          <w:rFonts w:ascii="Arial" w:hAnsi="Arial" w:cs="Arial"/>
          <w:sz w:val="24"/>
          <w:szCs w:val="24"/>
        </w:rPr>
        <w:fldChar w:fldCharType="end"/>
      </w:r>
      <w:r w:rsidR="0017116A" w:rsidRPr="00EB056A">
        <w:rPr>
          <w:rFonts w:ascii="Arial" w:hAnsi="Arial" w:cs="Arial"/>
          <w:sz w:val="24"/>
          <w:szCs w:val="24"/>
        </w:rPr>
        <w:t>.</w:t>
      </w:r>
      <w:r w:rsidR="00A31491" w:rsidRPr="00EB056A">
        <w:rPr>
          <w:rFonts w:ascii="Arial" w:hAnsi="Arial" w:cs="Arial"/>
          <w:sz w:val="24"/>
          <w:szCs w:val="24"/>
        </w:rPr>
        <w:t xml:space="preserve"> </w:t>
      </w:r>
      <w:r w:rsidR="00097EC0">
        <w:rPr>
          <w:rFonts w:ascii="Arial" w:hAnsi="Arial" w:cs="Arial"/>
          <w:sz w:val="24"/>
          <w:szCs w:val="24"/>
        </w:rPr>
        <w:t>Similar to</w:t>
      </w:r>
      <w:r w:rsidR="00097EC0" w:rsidRPr="00EB056A">
        <w:rPr>
          <w:rFonts w:ascii="Arial" w:hAnsi="Arial" w:cs="Arial"/>
          <w:sz w:val="24"/>
          <w:szCs w:val="24"/>
        </w:rPr>
        <w:t xml:space="preserve"> </w:t>
      </w:r>
      <w:r w:rsidR="00D76C0D" w:rsidRPr="00EB056A">
        <w:rPr>
          <w:rFonts w:ascii="Arial" w:hAnsi="Arial" w:cs="Arial"/>
          <w:sz w:val="24"/>
          <w:szCs w:val="24"/>
        </w:rPr>
        <w:t>coi</w:t>
      </w:r>
      <w:r w:rsidR="005A20B0" w:rsidRPr="00EB056A">
        <w:rPr>
          <w:rFonts w:ascii="Arial" w:hAnsi="Arial" w:cs="Arial"/>
          <w:sz w:val="24"/>
          <w:szCs w:val="24"/>
        </w:rPr>
        <w:t>ling,</w:t>
      </w:r>
      <w:r w:rsidR="002439D8" w:rsidRPr="00EB056A">
        <w:rPr>
          <w:rFonts w:ascii="Arial" w:hAnsi="Arial" w:cs="Arial"/>
          <w:sz w:val="24"/>
          <w:szCs w:val="24"/>
        </w:rPr>
        <w:t xml:space="preserve"> this technique does </w:t>
      </w:r>
      <w:r w:rsidR="00D34FAC" w:rsidRPr="00EB056A">
        <w:rPr>
          <w:rFonts w:ascii="Arial" w:hAnsi="Arial" w:cs="Arial"/>
          <w:sz w:val="24"/>
          <w:szCs w:val="24"/>
        </w:rPr>
        <w:t>not</w:t>
      </w:r>
      <w:r w:rsidR="002439D8" w:rsidRPr="00EB056A">
        <w:rPr>
          <w:rFonts w:ascii="Arial" w:hAnsi="Arial" w:cs="Arial"/>
          <w:sz w:val="24"/>
          <w:szCs w:val="24"/>
        </w:rPr>
        <w:t xml:space="preserve"> require </w:t>
      </w:r>
      <w:r w:rsidR="005A20B0" w:rsidRPr="00EB056A">
        <w:rPr>
          <w:rFonts w:ascii="Arial" w:hAnsi="Arial" w:cs="Arial"/>
          <w:sz w:val="24"/>
          <w:szCs w:val="24"/>
        </w:rPr>
        <w:t>open surgery of the skull</w:t>
      </w:r>
      <w:r w:rsidR="00097EC0">
        <w:rPr>
          <w:rFonts w:ascii="Arial" w:hAnsi="Arial" w:cs="Arial"/>
          <w:sz w:val="24"/>
          <w:szCs w:val="24"/>
        </w:rPr>
        <w:t xml:space="preserve"> and</w:t>
      </w:r>
      <w:r w:rsidR="009A14DD" w:rsidRPr="00EB056A">
        <w:rPr>
          <w:rFonts w:ascii="Arial" w:hAnsi="Arial" w:cs="Arial"/>
          <w:sz w:val="24"/>
          <w:szCs w:val="24"/>
        </w:rPr>
        <w:t xml:space="preserve"> </w:t>
      </w:r>
      <w:r w:rsidR="00167124" w:rsidRPr="00EB056A">
        <w:rPr>
          <w:rFonts w:ascii="Arial" w:hAnsi="Arial" w:cs="Arial"/>
          <w:sz w:val="24"/>
          <w:szCs w:val="24"/>
        </w:rPr>
        <w:t>uses standard tools</w:t>
      </w:r>
      <w:r w:rsidR="00580632" w:rsidRPr="00EB056A">
        <w:rPr>
          <w:rFonts w:ascii="Arial" w:hAnsi="Arial" w:cs="Arial"/>
          <w:sz w:val="24"/>
          <w:szCs w:val="24"/>
        </w:rPr>
        <w:t xml:space="preserve"> as</w:t>
      </w:r>
      <w:r w:rsidR="00E66E7C" w:rsidRPr="00EB056A">
        <w:rPr>
          <w:rFonts w:ascii="Arial" w:hAnsi="Arial" w:cs="Arial"/>
          <w:sz w:val="24"/>
          <w:szCs w:val="24"/>
        </w:rPr>
        <w:t xml:space="preserve"> a balloon catheter to block blood flow and a microcatheter to insert </w:t>
      </w:r>
      <w:r w:rsidR="00801C41" w:rsidRPr="00EB056A">
        <w:rPr>
          <w:rFonts w:ascii="Arial" w:hAnsi="Arial" w:cs="Arial"/>
          <w:sz w:val="24"/>
          <w:szCs w:val="24"/>
        </w:rPr>
        <w:t>the embolic agent</w:t>
      </w:r>
      <w:r w:rsidR="0076298C" w:rsidRPr="00EB056A">
        <w:rPr>
          <w:rFonts w:ascii="Arial" w:hAnsi="Arial" w:cs="Arial"/>
          <w:sz w:val="24"/>
          <w:szCs w:val="24"/>
        </w:rPr>
        <w:t xml:space="preserve"> (</w:t>
      </w:r>
      <w:r w:rsidR="003F5F8E" w:rsidRPr="003F5F8E">
        <w:rPr>
          <w:rFonts w:ascii="Arial" w:hAnsi="Arial" w:cs="Arial"/>
          <w:color w:val="000000" w:themeColor="text1"/>
          <w:sz w:val="24"/>
          <w:szCs w:val="24"/>
        </w:rPr>
        <w:fldChar w:fldCharType="begin"/>
      </w:r>
      <w:r w:rsidR="003F5F8E" w:rsidRPr="003F5F8E">
        <w:rPr>
          <w:rFonts w:ascii="Arial" w:hAnsi="Arial" w:cs="Arial"/>
          <w:color w:val="000000" w:themeColor="text1"/>
          <w:sz w:val="24"/>
          <w:szCs w:val="24"/>
        </w:rPr>
        <w:instrText xml:space="preserve"> REF _Ref90380594 \h  \* MERGEFORMAT </w:instrText>
      </w:r>
      <w:r w:rsidR="003F5F8E" w:rsidRPr="003F5F8E">
        <w:rPr>
          <w:rFonts w:ascii="Arial" w:hAnsi="Arial" w:cs="Arial"/>
          <w:color w:val="000000" w:themeColor="text1"/>
          <w:sz w:val="24"/>
          <w:szCs w:val="24"/>
        </w:rPr>
      </w:r>
      <w:r w:rsidR="003F5F8E" w:rsidRPr="003F5F8E">
        <w:rPr>
          <w:rFonts w:ascii="Arial" w:hAnsi="Arial" w:cs="Arial"/>
          <w:color w:val="000000" w:themeColor="text1"/>
          <w:sz w:val="24"/>
          <w:szCs w:val="24"/>
        </w:rPr>
        <w:fldChar w:fldCharType="separate"/>
      </w:r>
      <w:r w:rsidR="005C4791" w:rsidRPr="005C4791">
        <w:rPr>
          <w:rFonts w:ascii="Arial" w:hAnsi="Arial" w:cs="Arial"/>
          <w:color w:val="000000" w:themeColor="text1"/>
          <w:sz w:val="24"/>
          <w:szCs w:val="24"/>
        </w:rPr>
        <w:t xml:space="preserve">Figure </w:t>
      </w:r>
      <w:r w:rsidR="005C4791" w:rsidRPr="005C4791">
        <w:rPr>
          <w:rFonts w:ascii="Arial" w:hAnsi="Arial" w:cs="Arial"/>
          <w:noProof/>
          <w:color w:val="000000" w:themeColor="text1"/>
          <w:sz w:val="24"/>
          <w:szCs w:val="24"/>
        </w:rPr>
        <w:t>8</w:t>
      </w:r>
      <w:r w:rsidR="003F5F8E" w:rsidRPr="003F5F8E">
        <w:rPr>
          <w:rFonts w:ascii="Arial" w:hAnsi="Arial" w:cs="Arial"/>
          <w:color w:val="000000" w:themeColor="text1"/>
          <w:sz w:val="24"/>
          <w:szCs w:val="24"/>
        </w:rPr>
        <w:fldChar w:fldCharType="end"/>
      </w:r>
      <w:r w:rsidR="0076298C" w:rsidRPr="00EB056A">
        <w:rPr>
          <w:rFonts w:ascii="Arial" w:hAnsi="Arial" w:cs="Arial"/>
          <w:sz w:val="24"/>
          <w:szCs w:val="24"/>
        </w:rPr>
        <w:t>)</w:t>
      </w:r>
      <w:r w:rsidR="00632EB4">
        <w:rPr>
          <w:rFonts w:ascii="Arial" w:hAnsi="Arial" w:cs="Arial"/>
          <w:sz w:val="24"/>
          <w:szCs w:val="24"/>
        </w:rPr>
        <w:t>. U</w:t>
      </w:r>
      <w:r w:rsidR="00880D48" w:rsidRPr="00EB056A">
        <w:rPr>
          <w:rFonts w:ascii="Arial" w:hAnsi="Arial" w:cs="Arial"/>
          <w:sz w:val="24"/>
          <w:szCs w:val="24"/>
        </w:rPr>
        <w:t>nlike coiling</w:t>
      </w:r>
      <w:r w:rsidR="00D10A75" w:rsidRPr="00EB056A">
        <w:rPr>
          <w:rFonts w:ascii="Arial" w:hAnsi="Arial" w:cs="Arial"/>
          <w:sz w:val="24"/>
          <w:szCs w:val="24"/>
        </w:rPr>
        <w:t xml:space="preserve">, </w:t>
      </w:r>
      <w:r w:rsidR="00A352BE">
        <w:rPr>
          <w:rFonts w:ascii="Arial" w:hAnsi="Arial" w:cs="Arial"/>
          <w:sz w:val="24"/>
          <w:szCs w:val="24"/>
        </w:rPr>
        <w:t>liquid fillers</w:t>
      </w:r>
      <w:r w:rsidR="00A352BE" w:rsidRPr="00EB056A">
        <w:rPr>
          <w:rFonts w:ascii="Arial" w:hAnsi="Arial" w:cs="Arial"/>
          <w:sz w:val="24"/>
          <w:szCs w:val="24"/>
        </w:rPr>
        <w:t xml:space="preserve"> </w:t>
      </w:r>
      <w:r w:rsidR="00D10A75" w:rsidRPr="00EB056A">
        <w:rPr>
          <w:rFonts w:ascii="Arial" w:hAnsi="Arial" w:cs="Arial"/>
          <w:sz w:val="24"/>
          <w:szCs w:val="24"/>
        </w:rPr>
        <w:t xml:space="preserve">can fit </w:t>
      </w:r>
      <w:r w:rsidR="0067547A" w:rsidRPr="00EB056A">
        <w:rPr>
          <w:rFonts w:ascii="Arial" w:hAnsi="Arial" w:cs="Arial"/>
          <w:sz w:val="24"/>
          <w:szCs w:val="24"/>
        </w:rPr>
        <w:t>asymmetrical</w:t>
      </w:r>
      <w:r w:rsidR="00E26BCB" w:rsidRPr="00EB056A">
        <w:rPr>
          <w:rFonts w:ascii="Arial" w:hAnsi="Arial" w:cs="Arial"/>
          <w:sz w:val="24"/>
          <w:szCs w:val="24"/>
        </w:rPr>
        <w:t xml:space="preserve"> </w:t>
      </w:r>
      <w:r w:rsidR="0067547A" w:rsidRPr="00EB056A">
        <w:rPr>
          <w:rFonts w:ascii="Arial" w:hAnsi="Arial" w:cs="Arial"/>
          <w:sz w:val="24"/>
          <w:szCs w:val="24"/>
        </w:rPr>
        <w:t xml:space="preserve">aneurysms thanks to </w:t>
      </w:r>
      <w:r w:rsidR="00A352BE">
        <w:rPr>
          <w:rFonts w:ascii="Arial" w:hAnsi="Arial" w:cs="Arial"/>
          <w:sz w:val="24"/>
          <w:szCs w:val="24"/>
        </w:rPr>
        <w:t>their</w:t>
      </w:r>
      <w:r w:rsidR="00A352BE" w:rsidRPr="00EB056A">
        <w:rPr>
          <w:rFonts w:ascii="Arial" w:hAnsi="Arial" w:cs="Arial"/>
          <w:sz w:val="24"/>
          <w:szCs w:val="24"/>
        </w:rPr>
        <w:t xml:space="preserve"> </w:t>
      </w:r>
      <w:r w:rsidR="0067547A" w:rsidRPr="00EB056A">
        <w:rPr>
          <w:rFonts w:ascii="Arial" w:hAnsi="Arial" w:cs="Arial"/>
          <w:sz w:val="24"/>
          <w:szCs w:val="24"/>
        </w:rPr>
        <w:t>liquid state</w:t>
      </w:r>
      <w:r w:rsidR="00EE6B85" w:rsidRPr="00EB056A">
        <w:rPr>
          <w:rFonts w:ascii="Arial" w:hAnsi="Arial" w:cs="Arial"/>
          <w:sz w:val="24"/>
          <w:szCs w:val="24"/>
        </w:rPr>
        <w:fldChar w:fldCharType="begin"/>
      </w:r>
      <w:r w:rsidR="005B4F59">
        <w:rPr>
          <w:rFonts w:ascii="Arial" w:hAnsi="Arial" w:cs="Arial"/>
          <w:sz w:val="24"/>
          <w:szCs w:val="24"/>
        </w:rPr>
        <w:instrText xml:space="preserve"> ADDIN ZOTERO_ITEM CSL_CITATION {"citationID":"1O8vq3sK","properties":{"formattedCitation":"\\super 25\\nosupersub{}","plainCitation":"25","noteIndex":0},"citationItems":[{"id":45,"uris":["http://zotero.org/users/6508478/items/MX5VEDG7"],"itemData":{"id":45,"type":"article-journal","abstract":"Intracranial aneurysm is a leading cause of stroke. Its treatment has evolved over the past 2 decades. This review summarizes the treatment strategies for intracranial aneurysms from 3 different perspectives: open surgery approach, transluminal treatment approach, and new technologies being used or trialed. We introduce most of the available treatment techniques in detail, including contralateral clipping, wrapping and clipping, double catheters assisting coiling and waffle-cone technique, and so on. Data from major trials such as Analysis of Treatment by Endovascular approach of Non-ruptured Aneurysms (ATENA), Internal Subarachnoid Trial (ISAT), Clinical and Anatomical Results in the Treatment of Ruptured Intracranial Aneurysms (CLARITY), and Barrow Ruptured Aneurysm Trial (BRAT) as well as information from other clinical reports and local experience are reviewed to suggest a clinical pathway for treating different types of intracranial aneurysms. It will be a valuable supplement to the current existing guidelines. We hope it could help assisting real-time decision-making in clinical practices and also encourage advancements in managing the disease.","container-title":"Angiology","DOI":"10.1177/0003319717700503","ISSN":"0003-3197","issue":"1","journalAbbreviation":"Angiology","language":"en","page":"17-30","source":"SAGE Journals","title":"Current Treatment Strategies for Intracranial Aneurysms: An Overview","title-short":"Current Treatment Strategies for Intracranial Aneurysms","volume":"69","author":[{"family":"Zhao","given":"Junjie"},{"family":"Lin","given":"Hao"},{"family":"Summers","given":"Richard"},{"family":"Yang","given":"Mingmin"},{"family":"Cousins","given":"Brian G."},{"family":"Tsui","given":"Janice"}],"issued":{"date-parts":[["2018",1,1]]}}}],"schema":"https://github.com/citation-style-language/schema/raw/master/csl-citation.json"} </w:instrText>
      </w:r>
      <w:r w:rsidR="00EE6B85" w:rsidRPr="00EB056A">
        <w:rPr>
          <w:rFonts w:ascii="Arial" w:hAnsi="Arial" w:cs="Arial"/>
          <w:sz w:val="24"/>
          <w:szCs w:val="24"/>
        </w:rPr>
        <w:fldChar w:fldCharType="separate"/>
      </w:r>
      <w:r w:rsidR="00766016" w:rsidRPr="00766016">
        <w:rPr>
          <w:rFonts w:ascii="Arial" w:hAnsi="Arial" w:cs="Arial"/>
          <w:sz w:val="24"/>
          <w:szCs w:val="24"/>
          <w:vertAlign w:val="superscript"/>
        </w:rPr>
        <w:t>25</w:t>
      </w:r>
      <w:r w:rsidR="00EE6B85" w:rsidRPr="00EB056A">
        <w:rPr>
          <w:rFonts w:ascii="Arial" w:hAnsi="Arial" w:cs="Arial"/>
          <w:sz w:val="24"/>
          <w:szCs w:val="24"/>
        </w:rPr>
        <w:fldChar w:fldCharType="end"/>
      </w:r>
      <w:r w:rsidR="00801C41" w:rsidRPr="00EB056A">
        <w:rPr>
          <w:rFonts w:ascii="Arial" w:hAnsi="Arial" w:cs="Arial"/>
          <w:sz w:val="24"/>
          <w:szCs w:val="24"/>
        </w:rPr>
        <w:t>.</w:t>
      </w:r>
      <w:r w:rsidRPr="00EB056A">
        <w:rPr>
          <w:rFonts w:ascii="Arial" w:hAnsi="Arial" w:cs="Arial"/>
          <w:sz w:val="24"/>
          <w:szCs w:val="24"/>
        </w:rPr>
        <w:t xml:space="preserve"> </w:t>
      </w:r>
      <w:r w:rsidR="00F43C1C" w:rsidRPr="00EB056A">
        <w:rPr>
          <w:rFonts w:ascii="Arial" w:hAnsi="Arial" w:cs="Arial"/>
          <w:sz w:val="24"/>
          <w:szCs w:val="24"/>
        </w:rPr>
        <w:t>The most</w:t>
      </w:r>
      <w:r w:rsidR="00654929" w:rsidRPr="00EB056A">
        <w:rPr>
          <w:rFonts w:ascii="Arial" w:hAnsi="Arial" w:cs="Arial"/>
          <w:sz w:val="24"/>
          <w:szCs w:val="24"/>
        </w:rPr>
        <w:t xml:space="preserve"> studied liquid filler is the Onyx </w:t>
      </w:r>
      <w:r w:rsidR="00FA1457" w:rsidRPr="00EB056A">
        <w:rPr>
          <w:rFonts w:ascii="Arial" w:hAnsi="Arial" w:cs="Arial"/>
          <w:sz w:val="24"/>
          <w:szCs w:val="24"/>
        </w:rPr>
        <w:t>embolization agent by Medtroni</w:t>
      </w:r>
      <w:r w:rsidR="00632EB4">
        <w:rPr>
          <w:rFonts w:ascii="Arial" w:hAnsi="Arial" w:cs="Arial"/>
          <w:sz w:val="24"/>
          <w:szCs w:val="24"/>
        </w:rPr>
        <w:t>c. Onyx is</w:t>
      </w:r>
      <w:r w:rsidR="00FA1457" w:rsidRPr="00EB056A">
        <w:rPr>
          <w:rFonts w:ascii="Arial" w:hAnsi="Arial" w:cs="Arial"/>
          <w:sz w:val="24"/>
          <w:szCs w:val="24"/>
        </w:rPr>
        <w:t xml:space="preserve"> composed of </w:t>
      </w:r>
      <w:r w:rsidR="00273EFD" w:rsidRPr="00EB056A">
        <w:rPr>
          <w:rFonts w:ascii="Arial" w:hAnsi="Arial" w:cs="Arial"/>
          <w:sz w:val="24"/>
          <w:szCs w:val="24"/>
        </w:rPr>
        <w:t>ethylene vinyl alcohol copolymer</w:t>
      </w:r>
      <w:r w:rsidR="00C26C57" w:rsidRPr="00EB056A">
        <w:rPr>
          <w:rFonts w:ascii="Arial" w:hAnsi="Arial" w:cs="Arial"/>
          <w:sz w:val="24"/>
          <w:szCs w:val="24"/>
        </w:rPr>
        <w:t xml:space="preserve"> </w:t>
      </w:r>
      <w:r w:rsidR="00244E67" w:rsidRPr="00EB056A">
        <w:rPr>
          <w:rFonts w:ascii="Arial" w:hAnsi="Arial" w:cs="Arial"/>
          <w:sz w:val="24"/>
          <w:szCs w:val="24"/>
        </w:rPr>
        <w:t>for aneurysm filling</w:t>
      </w:r>
      <w:r w:rsidR="00F66521" w:rsidRPr="00EB056A">
        <w:rPr>
          <w:rFonts w:ascii="Arial" w:hAnsi="Arial" w:cs="Arial"/>
          <w:sz w:val="24"/>
          <w:szCs w:val="24"/>
        </w:rPr>
        <w:t>,</w:t>
      </w:r>
      <w:r w:rsidR="00DC22C2" w:rsidRPr="00EB056A">
        <w:rPr>
          <w:rFonts w:ascii="Arial" w:hAnsi="Arial" w:cs="Arial"/>
          <w:sz w:val="24"/>
          <w:szCs w:val="24"/>
        </w:rPr>
        <w:t xml:space="preserve"> </w:t>
      </w:r>
      <w:r w:rsidR="00F66521" w:rsidRPr="00EB056A">
        <w:rPr>
          <w:rFonts w:ascii="Arial" w:hAnsi="Arial" w:cs="Arial"/>
          <w:sz w:val="24"/>
          <w:szCs w:val="24"/>
        </w:rPr>
        <w:t xml:space="preserve">DMSO </w:t>
      </w:r>
      <w:r w:rsidR="00C26C57" w:rsidRPr="00EB056A">
        <w:rPr>
          <w:rFonts w:ascii="Arial" w:hAnsi="Arial" w:cs="Arial"/>
          <w:sz w:val="24"/>
          <w:szCs w:val="24"/>
        </w:rPr>
        <w:t xml:space="preserve">for </w:t>
      </w:r>
      <w:r w:rsidR="00097EC0">
        <w:rPr>
          <w:rFonts w:ascii="Arial" w:hAnsi="Arial" w:cs="Arial"/>
          <w:sz w:val="24"/>
          <w:szCs w:val="24"/>
        </w:rPr>
        <w:t xml:space="preserve">polymer </w:t>
      </w:r>
      <w:r w:rsidR="00C26C57" w:rsidRPr="00EB056A">
        <w:rPr>
          <w:rFonts w:ascii="Arial" w:hAnsi="Arial" w:cs="Arial"/>
          <w:sz w:val="24"/>
          <w:szCs w:val="24"/>
        </w:rPr>
        <w:t>solubilization</w:t>
      </w:r>
      <w:r w:rsidR="006C250E">
        <w:rPr>
          <w:rFonts w:ascii="Arial" w:hAnsi="Arial" w:cs="Arial"/>
          <w:sz w:val="24"/>
          <w:szCs w:val="24"/>
        </w:rPr>
        <w:t xml:space="preserve">, </w:t>
      </w:r>
      <w:r w:rsidR="00F66521" w:rsidRPr="00EB056A">
        <w:rPr>
          <w:rFonts w:ascii="Arial" w:hAnsi="Arial" w:cs="Arial"/>
          <w:sz w:val="24"/>
          <w:szCs w:val="24"/>
        </w:rPr>
        <w:t>and tantalum powder</w:t>
      </w:r>
      <w:r w:rsidR="00C26C57" w:rsidRPr="00EB056A">
        <w:rPr>
          <w:rFonts w:ascii="Arial" w:hAnsi="Arial" w:cs="Arial"/>
          <w:sz w:val="24"/>
          <w:szCs w:val="24"/>
        </w:rPr>
        <w:t xml:space="preserve"> for imaging</w:t>
      </w:r>
      <w:r w:rsidR="00244E67" w:rsidRPr="00EB056A">
        <w:rPr>
          <w:rFonts w:ascii="Arial" w:hAnsi="Arial" w:cs="Arial"/>
          <w:sz w:val="24"/>
          <w:szCs w:val="24"/>
        </w:rPr>
        <w:fldChar w:fldCharType="begin"/>
      </w:r>
      <w:r w:rsidR="005B4F59">
        <w:rPr>
          <w:rFonts w:ascii="Arial" w:hAnsi="Arial" w:cs="Arial"/>
          <w:sz w:val="24"/>
          <w:szCs w:val="24"/>
        </w:rPr>
        <w:instrText xml:space="preserve"> ADDIN ZOTERO_ITEM CSL_CITATION {"citationID":"sCHWQ6HK","properties":{"formattedCitation":"\\super 41\\nosupersub{}","plainCitation":"41","noteIndex":0},"citationItems":[{"id":43,"uris":["http://zotero.org/users/6508478/items/6W76PZN8"],"itemData":{"id":43,"type":"webpage","abstract":"The Onyx Liquid Embolic System (LES) is an ethylene vinyl alcohol (EVOH) copolymer that provides blockage and distal penetration of peripheral and neurovascular lesions. Learn more about the Onyx Liquid Embolic System.","language":"en","title":"Peripheral Embolization Products - Onyx Liquid Embolic System","URL":"https://europe.medtronic.com/xd-en/healthcare-professionals/products/cardiovascular/peripheral-embolization/onyx.html","author":[{"literal":"Medtronic"}],"accessed":{"date-parts":[["2021",5,25]]}}}],"schema":"https://github.com/citation-style-language/schema/raw/master/csl-citation.json"} </w:instrText>
      </w:r>
      <w:r w:rsidR="00244E67" w:rsidRPr="00EB056A">
        <w:rPr>
          <w:rFonts w:ascii="Arial" w:hAnsi="Arial" w:cs="Arial"/>
          <w:sz w:val="24"/>
          <w:szCs w:val="24"/>
        </w:rPr>
        <w:fldChar w:fldCharType="separate"/>
      </w:r>
      <w:r w:rsidR="00766016" w:rsidRPr="00766016">
        <w:rPr>
          <w:rFonts w:ascii="Arial" w:hAnsi="Arial" w:cs="Arial"/>
          <w:sz w:val="24"/>
          <w:szCs w:val="24"/>
          <w:vertAlign w:val="superscript"/>
        </w:rPr>
        <w:t>41</w:t>
      </w:r>
      <w:r w:rsidR="00244E67" w:rsidRPr="00EB056A">
        <w:rPr>
          <w:rFonts w:ascii="Arial" w:hAnsi="Arial" w:cs="Arial"/>
          <w:sz w:val="24"/>
          <w:szCs w:val="24"/>
        </w:rPr>
        <w:fldChar w:fldCharType="end"/>
      </w:r>
      <w:r w:rsidR="00F66521" w:rsidRPr="00EB056A">
        <w:rPr>
          <w:rFonts w:ascii="Arial" w:hAnsi="Arial" w:cs="Arial"/>
          <w:sz w:val="24"/>
          <w:szCs w:val="24"/>
        </w:rPr>
        <w:t>.</w:t>
      </w:r>
      <w:r w:rsidR="00303C8B" w:rsidRPr="00EB056A">
        <w:rPr>
          <w:rFonts w:ascii="Arial" w:hAnsi="Arial" w:cs="Arial"/>
          <w:sz w:val="24"/>
          <w:szCs w:val="24"/>
        </w:rPr>
        <w:t xml:space="preserve"> </w:t>
      </w:r>
      <w:r w:rsidR="00D544AD" w:rsidRPr="00EB056A">
        <w:rPr>
          <w:rFonts w:ascii="Arial" w:hAnsi="Arial" w:cs="Arial"/>
          <w:sz w:val="24"/>
          <w:szCs w:val="24"/>
        </w:rPr>
        <w:t xml:space="preserve">Several small </w:t>
      </w:r>
      <w:r w:rsidR="00632EB4">
        <w:rPr>
          <w:rFonts w:ascii="Arial" w:hAnsi="Arial" w:cs="Arial"/>
          <w:sz w:val="24"/>
          <w:szCs w:val="24"/>
        </w:rPr>
        <w:t xml:space="preserve">clinical </w:t>
      </w:r>
      <w:r w:rsidR="00D544AD" w:rsidRPr="00EB056A">
        <w:rPr>
          <w:rFonts w:ascii="Arial" w:hAnsi="Arial" w:cs="Arial"/>
          <w:sz w:val="24"/>
          <w:szCs w:val="24"/>
        </w:rPr>
        <w:t>studies have been conducted</w:t>
      </w:r>
      <w:r w:rsidR="00C03A81" w:rsidRPr="00EB056A">
        <w:rPr>
          <w:rFonts w:ascii="Arial" w:hAnsi="Arial" w:cs="Arial"/>
          <w:sz w:val="24"/>
          <w:szCs w:val="24"/>
        </w:rPr>
        <w:t xml:space="preserve"> with Onyx.</w:t>
      </w:r>
      <w:r w:rsidR="00097EC0">
        <w:rPr>
          <w:rFonts w:ascii="Arial" w:hAnsi="Arial" w:cs="Arial"/>
          <w:sz w:val="24"/>
          <w:szCs w:val="24"/>
        </w:rPr>
        <w:t xml:space="preserve"> For example,</w:t>
      </w:r>
      <w:r w:rsidR="00C03A81" w:rsidRPr="00EB056A">
        <w:rPr>
          <w:rFonts w:ascii="Arial" w:hAnsi="Arial" w:cs="Arial"/>
          <w:sz w:val="24"/>
          <w:szCs w:val="24"/>
        </w:rPr>
        <w:t xml:space="preserve"> Chalaoui </w:t>
      </w:r>
      <w:r w:rsidR="00C03A81" w:rsidRPr="00EB056A">
        <w:rPr>
          <w:rFonts w:ascii="Arial" w:hAnsi="Arial" w:cs="Arial"/>
          <w:i/>
          <w:iCs/>
          <w:sz w:val="24"/>
          <w:szCs w:val="24"/>
        </w:rPr>
        <w:t>et al</w:t>
      </w:r>
      <w:r w:rsidR="00DE3749">
        <w:rPr>
          <w:rFonts w:ascii="Arial" w:hAnsi="Arial" w:cs="Arial"/>
          <w:i/>
          <w:iCs/>
          <w:sz w:val="24"/>
          <w:szCs w:val="24"/>
        </w:rPr>
        <w:t>.</w:t>
      </w:r>
      <w:r w:rsidR="00FC5847" w:rsidRPr="00EB056A">
        <w:rPr>
          <w:rFonts w:ascii="Arial" w:hAnsi="Arial" w:cs="Arial"/>
          <w:i/>
          <w:iCs/>
          <w:sz w:val="24"/>
          <w:szCs w:val="24"/>
        </w:rPr>
        <w:fldChar w:fldCharType="begin"/>
      </w:r>
      <w:r w:rsidR="005B4F59">
        <w:rPr>
          <w:rFonts w:ascii="Arial" w:hAnsi="Arial" w:cs="Arial"/>
          <w:i/>
          <w:iCs/>
          <w:sz w:val="24"/>
          <w:szCs w:val="24"/>
        </w:rPr>
        <w:instrText xml:space="preserve"> ADDIN ZOTERO_ITEM CSL_CITATION {"citationID":"sir5PI5r","properties":{"formattedCitation":"\\super 42\\nosupersub{}","plainCitation":"42","noteIndex":0},"citationItems":[{"id":669,"uris":["http://zotero.org/users/6508478/items/CG2THB2N"],"itemData":{"id":669,"type":"article-journal","abstract":"Objective\nSurgical clipping and coil embolization of distally located intracranial aneurysms can be challenging. The goal of this study was to assess the feasibility, safety and efficacy of treatment of distal aneurysms with the liquid embolic agent Onyx 18/34.\nMethods\nSixteen patients were treated with Onyx 18/34 for distally located aneurysms in our institution between March 2009 and September 2012. The technique consists of occluding the aneurysm as well as the parent vessel at the level of aneurysm with Onyx 18 or 34. Candidates for this treatment were patients with distal aneurysms including mycotic aneurysms, dissecting aneurysms, and pseudoaneurysms in which coiling was considered impossible.\nResults\nOf the 16 patients, 12 presented with subarachnoid and/or intracerebral hemorrhage. Median aneurysm size was 4.6mm. Aneurysm locations were as follows: Posterior inferior cerebellar artery (n=5), distal anterior inferior cerebellar artery (n=3), distal pericallosal (n=3), distal anterior cerebral artery (n=3), lenticulostriate artery (n=1), and anterior ethmoidal artery (n=1). There were 4 mycotic aneurysms. Complete aneurysm obliteration was achieved in all 6 patients with available angiographic follow-up. There was only 1 (6.3%) symptomatic complication in the series. There were no instances of reflux or accidental migration of embolic material. Favorable outcomes were noted in 82% of patients at discharge. Two patients with mycotic aneurysms died from cardiac complications of endocarditis. No aneurysm recanalization or rehemorrhage were seen.\nConclusion\nParent vessel trapping with Onyx 18/34 offers a simple, safe, and effective means of achieving obliteration of distal challenging aneurysms.","container-title":"Clinical Neurology and Neurosurgery","DOI":"10.1016/j.clineuro.2013.10.018","ISSN":"0303-8467","issue":"12","journalAbbreviation":"Clinical Neurology and Neurosurgery","language":"en","page":"2528-2532","source":"ScienceDirect","title":"Endovascular treatment of distal intracranial aneurysms with Onyx 18/34","volume":"115","author":[{"family":"Chalouhi","given":"Nohra"},{"family":"Tjoumakaris","given":"Stavropoula"},{"family":"Gonzalez","given":"L. Fernando"},{"family":"Hasan","given":"David"},{"family":"Alkhalili","given":"Kenan"},{"family":"Dumont","given":"Aaron S."},{"family":"Rosenwasser","given":"Robert"},{"family":"Jabbour","given":"Pascal"}],"issued":{"date-parts":[["2013",12,1]]}}}],"schema":"https://github.com/citation-style-language/schema/raw/master/csl-citation.json"} </w:instrText>
      </w:r>
      <w:r w:rsidR="00FC5847" w:rsidRPr="00EB056A">
        <w:rPr>
          <w:rFonts w:ascii="Arial" w:hAnsi="Arial" w:cs="Arial"/>
          <w:i/>
          <w:iCs/>
          <w:sz w:val="24"/>
          <w:szCs w:val="24"/>
        </w:rPr>
        <w:fldChar w:fldCharType="separate"/>
      </w:r>
      <w:r w:rsidR="00766016" w:rsidRPr="00766016">
        <w:rPr>
          <w:rFonts w:ascii="Arial" w:hAnsi="Arial" w:cs="Arial"/>
          <w:sz w:val="24"/>
          <w:szCs w:val="24"/>
          <w:vertAlign w:val="superscript"/>
        </w:rPr>
        <w:t>42</w:t>
      </w:r>
      <w:r w:rsidR="00FC5847" w:rsidRPr="00EB056A">
        <w:rPr>
          <w:rFonts w:ascii="Arial" w:hAnsi="Arial" w:cs="Arial"/>
          <w:i/>
          <w:iCs/>
          <w:sz w:val="24"/>
          <w:szCs w:val="24"/>
        </w:rPr>
        <w:fldChar w:fldCharType="end"/>
      </w:r>
      <w:r w:rsidR="00C03A81" w:rsidRPr="00EB056A">
        <w:rPr>
          <w:rFonts w:ascii="Arial" w:hAnsi="Arial" w:cs="Arial"/>
          <w:sz w:val="24"/>
          <w:szCs w:val="24"/>
        </w:rPr>
        <w:t xml:space="preserve"> found that </w:t>
      </w:r>
      <w:r w:rsidR="00DD3B00" w:rsidRPr="00EB056A">
        <w:rPr>
          <w:rFonts w:ascii="Arial" w:hAnsi="Arial" w:cs="Arial"/>
          <w:sz w:val="24"/>
          <w:szCs w:val="24"/>
        </w:rPr>
        <w:t xml:space="preserve">13 out </w:t>
      </w:r>
      <w:r w:rsidR="008712B0" w:rsidRPr="00EB056A">
        <w:rPr>
          <w:rFonts w:ascii="Arial" w:hAnsi="Arial" w:cs="Arial"/>
          <w:sz w:val="24"/>
          <w:szCs w:val="24"/>
        </w:rPr>
        <w:t xml:space="preserve">of 16 patients </w:t>
      </w:r>
      <w:r w:rsidR="00081842" w:rsidRPr="00EB056A">
        <w:rPr>
          <w:rFonts w:ascii="Arial" w:hAnsi="Arial" w:cs="Arial"/>
          <w:sz w:val="24"/>
          <w:szCs w:val="24"/>
        </w:rPr>
        <w:t>had a successful occlusion of their aneurysm</w:t>
      </w:r>
      <w:r w:rsidR="00A03B18" w:rsidRPr="00EB056A">
        <w:rPr>
          <w:rFonts w:ascii="Arial" w:hAnsi="Arial" w:cs="Arial"/>
          <w:sz w:val="24"/>
          <w:szCs w:val="24"/>
        </w:rPr>
        <w:t xml:space="preserve">, including </w:t>
      </w:r>
      <w:r w:rsidR="004F2DBD" w:rsidRPr="00EB056A">
        <w:rPr>
          <w:rFonts w:ascii="Arial" w:hAnsi="Arial" w:cs="Arial"/>
          <w:sz w:val="24"/>
          <w:szCs w:val="24"/>
        </w:rPr>
        <w:t xml:space="preserve">patients with </w:t>
      </w:r>
      <w:r w:rsidR="000737E9" w:rsidRPr="00EB056A">
        <w:rPr>
          <w:rFonts w:ascii="Arial" w:hAnsi="Arial" w:cs="Arial"/>
          <w:sz w:val="24"/>
          <w:szCs w:val="24"/>
        </w:rPr>
        <w:t xml:space="preserve">ruptured </w:t>
      </w:r>
      <w:r w:rsidR="000737E9" w:rsidRPr="00EB056A">
        <w:rPr>
          <w:rFonts w:ascii="Arial" w:hAnsi="Arial" w:cs="Arial"/>
          <w:sz w:val="24"/>
          <w:szCs w:val="24"/>
        </w:rPr>
        <w:lastRenderedPageBreak/>
        <w:t>aneurysms.</w:t>
      </w:r>
      <w:r w:rsidR="0086594E" w:rsidRPr="00EB056A">
        <w:rPr>
          <w:rFonts w:ascii="Arial" w:hAnsi="Arial" w:cs="Arial"/>
          <w:sz w:val="24"/>
          <w:szCs w:val="24"/>
        </w:rPr>
        <w:t xml:space="preserve"> </w:t>
      </w:r>
      <w:r w:rsidR="00592BD6" w:rsidRPr="00EB056A">
        <w:rPr>
          <w:rFonts w:ascii="Arial" w:hAnsi="Arial" w:cs="Arial"/>
          <w:sz w:val="24"/>
          <w:szCs w:val="24"/>
        </w:rPr>
        <w:t>A</w:t>
      </w:r>
      <w:r w:rsidR="0020595E" w:rsidRPr="00EB056A">
        <w:rPr>
          <w:rFonts w:ascii="Arial" w:hAnsi="Arial" w:cs="Arial"/>
          <w:sz w:val="24"/>
          <w:szCs w:val="24"/>
        </w:rPr>
        <w:t xml:space="preserve">nother study </w:t>
      </w:r>
      <w:r w:rsidR="00632EB4">
        <w:rPr>
          <w:rFonts w:ascii="Arial" w:hAnsi="Arial" w:cs="Arial"/>
          <w:sz w:val="24"/>
          <w:szCs w:val="24"/>
        </w:rPr>
        <w:t>reported</w:t>
      </w:r>
      <w:r w:rsidR="00632EB4" w:rsidRPr="00EB056A">
        <w:rPr>
          <w:rFonts w:ascii="Arial" w:hAnsi="Arial" w:cs="Arial"/>
          <w:sz w:val="24"/>
          <w:szCs w:val="24"/>
        </w:rPr>
        <w:t xml:space="preserve"> </w:t>
      </w:r>
      <w:r w:rsidR="0020595E" w:rsidRPr="00EB056A">
        <w:rPr>
          <w:rFonts w:ascii="Arial" w:hAnsi="Arial" w:cs="Arial"/>
          <w:sz w:val="24"/>
          <w:szCs w:val="24"/>
        </w:rPr>
        <w:t xml:space="preserve">that liquid fillers do not cause </w:t>
      </w:r>
      <w:r w:rsidR="00A31529" w:rsidRPr="00EB056A">
        <w:rPr>
          <w:rFonts w:ascii="Arial" w:hAnsi="Arial" w:cs="Arial"/>
          <w:sz w:val="24"/>
          <w:szCs w:val="24"/>
        </w:rPr>
        <w:t>inflammation and thrombosis, contrary to coils</w:t>
      </w:r>
      <w:r w:rsidR="00A31529" w:rsidRPr="00EB056A">
        <w:rPr>
          <w:rFonts w:ascii="Arial" w:hAnsi="Arial" w:cs="Arial"/>
          <w:sz w:val="24"/>
          <w:szCs w:val="24"/>
        </w:rPr>
        <w:fldChar w:fldCharType="begin"/>
      </w:r>
      <w:r w:rsidR="005B4F59">
        <w:rPr>
          <w:rFonts w:ascii="Arial" w:hAnsi="Arial" w:cs="Arial"/>
          <w:sz w:val="24"/>
          <w:szCs w:val="24"/>
        </w:rPr>
        <w:instrText xml:space="preserve"> ADDIN ZOTERO_ITEM CSL_CITATION {"citationID":"YcFUkMkc","properties":{"formattedCitation":"\\super 43\\nosupersub{}","plainCitation":"43","noteIndex":0},"citationItems":[{"id":670,"uris":["http://zotero.org/users/6508478/items/T98LMBJV"],"itemData":{"id":670,"type":"article-journal","abstract":"BACKGROUND AND PURPOSE: The purpose of this study was to evaluate the degree of organization and fibrocellular tissue development in aneurysms treated with bare platinum or biologically active microcoils., METHODS: Twelve aneurysms were removed at autopsy between 1–18 days and another 2 between 2–3 months posttreatment. Four aneurysms were surgically removed between 6 months and 3 years following treatment. One aneurysm removed at 8 days and another at 6 months were treated with bioactive (Matrix) coils; the other 16 with bare platinum (Guglielmi detachable coils; GDCs). All specimens were embedded in plastic, stained with hematoxilin-eosin and elastin and examined by light microscopy., RESULTS: All specimens removed within 3 weeks demonstrated intra-aneurysmal thrombus, without signs of organization or fibrotic tissue formation over the neck regardless of the type of coils used. In the GDC-treated aneurysms, evidence of early thrombus organization was observed within 2–3 months, and completed yet imperfect fibrocellular reaction together with residual thrombus at 2–3 years. In the Matrix-treated specimens, the aneurysm cavity was completely filled with granulation tissue corresponding to still ongoing fibrocellular reaction at 6 months, including newly formed blood vessels, smooth muscle cells, and collagen deposition without signs of residual thrombus., CONCLUSIONS: Our results indicate that in aneurysms treated with bare platinum coils thrombus organization does not occur until late after treatment and may remain imperfect for years. In one aneurysm studied 8 days following treatment with Matrix coils, no difference was noted compared to aneurysms treated with bare platinum coils. In another aneurysm examined 6 months following packing with Matrix coils, the histologic changes support the hypothesis that the biologically active polymer may accelerate aneurysm healing.","container-title":"AJNR: American Journal of Neuroradiology","ISSN":"0195-6108","issue":"2","journalAbbreviation":"AJNR Am J Neuroradiol","note":"PMID: 16484393\nPMCID: PMC8148754","page":"283-288","source":"PubMed Central","title":"Histopathologic Evaluation of Aneurysms Treated with Guglielmi Detachable Coils or Matrix Detachable Microcoils","volume":"27","author":[{"family":"Szikora","given":"I."},{"family":"Seifert","given":"P."},{"family":"Hanzely","given":"Z."},{"family":"Kulcsar","given":"Z."},{"family":"Berentei","given":"Z."},{"family":"Marosfoi","given":"M."},{"family":"Czirjak","given":"S."},{"family":"Vajda","given":"J."},{"family":"Nyary","given":"I."}],"issued":{"date-parts":[["2006",2]]}}}],"schema":"https://github.com/citation-style-language/schema/raw/master/csl-citation.json"} </w:instrText>
      </w:r>
      <w:r w:rsidR="00A31529" w:rsidRPr="00EB056A">
        <w:rPr>
          <w:rFonts w:ascii="Arial" w:hAnsi="Arial" w:cs="Arial"/>
          <w:sz w:val="24"/>
          <w:szCs w:val="24"/>
        </w:rPr>
        <w:fldChar w:fldCharType="separate"/>
      </w:r>
      <w:r w:rsidR="00766016" w:rsidRPr="00766016">
        <w:rPr>
          <w:rFonts w:ascii="Arial" w:hAnsi="Arial" w:cs="Arial"/>
          <w:sz w:val="24"/>
          <w:szCs w:val="24"/>
          <w:vertAlign w:val="superscript"/>
        </w:rPr>
        <w:t>43</w:t>
      </w:r>
      <w:r w:rsidR="00A31529" w:rsidRPr="00EB056A">
        <w:rPr>
          <w:rFonts w:ascii="Arial" w:hAnsi="Arial" w:cs="Arial"/>
          <w:sz w:val="24"/>
          <w:szCs w:val="24"/>
        </w:rPr>
        <w:fldChar w:fldCharType="end"/>
      </w:r>
      <w:r w:rsidR="00CB4933" w:rsidRPr="00EB056A">
        <w:rPr>
          <w:rFonts w:ascii="Arial" w:hAnsi="Arial" w:cs="Arial"/>
          <w:sz w:val="24"/>
          <w:szCs w:val="24"/>
        </w:rPr>
        <w:t>. However</w:t>
      </w:r>
      <w:r w:rsidR="00D15929" w:rsidRPr="00EB056A">
        <w:rPr>
          <w:rFonts w:ascii="Arial" w:hAnsi="Arial" w:cs="Arial"/>
          <w:sz w:val="24"/>
          <w:szCs w:val="24"/>
        </w:rPr>
        <w:t xml:space="preserve">, one major </w:t>
      </w:r>
      <w:r w:rsidR="00CD64F2" w:rsidRPr="00EB056A">
        <w:rPr>
          <w:rFonts w:ascii="Arial" w:hAnsi="Arial" w:cs="Arial"/>
          <w:sz w:val="24"/>
          <w:szCs w:val="24"/>
        </w:rPr>
        <w:t>risk</w:t>
      </w:r>
      <w:r w:rsidR="00D15929" w:rsidRPr="00EB056A">
        <w:rPr>
          <w:rFonts w:ascii="Arial" w:hAnsi="Arial" w:cs="Arial"/>
          <w:sz w:val="24"/>
          <w:szCs w:val="24"/>
        </w:rPr>
        <w:t xml:space="preserve"> of </w:t>
      </w:r>
      <w:r w:rsidR="008B7553" w:rsidRPr="00EB056A">
        <w:rPr>
          <w:rFonts w:ascii="Arial" w:hAnsi="Arial" w:cs="Arial"/>
          <w:sz w:val="24"/>
          <w:szCs w:val="24"/>
        </w:rPr>
        <w:t xml:space="preserve">embolization agents is the </w:t>
      </w:r>
      <w:r w:rsidR="00632EB4">
        <w:rPr>
          <w:rFonts w:ascii="Arial" w:hAnsi="Arial" w:cs="Arial"/>
          <w:sz w:val="24"/>
          <w:szCs w:val="24"/>
        </w:rPr>
        <w:t>potential</w:t>
      </w:r>
      <w:r w:rsidR="00632EB4" w:rsidRPr="00EB056A">
        <w:rPr>
          <w:rFonts w:ascii="Arial" w:hAnsi="Arial" w:cs="Arial"/>
          <w:sz w:val="24"/>
          <w:szCs w:val="24"/>
        </w:rPr>
        <w:t xml:space="preserve"> </w:t>
      </w:r>
      <w:r w:rsidR="008B7553" w:rsidRPr="00EB056A">
        <w:rPr>
          <w:rFonts w:ascii="Arial" w:hAnsi="Arial" w:cs="Arial"/>
          <w:sz w:val="24"/>
          <w:szCs w:val="24"/>
        </w:rPr>
        <w:t xml:space="preserve">of </w:t>
      </w:r>
      <w:r w:rsidR="00632EB4">
        <w:rPr>
          <w:rFonts w:ascii="Arial" w:hAnsi="Arial" w:cs="Arial"/>
          <w:sz w:val="24"/>
          <w:szCs w:val="24"/>
        </w:rPr>
        <w:t xml:space="preserve">filler </w:t>
      </w:r>
      <w:r w:rsidR="008B7553" w:rsidRPr="00EB056A">
        <w:rPr>
          <w:rFonts w:ascii="Arial" w:hAnsi="Arial" w:cs="Arial"/>
          <w:sz w:val="24"/>
          <w:szCs w:val="24"/>
        </w:rPr>
        <w:t>fragmentatio</w:t>
      </w:r>
      <w:r w:rsidR="00DC2CC4" w:rsidRPr="00EB056A">
        <w:rPr>
          <w:rFonts w:ascii="Arial" w:hAnsi="Arial" w:cs="Arial"/>
          <w:sz w:val="24"/>
          <w:szCs w:val="24"/>
        </w:rPr>
        <w:t xml:space="preserve">n </w:t>
      </w:r>
      <w:r w:rsidR="00EF1310" w:rsidRPr="00EB056A">
        <w:rPr>
          <w:rFonts w:ascii="Arial" w:hAnsi="Arial" w:cs="Arial"/>
          <w:sz w:val="24"/>
          <w:szCs w:val="24"/>
        </w:rPr>
        <w:t>by blood flow</w:t>
      </w:r>
      <w:r w:rsidR="00E62CE9" w:rsidRPr="00EB056A">
        <w:rPr>
          <w:rFonts w:ascii="Arial" w:hAnsi="Arial" w:cs="Arial"/>
          <w:sz w:val="24"/>
          <w:szCs w:val="24"/>
        </w:rPr>
        <w:fldChar w:fldCharType="begin"/>
      </w:r>
      <w:r w:rsidR="005B4F59">
        <w:rPr>
          <w:rFonts w:ascii="Arial" w:hAnsi="Arial" w:cs="Arial"/>
          <w:sz w:val="24"/>
          <w:szCs w:val="24"/>
        </w:rPr>
        <w:instrText xml:space="preserve"> ADDIN ZOTERO_ITEM CSL_CITATION {"citationID":"zsnbifbO","properties":{"formattedCitation":"\\super 40\\nosupersub{}","plainCitation":"40","noteIndex":0},"citationItems":[{"id":667,"uris":["http://zotero.org/users/6508478/items/QNUN7CNI"],"itemData":{"id":667,"type":"article-journal","abstract":"Derzeit gibt es verschiedene Materialien zur endovaskulären Behandlung von Aneurysmen. Die Wahl des Materials hängt dabei von der Lokalisation und Konfiguration des Aneurysmas ab. Um eine optimale Aneurysmabehandlung zu gewährleisten, muss das Füllmaterial das Aneurysma inkorporieren und vom Trägergefäß durch Ausbildung einer Endothelschicht und Neointimaproliferation entlang des Aneurysmahalses isolieren. Dadurch kann das Aneurysma dauerhaft vom Blutfluss isoliert und so die geschwächte Gefäßwand langfristig stabilisiert werden, um eine nachfolgende Ruptur zu verhindern. Am häufigsten werden aktuell weiche Platinspiralen (Coils) verwendet. In den letzten Jahren wurden vermehrt Flüssigembolisate zur endovaskulären Behandlung von Aneurysmen entwickelt. Einer der Gründe ist dabei, dass die injizierte Flüssigkeit das Aneurysmalumen vollständig ausfüllt und somit unabhängig von der Aneurysmaform keine Lücke zwischen Füllmaterial und Aneurysmawand entsteht. Die meisten präklinischen und klinischen Studien liegen für Onyx vor. Insbesondere zur Behandlung von mykotischen Aneurysmen sowie Aneurysmen der distalen hinteren Strombahn erweist sich die Flüssigembolisation mit Onyx bereits als mögliche, effektive Behandlungsmethode.","container-title":"Der Radiologe","DOI":"10.1007/s00117-020-00668-4","ISSN":"1432-2102","issue":"4","journalAbbreviation":"Radiologe","language":"de","page":"325-328","source":"Springer Link","title":"Neue Wege zur Embolisation von Aneurysmen (Flüssigembolisat)","volume":"60","author":[{"family":"Fries","given":"Frederik"}],"issued":{"date-parts":[["2020",4,1]]}}}],"schema":"https://github.com/citation-style-language/schema/raw/master/csl-citation.json"} </w:instrText>
      </w:r>
      <w:r w:rsidR="00E62CE9" w:rsidRPr="00EB056A">
        <w:rPr>
          <w:rFonts w:ascii="Arial" w:hAnsi="Arial" w:cs="Arial"/>
          <w:sz w:val="24"/>
          <w:szCs w:val="24"/>
        </w:rPr>
        <w:fldChar w:fldCharType="separate"/>
      </w:r>
      <w:r w:rsidR="00766016" w:rsidRPr="00766016">
        <w:rPr>
          <w:rFonts w:ascii="Arial" w:hAnsi="Arial" w:cs="Arial"/>
          <w:sz w:val="24"/>
          <w:szCs w:val="24"/>
          <w:vertAlign w:val="superscript"/>
        </w:rPr>
        <w:t>40</w:t>
      </w:r>
      <w:r w:rsidR="00E62CE9" w:rsidRPr="00EB056A">
        <w:rPr>
          <w:rFonts w:ascii="Arial" w:hAnsi="Arial" w:cs="Arial"/>
          <w:sz w:val="24"/>
          <w:szCs w:val="24"/>
        </w:rPr>
        <w:fldChar w:fldCharType="end"/>
      </w:r>
      <w:r w:rsidR="00EF1310" w:rsidRPr="00EB056A">
        <w:rPr>
          <w:rFonts w:ascii="Arial" w:hAnsi="Arial" w:cs="Arial"/>
          <w:sz w:val="24"/>
          <w:szCs w:val="24"/>
        </w:rPr>
        <w:t>.</w:t>
      </w:r>
      <w:r w:rsidR="00723C4C" w:rsidRPr="00EB056A">
        <w:rPr>
          <w:rFonts w:ascii="Arial" w:hAnsi="Arial" w:cs="Arial"/>
          <w:sz w:val="24"/>
          <w:szCs w:val="24"/>
        </w:rPr>
        <w:t xml:space="preserve"> </w:t>
      </w:r>
    </w:p>
    <w:p w14:paraId="3D5BE6ED" w14:textId="0E5EF4E5" w:rsidR="00810D88" w:rsidRPr="00EB056A" w:rsidRDefault="00032687" w:rsidP="00EB056A">
      <w:pPr>
        <w:spacing w:line="480" w:lineRule="auto"/>
        <w:jc w:val="both"/>
        <w:rPr>
          <w:rFonts w:ascii="Arial" w:hAnsi="Arial" w:cs="Arial"/>
          <w:sz w:val="24"/>
          <w:szCs w:val="24"/>
          <w:highlight w:val="yellow"/>
        </w:rPr>
      </w:pPr>
      <w:r>
        <w:rPr>
          <w:rFonts w:ascii="Arial" w:hAnsi="Arial" w:cs="Arial"/>
          <w:noProof/>
          <w:sz w:val="24"/>
          <w:szCs w:val="24"/>
        </w:rPr>
        <w:drawing>
          <wp:inline distT="0" distB="0" distL="0" distR="0" wp14:anchorId="6BE5ABE3" wp14:editId="3723C69A">
            <wp:extent cx="4870456" cy="2914650"/>
            <wp:effectExtent l="0" t="0" r="6350" b="0"/>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 liq filler.JPG"/>
                    <pic:cNvPicPr/>
                  </pic:nvPicPr>
                  <pic:blipFill>
                    <a:blip r:embed="rId16">
                      <a:extLst>
                        <a:ext uri="{28A0092B-C50C-407E-A947-70E740481C1C}">
                          <a14:useLocalDpi xmlns:a14="http://schemas.microsoft.com/office/drawing/2010/main" val="0"/>
                        </a:ext>
                      </a:extLst>
                    </a:blip>
                    <a:stretch>
                      <a:fillRect/>
                    </a:stretch>
                  </pic:blipFill>
                  <pic:spPr>
                    <a:xfrm>
                      <a:off x="0" y="0"/>
                      <a:ext cx="4883106" cy="2922220"/>
                    </a:xfrm>
                    <a:prstGeom prst="rect">
                      <a:avLst/>
                    </a:prstGeom>
                  </pic:spPr>
                </pic:pic>
              </a:graphicData>
            </a:graphic>
          </wp:inline>
        </w:drawing>
      </w:r>
    </w:p>
    <w:p w14:paraId="29BE0DEA" w14:textId="1525285F" w:rsidR="00687248" w:rsidRDefault="00911D56" w:rsidP="00834360">
      <w:pPr>
        <w:pStyle w:val="Lgende"/>
        <w:spacing w:line="276" w:lineRule="auto"/>
        <w:jc w:val="both"/>
        <w:rPr>
          <w:rFonts w:ascii="Arial" w:hAnsi="Arial" w:cs="Arial"/>
          <w:i w:val="0"/>
          <w:iCs w:val="0"/>
          <w:color w:val="000000" w:themeColor="text1"/>
          <w:sz w:val="24"/>
          <w:szCs w:val="24"/>
        </w:rPr>
      </w:pPr>
      <w:bookmarkStart w:id="42" w:name="_Ref90380594"/>
      <w:bookmarkStart w:id="43" w:name="_Toc105918973"/>
      <w:r w:rsidRPr="00AC34B0">
        <w:rPr>
          <w:rFonts w:ascii="Arial" w:hAnsi="Arial" w:cs="Arial"/>
          <w:b/>
          <w:bCs/>
          <w:i w:val="0"/>
          <w:iCs w:val="0"/>
          <w:color w:val="auto"/>
          <w:sz w:val="24"/>
          <w:szCs w:val="24"/>
        </w:rPr>
        <w:t xml:space="preserve">Figure </w:t>
      </w:r>
      <w:r w:rsidRPr="00AC34B0">
        <w:rPr>
          <w:rFonts w:ascii="Arial" w:hAnsi="Arial" w:cs="Arial"/>
          <w:b/>
          <w:bCs/>
          <w:i w:val="0"/>
          <w:iCs w:val="0"/>
          <w:color w:val="auto"/>
          <w:sz w:val="24"/>
          <w:szCs w:val="24"/>
        </w:rPr>
        <w:fldChar w:fldCharType="begin"/>
      </w:r>
      <w:r w:rsidRPr="00AC34B0">
        <w:rPr>
          <w:rFonts w:ascii="Arial" w:hAnsi="Arial" w:cs="Arial"/>
          <w:b/>
          <w:bCs/>
          <w:i w:val="0"/>
          <w:iCs w:val="0"/>
          <w:color w:val="auto"/>
          <w:sz w:val="24"/>
          <w:szCs w:val="24"/>
        </w:rPr>
        <w:instrText xml:space="preserve"> SEQ Figure \* ARABIC </w:instrText>
      </w:r>
      <w:r w:rsidRPr="00AC34B0">
        <w:rPr>
          <w:rFonts w:ascii="Arial" w:hAnsi="Arial" w:cs="Arial"/>
          <w:b/>
          <w:bCs/>
          <w:i w:val="0"/>
          <w:iCs w:val="0"/>
          <w:color w:val="auto"/>
          <w:sz w:val="24"/>
          <w:szCs w:val="24"/>
        </w:rPr>
        <w:fldChar w:fldCharType="separate"/>
      </w:r>
      <w:r w:rsidR="005C4791">
        <w:rPr>
          <w:rFonts w:ascii="Arial" w:hAnsi="Arial" w:cs="Arial"/>
          <w:b/>
          <w:bCs/>
          <w:i w:val="0"/>
          <w:iCs w:val="0"/>
          <w:noProof/>
          <w:color w:val="auto"/>
          <w:sz w:val="24"/>
          <w:szCs w:val="24"/>
        </w:rPr>
        <w:t>8</w:t>
      </w:r>
      <w:r w:rsidRPr="00AC34B0">
        <w:rPr>
          <w:rFonts w:ascii="Arial" w:hAnsi="Arial" w:cs="Arial"/>
          <w:b/>
          <w:bCs/>
          <w:i w:val="0"/>
          <w:iCs w:val="0"/>
          <w:color w:val="auto"/>
          <w:sz w:val="24"/>
          <w:szCs w:val="24"/>
        </w:rPr>
        <w:fldChar w:fldCharType="end"/>
      </w:r>
      <w:bookmarkEnd w:id="42"/>
      <w:r w:rsidRPr="00AC34B0">
        <w:rPr>
          <w:rFonts w:ascii="Arial" w:hAnsi="Arial" w:cs="Arial"/>
          <w:b/>
          <w:bCs/>
          <w:i w:val="0"/>
          <w:iCs w:val="0"/>
          <w:color w:val="auto"/>
          <w:sz w:val="24"/>
          <w:szCs w:val="24"/>
        </w:rPr>
        <w:t>: Method of insertion of a liquid filler</w:t>
      </w:r>
      <w:r w:rsidR="00CB7697" w:rsidRPr="00AC34B0">
        <w:rPr>
          <w:rFonts w:ascii="Arial" w:hAnsi="Arial" w:cs="Arial"/>
          <w:b/>
          <w:bCs/>
          <w:i w:val="0"/>
          <w:iCs w:val="0"/>
          <w:color w:val="000000" w:themeColor="text1"/>
          <w:sz w:val="24"/>
          <w:szCs w:val="24"/>
        </w:rPr>
        <w:t xml:space="preserve">. </w:t>
      </w:r>
      <w:r w:rsidR="00032687" w:rsidRPr="007A65EA">
        <w:rPr>
          <w:rFonts w:ascii="Arial" w:hAnsi="Arial" w:cs="Arial"/>
          <w:i w:val="0"/>
          <w:iCs w:val="0"/>
          <w:color w:val="000000" w:themeColor="text1"/>
          <w:sz w:val="24"/>
          <w:szCs w:val="24"/>
        </w:rPr>
        <w:t>A:</w:t>
      </w:r>
      <w:r w:rsidR="00032687">
        <w:rPr>
          <w:rFonts w:ascii="Arial" w:hAnsi="Arial" w:cs="Arial"/>
          <w:b/>
          <w:bCs/>
          <w:i w:val="0"/>
          <w:iCs w:val="0"/>
          <w:color w:val="000000" w:themeColor="text1"/>
          <w:sz w:val="24"/>
          <w:szCs w:val="24"/>
        </w:rPr>
        <w:t xml:space="preserve"> </w:t>
      </w:r>
      <w:r w:rsidR="00A96EFA" w:rsidRPr="00AC34B0">
        <w:rPr>
          <w:rFonts w:ascii="Arial" w:hAnsi="Arial" w:cs="Arial"/>
          <w:i w:val="0"/>
          <w:iCs w:val="0"/>
          <w:color w:val="000000" w:themeColor="text1"/>
          <w:sz w:val="24"/>
          <w:szCs w:val="24"/>
        </w:rPr>
        <w:t xml:space="preserve">A </w:t>
      </w:r>
      <w:r w:rsidR="00032687">
        <w:rPr>
          <w:rFonts w:ascii="Arial" w:hAnsi="Arial" w:cs="Arial"/>
          <w:i w:val="0"/>
          <w:iCs w:val="0"/>
          <w:color w:val="000000" w:themeColor="text1"/>
          <w:sz w:val="24"/>
          <w:szCs w:val="24"/>
        </w:rPr>
        <w:t>balloon catheter</w:t>
      </w:r>
      <w:r w:rsidR="00A96EFA" w:rsidRPr="00AC34B0">
        <w:rPr>
          <w:rFonts w:ascii="Arial" w:hAnsi="Arial" w:cs="Arial"/>
          <w:i w:val="0"/>
          <w:iCs w:val="0"/>
          <w:color w:val="000000" w:themeColor="text1"/>
          <w:sz w:val="24"/>
          <w:szCs w:val="24"/>
        </w:rPr>
        <w:t xml:space="preserve"> is</w:t>
      </w:r>
      <w:r w:rsidR="0086648A" w:rsidRPr="00AC34B0">
        <w:rPr>
          <w:rFonts w:ascii="Arial" w:hAnsi="Arial" w:cs="Arial"/>
          <w:i w:val="0"/>
          <w:iCs w:val="0"/>
          <w:color w:val="000000" w:themeColor="text1"/>
          <w:sz w:val="24"/>
          <w:szCs w:val="24"/>
        </w:rPr>
        <w:t xml:space="preserve"> inserted </w:t>
      </w:r>
      <w:r w:rsidR="00032687">
        <w:rPr>
          <w:rFonts w:ascii="Arial" w:hAnsi="Arial" w:cs="Arial"/>
          <w:i w:val="0"/>
          <w:iCs w:val="0"/>
          <w:color w:val="000000" w:themeColor="text1"/>
          <w:sz w:val="24"/>
          <w:szCs w:val="24"/>
        </w:rPr>
        <w:t>to</w:t>
      </w:r>
      <w:r w:rsidR="00032687" w:rsidRPr="00AC34B0">
        <w:rPr>
          <w:rFonts w:ascii="Arial" w:hAnsi="Arial" w:cs="Arial"/>
          <w:i w:val="0"/>
          <w:iCs w:val="0"/>
          <w:color w:val="000000" w:themeColor="text1"/>
          <w:sz w:val="24"/>
          <w:szCs w:val="24"/>
        </w:rPr>
        <w:t xml:space="preserve"> </w:t>
      </w:r>
      <w:r w:rsidR="0086648A" w:rsidRPr="00AC34B0">
        <w:rPr>
          <w:rFonts w:ascii="Arial" w:hAnsi="Arial" w:cs="Arial"/>
          <w:i w:val="0"/>
          <w:iCs w:val="0"/>
          <w:color w:val="000000" w:themeColor="text1"/>
          <w:sz w:val="24"/>
          <w:szCs w:val="24"/>
        </w:rPr>
        <w:t>block the blood flow</w:t>
      </w:r>
      <w:r w:rsidR="00032687">
        <w:rPr>
          <w:rFonts w:ascii="Arial" w:hAnsi="Arial" w:cs="Arial"/>
          <w:i w:val="0"/>
          <w:iCs w:val="0"/>
          <w:color w:val="000000" w:themeColor="text1"/>
          <w:sz w:val="24"/>
          <w:szCs w:val="24"/>
        </w:rPr>
        <w:t>.</w:t>
      </w:r>
      <w:r w:rsidR="0086648A" w:rsidRPr="00AC34B0">
        <w:rPr>
          <w:rFonts w:ascii="Arial" w:hAnsi="Arial" w:cs="Arial"/>
          <w:i w:val="0"/>
          <w:iCs w:val="0"/>
          <w:color w:val="000000" w:themeColor="text1"/>
          <w:sz w:val="24"/>
          <w:szCs w:val="24"/>
        </w:rPr>
        <w:t xml:space="preserve"> </w:t>
      </w:r>
      <w:r w:rsidR="00032687">
        <w:rPr>
          <w:rFonts w:ascii="Arial" w:hAnsi="Arial" w:cs="Arial"/>
          <w:i w:val="0"/>
          <w:iCs w:val="0"/>
          <w:color w:val="000000" w:themeColor="text1"/>
          <w:sz w:val="24"/>
          <w:szCs w:val="24"/>
        </w:rPr>
        <w:t xml:space="preserve">B: The filler, in its liquid state, is </w:t>
      </w:r>
      <w:r w:rsidR="0086648A" w:rsidRPr="00AC34B0">
        <w:rPr>
          <w:rFonts w:ascii="Arial" w:hAnsi="Arial" w:cs="Arial"/>
          <w:i w:val="0"/>
          <w:iCs w:val="0"/>
          <w:color w:val="000000" w:themeColor="text1"/>
          <w:sz w:val="24"/>
          <w:szCs w:val="24"/>
        </w:rPr>
        <w:t>injected with a microcatheter</w:t>
      </w:r>
      <w:r w:rsidR="00032687">
        <w:rPr>
          <w:rFonts w:ascii="Arial" w:hAnsi="Arial" w:cs="Arial"/>
          <w:i w:val="0"/>
          <w:iCs w:val="0"/>
          <w:color w:val="000000" w:themeColor="text1"/>
          <w:sz w:val="24"/>
          <w:szCs w:val="24"/>
        </w:rPr>
        <w:t>. C:</w:t>
      </w:r>
      <w:r w:rsidR="0086648A" w:rsidRPr="00AC34B0">
        <w:rPr>
          <w:rFonts w:ascii="Arial" w:hAnsi="Arial" w:cs="Arial"/>
          <w:i w:val="0"/>
          <w:iCs w:val="0"/>
          <w:color w:val="000000" w:themeColor="text1"/>
          <w:sz w:val="24"/>
          <w:szCs w:val="24"/>
        </w:rPr>
        <w:t xml:space="preserve"> </w:t>
      </w:r>
      <w:r w:rsidR="00032687">
        <w:rPr>
          <w:rFonts w:ascii="Arial" w:hAnsi="Arial" w:cs="Arial"/>
          <w:i w:val="0"/>
          <w:iCs w:val="0"/>
          <w:color w:val="000000" w:themeColor="text1"/>
          <w:sz w:val="24"/>
          <w:szCs w:val="24"/>
        </w:rPr>
        <w:t>T</w:t>
      </w:r>
      <w:r w:rsidR="0086648A" w:rsidRPr="00AC34B0">
        <w:rPr>
          <w:rFonts w:ascii="Arial" w:hAnsi="Arial" w:cs="Arial"/>
          <w:i w:val="0"/>
          <w:iCs w:val="0"/>
          <w:color w:val="000000" w:themeColor="text1"/>
          <w:sz w:val="24"/>
          <w:szCs w:val="24"/>
        </w:rPr>
        <w:t xml:space="preserve">he balloon catheter is </w:t>
      </w:r>
      <w:r w:rsidR="009C5843" w:rsidRPr="00AC34B0">
        <w:rPr>
          <w:rFonts w:ascii="Arial" w:hAnsi="Arial" w:cs="Arial"/>
          <w:i w:val="0"/>
          <w:iCs w:val="0"/>
          <w:color w:val="000000" w:themeColor="text1"/>
          <w:sz w:val="24"/>
          <w:szCs w:val="24"/>
        </w:rPr>
        <w:t>withdrawn</w:t>
      </w:r>
      <w:r w:rsidR="0086648A" w:rsidRPr="00AC34B0">
        <w:rPr>
          <w:rFonts w:ascii="Arial" w:hAnsi="Arial" w:cs="Arial"/>
          <w:i w:val="0"/>
          <w:iCs w:val="0"/>
          <w:color w:val="000000" w:themeColor="text1"/>
          <w:sz w:val="24"/>
          <w:szCs w:val="24"/>
        </w:rPr>
        <w:t>, which enables the blood to flow back into the vessel.</w:t>
      </w:r>
      <w:r w:rsidR="00032687">
        <w:rPr>
          <w:rFonts w:ascii="Arial" w:hAnsi="Arial" w:cs="Arial"/>
          <w:i w:val="0"/>
          <w:iCs w:val="0"/>
          <w:color w:val="000000" w:themeColor="text1"/>
          <w:sz w:val="24"/>
          <w:szCs w:val="24"/>
        </w:rPr>
        <w:t xml:space="preserve"> D:</w:t>
      </w:r>
      <w:r w:rsidR="0086648A" w:rsidRPr="00AC34B0">
        <w:rPr>
          <w:rFonts w:ascii="Arial" w:hAnsi="Arial" w:cs="Arial"/>
          <w:i w:val="0"/>
          <w:iCs w:val="0"/>
          <w:color w:val="000000" w:themeColor="text1"/>
          <w:sz w:val="24"/>
          <w:szCs w:val="24"/>
        </w:rPr>
        <w:t xml:space="preserve"> When the liquid filler enters in contact with blood, it solidifies.</w:t>
      </w:r>
      <w:bookmarkEnd w:id="43"/>
      <w:r w:rsidR="0086648A" w:rsidRPr="00AC34B0">
        <w:rPr>
          <w:rFonts w:ascii="Arial" w:hAnsi="Arial" w:cs="Arial"/>
          <w:i w:val="0"/>
          <w:iCs w:val="0"/>
          <w:color w:val="000000" w:themeColor="text1"/>
          <w:sz w:val="24"/>
          <w:szCs w:val="24"/>
        </w:rPr>
        <w:t xml:space="preserve"> </w:t>
      </w:r>
    </w:p>
    <w:p w14:paraId="325D52D9" w14:textId="17243FAC" w:rsidR="00586C5B" w:rsidRPr="00AA2547" w:rsidRDefault="00586C5B" w:rsidP="00586C5B">
      <w:pPr>
        <w:pStyle w:val="Titre2"/>
        <w:spacing w:line="480" w:lineRule="auto"/>
        <w:jc w:val="both"/>
        <w:rPr>
          <w:rFonts w:ascii="Arial" w:hAnsi="Arial" w:cs="Arial"/>
          <w:b/>
          <w:bCs/>
          <w:color w:val="auto"/>
        </w:rPr>
      </w:pPr>
      <w:bookmarkStart w:id="44" w:name="_Toc106903214"/>
      <w:bookmarkStart w:id="45" w:name="_Toc77701674"/>
      <w:r w:rsidRPr="00AA2547">
        <w:rPr>
          <w:rFonts w:ascii="Arial" w:hAnsi="Arial" w:cs="Arial"/>
          <w:b/>
          <w:bCs/>
          <w:color w:val="auto"/>
        </w:rPr>
        <w:t>1.</w:t>
      </w:r>
      <w:r w:rsidR="00CB7697">
        <w:rPr>
          <w:rFonts w:ascii="Arial" w:hAnsi="Arial" w:cs="Arial"/>
          <w:b/>
          <w:bCs/>
          <w:color w:val="auto"/>
        </w:rPr>
        <w:t>5</w:t>
      </w:r>
      <w:r w:rsidRPr="00AA2547">
        <w:rPr>
          <w:rFonts w:ascii="Arial" w:hAnsi="Arial" w:cs="Arial"/>
          <w:b/>
          <w:bCs/>
          <w:color w:val="auto"/>
        </w:rPr>
        <w:t xml:space="preserve"> Conclusion </w:t>
      </w:r>
      <w:r w:rsidR="00AC34B0">
        <w:rPr>
          <w:rFonts w:ascii="Arial" w:hAnsi="Arial" w:cs="Arial"/>
          <w:b/>
          <w:bCs/>
          <w:color w:val="auto"/>
        </w:rPr>
        <w:t>&amp; Clinical Need</w:t>
      </w:r>
      <w:bookmarkEnd w:id="44"/>
    </w:p>
    <w:p w14:paraId="4140151D" w14:textId="5FB24E79" w:rsidR="00D4763B" w:rsidRDefault="00586C5B" w:rsidP="00AC34B0">
      <w:pPr>
        <w:spacing w:line="480" w:lineRule="auto"/>
        <w:ind w:firstLine="720"/>
        <w:jc w:val="both"/>
        <w:rPr>
          <w:rFonts w:ascii="Arial" w:hAnsi="Arial" w:cs="Arial"/>
          <w:sz w:val="24"/>
          <w:szCs w:val="24"/>
        </w:rPr>
      </w:pPr>
      <w:r w:rsidRPr="00EB056A">
        <w:rPr>
          <w:rFonts w:ascii="Arial" w:hAnsi="Arial" w:cs="Arial"/>
          <w:sz w:val="24"/>
          <w:szCs w:val="24"/>
        </w:rPr>
        <w:t>Cranial aneurysms are deformations of brain blood vessels that form because of increased blood flow pressure</w:t>
      </w:r>
      <w:r w:rsidRPr="00EB056A">
        <w:rPr>
          <w:rFonts w:ascii="Arial" w:hAnsi="Arial" w:cs="Arial"/>
          <w:sz w:val="24"/>
          <w:szCs w:val="24"/>
        </w:rPr>
        <w:fldChar w:fldCharType="begin"/>
      </w:r>
      <w:r w:rsidR="005B4F59">
        <w:rPr>
          <w:rFonts w:ascii="Arial" w:hAnsi="Arial" w:cs="Arial"/>
          <w:sz w:val="24"/>
          <w:szCs w:val="24"/>
        </w:rPr>
        <w:instrText xml:space="preserve"> ADDIN ZOTERO_ITEM CSL_CITATION {"citationID":"cL3pzHqV","properties":{"formattedCitation":"\\super 7,21\\nosupersub{}","plainCitation":"7,21","noteIndex":0},"citationItems":[{"id":16,"uris":["http://zotero.org/users/6508478/items/FAFYHU6P"],"itemData":{"id":16,"type":"article-journal","abstract":"Saccular unruptured intracranial aneurysms (UIAs) have a prevalence of 3% in the adult population, and are being increasingly detected because of improved quality and higher frequency of cranial imaging. Large amounts of data, providing varying levels of evidence, have been published on aneurysm development, progression and rupture, but less information is available on the risks and efficacy of preventive treatment. When deciding how to best manage UIAs, clinicians must consider the age and life expectancy of the patient, the estimated risk of rupture, the risk of complications attributed to preventive treatment, and the level of anxiety caused by the awareness of having an aneurysm. This Review highlights the latest human data on the formation, progression and rupture of intracranial aneurysms, as well as risks associated with preventive treatment. Considering these we discuss the implication for clinical management. Furthermore, we highlight pivotal questions arising from current data on intracranial aneurysms and the implications the data have for future experimental or clinical research. We also discuss data on novel radiological surrogates for rupture for those aneurysms that do not require preventive occlusion. Finally, we provide guidance for clinicians who are confronted with patients with incidentally detected UIAs.","container-title":"Nature Reviews. Neurology","DOI":"10.1038/nrneurol.2016.150","ISSN":"1759-4766","issue":"12","journalAbbreviation":"Nat Rev Neurol","language":"eng","note":"PMID: 27808265","page":"699-713","source":"PubMed","title":"Unruptured intracranial aneurysms: development, rupture and preventive management","title-short":"Unruptured intracranial aneurysms","volume":"12","author":[{"family":"Etminan","given":"Nima"},{"family":"Rinkel","given":"Gabriel J."}],"issued":{"date-parts":[["2016",12]]}}},{"id":13,"uris":["http://zotero.org/users/6508478/items/JFAFTPZL"],"itemData":{"id":13,"type":"article-journal","container-title":"Stroke","DOI":"10.1161/STROKEAHA.113.002390","issue":"12","page":"3613-3622","source":"ahajournals.org (Atypon)","title":"Review of Cerebral Aneurysm Formation, Growth, and Rupture","volume":"44","author":[{"family":"Chalouhi","given":"Nohra"},{"family":"Hoh","given":"Brian L."},{"family":"Hasan","given":"David"}],"issued":{"date-parts":[["2013",12,1]]}}}],"schema":"https://github.com/citation-style-language/schema/raw/master/csl-citation.json"} </w:instrText>
      </w:r>
      <w:r w:rsidRPr="00EB056A">
        <w:rPr>
          <w:rFonts w:ascii="Arial" w:hAnsi="Arial" w:cs="Arial"/>
          <w:sz w:val="24"/>
          <w:szCs w:val="24"/>
        </w:rPr>
        <w:fldChar w:fldCharType="separate"/>
      </w:r>
      <w:r w:rsidR="003E2EA6" w:rsidRPr="003E2EA6">
        <w:rPr>
          <w:rFonts w:ascii="Arial" w:hAnsi="Arial" w:cs="Arial"/>
          <w:sz w:val="24"/>
          <w:szCs w:val="24"/>
          <w:vertAlign w:val="superscript"/>
        </w:rPr>
        <w:t>7,21</w:t>
      </w:r>
      <w:r w:rsidRPr="00EB056A">
        <w:rPr>
          <w:rFonts w:ascii="Arial" w:hAnsi="Arial" w:cs="Arial"/>
          <w:sz w:val="24"/>
          <w:szCs w:val="24"/>
        </w:rPr>
        <w:fldChar w:fldCharType="end"/>
      </w:r>
      <w:r w:rsidR="00CB7697">
        <w:rPr>
          <w:rFonts w:ascii="Arial" w:hAnsi="Arial" w:cs="Arial"/>
          <w:sz w:val="24"/>
          <w:szCs w:val="24"/>
        </w:rPr>
        <w:t xml:space="preserve"> and if left untreated, can rupture and lead to death</w:t>
      </w:r>
      <w:r w:rsidRPr="00EB056A">
        <w:rPr>
          <w:rFonts w:ascii="Arial" w:hAnsi="Arial" w:cs="Arial"/>
          <w:sz w:val="24"/>
          <w:szCs w:val="24"/>
        </w:rPr>
        <w:t xml:space="preserve">. </w:t>
      </w:r>
      <w:r w:rsidR="00D4763B">
        <w:rPr>
          <w:rFonts w:ascii="Arial" w:hAnsi="Arial" w:cs="Arial"/>
          <w:sz w:val="24"/>
          <w:szCs w:val="24"/>
        </w:rPr>
        <w:br w:type="page"/>
      </w:r>
    </w:p>
    <w:p w14:paraId="2630A504" w14:textId="49202F84" w:rsidR="00AC34B0" w:rsidRPr="00FD4E05" w:rsidRDefault="00AC34B0" w:rsidP="00AC34B0">
      <w:bookmarkStart w:id="46" w:name="_Toc105072723"/>
      <w:bookmarkStart w:id="47" w:name="_Ref109765986"/>
      <w:r w:rsidRPr="00EB056A">
        <w:rPr>
          <w:rFonts w:ascii="Arial" w:hAnsi="Arial" w:cs="Arial"/>
          <w:b/>
          <w:bCs/>
          <w:sz w:val="24"/>
          <w:szCs w:val="24"/>
        </w:rPr>
        <w:lastRenderedPageBreak/>
        <w:t xml:space="preserve">Table </w:t>
      </w:r>
      <w:r w:rsidRPr="00EB056A">
        <w:rPr>
          <w:rFonts w:ascii="Arial" w:hAnsi="Arial" w:cs="Arial"/>
          <w:b/>
          <w:bCs/>
          <w:sz w:val="24"/>
          <w:szCs w:val="24"/>
        </w:rPr>
        <w:fldChar w:fldCharType="begin"/>
      </w:r>
      <w:r w:rsidRPr="00EB056A">
        <w:rPr>
          <w:rFonts w:ascii="Arial" w:hAnsi="Arial" w:cs="Arial"/>
          <w:b/>
          <w:bCs/>
          <w:sz w:val="24"/>
          <w:szCs w:val="24"/>
        </w:rPr>
        <w:instrText xml:space="preserve"> SEQ Table \* ARABIC </w:instrText>
      </w:r>
      <w:r w:rsidRPr="00EB056A">
        <w:rPr>
          <w:rFonts w:ascii="Arial" w:hAnsi="Arial" w:cs="Arial"/>
          <w:b/>
          <w:bCs/>
          <w:sz w:val="24"/>
          <w:szCs w:val="24"/>
        </w:rPr>
        <w:fldChar w:fldCharType="separate"/>
      </w:r>
      <w:r w:rsidR="005C4791">
        <w:rPr>
          <w:rFonts w:ascii="Arial" w:hAnsi="Arial" w:cs="Arial"/>
          <w:b/>
          <w:bCs/>
          <w:noProof/>
          <w:sz w:val="24"/>
          <w:szCs w:val="24"/>
        </w:rPr>
        <w:t>1</w:t>
      </w:r>
      <w:r w:rsidRPr="00EB056A">
        <w:rPr>
          <w:rFonts w:ascii="Arial" w:hAnsi="Arial" w:cs="Arial"/>
          <w:b/>
          <w:bCs/>
          <w:sz w:val="24"/>
          <w:szCs w:val="24"/>
        </w:rPr>
        <w:fldChar w:fldCharType="end"/>
      </w:r>
      <w:bookmarkEnd w:id="47"/>
      <w:r w:rsidRPr="00EB056A">
        <w:rPr>
          <w:rFonts w:ascii="Arial" w:hAnsi="Arial" w:cs="Arial"/>
          <w:b/>
          <w:bCs/>
          <w:sz w:val="24"/>
          <w:szCs w:val="24"/>
        </w:rPr>
        <w:t xml:space="preserve">: </w:t>
      </w:r>
      <w:r>
        <w:rPr>
          <w:rFonts w:ascii="Arial" w:hAnsi="Arial" w:cs="Arial"/>
          <w:b/>
          <w:bCs/>
          <w:sz w:val="24"/>
          <w:szCs w:val="24"/>
        </w:rPr>
        <w:t>C</w:t>
      </w:r>
      <w:r w:rsidRPr="00EB056A">
        <w:rPr>
          <w:rFonts w:ascii="Arial" w:hAnsi="Arial" w:cs="Arial"/>
          <w:b/>
          <w:bCs/>
          <w:sz w:val="24"/>
          <w:szCs w:val="24"/>
        </w:rPr>
        <w:t>omparison of brain aneurysm treatments</w:t>
      </w:r>
      <w:bookmarkEnd w:id="46"/>
    </w:p>
    <w:tbl>
      <w:tblPr>
        <w:tblStyle w:val="TableauListe2"/>
        <w:tblW w:w="7740" w:type="dxa"/>
        <w:tblLayout w:type="fixed"/>
        <w:tblLook w:val="04A0" w:firstRow="1" w:lastRow="0" w:firstColumn="1" w:lastColumn="0" w:noHBand="0" w:noVBand="1"/>
      </w:tblPr>
      <w:tblGrid>
        <w:gridCol w:w="1377"/>
        <w:gridCol w:w="1503"/>
        <w:gridCol w:w="1800"/>
        <w:gridCol w:w="1867"/>
        <w:gridCol w:w="1193"/>
      </w:tblGrid>
      <w:tr w:rsidR="00AC34B0" w:rsidRPr="00022247" w14:paraId="185679DD" w14:textId="77777777" w:rsidTr="00525779">
        <w:trPr>
          <w:cnfStyle w:val="100000000000" w:firstRow="1" w:lastRow="0" w:firstColumn="0" w:lastColumn="0" w:oddVBand="0" w:evenVBand="0" w:oddHBand="0" w:evenHBand="0" w:firstRowFirstColumn="0" w:firstRowLastColumn="0" w:lastRowFirstColumn="0" w:lastRowLastColumn="0"/>
          <w:trHeight w:val="1099"/>
        </w:trPr>
        <w:tc>
          <w:tcPr>
            <w:cnfStyle w:val="001000000000" w:firstRow="0" w:lastRow="0" w:firstColumn="1" w:lastColumn="0" w:oddVBand="0" w:evenVBand="0" w:oddHBand="0" w:evenHBand="0" w:firstRowFirstColumn="0" w:firstRowLastColumn="0" w:lastRowFirstColumn="0" w:lastRowLastColumn="0"/>
            <w:tcW w:w="1377" w:type="dxa"/>
            <w:vAlign w:val="center"/>
          </w:tcPr>
          <w:p w14:paraId="333753E2" w14:textId="77777777" w:rsidR="00AC34B0" w:rsidRPr="00EB056A" w:rsidRDefault="00AC34B0" w:rsidP="00113B43">
            <w:pPr>
              <w:jc w:val="center"/>
              <w:rPr>
                <w:rFonts w:ascii="Arial" w:hAnsi="Arial" w:cs="Arial"/>
                <w:sz w:val="24"/>
                <w:szCs w:val="24"/>
              </w:rPr>
            </w:pPr>
            <w:r w:rsidRPr="00EB056A">
              <w:rPr>
                <w:rFonts w:ascii="Arial" w:hAnsi="Arial" w:cs="Arial"/>
                <w:sz w:val="24"/>
                <w:szCs w:val="24"/>
              </w:rPr>
              <w:t xml:space="preserve">Treatment </w:t>
            </w:r>
            <w:r>
              <w:rPr>
                <w:rFonts w:ascii="Arial" w:hAnsi="Arial" w:cs="Arial"/>
                <w:sz w:val="24"/>
                <w:szCs w:val="24"/>
              </w:rPr>
              <w:t>N</w:t>
            </w:r>
            <w:r w:rsidRPr="00EB056A">
              <w:rPr>
                <w:rFonts w:ascii="Arial" w:hAnsi="Arial" w:cs="Arial"/>
                <w:sz w:val="24"/>
                <w:szCs w:val="24"/>
              </w:rPr>
              <w:t>ame</w:t>
            </w:r>
          </w:p>
        </w:tc>
        <w:tc>
          <w:tcPr>
            <w:tcW w:w="1503" w:type="dxa"/>
            <w:vAlign w:val="center"/>
          </w:tcPr>
          <w:p w14:paraId="6C99DF3D" w14:textId="77777777" w:rsidR="00AC34B0" w:rsidRPr="00EB056A" w:rsidRDefault="00AC34B0" w:rsidP="00113B4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EB056A">
              <w:rPr>
                <w:rFonts w:ascii="Arial" w:hAnsi="Arial" w:cs="Arial"/>
                <w:sz w:val="24"/>
                <w:szCs w:val="24"/>
              </w:rPr>
              <w:t xml:space="preserve">Success </w:t>
            </w:r>
            <w:r>
              <w:rPr>
                <w:rFonts w:ascii="Arial" w:hAnsi="Arial" w:cs="Arial"/>
                <w:sz w:val="24"/>
                <w:szCs w:val="24"/>
              </w:rPr>
              <w:t>R</w:t>
            </w:r>
            <w:r w:rsidRPr="00EB056A">
              <w:rPr>
                <w:rFonts w:ascii="Arial" w:hAnsi="Arial" w:cs="Arial"/>
                <w:sz w:val="24"/>
                <w:szCs w:val="24"/>
              </w:rPr>
              <w:t>ate</w:t>
            </w:r>
          </w:p>
        </w:tc>
        <w:tc>
          <w:tcPr>
            <w:tcW w:w="1800" w:type="dxa"/>
            <w:vAlign w:val="center"/>
          </w:tcPr>
          <w:p w14:paraId="661614B4" w14:textId="77777777" w:rsidR="00AC34B0" w:rsidRPr="00EB056A" w:rsidRDefault="00AC34B0" w:rsidP="00113B4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D</w:t>
            </w:r>
            <w:r w:rsidRPr="00EB056A">
              <w:rPr>
                <w:rFonts w:ascii="Arial" w:hAnsi="Arial" w:cs="Arial"/>
                <w:sz w:val="24"/>
                <w:szCs w:val="24"/>
              </w:rPr>
              <w:t>rawbacks</w:t>
            </w:r>
          </w:p>
        </w:tc>
        <w:tc>
          <w:tcPr>
            <w:tcW w:w="1867" w:type="dxa"/>
            <w:vAlign w:val="center"/>
          </w:tcPr>
          <w:p w14:paraId="78252CCE" w14:textId="77777777" w:rsidR="00AC34B0" w:rsidRPr="00EB056A" w:rsidRDefault="00AC34B0" w:rsidP="00113B4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A</w:t>
            </w:r>
            <w:r w:rsidRPr="00EB056A">
              <w:rPr>
                <w:rFonts w:ascii="Arial" w:hAnsi="Arial" w:cs="Arial"/>
                <w:sz w:val="24"/>
                <w:szCs w:val="24"/>
              </w:rPr>
              <w:t>dvantages</w:t>
            </w:r>
          </w:p>
        </w:tc>
        <w:tc>
          <w:tcPr>
            <w:tcW w:w="1193" w:type="dxa"/>
            <w:vAlign w:val="center"/>
          </w:tcPr>
          <w:p w14:paraId="4534DEDC" w14:textId="2B419F59" w:rsidR="00AC34B0" w:rsidRPr="00EB056A" w:rsidRDefault="00AC34B0" w:rsidP="00113B4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Referen</w:t>
            </w:r>
            <w:r w:rsidR="00C26217">
              <w:rPr>
                <w:rFonts w:ascii="Arial" w:hAnsi="Arial" w:cs="Arial"/>
                <w:sz w:val="24"/>
                <w:szCs w:val="24"/>
              </w:rPr>
              <w:t>-</w:t>
            </w:r>
            <w:r>
              <w:rPr>
                <w:rFonts w:ascii="Arial" w:hAnsi="Arial" w:cs="Arial"/>
                <w:sz w:val="24"/>
                <w:szCs w:val="24"/>
              </w:rPr>
              <w:t>ces</w:t>
            </w:r>
          </w:p>
        </w:tc>
      </w:tr>
      <w:tr w:rsidR="00AC34B0" w:rsidRPr="00022247" w14:paraId="66B24C5C" w14:textId="77777777" w:rsidTr="00525779">
        <w:trPr>
          <w:cnfStyle w:val="000000100000" w:firstRow="0" w:lastRow="0" w:firstColumn="0" w:lastColumn="0" w:oddVBand="0" w:evenVBand="0" w:oddHBand="1" w:evenHBand="0" w:firstRowFirstColumn="0" w:firstRowLastColumn="0" w:lastRowFirstColumn="0" w:lastRowLastColumn="0"/>
          <w:trHeight w:val="1452"/>
        </w:trPr>
        <w:tc>
          <w:tcPr>
            <w:cnfStyle w:val="001000000000" w:firstRow="0" w:lastRow="0" w:firstColumn="1" w:lastColumn="0" w:oddVBand="0" w:evenVBand="0" w:oddHBand="0" w:evenHBand="0" w:firstRowFirstColumn="0" w:firstRowLastColumn="0" w:lastRowFirstColumn="0" w:lastRowLastColumn="0"/>
            <w:tcW w:w="1377" w:type="dxa"/>
            <w:vAlign w:val="center"/>
          </w:tcPr>
          <w:p w14:paraId="488DC1E4" w14:textId="77777777" w:rsidR="00AC34B0" w:rsidRPr="00EB056A" w:rsidRDefault="00AC34B0" w:rsidP="00113B43">
            <w:pPr>
              <w:rPr>
                <w:rFonts w:ascii="Arial" w:hAnsi="Arial" w:cs="Arial"/>
                <w:sz w:val="24"/>
                <w:szCs w:val="24"/>
              </w:rPr>
            </w:pPr>
            <w:r w:rsidRPr="00EB056A">
              <w:rPr>
                <w:rFonts w:ascii="Arial" w:hAnsi="Arial" w:cs="Arial"/>
                <w:sz w:val="24"/>
                <w:szCs w:val="24"/>
              </w:rPr>
              <w:t xml:space="preserve">Surgical </w:t>
            </w:r>
            <w:r>
              <w:rPr>
                <w:rFonts w:ascii="Arial" w:hAnsi="Arial" w:cs="Arial"/>
                <w:sz w:val="24"/>
                <w:szCs w:val="24"/>
              </w:rPr>
              <w:t>C</w:t>
            </w:r>
            <w:r w:rsidRPr="00EB056A">
              <w:rPr>
                <w:rFonts w:ascii="Arial" w:hAnsi="Arial" w:cs="Arial"/>
                <w:sz w:val="24"/>
                <w:szCs w:val="24"/>
              </w:rPr>
              <w:t>lipping</w:t>
            </w:r>
          </w:p>
        </w:tc>
        <w:tc>
          <w:tcPr>
            <w:tcW w:w="1503" w:type="dxa"/>
            <w:vAlign w:val="center"/>
          </w:tcPr>
          <w:p w14:paraId="015420EC" w14:textId="77777777" w:rsidR="00AC34B0" w:rsidRPr="00EB056A" w:rsidRDefault="00AC34B0" w:rsidP="00113B43">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EB056A">
              <w:rPr>
                <w:rFonts w:ascii="Arial" w:hAnsi="Arial" w:cs="Arial"/>
                <w:sz w:val="24"/>
                <w:szCs w:val="24"/>
              </w:rPr>
              <w:t xml:space="preserve">78% of 1,000 patients at 10 years </w:t>
            </w:r>
            <w:r>
              <w:rPr>
                <w:rFonts w:ascii="Arial" w:hAnsi="Arial" w:cs="Arial"/>
                <w:sz w:val="24"/>
                <w:szCs w:val="24"/>
              </w:rPr>
              <w:t>did not undergo brain or motor function damages after surgery</w:t>
            </w:r>
          </w:p>
        </w:tc>
        <w:tc>
          <w:tcPr>
            <w:tcW w:w="1800" w:type="dxa"/>
            <w:vAlign w:val="center"/>
          </w:tcPr>
          <w:p w14:paraId="137FB017" w14:textId="77777777" w:rsidR="00AC34B0" w:rsidRPr="00EB056A" w:rsidRDefault="00AC34B0" w:rsidP="00113B43">
            <w:pPr>
              <w:pStyle w:val="Paragraphedeliste"/>
              <w:numPr>
                <w:ilvl w:val="0"/>
                <w:numId w:val="2"/>
              </w:numPr>
              <w:ind w:left="216" w:hanging="18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EB056A">
              <w:rPr>
                <w:rFonts w:ascii="Arial" w:hAnsi="Arial" w:cs="Arial"/>
                <w:sz w:val="24"/>
                <w:szCs w:val="24"/>
              </w:rPr>
              <w:t>Of 7,000 patients, 20% more 90 days readmission than coiling</w:t>
            </w:r>
          </w:p>
          <w:p w14:paraId="2493183B" w14:textId="77777777" w:rsidR="00AC34B0" w:rsidRDefault="00AC34B0" w:rsidP="00113B43">
            <w:pPr>
              <w:pStyle w:val="Paragraphedeliste"/>
              <w:numPr>
                <w:ilvl w:val="0"/>
                <w:numId w:val="2"/>
              </w:numPr>
              <w:ind w:left="216" w:hanging="18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EB056A">
              <w:rPr>
                <w:rFonts w:ascii="Arial" w:hAnsi="Arial" w:cs="Arial"/>
                <w:sz w:val="24"/>
                <w:szCs w:val="24"/>
              </w:rPr>
              <w:t>Open skull surgery</w:t>
            </w:r>
          </w:p>
          <w:p w14:paraId="3A15656A" w14:textId="77777777" w:rsidR="00AC34B0" w:rsidRPr="00EB056A" w:rsidRDefault="00AC34B0" w:rsidP="00113B43">
            <w:pPr>
              <w:pStyle w:val="Paragraphedeliste"/>
              <w:numPr>
                <w:ilvl w:val="0"/>
                <w:numId w:val="2"/>
              </w:numPr>
              <w:ind w:left="216" w:hanging="18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B</w:t>
            </w:r>
            <w:r w:rsidRPr="00F77719">
              <w:rPr>
                <w:rFonts w:ascii="Arial" w:hAnsi="Arial" w:cs="Arial"/>
                <w:sz w:val="24"/>
                <w:szCs w:val="24"/>
              </w:rPr>
              <w:t>lood vesse</w:t>
            </w:r>
            <w:r>
              <w:rPr>
                <w:rFonts w:ascii="Arial" w:hAnsi="Arial" w:cs="Arial"/>
                <w:sz w:val="24"/>
                <w:szCs w:val="24"/>
              </w:rPr>
              <w:t>l wall is not rebuilt</w:t>
            </w:r>
          </w:p>
        </w:tc>
        <w:tc>
          <w:tcPr>
            <w:tcW w:w="1867" w:type="dxa"/>
            <w:vAlign w:val="center"/>
          </w:tcPr>
          <w:p w14:paraId="61E06AC3" w14:textId="77777777" w:rsidR="00AC34B0" w:rsidRPr="00EB056A" w:rsidRDefault="00AC34B0" w:rsidP="00113B43">
            <w:pPr>
              <w:pStyle w:val="Paragraphedeliste"/>
              <w:numPr>
                <w:ilvl w:val="0"/>
                <w:numId w:val="2"/>
              </w:numPr>
              <w:ind w:left="209" w:hanging="18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EB056A">
              <w:rPr>
                <w:rFonts w:ascii="Arial" w:hAnsi="Arial" w:cs="Arial"/>
                <w:sz w:val="24"/>
                <w:szCs w:val="24"/>
              </w:rPr>
              <w:t>Available for many aneurysm types</w:t>
            </w:r>
          </w:p>
          <w:p w14:paraId="796C9580" w14:textId="77777777" w:rsidR="00AC34B0" w:rsidRPr="00EB056A" w:rsidRDefault="00AC34B0" w:rsidP="00113B43">
            <w:pPr>
              <w:pStyle w:val="Paragraphedeliste"/>
              <w:numPr>
                <w:ilvl w:val="0"/>
                <w:numId w:val="2"/>
              </w:numPr>
              <w:ind w:left="209" w:hanging="18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EB056A">
              <w:rPr>
                <w:rFonts w:ascii="Arial" w:hAnsi="Arial" w:cs="Arial"/>
                <w:sz w:val="24"/>
                <w:szCs w:val="24"/>
              </w:rPr>
              <w:t>Better than coil to stop hemorrhages definitely</w:t>
            </w:r>
          </w:p>
        </w:tc>
        <w:tc>
          <w:tcPr>
            <w:tcW w:w="1193" w:type="dxa"/>
            <w:vAlign w:val="center"/>
          </w:tcPr>
          <w:p w14:paraId="55B04776" w14:textId="4FEC1FE7" w:rsidR="00AC34B0" w:rsidRPr="002F74CD" w:rsidRDefault="00AC34B0" w:rsidP="00113B4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2F74CD">
              <w:rPr>
                <w:rFonts w:ascii="Arial" w:hAnsi="Arial" w:cs="Arial"/>
                <w:sz w:val="24"/>
                <w:szCs w:val="24"/>
              </w:rPr>
              <w:fldChar w:fldCharType="begin"/>
            </w:r>
            <w:r w:rsidR="005B4F59">
              <w:rPr>
                <w:rFonts w:ascii="Arial" w:hAnsi="Arial" w:cs="Arial"/>
                <w:sz w:val="24"/>
                <w:szCs w:val="24"/>
              </w:rPr>
              <w:instrText xml:space="preserve"> ADDIN ZOTERO_ITEM CSL_CITATION {"citationID":"TlmXOkOI","properties":{"formattedCitation":"\\super 4,25,27,30\\nosupersub{}","plainCitation":"4,25,27,30","noteIndex":0},"citationItems":[{"id":6,"uris":["http://zotero.org/users/6508478/items/JVVJZL89"],"itemData":{"id":6,"type":"article-journal","abstract":"BACKGROUND: Previous analyses of the International Subarachnoid Aneurysm Trial (ISAT) cohort have reported on the risks of recurrent subarachnoid haemorrhage and death or dependency for a minimum of 5 years and up to a maximum of 14 years after treatment of a ruptured intracranial aneurysm with either neurosurgical clipping or endovascular coiling. At 1 year there was a 7% absolute and a 24% relative risk reduction of death and dependency in the coiling group compared with the clipping group, but the medium-term results showed the increased need for re-treatment of the target aneurysm in the patients given coiling. We report the long-term follow-up of patients in this UK cohort.\nMETHODS: In ISAT, patients were randomly allocated to either neurosurgical clipping or endovascular coiling after a subarachnoid haemorrhage, assuming treatment equipoise, between Sept 12, 1994, and May 1, 2002. We followed up 1644 patients in 22 UK neurosurgical centres for death and clinical outcomes for 10·0-18·5 years. We assessed dependency as self-reported modified Rankin scale score obtained through yearly questionnaires. Data for recurrent aneurysms and rebleeding events were collected from questionnaires and from hospital and general practitioner records. The Office for National Statistics supplied data on deaths. This study is registered, number ISRCTN49866681.\nFINDINGS: At 10 years, 674 (83%) of 809 patients allocated endovascular coiling and 657 (79%) of 835 patients allocated neurosurgical clipping were alive (odds ratio [OR] 1·35, 95% CI 1·06-1·73). Of 1003 individuals who returned a questionnaire at 10 years, 435 (82%) patients treated with endovascular coiling and 370 (78%) patients treated with neurosurgical clipping were independent (modified Rankin scale score 0-2; OR 1·25; 95% CI 0·92-1·71). Patients in the endovascular treatment group were more likely to be alive and independent at 10 years than were patients in the neurosurgery group (OR 1·34, 95% CI 1·07-1·67). 33 patients had a recurrent subarachnoid haemorrhage more than 1 year after their initial haemorrhage (17 from the target aneurysm).\nINTERPRETATION: Although rates of increased dependency alone did not differ between groups, the probability of death or dependency was significantly greater in the neurosurgical group than in the endovascular group. Rebleeding was more likely after endovascular coiling than after neurosurgical clipping, but the risk was small and the probability of disability-free survival was significantly greater in the endovascular group than in the neurosurgical group at 10 years.\nFUNDING: UK Medical Research Council.","container-title":"Lancet (London, England)","DOI":"10.1016/S0140-6736(14)60975-2","ISSN":"1474-547X","issue":"9969","journalAbbreviation":"Lancet","language":"eng","note":"PMID: 25465111\nPMCID: PMC4356153","page":"691-697","source":"PubMed","title":"The durability of endovascular coiling versus neurosurgical clipping of ruptured cerebral aneurysms: 18 year follow-up of the UK cohort of the International Subarachnoid Aneurysm Trial (ISAT)","title-short":"The durability of endovascular coiling versus neurosurgical clipping of ruptured cerebral aneurysms","volume":"385","author":[{"family":"Molyneux","given":"Andrew J."},{"family":"Birks","given":"Jacqueline"},{"family":"Clarke","given":"Alison"},{"family":"Sneade","given":"Mary"},{"family":"Kerr","given":"Richard S. C."}],"issued":{"date-parts":[["2015",2,21]]}}},{"id":45,"uris":["http://zotero.org/users/6508478/items/MX5VEDG7"],"itemData":{"id":45,"type":"article-journal","abstract":"Intracranial aneurysm is a leading cause of stroke. Its treatment has evolved over the past 2 decades. This review summarizes the treatment strategies for intracranial aneurysms from 3 different perspectives: open surgery approach, transluminal treatment approach, and new technologies being used or trialed. We introduce most of the available treatment techniques in detail, including contralateral clipping, wrapping and clipping, double catheters assisting coiling and waffle-cone technique, and so on. Data from major trials such as Analysis of Treatment by Endovascular approach of Non-ruptured Aneurysms (ATENA), Internal Subarachnoid Trial (ISAT), Clinical and Anatomical Results in the Treatment of Ruptured Intracranial Aneurysms (CLARITY), and Barrow Ruptured Aneurysm Trial (BRAT) as well as information from other clinical reports and local experience are reviewed to suggest a clinical pathway for treating different types of intracranial aneurysms. It will be a valuable supplement to the current existing guidelines. We hope it could help assisting real-time decision-making in clinical practices and also encourage advancements in managing the disease.","container-title":"Angiology","DOI":"10.1177/0003319717700503","ISSN":"0003-3197","issue":"1","journalAbbreviation":"Angiology","language":"en","page":"17-30","source":"SAGE Journals","title":"Current Treatment Strategies for Intracranial Aneurysms: An Overview","title-short":"Current Treatment Strategies for Intracranial Aneurysms","volume":"69","author":[{"family":"Zhao","given":"Junjie"},{"family":"Lin","given":"Hao"},{"family":"Summers","given":"Richard"},{"family":"Yang","given":"Mingmin"},{"family":"Cousins","given":"Brian G."},{"family":"Tsui","given":"Janice"}],"issued":{"date-parts":[["2018",1,1]]}}},{"id":8,"uris":["http://zotero.org/users/6508478/items/34NS6RPP"],"itemData":{"id":8,"type":"article-journal","abstract":"BACKGROUND: The extent of obliteration of ruptured intracranial aneurysms treated with coil embolization has been correlated with the risk of rerupture. However, many practitioners consider that a small neck remnant is unlikely to result in significant risk after coiling.\nOBJECTIVE: To report our recent experience with ruptured anterior cerebral artery aneurysms treated with endovascular coiling, which recurred or reruptured, requiring microsurgical clipping for subsequent treatment.\nMETHODS: Retrospective review of patients with intracranial aneurysms treated at our institution since August 2018. Patient and aneurysm characteristics, initial and subsequent treatment approaches, and outcomes were reviewed.\nRESULTS: Six patients were included. Out of those 6 patients, 5 patients had anterior communicating artery aneurysms, and 1 patient had a pericallosal aneurysm. All initially presented with subarachnoid hemorrhage (SAH) and were treated with coiling. Recurrence occurred at a median of 7.5 mo. In 2 cases, retreatment was initially performed with repeat endovascular coiling, but further recurrence was observed. Rerupture from the residual or recurrent aneurysm occurred in 3 cases. In 2 cases, the aneurysm dome recurred; in 1 case, rerupture occurred from the neck. All 6 patients underwent treatment with microsurgical clipping. Follow-up catheter angiography demonstrated a complete occlusion of the aneurysm in all cases with the preservation of the parent vessel.\nCONCLUSION: Anterior cerebral artery aneurysms may recur after endovascular treatment, and even small neck remnants present a risk of rerupture after an initial SAH. Complete treatment requires a complete exclusion of the aneurysm from the circulation. Even in cases that have been previously coiled, microsurgical clipping can represent a safe and effective treatment option.","container-title":"Operative Neurosurgery (Hagerstown, Md.)","DOI":"10.1093/ons/opaa103","ISSN":"2332-4260","issue":"4","journalAbbreviation":"Oper Neurosurg (Hagerstown)","language":"eng","note":"PMID: 32409831","page":"393-402","source":"PubMed","title":"Definitive Treatment With Microsurgical Clipping After Recurrence and Rerupture of Coiled Anterior Cerebral Artery Aneurysms","volume":"19","author":[{"family":"Raper","given":"Daniel M. S."},{"family":"Rutledge","given":"Caleb"},{"family":"Winkler","given":"Ethan A."},{"family":"Abla","given":"Adib A."}],"issued":{"date-parts":[["2020",9,15]]}}},{"id":19,"uris":["http://zotero.org/users/6508478/items/ZI593EAI"],"itemData":{"id":19,"type":"article-journal","abstract":"Background: In the treatment of aneurysmal subarachnoid hemorrhage (aSAH), microsurgical clipping, and endovascular therapy (EVT) with coiling are modalities for securing the ruptured aneurysm. Little data is available regarding associated readmission rates. We sought to determine whether readmission rates differed according to treatment modality for ruptured intracranial aneurysms. Methods: The Nationwide Readmissions Database (NRD) was used to identify adults who experienced aSAH and underwent clipping or EVT. Primary outcomes of interest were the incidences of 30- and 90-day readmissions (30dRA, 90dRA). Propensity score matching was used to generate matched pairs based on age, comorbidities, hospital volume, and hemorrhage severity. Results: We identified 13,623 and 11,160 patients who were eligible for 30dRA and 90dRA analyses, respectively. Among the patients eligible for 30dRA and 90dRA, we created 4282 and 3518 propensity score-matched pairs, respectively. There was no difference in the incidence of 30dRA (12.4% for clipping versus 11.2% for EVT; P = .094). However, 90dRA occurred more frequently after clipping (22.5%) compared to EVT (19.7%; P = .003). Clipping was associated with poor outcome after 30dRA (odds ratio [OR] = 1.51, 95% confidence interval [CI] 1.21-1.88, P &lt; .001) and after 90dRA (OR = 1.60, 95% CI 1.34-1.91, P = .001). Mean duration to readmission and cost of readmission did not vary, but clipping was associated with longer lengths of stay during readmission. Conclusions: Microsurgical clipping of ruptured aneurysms is associated with a greater incidence of 90dRA, but not 30dRA, compared to EVT. Poor outcomes after readmission are more common following clipping.","container-title":"Journal of Stroke and Cerebrovascular Diseases","DOI":"10.1016/j.jstrokecerebrovasdis.2020.104696","ISSN":"1052-3057","issue":"5","journalAbbreviation":"Journal of Stroke and Cerebrovascular Diseases","language":"en","page":"104696","source":"ScienceDirect","title":"A Propensity Score-Matched Comparison of Readmission Rates Associated With Microsurgical Clipping and Endovascular Treatment of Ruptured Intracranial Aneurysms","volume":"29","author":[{"family":"Hoffman","given":"Haydn"},{"family":"Jalal","given":"Muhammad S."},{"family":"Chin","given":"Lawrence S."}],"issued":{"date-parts":[["2020",5,1]]}}}],"schema":"https://github.com/citation-style-language/schema/raw/master/csl-citation.json"} </w:instrText>
            </w:r>
            <w:r w:rsidRPr="002F74CD">
              <w:rPr>
                <w:rFonts w:ascii="Arial" w:hAnsi="Arial" w:cs="Arial"/>
                <w:sz w:val="24"/>
                <w:szCs w:val="24"/>
              </w:rPr>
              <w:fldChar w:fldCharType="separate"/>
            </w:r>
            <w:r w:rsidR="00766016" w:rsidRPr="00766016">
              <w:rPr>
                <w:rFonts w:ascii="Arial" w:hAnsi="Arial" w:cs="Arial"/>
                <w:sz w:val="24"/>
                <w:szCs w:val="24"/>
                <w:vertAlign w:val="superscript"/>
              </w:rPr>
              <w:t>4,25,27,30</w:t>
            </w:r>
            <w:r w:rsidRPr="002F74CD">
              <w:rPr>
                <w:rFonts w:ascii="Arial" w:hAnsi="Arial" w:cs="Arial"/>
                <w:sz w:val="24"/>
                <w:szCs w:val="24"/>
              </w:rPr>
              <w:fldChar w:fldCharType="end"/>
            </w:r>
          </w:p>
        </w:tc>
      </w:tr>
      <w:tr w:rsidR="00AC34B0" w:rsidRPr="00022247" w14:paraId="69E5B3CA" w14:textId="77777777" w:rsidTr="00525779">
        <w:trPr>
          <w:trHeight w:val="372"/>
        </w:trPr>
        <w:tc>
          <w:tcPr>
            <w:cnfStyle w:val="001000000000" w:firstRow="0" w:lastRow="0" w:firstColumn="1" w:lastColumn="0" w:oddVBand="0" w:evenVBand="0" w:oddHBand="0" w:evenHBand="0" w:firstRowFirstColumn="0" w:firstRowLastColumn="0" w:lastRowFirstColumn="0" w:lastRowLastColumn="0"/>
            <w:tcW w:w="1377" w:type="dxa"/>
            <w:vAlign w:val="center"/>
          </w:tcPr>
          <w:p w14:paraId="61286519" w14:textId="77777777" w:rsidR="00AC34B0" w:rsidRPr="00EB056A" w:rsidRDefault="00AC34B0" w:rsidP="00113B43">
            <w:pPr>
              <w:rPr>
                <w:rFonts w:ascii="Arial" w:hAnsi="Arial" w:cs="Arial"/>
                <w:sz w:val="24"/>
                <w:szCs w:val="24"/>
              </w:rPr>
            </w:pPr>
            <w:r>
              <w:rPr>
                <w:rFonts w:ascii="Arial" w:hAnsi="Arial" w:cs="Arial"/>
                <w:sz w:val="24"/>
                <w:szCs w:val="24"/>
              </w:rPr>
              <w:t>C</w:t>
            </w:r>
            <w:r w:rsidRPr="00EB056A">
              <w:rPr>
                <w:rFonts w:ascii="Arial" w:hAnsi="Arial" w:cs="Arial"/>
                <w:sz w:val="24"/>
                <w:szCs w:val="24"/>
              </w:rPr>
              <w:t>oiling</w:t>
            </w:r>
          </w:p>
        </w:tc>
        <w:tc>
          <w:tcPr>
            <w:tcW w:w="1503" w:type="dxa"/>
            <w:vAlign w:val="center"/>
          </w:tcPr>
          <w:p w14:paraId="65BB5DB3" w14:textId="77777777" w:rsidR="00AC34B0" w:rsidRPr="00EB056A" w:rsidRDefault="00AC34B0" w:rsidP="00113B4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EB056A">
              <w:rPr>
                <w:rFonts w:ascii="Arial" w:hAnsi="Arial" w:cs="Arial"/>
                <w:sz w:val="24"/>
                <w:szCs w:val="24"/>
              </w:rPr>
              <w:t xml:space="preserve">82% of 1,000 patients at 10 years </w:t>
            </w:r>
            <w:r>
              <w:rPr>
                <w:rFonts w:ascii="Arial" w:hAnsi="Arial" w:cs="Arial"/>
                <w:sz w:val="24"/>
                <w:szCs w:val="24"/>
              </w:rPr>
              <w:t xml:space="preserve">did not undergo brain or motor function damages after surgery </w:t>
            </w:r>
          </w:p>
        </w:tc>
        <w:tc>
          <w:tcPr>
            <w:tcW w:w="1800" w:type="dxa"/>
            <w:vAlign w:val="center"/>
          </w:tcPr>
          <w:p w14:paraId="60069243" w14:textId="77777777" w:rsidR="00AC34B0" w:rsidRDefault="00AC34B0" w:rsidP="00113B43">
            <w:pPr>
              <w:pStyle w:val="Paragraphedeliste"/>
              <w:numPr>
                <w:ilvl w:val="0"/>
                <w:numId w:val="2"/>
              </w:numPr>
              <w:ind w:left="216" w:hanging="18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EB056A">
              <w:rPr>
                <w:rFonts w:ascii="Arial" w:hAnsi="Arial" w:cs="Arial"/>
                <w:sz w:val="24"/>
                <w:szCs w:val="24"/>
              </w:rPr>
              <w:t>Can cause inflammation or thrombosis</w:t>
            </w:r>
          </w:p>
          <w:p w14:paraId="7726064D" w14:textId="77777777" w:rsidR="00AC34B0" w:rsidRPr="00CB7697" w:rsidRDefault="00AC34B0" w:rsidP="00113B43">
            <w:pPr>
              <w:pStyle w:val="Paragraphedeliste"/>
              <w:numPr>
                <w:ilvl w:val="0"/>
                <w:numId w:val="2"/>
              </w:numPr>
              <w:ind w:left="216" w:hanging="18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CB7697">
              <w:rPr>
                <w:rFonts w:ascii="Arial" w:hAnsi="Arial" w:cs="Arial"/>
                <w:sz w:val="24"/>
                <w:szCs w:val="24"/>
              </w:rPr>
              <w:t>blood vesse</w:t>
            </w:r>
            <w:r>
              <w:rPr>
                <w:rFonts w:ascii="Arial" w:hAnsi="Arial" w:cs="Arial"/>
                <w:sz w:val="24"/>
                <w:szCs w:val="24"/>
              </w:rPr>
              <w:t>l wall is not rebuilt</w:t>
            </w:r>
          </w:p>
        </w:tc>
        <w:tc>
          <w:tcPr>
            <w:tcW w:w="1867" w:type="dxa"/>
            <w:vAlign w:val="center"/>
          </w:tcPr>
          <w:p w14:paraId="08CCC2BE" w14:textId="77777777" w:rsidR="00AC34B0" w:rsidRPr="00EB056A" w:rsidRDefault="00AC34B0" w:rsidP="00113B43">
            <w:pPr>
              <w:pStyle w:val="Paragraphedeliste"/>
              <w:numPr>
                <w:ilvl w:val="0"/>
                <w:numId w:val="2"/>
              </w:numPr>
              <w:ind w:left="209" w:hanging="18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EB056A">
              <w:rPr>
                <w:rFonts w:ascii="Arial" w:hAnsi="Arial" w:cs="Arial"/>
                <w:sz w:val="24"/>
                <w:szCs w:val="24"/>
              </w:rPr>
              <w:t>Minimally invasive</w:t>
            </w:r>
          </w:p>
        </w:tc>
        <w:tc>
          <w:tcPr>
            <w:tcW w:w="1193" w:type="dxa"/>
            <w:vAlign w:val="center"/>
          </w:tcPr>
          <w:p w14:paraId="3257B5C9" w14:textId="521D4BFD" w:rsidR="00AC34B0" w:rsidRPr="002F74CD" w:rsidRDefault="00AC34B0" w:rsidP="00113B4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2F74CD">
              <w:rPr>
                <w:rFonts w:ascii="Arial" w:hAnsi="Arial" w:cs="Arial"/>
                <w:sz w:val="24"/>
                <w:szCs w:val="24"/>
              </w:rPr>
              <w:fldChar w:fldCharType="begin"/>
            </w:r>
            <w:r w:rsidR="005B4F59">
              <w:rPr>
                <w:rFonts w:ascii="Arial" w:hAnsi="Arial" w:cs="Arial"/>
                <w:sz w:val="24"/>
                <w:szCs w:val="24"/>
              </w:rPr>
              <w:instrText xml:space="preserve"> ADDIN ZOTERO_ITEM CSL_CITATION {"citationID":"nkSqQj2s","properties":{"formattedCitation":"\\super 4,25,30,43\\nosupersub{}","plainCitation":"4,25,30,43","noteIndex":0},"citationItems":[{"id":6,"uris":["http://zotero.org/users/6508478/items/JVVJZL89"],"itemData":{"id":6,"type":"article-journal","abstract":"BACKGROUND: Previous analyses of the International Subarachnoid Aneurysm Trial (ISAT) cohort have reported on the risks of recurrent subarachnoid haemorrhage and death or dependency for a minimum of 5 years and up to a maximum of 14 years after treatment of a ruptured intracranial aneurysm with either neurosurgical clipping or endovascular coiling. At 1 year there was a 7% absolute and a 24% relative risk reduction of death and dependency in the coiling group compared with the clipping group, but the medium-term results showed the increased need for re-treatment of the target aneurysm in the patients given coiling. We report the long-term follow-up of patients in this UK cohort.\nMETHODS: In ISAT, patients were randomly allocated to either neurosurgical clipping or endovascular coiling after a subarachnoid haemorrhage, assuming treatment equipoise, between Sept 12, 1994, and May 1, 2002. We followed up 1644 patients in 22 UK neurosurgical centres for death and clinical outcomes for 10·0-18·5 years. We assessed dependency as self-reported modified Rankin scale score obtained through yearly questionnaires. Data for recurrent aneurysms and rebleeding events were collected from questionnaires and from hospital and general practitioner records. The Office for National Statistics supplied data on deaths. This study is registered, number ISRCTN49866681.\nFINDINGS: At 10 years, 674 (83%) of 809 patients allocated endovascular coiling and 657 (79%) of 835 patients allocated neurosurgical clipping were alive (odds ratio [OR] 1·35, 95% CI 1·06-1·73). Of 1003 individuals who returned a questionnaire at 10 years, 435 (82%) patients treated with endovascular coiling and 370 (78%) patients treated with neurosurgical clipping were independent (modified Rankin scale score 0-2; OR 1·25; 95% CI 0·92-1·71). Patients in the endovascular treatment group were more likely to be alive and independent at 10 years than were patients in the neurosurgery group (OR 1·34, 95% CI 1·07-1·67). 33 patients had a recurrent subarachnoid haemorrhage more than 1 year after their initial haemorrhage (17 from the target aneurysm).\nINTERPRETATION: Although rates of increased dependency alone did not differ between groups, the probability of death or dependency was significantly greater in the neurosurgical group than in the endovascular group. Rebleeding was more likely after endovascular coiling than after neurosurgical clipping, but the risk was small and the probability of disability-free survival was significantly greater in the endovascular group than in the neurosurgical group at 10 years.\nFUNDING: UK Medical Research Council.","container-title":"Lancet (London, England)","DOI":"10.1016/S0140-6736(14)60975-2","ISSN":"1474-547X","issue":"9969","journalAbbreviation":"Lancet","language":"eng","note":"PMID: 25465111\nPMCID: PMC4356153","page":"691-697","source":"PubMed","title":"The durability of endovascular coiling versus neurosurgical clipping of ruptured cerebral aneurysms: 18 year follow-up of the UK cohort of the International Subarachnoid Aneurysm Trial (ISAT)","title-short":"The durability of endovascular coiling versus neurosurgical clipping of ruptured cerebral aneurysms","volume":"385","author":[{"family":"Molyneux","given":"Andrew J."},{"family":"Birks","given":"Jacqueline"},{"family":"Clarke","given":"Alison"},{"family":"Sneade","given":"Mary"},{"family":"Kerr","given":"Richard S. C."}],"issued":{"date-parts":[["2015",2,21]]}}},{"id":45,"uris":["http://zotero.org/users/6508478/items/MX5VEDG7"],"itemData":{"id":45,"type":"article-journal","abstract":"Intracranial aneurysm is a leading cause of stroke. Its treatment has evolved over the past 2 decades. This review summarizes the treatment strategies for intracranial aneurysms from 3 different perspectives: open surgery approach, transluminal treatment approach, and new technologies being used or trialed. We introduce most of the available treatment techniques in detail, including contralateral clipping, wrapping and clipping, double catheters assisting coiling and waffle-cone technique, and so on. Data from major trials such as Analysis of Treatment by Endovascular approach of Non-ruptured Aneurysms (ATENA), Internal Subarachnoid Trial (ISAT), Clinical and Anatomical Results in the Treatment of Ruptured Intracranial Aneurysms (CLARITY), and Barrow Ruptured Aneurysm Trial (BRAT) as well as information from other clinical reports and local experience are reviewed to suggest a clinical pathway for treating different types of intracranial aneurysms. It will be a valuable supplement to the current existing guidelines. We hope it could help assisting real-time decision-making in clinical practices and also encourage advancements in managing the disease.","container-title":"Angiology","DOI":"10.1177/0003319717700503","ISSN":"0003-3197","issue":"1","journalAbbreviation":"Angiology","language":"en","page":"17-30","source":"SAGE Journals","title":"Current Treatment Strategies for Intracranial Aneurysms: An Overview","title-short":"Current Treatment Strategies for Intracranial Aneurysms","volume":"69","author":[{"family":"Zhao","given":"Junjie"},{"family":"Lin","given":"Hao"},{"family":"Summers","given":"Richard"},{"family":"Yang","given":"Mingmin"},{"family":"Cousins","given":"Brian G."},{"family":"Tsui","given":"Janice"}],"issued":{"date-parts":[["2018",1,1]]}}},{"id":19,"uris":["http://zotero.org/users/6508478/items/ZI593EAI"],"itemData":{"id":19,"type":"article-journal","abstract":"Background: In the treatment of aneurysmal subarachnoid hemorrhage (aSAH), microsurgical clipping, and endovascular therapy (EVT) with coiling are modalities for securing the ruptured aneurysm. Little data is available regarding associated readmission rates. We sought to determine whether readmission rates differed according to treatment modality for ruptured intracranial aneurysms. Methods: The Nationwide Readmissions Database (NRD) was used to identify adults who experienced aSAH and underwent clipping or EVT. Primary outcomes of interest were the incidences of 30- and 90-day readmissions (30dRA, 90dRA). Propensity score matching was used to generate matched pairs based on age, comorbidities, hospital volume, and hemorrhage severity. Results: We identified 13,623 and 11,160 patients who were eligible for 30dRA and 90dRA analyses, respectively. Among the patients eligible for 30dRA and 90dRA, we created 4282 and 3518 propensity score-matched pairs, respectively. There was no difference in the incidence of 30dRA (12.4% for clipping versus 11.2% for EVT; P = .094). However, 90dRA occurred more frequently after clipping (22.5%) compared to EVT (19.7%; P = .003). Clipping was associated with poor outcome after 30dRA (odds ratio [OR] = 1.51, 95% confidence interval [CI] 1.21-1.88, P &lt; .001) and after 90dRA (OR = 1.60, 95% CI 1.34-1.91, P = .001). Mean duration to readmission and cost of readmission did not vary, but clipping was associated with longer lengths of stay during readmission. Conclusions: Microsurgical clipping of ruptured aneurysms is associated with a greater incidence of 90dRA, but not 30dRA, compared to EVT. Poor outcomes after readmission are more common following clipping.","container-title":"Journal of Stroke and Cerebrovascular Diseases","DOI":"10.1016/j.jstrokecerebrovasdis.2020.104696","ISSN":"1052-3057","issue":"5","journalAbbreviation":"Journal of Stroke and Cerebrovascular Diseases","language":"en","page":"104696","source":"ScienceDirect","title":"A Propensity Score-Matched Comparison of Readmission Rates Associated With Microsurgical Clipping and Endovascular Treatment of Ruptured Intracranial Aneurysms","volume":"29","author":[{"family":"Hoffman","given":"Haydn"},{"family":"Jalal","given":"Muhammad S."},{"family":"Chin","given":"Lawrence S."}],"issued":{"date-parts":[["2020",5,1]]}}},{"id":670,"uris":["http://zotero.org/users/6508478/items/T98LMBJV"],"itemData":{"id":670,"type":"article-journal","abstract":"BACKGROUND AND PURPOSE: The purpose of this study was to evaluate the degree of organization and fibrocellular tissue development in aneurysms treated with bare platinum or biologically active microcoils., METHODS: Twelve aneurysms were removed at autopsy between 1–18 days and another 2 between 2–3 months posttreatment. Four aneurysms were surgically removed between 6 months and 3 years following treatment. One aneurysm removed at 8 days and another at 6 months were treated with bioactive (Matrix) coils; the other 16 with bare platinum (Guglielmi detachable coils; GDCs). All specimens were embedded in plastic, stained with hematoxilin-eosin and elastin and examined by light microscopy., RESULTS: All specimens removed within 3 weeks demonstrated intra-aneurysmal thrombus, without signs of organization or fibrotic tissue formation over the neck regardless of the type of coils used. In the GDC-treated aneurysms, evidence of early thrombus organization was observed within 2–3 months, and completed yet imperfect fibrocellular reaction together with residual thrombus at 2–3 years. In the Matrix-treated specimens, the aneurysm cavity was completely filled with granulation tissue corresponding to still ongoing fibrocellular reaction at 6 months, including newly formed blood vessels, smooth muscle cells, and collagen deposition without signs of residual thrombus., CONCLUSIONS: Our results indicate that in aneurysms treated with bare platinum coils thrombus organization does not occur until late after treatment and may remain imperfect for years. In one aneurysm studied 8 days following treatment with Matrix coils, no difference was noted compared to aneurysms treated with bare platinum coils. In another aneurysm examined 6 months following packing with Matrix coils, the histologic changes support the hypothesis that the biologically active polymer may accelerate aneurysm healing.","container-title":"AJNR: American Journal of Neuroradiology","ISSN":"0195-6108","issue":"2","journalAbbreviation":"AJNR Am J Neuroradiol","note":"PMID: 16484393\nPMCID: PMC8148754","page":"283-288","source":"PubMed Central","title":"Histopathologic Evaluation of Aneurysms Treated with Guglielmi Detachable Coils or Matrix Detachable Microcoils","volume":"27","author":[{"family":"Szikora","given":"I."},{"family":"Seifert","given":"P."},{"family":"Hanzely","given":"Z."},{"family":"Kulcsar","given":"Z."},{"family":"Berentei","given":"Z."},{"family":"Marosfoi","given":"M."},{"family":"Czirjak","given":"S."},{"family":"Vajda","given":"J."},{"family":"Nyary","given":"I."}],"issued":{"date-parts":[["2006",2]]}}}],"schema":"https://github.com/citation-style-language/schema/raw/master/csl-citation.json"} </w:instrText>
            </w:r>
            <w:r w:rsidRPr="002F74CD">
              <w:rPr>
                <w:rFonts w:ascii="Arial" w:hAnsi="Arial" w:cs="Arial"/>
                <w:sz w:val="24"/>
                <w:szCs w:val="24"/>
              </w:rPr>
              <w:fldChar w:fldCharType="separate"/>
            </w:r>
            <w:r w:rsidR="00766016" w:rsidRPr="00766016">
              <w:rPr>
                <w:rFonts w:ascii="Arial" w:hAnsi="Arial" w:cs="Arial"/>
                <w:sz w:val="24"/>
                <w:szCs w:val="24"/>
                <w:vertAlign w:val="superscript"/>
              </w:rPr>
              <w:t>4,25,30,43</w:t>
            </w:r>
            <w:r w:rsidRPr="002F74CD">
              <w:rPr>
                <w:rFonts w:ascii="Arial" w:hAnsi="Arial" w:cs="Arial"/>
                <w:sz w:val="24"/>
                <w:szCs w:val="24"/>
              </w:rPr>
              <w:fldChar w:fldCharType="end"/>
            </w:r>
          </w:p>
        </w:tc>
      </w:tr>
      <w:tr w:rsidR="00AC34B0" w:rsidRPr="00022247" w14:paraId="4E8D0297" w14:textId="77777777" w:rsidTr="00525779">
        <w:trPr>
          <w:cnfStyle w:val="000000100000" w:firstRow="0" w:lastRow="0" w:firstColumn="0" w:lastColumn="0" w:oddVBand="0" w:evenVBand="0" w:oddHBand="1" w:evenHBand="0" w:firstRowFirstColumn="0" w:firstRowLastColumn="0" w:lastRowFirstColumn="0" w:lastRowLastColumn="0"/>
          <w:trHeight w:val="1089"/>
        </w:trPr>
        <w:tc>
          <w:tcPr>
            <w:cnfStyle w:val="001000000000" w:firstRow="0" w:lastRow="0" w:firstColumn="1" w:lastColumn="0" w:oddVBand="0" w:evenVBand="0" w:oddHBand="0" w:evenHBand="0" w:firstRowFirstColumn="0" w:firstRowLastColumn="0" w:lastRowFirstColumn="0" w:lastRowLastColumn="0"/>
            <w:tcW w:w="1377" w:type="dxa"/>
            <w:vAlign w:val="center"/>
          </w:tcPr>
          <w:p w14:paraId="2C2F2912" w14:textId="77777777" w:rsidR="00AC34B0" w:rsidRPr="00EB056A" w:rsidRDefault="00AC34B0" w:rsidP="00113B43">
            <w:pPr>
              <w:rPr>
                <w:rFonts w:ascii="Arial" w:hAnsi="Arial" w:cs="Arial"/>
                <w:sz w:val="24"/>
                <w:szCs w:val="24"/>
              </w:rPr>
            </w:pPr>
            <w:r w:rsidRPr="00EB056A">
              <w:rPr>
                <w:rFonts w:ascii="Arial" w:hAnsi="Arial" w:cs="Arial"/>
                <w:sz w:val="24"/>
                <w:szCs w:val="24"/>
              </w:rPr>
              <w:t xml:space="preserve">Stent </w:t>
            </w:r>
            <w:r>
              <w:rPr>
                <w:rFonts w:ascii="Arial" w:hAnsi="Arial" w:cs="Arial"/>
                <w:sz w:val="24"/>
                <w:szCs w:val="24"/>
              </w:rPr>
              <w:t>A</w:t>
            </w:r>
            <w:r w:rsidRPr="00EB056A">
              <w:rPr>
                <w:rFonts w:ascii="Arial" w:hAnsi="Arial" w:cs="Arial"/>
                <w:sz w:val="24"/>
                <w:szCs w:val="24"/>
              </w:rPr>
              <w:t xml:space="preserve">ssisted </w:t>
            </w:r>
            <w:r>
              <w:rPr>
                <w:rFonts w:ascii="Arial" w:hAnsi="Arial" w:cs="Arial"/>
                <w:sz w:val="24"/>
                <w:szCs w:val="24"/>
              </w:rPr>
              <w:t>C</w:t>
            </w:r>
            <w:r w:rsidRPr="00EB056A">
              <w:rPr>
                <w:rFonts w:ascii="Arial" w:hAnsi="Arial" w:cs="Arial"/>
                <w:sz w:val="24"/>
                <w:szCs w:val="24"/>
              </w:rPr>
              <w:t>oiling</w:t>
            </w:r>
          </w:p>
        </w:tc>
        <w:tc>
          <w:tcPr>
            <w:tcW w:w="1503" w:type="dxa"/>
            <w:vAlign w:val="center"/>
          </w:tcPr>
          <w:p w14:paraId="28476577" w14:textId="77777777" w:rsidR="00AC34B0" w:rsidRPr="00EB056A" w:rsidRDefault="00AC34B0" w:rsidP="00113B43">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EB056A">
              <w:rPr>
                <w:rFonts w:ascii="Arial" w:hAnsi="Arial" w:cs="Arial"/>
                <w:sz w:val="24"/>
                <w:szCs w:val="24"/>
              </w:rPr>
              <w:t>92% of 153 patients had a 90% aneurysm occlusion after a year</w:t>
            </w:r>
          </w:p>
        </w:tc>
        <w:tc>
          <w:tcPr>
            <w:tcW w:w="1800" w:type="dxa"/>
            <w:vAlign w:val="center"/>
          </w:tcPr>
          <w:p w14:paraId="560C5C79" w14:textId="77777777" w:rsidR="00AC34B0" w:rsidRPr="00EB056A" w:rsidRDefault="00AC34B0" w:rsidP="00113B43">
            <w:pPr>
              <w:pStyle w:val="Paragraphedeliste"/>
              <w:numPr>
                <w:ilvl w:val="0"/>
                <w:numId w:val="2"/>
              </w:numPr>
              <w:ind w:left="216" w:hanging="18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EB056A">
              <w:rPr>
                <w:rFonts w:ascii="Arial" w:hAnsi="Arial" w:cs="Arial"/>
                <w:sz w:val="24"/>
                <w:szCs w:val="24"/>
              </w:rPr>
              <w:t>Can require taking anticoagulant medication</w:t>
            </w:r>
          </w:p>
          <w:p w14:paraId="33446A6B" w14:textId="77777777" w:rsidR="00AC34B0" w:rsidRDefault="00AC34B0" w:rsidP="00113B43">
            <w:pPr>
              <w:pStyle w:val="Paragraphedeliste"/>
              <w:numPr>
                <w:ilvl w:val="0"/>
                <w:numId w:val="2"/>
              </w:numPr>
              <w:ind w:left="216" w:hanging="18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EB056A">
              <w:rPr>
                <w:rFonts w:ascii="Arial" w:hAnsi="Arial" w:cs="Arial"/>
                <w:sz w:val="24"/>
                <w:szCs w:val="24"/>
              </w:rPr>
              <w:t>Can cause inflammation or thrombosis</w:t>
            </w:r>
          </w:p>
          <w:p w14:paraId="62B36A41" w14:textId="77777777" w:rsidR="00AC34B0" w:rsidRPr="00EB056A" w:rsidRDefault="00AC34B0" w:rsidP="00113B43">
            <w:pPr>
              <w:pStyle w:val="Paragraphedeliste"/>
              <w:numPr>
                <w:ilvl w:val="0"/>
                <w:numId w:val="2"/>
              </w:numPr>
              <w:ind w:left="216" w:hanging="18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F77719">
              <w:rPr>
                <w:rFonts w:ascii="Arial" w:hAnsi="Arial" w:cs="Arial"/>
                <w:sz w:val="24"/>
                <w:szCs w:val="24"/>
              </w:rPr>
              <w:t>blood vesse</w:t>
            </w:r>
            <w:r>
              <w:rPr>
                <w:rFonts w:ascii="Arial" w:hAnsi="Arial" w:cs="Arial"/>
                <w:sz w:val="24"/>
                <w:szCs w:val="24"/>
              </w:rPr>
              <w:t>l wall is not rebuilt</w:t>
            </w:r>
          </w:p>
        </w:tc>
        <w:tc>
          <w:tcPr>
            <w:tcW w:w="1867" w:type="dxa"/>
            <w:vAlign w:val="center"/>
          </w:tcPr>
          <w:p w14:paraId="18002239" w14:textId="77777777" w:rsidR="00AC34B0" w:rsidRPr="00EB056A" w:rsidRDefault="00AC34B0" w:rsidP="00113B43">
            <w:pPr>
              <w:pStyle w:val="Paragraphedeliste"/>
              <w:numPr>
                <w:ilvl w:val="0"/>
                <w:numId w:val="2"/>
              </w:numPr>
              <w:ind w:left="209" w:hanging="18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EB056A">
              <w:rPr>
                <w:rFonts w:ascii="Arial" w:hAnsi="Arial" w:cs="Arial"/>
                <w:sz w:val="24"/>
                <w:szCs w:val="24"/>
              </w:rPr>
              <w:t>Minimally invasive</w:t>
            </w:r>
          </w:p>
          <w:p w14:paraId="582D99AE" w14:textId="77777777" w:rsidR="00AC34B0" w:rsidRPr="00EB056A" w:rsidRDefault="00AC34B0" w:rsidP="00113B43">
            <w:pPr>
              <w:pStyle w:val="Paragraphedeliste"/>
              <w:numPr>
                <w:ilvl w:val="0"/>
                <w:numId w:val="2"/>
              </w:numPr>
              <w:ind w:left="209" w:hanging="18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EB056A">
              <w:rPr>
                <w:rFonts w:ascii="Arial" w:hAnsi="Arial" w:cs="Arial"/>
                <w:sz w:val="24"/>
                <w:szCs w:val="24"/>
              </w:rPr>
              <w:t xml:space="preserve">Support the reconstruction of the vessel wall </w:t>
            </w:r>
          </w:p>
        </w:tc>
        <w:tc>
          <w:tcPr>
            <w:tcW w:w="1193" w:type="dxa"/>
            <w:vAlign w:val="center"/>
          </w:tcPr>
          <w:p w14:paraId="686D9228" w14:textId="196936FE" w:rsidR="00AC34B0" w:rsidRPr="002F74CD" w:rsidRDefault="00AC34B0" w:rsidP="00113B4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2F74CD">
              <w:rPr>
                <w:rFonts w:ascii="Arial" w:hAnsi="Arial" w:cs="Arial"/>
                <w:sz w:val="24"/>
                <w:szCs w:val="24"/>
              </w:rPr>
              <w:fldChar w:fldCharType="begin"/>
            </w:r>
            <w:r w:rsidR="005B4F59">
              <w:rPr>
                <w:rFonts w:ascii="Arial" w:hAnsi="Arial" w:cs="Arial"/>
                <w:sz w:val="24"/>
                <w:szCs w:val="24"/>
              </w:rPr>
              <w:instrText xml:space="preserve"> ADDIN ZOTERO_ITEM CSL_CITATION {"citationID":"ynC0Dvuv","properties":{"formattedCitation":"\\super 32,33\\nosupersub{}","plainCitation":"32,33","noteIndex":0},"citationItems":[{"id":2,"uris":["http://zotero.org/users/6508478/items/S4XP24M2"],"itemData":{"id":2,"type":"article-journal","abstract":"Introduction The LVIS stent system (LVIS and LVIS Junior) is a self-expanding, retrievable, microstent system indicated for the treatment of wide-necked cerebral aneurysms (WNAs). The present pivotal study was performed to evaluate the safety and effectiveness of this device.\nMethods The US LVIS pivotal trial was a prospective, multicenter, single-arm, interventional study conducted at 21 US centers. The study enrolled 153 adults with WNAs of the anterior and posterior circulations. The study was conducted under good clinical practices and included independent adjudication of all adverse events. The primary effectiveness endpoint was defined as successful aneurysm treatment with the LVIS System as evidenced by complete (100%) aneurysm occlusion at 12 months on conventional angiography without retreatment and without significant (≥50%) stenosis of the treated artery at 12 months as determined by an independent core laboratory. The primary safety endpoint was defined as the rate of stroke or death within 30 days, or ipsilateral stroke or neurologic death with 12 months.\nResults One hundred and fifty-three patients enrolled at 21 investigational sites underwent attempted LVIS-assisted coil embolization. The mean age was 58.3±10.5 years and the majority of the participants (110/153, 71.9%) were female. Fifty-seven aneurysms (57/153, 37.3%) arose from the anterior cerebral artery, 43 (43/153, 28.1%) from the internal carotid artery, 17 (17/153, 11.1%) from the middle cerebral artery, 27 (27/153, 17.6%) from the basilar artery, six (6/153,3.9 %) from the PCA, and two from the vertebral artery. A single aneurysm arose from the superior cerebellar artery. The mean aneurysm dome height was 6.0±2.2 mm and mean width 5.5±2.3 mm. Mean neck width was 4.2±1.4 mm. A total of 22 participants presented for re-treatment of a previously ruptured (&gt;30 days prior to treatment) target aneurysm. The primary effectiveness endpoint was observed in 70.6% (108/153) in the intent to treat population (ITT). Of the evaluable participants with follow-up 12-month angiography, 79.1 % (110/139) demonstrated complete occlusion– 92.1% (128/139) in this population demonstrated ≥95% occlusion and 95% demonstrated ≥90% occlusion (132/139). Eight participants (5.2%, 8/153) had at least one primary safety event in the ITT population.\nConclusion The LVIS stent system allows safe and highly effective coil embolization of WNAs.\nClinical registration number NCT01793792.","container-title":"Journal of NeuroInterventional Surgery","DOI":"10.1136/neurintsurg-2018-014309","ISSN":"1759-8478, 1759-8486","issue":"4","language":"en","note":"PMID: 30297543","page":"357-361","source":"jnis.bmj.com","title":"The safety and effectiveness of the LVIS stent system for the treatment of wide-necked cerebral aneurysms: final results of the pivotal US LVIS trial","title-short":"The safety and effectiveness of the LVIS stent system for the treatment of wide-necked cerebral aneurysms","volume":"11","author":[{"family":"Fiorella","given":"David"},{"family":"Boulos","given":"Alan"},{"family":"Turk","given":"Aquilla S."},{"family":"Siddiqui","given":"Adnan H."},{"family":"Arthur","given":"Adam S."},{"family":"Diaz","given":"Orlando"},{"family":"Lopes","given":"Demetrius K."}],"issued":{"date-parts":[["2019",4,1]]}}},{"id":1,"uris":["http://zotero.org/users/6508478/items/4A727H54"],"itemData":{"id":1,"type":"article-journal","abstract":"Background Flow diversion (FD) has emerged as superior minimally invasive therapy for cerebral aneurysms. However, aneurysms of small peripheral vessel segments have not yet been adequately treatable. More specifically, currently established devices necessitate large microcatheters which impede atraumatic maneuvering. The Silk Vista Baby (SVB), a novel flow diverter, offers the as yet unique feature of deliverability via a 0.017 inch microcatheter. This study reports our first experience with the SVB in challenging intracranial vessels employing a vessel-specific tailored microcatheter strategy.\nMaterials and methods 25 patients (27 aneurysms) were prospectively included. A total of 30 SVBs were employed, predominantly targeting demanding aneurysms of the anterior communicating artery complex. The efficacy of the FD was assessed using two-dimensional vector-based perfusion and conventional digital subtraction angiography (DSA) after implantation and at the first follow-up at 3 months. The first follow-up was available in 22 patients.\nResults All devices were implanted without technical or clinical complications. Eleven treatments were performed using the recommended Headway 17. In 14 interventions the even more maneuverable Excelsior SL10 was used, which was previously tried and tested for safety ’in vitro’ as an alternative delivery system. Aneurysmal influx was strongly reduced after implantation. All parent vessels remained patent. 17/27 aneurysms were completely occluded at first follow-up (</w:instrText>
            </w:r>
            <w:r w:rsidR="005B4F59">
              <w:rPr>
                <w:rFonts w:ascii="Cambria Math" w:hAnsi="Cambria Math" w:cs="Cambria Math"/>
                <w:sz w:val="24"/>
                <w:szCs w:val="24"/>
              </w:rPr>
              <w:instrText>∼</w:instrText>
            </w:r>
            <w:r w:rsidR="005B4F59">
              <w:rPr>
                <w:rFonts w:ascii="Arial" w:hAnsi="Arial" w:cs="Arial"/>
                <w:sz w:val="24"/>
                <w:szCs w:val="24"/>
              </w:rPr>
              <w:instrText xml:space="preserve">2.7 months), 6/27 aneurysms showed decreased influx or delayed washout and one remained unchanged. In three cases follow-up DSAs are remaining.\nConclusions SVB provides enhanced controllability in vulnerable segments beyond the circle of Willis. Smaller variants (2.25 mm and 2.75 mm) can safely be implanted via the superiorly navigable Excelsior SL10. Hence, the SVB represents the next evolutionary step in minimally invasive treatment of cerebral aneurysms.","container-title":"Journal of NeuroInterventional Surgery","DOI":"10.1136/neurintsurg-2019-014840","ISSN":"1759-8478, 1759-8486","issue":"12","language":"en","note":"PMID: 31088939","page":"1227-1234","source":"jnis.bmj.com","title":"Flow diversion beyond the circle of Willis: endovascular aneurysm treatment in peripheral cerebral arteries employing a novel low-profile flow diverting stent","title-short":"Flow diversion beyond the circle of Willis","volume":"11","author":[{"family":"Schob","given":"Stefan"},{"family":"Hoffmann","given":"Karl-Titus"},{"family":"Richter","given":"Cindy"},{"family":"Bhogal","given":"Pervinder"},{"family":"Köhlert","given":"Katharina"},{"family":"Planitzer","given":"Uwe"},{"family":"Ziganshyna","given":"Svitlana"},{"family":"Lindner","given":"Dirk"},{"family":"Scherlach","given":"Cordula"},{"family":"Nestler","given":"Ulf"},{"family":"Meixensberger","given":"Jürgen"},{"family":"Quäschling","given":"Ulf"}],"issued":{"date-parts":[["2019",12,1]]}}}],"schema":"https://github.com/citation-style-language/schema/raw/master/csl-citation.json"} </w:instrText>
            </w:r>
            <w:r w:rsidRPr="002F74CD">
              <w:rPr>
                <w:rFonts w:ascii="Arial" w:hAnsi="Arial" w:cs="Arial"/>
                <w:sz w:val="24"/>
                <w:szCs w:val="24"/>
              </w:rPr>
              <w:fldChar w:fldCharType="separate"/>
            </w:r>
            <w:r w:rsidR="00766016" w:rsidRPr="00766016">
              <w:rPr>
                <w:rFonts w:ascii="Arial" w:hAnsi="Arial" w:cs="Arial"/>
                <w:sz w:val="24"/>
                <w:szCs w:val="24"/>
                <w:vertAlign w:val="superscript"/>
              </w:rPr>
              <w:t>32,33</w:t>
            </w:r>
            <w:r w:rsidRPr="002F74CD">
              <w:rPr>
                <w:rFonts w:ascii="Arial" w:hAnsi="Arial" w:cs="Arial"/>
                <w:sz w:val="24"/>
                <w:szCs w:val="24"/>
              </w:rPr>
              <w:fldChar w:fldCharType="end"/>
            </w:r>
          </w:p>
        </w:tc>
      </w:tr>
      <w:tr w:rsidR="00AC34B0" w:rsidRPr="00022247" w14:paraId="1B74BDC2" w14:textId="77777777" w:rsidTr="00525779">
        <w:trPr>
          <w:trHeight w:val="736"/>
        </w:trPr>
        <w:tc>
          <w:tcPr>
            <w:cnfStyle w:val="001000000000" w:firstRow="0" w:lastRow="0" w:firstColumn="1" w:lastColumn="0" w:oddVBand="0" w:evenVBand="0" w:oddHBand="0" w:evenHBand="0" w:firstRowFirstColumn="0" w:firstRowLastColumn="0" w:lastRowFirstColumn="0" w:lastRowLastColumn="0"/>
            <w:tcW w:w="1377" w:type="dxa"/>
            <w:vAlign w:val="center"/>
          </w:tcPr>
          <w:p w14:paraId="12A93094" w14:textId="77777777" w:rsidR="00AC34B0" w:rsidRPr="00EB056A" w:rsidRDefault="00AC34B0" w:rsidP="00113B43">
            <w:pPr>
              <w:rPr>
                <w:rFonts w:ascii="Arial" w:hAnsi="Arial" w:cs="Arial"/>
                <w:sz w:val="24"/>
                <w:szCs w:val="24"/>
              </w:rPr>
            </w:pPr>
            <w:r w:rsidRPr="00EB056A">
              <w:rPr>
                <w:rFonts w:ascii="Arial" w:hAnsi="Arial" w:cs="Arial"/>
                <w:sz w:val="24"/>
                <w:szCs w:val="24"/>
              </w:rPr>
              <w:t xml:space="preserve">Liquid </w:t>
            </w:r>
            <w:r>
              <w:rPr>
                <w:rFonts w:ascii="Arial" w:hAnsi="Arial" w:cs="Arial"/>
                <w:sz w:val="24"/>
                <w:szCs w:val="24"/>
              </w:rPr>
              <w:t>F</w:t>
            </w:r>
            <w:r w:rsidRPr="00EB056A">
              <w:rPr>
                <w:rFonts w:ascii="Arial" w:hAnsi="Arial" w:cs="Arial"/>
                <w:sz w:val="24"/>
                <w:szCs w:val="24"/>
              </w:rPr>
              <w:t>illers</w:t>
            </w:r>
          </w:p>
        </w:tc>
        <w:tc>
          <w:tcPr>
            <w:tcW w:w="1503" w:type="dxa"/>
            <w:vAlign w:val="center"/>
          </w:tcPr>
          <w:p w14:paraId="7FB94972" w14:textId="77777777" w:rsidR="00AC34B0" w:rsidRPr="00EB056A" w:rsidRDefault="00AC34B0" w:rsidP="00113B4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EB056A">
              <w:rPr>
                <w:rFonts w:ascii="Arial" w:hAnsi="Arial" w:cs="Arial"/>
                <w:sz w:val="24"/>
                <w:szCs w:val="24"/>
              </w:rPr>
              <w:t>81% of successful aneurysm blockage (16 patients)</w:t>
            </w:r>
          </w:p>
        </w:tc>
        <w:tc>
          <w:tcPr>
            <w:tcW w:w="1800" w:type="dxa"/>
            <w:vAlign w:val="center"/>
          </w:tcPr>
          <w:p w14:paraId="024396A6" w14:textId="77777777" w:rsidR="00AC34B0" w:rsidRPr="00EB056A" w:rsidRDefault="00AC34B0" w:rsidP="00113B43">
            <w:pPr>
              <w:pStyle w:val="Paragraphedeliste"/>
              <w:numPr>
                <w:ilvl w:val="0"/>
                <w:numId w:val="2"/>
              </w:numPr>
              <w:ind w:left="216" w:hanging="18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EB056A">
              <w:rPr>
                <w:rFonts w:ascii="Arial" w:hAnsi="Arial" w:cs="Arial"/>
                <w:sz w:val="24"/>
                <w:szCs w:val="24"/>
              </w:rPr>
              <w:t>Risk of fragmentation by blood flow</w:t>
            </w:r>
          </w:p>
          <w:p w14:paraId="75F71812" w14:textId="77777777" w:rsidR="00AC34B0" w:rsidRPr="00EB056A" w:rsidRDefault="00AC34B0" w:rsidP="00113B43">
            <w:pPr>
              <w:pStyle w:val="Paragraphedeliste"/>
              <w:numPr>
                <w:ilvl w:val="0"/>
                <w:numId w:val="2"/>
              </w:numPr>
              <w:ind w:left="216" w:hanging="18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EB056A">
              <w:rPr>
                <w:rFonts w:ascii="Arial" w:hAnsi="Arial" w:cs="Arial"/>
                <w:sz w:val="24"/>
                <w:szCs w:val="24"/>
              </w:rPr>
              <w:t>Recent so do</w:t>
            </w:r>
            <w:r>
              <w:rPr>
                <w:rFonts w:ascii="Arial" w:hAnsi="Arial" w:cs="Arial"/>
                <w:sz w:val="24"/>
                <w:szCs w:val="24"/>
              </w:rPr>
              <w:t xml:space="preserve"> </w:t>
            </w:r>
            <w:r w:rsidRPr="00EB056A">
              <w:rPr>
                <w:rFonts w:ascii="Arial" w:hAnsi="Arial" w:cs="Arial"/>
                <w:sz w:val="24"/>
                <w:szCs w:val="24"/>
              </w:rPr>
              <w:t>n</w:t>
            </w:r>
            <w:r>
              <w:rPr>
                <w:rFonts w:ascii="Arial" w:hAnsi="Arial" w:cs="Arial"/>
                <w:sz w:val="24"/>
                <w:szCs w:val="24"/>
              </w:rPr>
              <w:t>o</w:t>
            </w:r>
            <w:r w:rsidRPr="00EB056A">
              <w:rPr>
                <w:rFonts w:ascii="Arial" w:hAnsi="Arial" w:cs="Arial"/>
                <w:sz w:val="24"/>
                <w:szCs w:val="24"/>
              </w:rPr>
              <w:t xml:space="preserve">t have </w:t>
            </w:r>
            <w:r>
              <w:rPr>
                <w:rFonts w:ascii="Arial" w:hAnsi="Arial" w:cs="Arial"/>
                <w:sz w:val="24"/>
                <w:szCs w:val="24"/>
              </w:rPr>
              <w:t>success rates</w:t>
            </w:r>
            <w:r w:rsidRPr="00EB056A">
              <w:rPr>
                <w:rFonts w:ascii="Arial" w:hAnsi="Arial" w:cs="Arial"/>
                <w:sz w:val="24"/>
                <w:szCs w:val="24"/>
              </w:rPr>
              <w:t xml:space="preserve"> over time</w:t>
            </w:r>
          </w:p>
        </w:tc>
        <w:tc>
          <w:tcPr>
            <w:tcW w:w="1867" w:type="dxa"/>
            <w:vAlign w:val="center"/>
          </w:tcPr>
          <w:p w14:paraId="23636C78" w14:textId="77777777" w:rsidR="00AC34B0" w:rsidRPr="00EB056A" w:rsidRDefault="00AC34B0" w:rsidP="00113B43">
            <w:pPr>
              <w:pStyle w:val="Paragraphedeliste"/>
              <w:numPr>
                <w:ilvl w:val="0"/>
                <w:numId w:val="2"/>
              </w:numPr>
              <w:ind w:left="209" w:hanging="18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EB056A">
              <w:rPr>
                <w:rFonts w:ascii="Arial" w:hAnsi="Arial" w:cs="Arial"/>
                <w:sz w:val="24"/>
                <w:szCs w:val="24"/>
              </w:rPr>
              <w:t>Minimally invasive</w:t>
            </w:r>
          </w:p>
          <w:p w14:paraId="384500CD" w14:textId="77777777" w:rsidR="00AC34B0" w:rsidRPr="00EB056A" w:rsidRDefault="00AC34B0" w:rsidP="00113B43">
            <w:pPr>
              <w:pStyle w:val="Paragraphedeliste"/>
              <w:numPr>
                <w:ilvl w:val="0"/>
                <w:numId w:val="2"/>
              </w:numPr>
              <w:ind w:left="209" w:hanging="18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EB056A">
              <w:rPr>
                <w:rFonts w:ascii="Arial" w:hAnsi="Arial" w:cs="Arial"/>
                <w:sz w:val="24"/>
                <w:szCs w:val="24"/>
              </w:rPr>
              <w:t>Do not cause inflammation or thrombosis</w:t>
            </w:r>
          </w:p>
          <w:p w14:paraId="4A3C7DB5" w14:textId="77777777" w:rsidR="00AC34B0" w:rsidRPr="00020DE4" w:rsidRDefault="00AC34B0" w:rsidP="00113B43">
            <w:pPr>
              <w:pStyle w:val="Paragraphedeliste"/>
              <w:numPr>
                <w:ilvl w:val="0"/>
                <w:numId w:val="2"/>
              </w:numPr>
              <w:ind w:left="209" w:hanging="18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EB056A">
              <w:rPr>
                <w:rFonts w:ascii="Arial" w:hAnsi="Arial" w:cs="Arial"/>
                <w:sz w:val="24"/>
                <w:szCs w:val="24"/>
              </w:rPr>
              <w:t>Adapted to asymmetrical aneurysms</w:t>
            </w:r>
          </w:p>
        </w:tc>
        <w:tc>
          <w:tcPr>
            <w:tcW w:w="1193" w:type="dxa"/>
            <w:vAlign w:val="center"/>
          </w:tcPr>
          <w:p w14:paraId="0DAF5C4D" w14:textId="4E842631" w:rsidR="00AC34B0" w:rsidRPr="002F74CD" w:rsidRDefault="00AC34B0" w:rsidP="00113B4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2F74CD">
              <w:rPr>
                <w:rFonts w:ascii="Arial" w:hAnsi="Arial" w:cs="Arial"/>
                <w:sz w:val="24"/>
                <w:szCs w:val="24"/>
              </w:rPr>
              <w:fldChar w:fldCharType="begin"/>
            </w:r>
            <w:r w:rsidR="005B4F59">
              <w:rPr>
                <w:rFonts w:ascii="Arial" w:hAnsi="Arial" w:cs="Arial"/>
                <w:sz w:val="24"/>
                <w:szCs w:val="24"/>
              </w:rPr>
              <w:instrText xml:space="preserve"> ADDIN ZOTERO_ITEM CSL_CITATION {"citationID":"TVCi9YwC","properties":{"formattedCitation":"\\super 25,40,43\\nosupersub{}","plainCitation":"25,40,43","noteIndex":0},"citationItems":[{"id":45,"uris":["http://zotero.org/users/6508478/items/MX5VEDG7"],"itemData":{"id":45,"type":"article-journal","abstract":"Intracranial aneurysm is a leading cause of stroke. Its treatment has evolved over the past 2 decades. This review summarizes the treatment strategies for intracranial aneurysms from 3 different perspectives: open surgery approach, transluminal treatment approach, and new technologies being used or trialed. We introduce most of the available treatment techniques in detail, including contralateral clipping, wrapping and clipping, double catheters assisting coiling and waffle-cone technique, and so on. Data from major trials such as Analysis of Treatment by Endovascular approach of Non-ruptured Aneurysms (ATENA), Internal Subarachnoid Trial (ISAT), Clinical and Anatomical Results in the Treatment of Ruptured Intracranial Aneurysms (CLARITY), and Barrow Ruptured Aneurysm Trial (BRAT) as well as information from other clinical reports and local experience are reviewed to suggest a clinical pathway for treating different types of intracranial aneurysms. It will be a valuable supplement to the current existing guidelines. We hope it could help assisting real-time decision-making in clinical practices and also encourage advancements in managing the disease.","container-title":"Angiology","DOI":"10.1177/0003319717700503","ISSN":"0003-3197","issue":"1","journalAbbreviation":"Angiology","language":"en","page":"17-30","source":"SAGE Journals","title":"Current Treatment Strategies for Intracranial Aneurysms: An Overview","title-short":"Current Treatment Strategies for Intracranial Aneurysms","volume":"69","author":[{"family":"Zhao","given":"Junjie"},{"family":"Lin","given":"Hao"},{"family":"Summers","given":"Richard"},{"family":"Yang","given":"Mingmin"},{"family":"Cousins","given":"Brian G."},{"family":"Tsui","given":"Janice"}],"issued":{"date-parts":[["2018",1,1]]}}},{"id":667,"uris":["http://zotero.org/users/6508478/items/QNUN7CNI"],"itemData":{"id":667,"type":"article-journal","abstract":"Derzeit gibt es verschiedene Materialien zur endovaskulären Behandlung von Aneurysmen. Die Wahl des Materials hängt dabei von der Lokalisation und Konfiguration des Aneurysmas ab. Um eine optimale Aneurysmabehandlung zu gewährleisten, muss das Füllmaterial das Aneurysma inkorporieren und vom Trägergefäß durch Ausbildung einer Endothelschicht und Neointimaproliferation entlang des Aneurysmahalses isolieren. Dadurch kann das Aneurysma dauerhaft vom Blutfluss isoliert und so die geschwächte Gefäßwand langfristig stabilisiert werden, um eine nachfolgende Ruptur zu verhindern. Am häufigsten werden aktuell weiche Platinspiralen (Coils) verwendet. In den letzten Jahren wurden vermehrt Flüssigembolisate zur endovaskulären Behandlung von Aneurysmen entwickelt. Einer der Gründe ist dabei, dass die injizierte Flüssigkeit das Aneurysmalumen vollständig ausfüllt und somit unabhängig von der Aneurysmaform keine Lücke zwischen Füllmaterial und Aneurysmawand entsteht. Die meisten präklinischen und klinischen Studien liegen für Onyx vor. Insbesondere zur Behandlung von mykotischen Aneurysmen sowie Aneurysmen der distalen hinteren Strombahn erweist sich die Flüssigembolisation mit Onyx bereits als mögliche, effektive Behandlungsmethode.","container-title":"Der Radiologe","DOI":"10.1007/s00117-020-00668-4","ISSN":"1432-2102","issue":"4","journalAbbreviation":"Radiologe","language":"de","page":"325-328","source":"Springer Link","title":"Neue Wege zur Embolisation von Aneurysmen (Flüssigembolisat)","volume":"60","author":[{"family":"Fries","given":"Frederik"}],"issued":{"date-parts":[["2020",4,1]]}}},{"id":670,"uris":["http://zotero.org/users/6508478/items/T98LMBJV"],"itemData":{"id":670,"type":"article-journal","abstract":"BACKGROUND AND PURPOSE: The purpose of this study was to evaluate the degree of organization and fibrocellular tissue development in aneurysms treated with bare platinum or biologically active microcoils., METHODS: Twelve aneurysms were removed at autopsy between 1–18 days and another 2 between 2–3 months posttreatment. Four aneurysms were surgically removed between 6 months and 3 years following treatment. One aneurysm removed at 8 days and another at 6 months were treated with bioactive (Matrix) coils; the other 16 with bare platinum (Guglielmi detachable coils; GDCs). All specimens were embedded in plastic, stained with hematoxilin-eosin and elastin and examined by light microscopy., RESULTS: All specimens removed within 3 weeks demonstrated intra-aneurysmal thrombus, without signs of organization or fibrotic tissue formation over the neck regardless of the type of coils used. In the GDC-treated aneurysms, evidence of early thrombus organization was observed within 2–3 months, and completed yet imperfect fibrocellular reaction together with residual thrombus at 2–3 years. In the Matrix-treated specimens, the aneurysm cavity was completely filled with granulation tissue corresponding to still ongoing fibrocellular reaction at 6 months, including newly formed blood vessels, smooth muscle cells, and collagen deposition without signs of residual thrombus., CONCLUSIONS: Our results indicate that in aneurysms treated with bare platinum coils thrombus organization does not occur until late after treatment and may remain imperfect for years. In one aneurysm studied 8 days following treatment with Matrix coils, no difference was noted compared to aneurysms treated with bare platinum coils. In another aneurysm examined 6 months following packing with Matrix coils, the histologic changes support the hypothesis that the biologically active polymer may accelerate aneurysm healing.","container-title":"AJNR: American Journal of Neuroradiology","ISSN":"0195-6108","issue":"2","journalAbbreviation":"AJNR Am J Neuroradiol","note":"PMID: 16484393\nPMCID: PMC8148754","page":"283-288","source":"PubMed Central","title":"Histopathologic Evaluation of Aneurysms Treated with Guglielmi Detachable Coils or Matrix Detachable Microcoils","volume":"27","author":[{"family":"Szikora","given":"I."},{"family":"Seifert","given":"P."},{"family":"Hanzely","given":"Z."},{"family":"Kulcsar","given":"Z."},{"family":"Berentei","given":"Z."},{"family":"Marosfoi","given":"M."},{"family":"Czirjak","given":"S."},{"family":"Vajda","given":"J."},{"family":"Nyary","given":"I."}],"issued":{"date-parts":[["2006",2]]}}}],"schema":"https://github.com/citation-style-language/schema/raw/master/csl-citation.json"} </w:instrText>
            </w:r>
            <w:r w:rsidRPr="002F74CD">
              <w:rPr>
                <w:rFonts w:ascii="Arial" w:hAnsi="Arial" w:cs="Arial"/>
                <w:sz w:val="24"/>
                <w:szCs w:val="24"/>
              </w:rPr>
              <w:fldChar w:fldCharType="separate"/>
            </w:r>
            <w:r w:rsidR="00766016" w:rsidRPr="00766016">
              <w:rPr>
                <w:rFonts w:ascii="Arial" w:hAnsi="Arial" w:cs="Arial"/>
                <w:sz w:val="24"/>
                <w:szCs w:val="24"/>
                <w:vertAlign w:val="superscript"/>
              </w:rPr>
              <w:t>25,40,43</w:t>
            </w:r>
            <w:r w:rsidRPr="002F74CD">
              <w:rPr>
                <w:rFonts w:ascii="Arial" w:hAnsi="Arial" w:cs="Arial"/>
                <w:sz w:val="24"/>
                <w:szCs w:val="24"/>
              </w:rPr>
              <w:fldChar w:fldCharType="end"/>
            </w:r>
          </w:p>
        </w:tc>
      </w:tr>
    </w:tbl>
    <w:p w14:paraId="550ECE35" w14:textId="354BC13D" w:rsidR="00AC34B0" w:rsidRDefault="00687248" w:rsidP="00431ECA">
      <w:pPr>
        <w:spacing w:before="240" w:line="480" w:lineRule="auto"/>
        <w:ind w:firstLine="720"/>
        <w:jc w:val="both"/>
        <w:rPr>
          <w:rFonts w:ascii="Arial" w:eastAsiaTheme="majorEastAsia" w:hAnsi="Arial" w:cs="Arial"/>
          <w:b/>
          <w:bCs/>
          <w:color w:val="000000" w:themeColor="text1"/>
          <w:sz w:val="28"/>
          <w:szCs w:val="28"/>
        </w:rPr>
      </w:pPr>
      <w:r w:rsidRPr="00EB056A">
        <w:rPr>
          <w:rFonts w:ascii="Arial" w:hAnsi="Arial" w:cs="Arial"/>
          <w:sz w:val="24"/>
          <w:szCs w:val="24"/>
        </w:rPr>
        <w:lastRenderedPageBreak/>
        <w:t xml:space="preserve">Current treatments allow </w:t>
      </w:r>
      <w:r>
        <w:rPr>
          <w:rFonts w:ascii="Arial" w:hAnsi="Arial" w:cs="Arial"/>
          <w:sz w:val="24"/>
          <w:szCs w:val="24"/>
        </w:rPr>
        <w:t xml:space="preserve">partial vessel wall reconstruction and stop aneurysm growth by blocking the blood flow from going in the aneurysm, </w:t>
      </w:r>
      <w:r w:rsidRPr="00EB056A">
        <w:rPr>
          <w:rFonts w:ascii="Arial" w:hAnsi="Arial" w:cs="Arial"/>
          <w:sz w:val="24"/>
          <w:szCs w:val="24"/>
        </w:rPr>
        <w:t>but either require open skull surgery, can cause thrombosis</w:t>
      </w:r>
      <w:r>
        <w:rPr>
          <w:rFonts w:ascii="Arial" w:hAnsi="Arial" w:cs="Arial"/>
          <w:sz w:val="24"/>
          <w:szCs w:val="24"/>
        </w:rPr>
        <w:t xml:space="preserve"> and inflammation,</w:t>
      </w:r>
      <w:r w:rsidRPr="00EB056A">
        <w:rPr>
          <w:rFonts w:ascii="Arial" w:hAnsi="Arial" w:cs="Arial"/>
          <w:sz w:val="24"/>
          <w:szCs w:val="24"/>
        </w:rPr>
        <w:t xml:space="preserve"> or can be fragmented by blood flow</w:t>
      </w:r>
      <w:r>
        <w:rPr>
          <w:rFonts w:ascii="Arial" w:hAnsi="Arial" w:cs="Arial"/>
          <w:sz w:val="24"/>
          <w:szCs w:val="24"/>
        </w:rPr>
        <w:t xml:space="preserve"> </w:t>
      </w:r>
      <w:r w:rsidR="0077321A">
        <w:rPr>
          <w:rFonts w:ascii="Arial" w:hAnsi="Arial" w:cs="Arial"/>
          <w:sz w:val="24"/>
          <w:szCs w:val="24"/>
        </w:rPr>
        <w:t>(</w:t>
      </w:r>
      <w:r w:rsidR="0077321A" w:rsidRPr="0077321A">
        <w:rPr>
          <w:rFonts w:ascii="Arial" w:hAnsi="Arial" w:cs="Arial"/>
          <w:sz w:val="24"/>
          <w:szCs w:val="24"/>
        </w:rPr>
        <w:fldChar w:fldCharType="begin"/>
      </w:r>
      <w:r w:rsidR="0077321A" w:rsidRPr="0077321A">
        <w:rPr>
          <w:rFonts w:ascii="Arial" w:hAnsi="Arial" w:cs="Arial"/>
          <w:sz w:val="24"/>
          <w:szCs w:val="24"/>
        </w:rPr>
        <w:instrText xml:space="preserve"> REF _Ref109765986 \h </w:instrText>
      </w:r>
      <w:r w:rsidR="0077321A" w:rsidRPr="0077321A">
        <w:rPr>
          <w:rFonts w:ascii="Arial" w:hAnsi="Arial" w:cs="Arial"/>
          <w:sz w:val="24"/>
          <w:szCs w:val="24"/>
        </w:rPr>
      </w:r>
      <w:r w:rsidR="0077321A" w:rsidRPr="0077321A">
        <w:rPr>
          <w:rFonts w:ascii="Arial" w:hAnsi="Arial" w:cs="Arial"/>
          <w:sz w:val="24"/>
          <w:szCs w:val="24"/>
        </w:rPr>
        <w:instrText xml:space="preserve"> \* MERGEFORMAT </w:instrText>
      </w:r>
      <w:r w:rsidR="0077321A" w:rsidRPr="0077321A">
        <w:rPr>
          <w:rFonts w:ascii="Arial" w:hAnsi="Arial" w:cs="Arial"/>
          <w:sz w:val="24"/>
          <w:szCs w:val="24"/>
        </w:rPr>
        <w:fldChar w:fldCharType="separate"/>
      </w:r>
      <w:r w:rsidR="005C4791" w:rsidRPr="005C4791">
        <w:rPr>
          <w:rFonts w:ascii="Arial" w:hAnsi="Arial" w:cs="Arial"/>
          <w:sz w:val="24"/>
          <w:szCs w:val="24"/>
        </w:rPr>
        <w:t xml:space="preserve">Table </w:t>
      </w:r>
      <w:r w:rsidR="005C4791" w:rsidRPr="005C4791">
        <w:rPr>
          <w:rFonts w:ascii="Arial" w:hAnsi="Arial" w:cs="Arial"/>
          <w:noProof/>
          <w:sz w:val="24"/>
          <w:szCs w:val="24"/>
        </w:rPr>
        <w:t>1</w:t>
      </w:r>
      <w:r w:rsidR="0077321A" w:rsidRPr="0077321A">
        <w:rPr>
          <w:rFonts w:ascii="Arial" w:hAnsi="Arial" w:cs="Arial"/>
          <w:sz w:val="24"/>
          <w:szCs w:val="24"/>
        </w:rPr>
        <w:fldChar w:fldCharType="end"/>
      </w:r>
      <w:r>
        <w:rPr>
          <w:rFonts w:ascii="Arial" w:hAnsi="Arial" w:cs="Arial"/>
          <w:sz w:val="24"/>
          <w:szCs w:val="24"/>
        </w:rPr>
        <w:t xml:space="preserve">) </w:t>
      </w:r>
      <w:r w:rsidRPr="00EB056A">
        <w:rPr>
          <w:rFonts w:ascii="Arial" w:hAnsi="Arial" w:cs="Arial"/>
          <w:sz w:val="24"/>
          <w:szCs w:val="24"/>
        </w:rPr>
        <w:fldChar w:fldCharType="begin"/>
      </w:r>
      <w:r>
        <w:rPr>
          <w:rFonts w:ascii="Arial" w:hAnsi="Arial" w:cs="Arial"/>
          <w:sz w:val="24"/>
          <w:szCs w:val="24"/>
        </w:rPr>
        <w:instrText xml:space="preserve"> ADDIN ZOTERO_ITEM CSL_CITATION {"citationID":"4kspHLC4","properties":{"formattedCitation":"\\super 28,31,33,42\\nosupersub{}","plainCitation":"28,31,33,42","noteIndex":0},"citationItems":[{"id":21,"uris":["http://zotero.org/users/6508478/items/QDNGGQB7"],"itemData":{"id":21,"type":"article-journal","abstract":"Objectives\nRupture of unruptured intracranial aneurysms (UIA) is the main cause for subarachnoid hemorrhage. UIA are widespread among the population. Advanced technology enables us to diagnose UIAs with increasing reliability and subsequently treat them. There are 2 main treatment options: surgical clipping and endovascular treatment of the aneurysm. This article aims to analyze costs of neurosurgical clipping and the endovascular approach to treat UIA, and to give an overview over the existing literature.\nMethods\nA systematic literature search was conducted using the databases Ovid MEDLINE, PubMed, and NHS EED. Articles were divided into 2 groups based on the perspective from which costs were evaluated (health care provider or payer). Costs were inflated to the year 2015 and converted to international dollars.\nResults\nThe literature search yielded 137 different articles out of which 15 have been considered relevant and have been included in this review. Not only absolute numbers but also the cost ratio of both treatment modalities showed substantial variations. The coiling procedure tends to be more expensive for health care providers but cheaper for cost bearers. Without any exception, the authors determined shorter lengths of stay for patients who underwent the coiling procedure.\nConclusions\nDue to different definitions of hospital costs and hardly reproducible calculations, comparability of the stated numbers is limited. Besides the economic impact, outcomes must be considered when making a treatment decision. The 2 treatment modalities are not equally suitable in every patient nor for every aneurysm location.","container-title":"World Neurosurgery","DOI":"10.1016/j.wneu.2019.01.195","ISSN":"1878-8750","journalAbbreviation":"World Neurosurgery","language":"en","page":"461-468","source":"ScienceDirect","title":"Cost Comparison of Surgical Clipping and Endovascular Coiling of Unruptured Intracranial Aneurysms: A Systematic Review","title-short":"Cost Comparison of Surgical Clipping and Endovascular Coiling of Unruptured Intracranial Aneurysms","volume":"125","author":[{"family":"Engele","given":"Tobias"},{"family":"Brettschneider","given":"Christian"},{"family":"Emami","given":"Pedram"},{"family":"König","given":"Hans-Helmut"}],"issued":{"date-parts":[["2019",5,1]]}}},{"id":41,"uris":["http://zotero.org/users/6508478/items/XX4L6UPB"],"itemData":{"id":41,"type":"webpage","abstract":"Explore treatment options for brain aneurysms, including flow diversion, a minimally invasive procedure.","language":"en","title":"Aneurysm Flow Diversion - About the Therapy","URL":"https://www.medtronic.com/us-en/patients/treatments-therapies/aneurysm-flow-diversion/about.html","author":[{"literal":"Medtronic"}],"accessed":{"date-parts":[["2021",5,25]]}}},{"id":2,"uris":["http://zotero.org/users/6508478/items/S4XP24M2"],"itemData":{"id":2,"type":"article-journal","abstract":"Introduction The LVIS stent system (LVIS and LVIS Junior) is a self-expanding, retrievable, microstent system indicated for the treatment of wide-necked cerebral aneurysms (WNAs). The present pivotal study was performed to evaluate the safety and effectiveness of this device.\nMethods The US LVIS pivotal trial was a prospective, multicenter, single-arm, interventional study conducted at 21 US centers. The study enrolled 153 adults with WNAs of the anterior and posterior circulations. The study was conducted under good clinical practices and included independent adjudication of all adverse events. The primary effectiveness endpoint was defined as successful aneurysm treatment with the LVIS System as evidenced by complete (100%) aneurysm occlusion at 12 months on conventional angiography without retreatment and without significant (≥50%) stenosis of the treated artery at 12 months as determined by an independent core laboratory. The primary safety endpoint was defined as the rate of stroke or death within 30 days, or ipsilateral stroke or neurologic death with 12 months.\nResults One hundred and fifty-three patients enrolled at 21 investigational sites underwent attempted LVIS-assisted coil embolization. The mean age was 58.3±10.5 years and the majority of the participants (110/153, 71.9%) were female. Fifty-seven aneurysms (57/153, 37.3%) arose from the anterior cerebral artery, 43 (43/153, 28.1%) from the internal carotid artery, 17 (17/153, 11.1%) from the middle cerebral artery, 27 (27/153, 17.6%) from the basilar artery, six (6/153,3.9 %) from the PCA, and two from the vertebral artery. A single aneurysm arose from the superior cerebellar artery. The mean aneurysm dome height was 6.0±2.2 mm and mean width 5.5±2.3 mm. Mean neck width was 4.2±1.4 mm. A total of 22 participants presented for re-treatment of a previously ruptured (&gt;30 days prior to treatment) target aneurysm. The primary effectiveness endpoint was observed in 70.6% (108/153) in the intent to treat population (ITT). Of the evaluable participants with follow-up 12-month angiography, 79.1 % (110/139) demonstrated complete occlusion– 92.1% (128/139) in this population demonstrated ≥95% occlusion and 95% demonstrated ≥90% occlusion (132/139). Eight participants (5.2%, 8/153) had at least one primary safety event in the ITT population.\nConclusion The LVIS stent system allows safe and highly effective coil embolization of WNAs.\nClinical registration number NCT01793792.","container-title":"Journal of NeuroInterventional Surgery","DOI":"10.1136/neurintsurg-2018-014309","ISSN":"1759-8478, 1759-8486","issue":"4","language":"en","note":"PMID: 30297543","page":"357-361","source":"jnis.bmj.com","title":"The safety and effectiveness of the LVIS stent system for the treatment of wide-necked cerebral aneurysms: final results of the pivotal US LVIS trial","title-short":"The safety and effectiveness of the LVIS stent system for the treatment of wide-necked cerebral aneurysms","volume":"11","author":[{"family":"Fiorella","given":"David"},{"family":"Boulos","given":"Alan"},{"family":"Turk","given":"Aquilla S."},{"family":"Siddiqui","given":"Adnan H."},{"family":"Arthur","given":"Adam S."},{"family":"Diaz","given":"Orlando"},{"family":"Lopes","given":"Demetrius K."}],"issued":{"date-parts":[["2019",4,1]]}}},{"id":669,"uris":["http://zotero.org/users/6508478/items/CG2THB2N"],"itemData":{"id":669,"type":"article-journal","abstract":"Objective\nSurgical clipping and coil embolization of distally located intracranial aneurysms can be challenging. The goal of this study was to assess the feasibility, safety and efficacy of treatment of distal aneurysms with the liquid embolic agent Onyx 18/34.\nMethods\nSixteen patients were treated with Onyx 18/34 for distally located aneurysms in our institution between March 2009 and September 2012. The technique consists of occluding the aneurysm as well as the parent vessel at the level of aneurysm with Onyx 18 or 34. Candidates for this treatment were patients with distal aneurysms including mycotic aneurysms, dissecting aneurysms, and pseudoaneurysms in which coiling was considered impossible.\nResults\nOf the 16 patients, 12 presented with subarachnoid and/or intracerebral hemorrhage. Median aneurysm size was 4.6mm. Aneurysm locations were as follows: Posterior inferior cerebellar artery (n=5), distal anterior inferior cerebellar artery (n=3), distal pericallosal (n=3), distal anterior cerebral artery (n=3), lenticulostriate artery (n=1), and anterior ethmoidal artery (n=1). There were 4 mycotic aneurysms. Complete aneurysm obliteration was achieved in all 6 patients with available angiographic follow-up. There was only 1 (6.3%) symptomatic complication in the series. There were no instances of reflux or accidental migration of embolic material. Favorable outcomes were noted in 82% of patients at discharge. Two patients with mycotic aneurysms died from cardiac complications of endocarditis. No aneurysm recanalization or rehemorrhage were seen.\nConclusion\nParent vessel trapping with Onyx 18/34 offers a simple, safe, and effective means of achieving obliteration of distal challenging aneurysms.","container-title":"Clinical Neurology and Neurosurgery","DOI":"10.1016/j.clineuro.2013.10.018","ISSN":"0303-8467","issue":"12","journalAbbreviation":"Clinical Neurology and Neurosurgery","language":"en","page":"2528-2532","source":"ScienceDirect","title":"Endovascular treatment of distal intracranial aneurysms with Onyx 18/34","volume":"115","author":[{"family":"Chalouhi","given":"Nohra"},{"family":"Tjoumakaris","given":"Stavropoula"},{"family":"Gonzalez","given":"L. Fernando"},{"family":"Hasan","given":"David"},{"family":"Alkhalili","given":"Kenan"},{"family":"Dumont","given":"Aaron S."},{"family":"Rosenwasser","given":"Robert"},{"family":"Jabbour","given":"Pascal"}],"issued":{"date-parts":[["2013",12,1]]}}}],"schema":"https://github.com/citation-style-language/schema/raw/master/csl-citation.json"} </w:instrText>
      </w:r>
      <w:r w:rsidRPr="00EB056A">
        <w:rPr>
          <w:rFonts w:ascii="Arial" w:hAnsi="Arial" w:cs="Arial"/>
          <w:sz w:val="24"/>
          <w:szCs w:val="24"/>
        </w:rPr>
        <w:fldChar w:fldCharType="separate"/>
      </w:r>
      <w:r w:rsidRPr="00766016">
        <w:rPr>
          <w:rFonts w:ascii="Arial" w:hAnsi="Arial" w:cs="Arial"/>
          <w:sz w:val="24"/>
          <w:szCs w:val="24"/>
          <w:vertAlign w:val="superscript"/>
        </w:rPr>
        <w:t>28,31,33,42</w:t>
      </w:r>
      <w:r w:rsidRPr="00EB056A">
        <w:rPr>
          <w:rFonts w:ascii="Arial" w:hAnsi="Arial" w:cs="Arial"/>
          <w:sz w:val="24"/>
          <w:szCs w:val="24"/>
        </w:rPr>
        <w:fldChar w:fldCharType="end"/>
      </w:r>
      <w:r w:rsidRPr="00EB056A">
        <w:rPr>
          <w:rFonts w:ascii="Arial" w:hAnsi="Arial" w:cs="Arial"/>
          <w:sz w:val="24"/>
          <w:szCs w:val="24"/>
        </w:rPr>
        <w:t>. T</w:t>
      </w:r>
      <w:r>
        <w:rPr>
          <w:rFonts w:ascii="Arial" w:hAnsi="Arial" w:cs="Arial"/>
          <w:sz w:val="24"/>
          <w:szCs w:val="24"/>
        </w:rPr>
        <w:t>hus, t</w:t>
      </w:r>
      <w:r w:rsidRPr="00EB056A">
        <w:rPr>
          <w:rFonts w:ascii="Arial" w:hAnsi="Arial" w:cs="Arial"/>
          <w:sz w:val="24"/>
          <w:szCs w:val="24"/>
        </w:rPr>
        <w:t>here is a nee</w:t>
      </w:r>
      <w:r w:rsidRPr="004B3D94">
        <w:rPr>
          <w:rFonts w:ascii="Arial" w:hAnsi="Arial" w:cs="Arial"/>
          <w:sz w:val="24"/>
          <w:szCs w:val="24"/>
        </w:rPr>
        <w:t xml:space="preserve">d </w:t>
      </w:r>
      <w:r>
        <w:rPr>
          <w:rFonts w:ascii="Arial" w:hAnsi="Arial" w:cs="Arial"/>
          <w:sz w:val="24"/>
          <w:szCs w:val="24"/>
        </w:rPr>
        <w:t>for a</w:t>
      </w:r>
      <w:r w:rsidRPr="004B3D94">
        <w:rPr>
          <w:rFonts w:ascii="Arial" w:hAnsi="Arial" w:cs="Arial"/>
          <w:sz w:val="24"/>
          <w:szCs w:val="24"/>
        </w:rPr>
        <w:t xml:space="preserve"> minimally invasive treatment that does</w:t>
      </w:r>
      <w:r>
        <w:rPr>
          <w:rFonts w:ascii="Arial" w:hAnsi="Arial" w:cs="Arial"/>
          <w:sz w:val="24"/>
          <w:szCs w:val="24"/>
        </w:rPr>
        <w:t xml:space="preserve"> </w:t>
      </w:r>
      <w:r w:rsidRPr="004B3D94">
        <w:rPr>
          <w:rFonts w:ascii="Arial" w:hAnsi="Arial" w:cs="Arial"/>
          <w:sz w:val="24"/>
          <w:szCs w:val="24"/>
        </w:rPr>
        <w:t>n</w:t>
      </w:r>
      <w:r>
        <w:rPr>
          <w:rFonts w:ascii="Arial" w:hAnsi="Arial" w:cs="Arial"/>
          <w:sz w:val="24"/>
          <w:szCs w:val="24"/>
        </w:rPr>
        <w:t>o</w:t>
      </w:r>
      <w:r w:rsidRPr="004B3D94">
        <w:rPr>
          <w:rFonts w:ascii="Arial" w:hAnsi="Arial" w:cs="Arial"/>
          <w:sz w:val="24"/>
          <w:szCs w:val="24"/>
        </w:rPr>
        <w:t xml:space="preserve">t cause inflammation, </w:t>
      </w:r>
      <w:r>
        <w:rPr>
          <w:rFonts w:ascii="Arial" w:hAnsi="Arial" w:cs="Arial"/>
          <w:sz w:val="24"/>
          <w:szCs w:val="24"/>
        </w:rPr>
        <w:t xml:space="preserve">that </w:t>
      </w:r>
      <w:r w:rsidRPr="004B3D94">
        <w:rPr>
          <w:rFonts w:ascii="Arial" w:hAnsi="Arial" w:cs="Arial"/>
          <w:sz w:val="24"/>
          <w:szCs w:val="24"/>
        </w:rPr>
        <w:t xml:space="preserve">promotes wound repair, and is safely resorbed by the body. </w:t>
      </w:r>
      <w:r>
        <w:rPr>
          <w:rFonts w:ascii="Arial" w:hAnsi="Arial" w:cs="Arial"/>
          <w:sz w:val="24"/>
          <w:szCs w:val="24"/>
        </w:rPr>
        <w:t xml:space="preserve">In this work, we propose a novel solution, that is noninvasive, non-cytotoxic, angiogenesis enhancing and resorbable, which will provide an improved solution to treat brain aneurysms.                                                              </w:t>
      </w:r>
    </w:p>
    <w:p w14:paraId="4C6EBAB8" w14:textId="2C209280" w:rsidR="00FD4342" w:rsidRPr="00EB056A" w:rsidRDefault="00FD4342" w:rsidP="00DE4379">
      <w:pPr>
        <w:pStyle w:val="Titre1"/>
        <w:spacing w:line="480" w:lineRule="auto"/>
      </w:pPr>
      <w:bookmarkStart w:id="48" w:name="_Toc106903215"/>
      <w:r w:rsidRPr="00EB056A">
        <w:rPr>
          <w:rFonts w:ascii="Arial" w:hAnsi="Arial" w:cs="Arial"/>
          <w:b/>
          <w:bCs/>
          <w:color w:val="000000" w:themeColor="text1"/>
          <w:sz w:val="28"/>
          <w:szCs w:val="28"/>
        </w:rPr>
        <w:t>Chapter 2: Novel method for</w:t>
      </w:r>
      <w:r w:rsidR="00150CCF">
        <w:rPr>
          <w:rFonts w:ascii="Arial" w:hAnsi="Arial" w:cs="Arial"/>
          <w:b/>
          <w:bCs/>
          <w:color w:val="000000" w:themeColor="text1"/>
          <w:sz w:val="28"/>
          <w:szCs w:val="28"/>
        </w:rPr>
        <w:t xml:space="preserve"> potential</w:t>
      </w:r>
      <w:r w:rsidRPr="00EB056A">
        <w:rPr>
          <w:rFonts w:ascii="Arial" w:hAnsi="Arial" w:cs="Arial"/>
          <w:b/>
          <w:bCs/>
          <w:color w:val="000000" w:themeColor="text1"/>
          <w:sz w:val="28"/>
          <w:szCs w:val="28"/>
        </w:rPr>
        <w:t xml:space="preserve"> aneurysm treatment</w:t>
      </w:r>
      <w:bookmarkEnd w:id="48"/>
    </w:p>
    <w:p w14:paraId="4EFDFFBB" w14:textId="0854DF59" w:rsidR="00FD4342" w:rsidRPr="00EB056A" w:rsidRDefault="00FD4342" w:rsidP="00FD4342">
      <w:pPr>
        <w:pStyle w:val="Titre2"/>
        <w:spacing w:line="480" w:lineRule="auto"/>
        <w:jc w:val="both"/>
        <w:rPr>
          <w:rFonts w:ascii="Arial" w:hAnsi="Arial" w:cs="Arial"/>
          <w:b/>
          <w:bCs/>
          <w:color w:val="auto"/>
        </w:rPr>
      </w:pPr>
      <w:bookmarkStart w:id="49" w:name="_Toc106903216"/>
      <w:r w:rsidRPr="00EB056A">
        <w:rPr>
          <w:rFonts w:ascii="Arial" w:hAnsi="Arial" w:cs="Arial"/>
          <w:b/>
          <w:bCs/>
          <w:color w:val="auto"/>
        </w:rPr>
        <w:t>2.1 Introduction</w:t>
      </w:r>
      <w:r>
        <w:rPr>
          <w:rFonts w:ascii="Arial" w:hAnsi="Arial" w:cs="Arial"/>
          <w:b/>
          <w:bCs/>
          <w:color w:val="auto"/>
        </w:rPr>
        <w:t xml:space="preserve"> and treatment characteristics</w:t>
      </w:r>
      <w:bookmarkEnd w:id="49"/>
    </w:p>
    <w:p w14:paraId="57B381BF" w14:textId="313F270E" w:rsidR="00FD4342" w:rsidRDefault="00FD4342" w:rsidP="009B1016">
      <w:pPr>
        <w:spacing w:line="480" w:lineRule="auto"/>
        <w:ind w:firstLine="720"/>
        <w:jc w:val="both"/>
        <w:rPr>
          <w:rFonts w:ascii="Arial" w:hAnsi="Arial" w:cs="Arial"/>
          <w:sz w:val="24"/>
          <w:szCs w:val="24"/>
        </w:rPr>
      </w:pPr>
      <w:r w:rsidRPr="00EB056A">
        <w:rPr>
          <w:rFonts w:ascii="Arial" w:hAnsi="Arial" w:cs="Arial"/>
          <w:sz w:val="24"/>
          <w:szCs w:val="24"/>
        </w:rPr>
        <w:t>Previously</w:t>
      </w:r>
      <w:r>
        <w:rPr>
          <w:rFonts w:ascii="Arial" w:hAnsi="Arial" w:cs="Arial"/>
          <w:sz w:val="24"/>
          <w:szCs w:val="24"/>
        </w:rPr>
        <w:t>,</w:t>
      </w:r>
      <w:r w:rsidRPr="00EB056A">
        <w:rPr>
          <w:rFonts w:ascii="Arial" w:hAnsi="Arial" w:cs="Arial"/>
          <w:sz w:val="24"/>
          <w:szCs w:val="24"/>
        </w:rPr>
        <w:t xml:space="preserve"> we established the characteristics of a</w:t>
      </w:r>
      <w:r>
        <w:rPr>
          <w:rFonts w:ascii="Arial" w:hAnsi="Arial" w:cs="Arial"/>
          <w:sz w:val="24"/>
          <w:szCs w:val="24"/>
        </w:rPr>
        <w:t>n</w:t>
      </w:r>
      <w:r w:rsidRPr="00EB056A">
        <w:rPr>
          <w:rFonts w:ascii="Arial" w:hAnsi="Arial" w:cs="Arial"/>
          <w:sz w:val="24"/>
          <w:szCs w:val="24"/>
        </w:rPr>
        <w:t xml:space="preserve"> ideal treatment for brain aneurysms</w:t>
      </w:r>
      <w:r w:rsidR="001A38EA">
        <w:rPr>
          <w:rFonts w:ascii="Arial" w:hAnsi="Arial" w:cs="Arial"/>
          <w:sz w:val="24"/>
          <w:szCs w:val="24"/>
        </w:rPr>
        <w:t>, which include</w:t>
      </w:r>
      <w:r w:rsidRPr="00EB056A">
        <w:rPr>
          <w:rFonts w:ascii="Arial" w:hAnsi="Arial" w:cs="Arial"/>
          <w:sz w:val="24"/>
          <w:szCs w:val="24"/>
        </w:rPr>
        <w:t xml:space="preserve"> being safe </w:t>
      </w:r>
      <w:r w:rsidR="001A38EA">
        <w:rPr>
          <w:rFonts w:ascii="Arial" w:hAnsi="Arial" w:cs="Arial"/>
          <w:sz w:val="24"/>
          <w:szCs w:val="24"/>
        </w:rPr>
        <w:t>and biocompatible</w:t>
      </w:r>
      <w:r w:rsidRPr="00EB056A">
        <w:rPr>
          <w:rFonts w:ascii="Arial" w:hAnsi="Arial" w:cs="Arial"/>
          <w:sz w:val="24"/>
          <w:szCs w:val="24"/>
        </w:rPr>
        <w:t>, inducing wound regeneration and angiogenesis, being resorb</w:t>
      </w:r>
      <w:r w:rsidR="001A38EA">
        <w:rPr>
          <w:rFonts w:ascii="Arial" w:hAnsi="Arial" w:cs="Arial"/>
          <w:sz w:val="24"/>
          <w:szCs w:val="24"/>
        </w:rPr>
        <w:t>able</w:t>
      </w:r>
      <w:r w:rsidRPr="00EB056A">
        <w:rPr>
          <w:rFonts w:ascii="Arial" w:hAnsi="Arial" w:cs="Arial"/>
          <w:sz w:val="24"/>
          <w:szCs w:val="24"/>
        </w:rPr>
        <w:t>, being visible with</w:t>
      </w:r>
      <w:r w:rsidR="00AC0E26">
        <w:rPr>
          <w:rFonts w:ascii="Arial" w:hAnsi="Arial" w:cs="Arial"/>
          <w:sz w:val="24"/>
          <w:szCs w:val="24"/>
        </w:rPr>
        <w:t xml:space="preserve"> non-invasive</w:t>
      </w:r>
      <w:r w:rsidRPr="00EB056A">
        <w:rPr>
          <w:rFonts w:ascii="Arial" w:hAnsi="Arial" w:cs="Arial"/>
          <w:sz w:val="24"/>
          <w:szCs w:val="24"/>
        </w:rPr>
        <w:t xml:space="preserve"> </w:t>
      </w:r>
      <w:r w:rsidR="00AC0E26">
        <w:rPr>
          <w:rFonts w:ascii="Arial" w:hAnsi="Arial" w:cs="Arial"/>
          <w:sz w:val="24"/>
          <w:szCs w:val="24"/>
        </w:rPr>
        <w:t>imaging techniques</w:t>
      </w:r>
      <w:r w:rsidRPr="00EB056A">
        <w:rPr>
          <w:rFonts w:ascii="Arial" w:hAnsi="Arial" w:cs="Arial"/>
          <w:sz w:val="24"/>
          <w:szCs w:val="24"/>
        </w:rPr>
        <w:t xml:space="preserve"> to provide follow-ups, and being minimally invasive. </w:t>
      </w:r>
      <w:r w:rsidR="001A38EA">
        <w:rPr>
          <w:rFonts w:ascii="Arial" w:hAnsi="Arial" w:cs="Arial"/>
          <w:sz w:val="24"/>
          <w:szCs w:val="24"/>
        </w:rPr>
        <w:t>As such, o</w:t>
      </w:r>
      <w:r w:rsidR="001A38EA" w:rsidRPr="00EB056A">
        <w:rPr>
          <w:rFonts w:ascii="Arial" w:hAnsi="Arial" w:cs="Arial"/>
          <w:sz w:val="24"/>
          <w:szCs w:val="24"/>
        </w:rPr>
        <w:t>ur own solution</w:t>
      </w:r>
      <w:r w:rsidR="001A38EA">
        <w:rPr>
          <w:rFonts w:ascii="Arial" w:hAnsi="Arial" w:cs="Arial"/>
          <w:sz w:val="24"/>
          <w:szCs w:val="24"/>
        </w:rPr>
        <w:t>, which</w:t>
      </w:r>
      <w:r w:rsidRPr="00EB056A">
        <w:rPr>
          <w:rFonts w:ascii="Arial" w:hAnsi="Arial" w:cs="Arial"/>
          <w:sz w:val="24"/>
          <w:szCs w:val="24"/>
        </w:rPr>
        <w:t xml:space="preserve"> is depicted in </w:t>
      </w:r>
      <w:r w:rsidR="00CD2F56" w:rsidRPr="00CD2F56">
        <w:rPr>
          <w:rFonts w:ascii="Arial" w:hAnsi="Arial" w:cs="Arial"/>
          <w:color w:val="000000" w:themeColor="text1"/>
          <w:sz w:val="24"/>
          <w:szCs w:val="24"/>
        </w:rPr>
        <w:fldChar w:fldCharType="begin"/>
      </w:r>
      <w:r w:rsidR="00CD2F56" w:rsidRPr="00CD2F56">
        <w:rPr>
          <w:rFonts w:ascii="Arial" w:hAnsi="Arial" w:cs="Arial"/>
          <w:color w:val="000000" w:themeColor="text1"/>
          <w:sz w:val="24"/>
          <w:szCs w:val="24"/>
        </w:rPr>
        <w:instrText xml:space="preserve"> REF _Ref104214354 \h  \* MERGEFORMAT </w:instrText>
      </w:r>
      <w:r w:rsidR="00CD2F56" w:rsidRPr="00CD2F56">
        <w:rPr>
          <w:rFonts w:ascii="Arial" w:hAnsi="Arial" w:cs="Arial"/>
          <w:color w:val="000000" w:themeColor="text1"/>
          <w:sz w:val="24"/>
          <w:szCs w:val="24"/>
        </w:rPr>
      </w:r>
      <w:r w:rsidR="00CD2F56" w:rsidRPr="00CD2F56">
        <w:rPr>
          <w:rFonts w:ascii="Arial" w:hAnsi="Arial" w:cs="Arial"/>
          <w:color w:val="000000" w:themeColor="text1"/>
          <w:sz w:val="24"/>
          <w:szCs w:val="24"/>
        </w:rPr>
        <w:fldChar w:fldCharType="separate"/>
      </w:r>
      <w:r w:rsidR="005C4791" w:rsidRPr="005C4791">
        <w:rPr>
          <w:rFonts w:ascii="Arial" w:hAnsi="Arial" w:cs="Arial"/>
          <w:color w:val="000000" w:themeColor="text1"/>
          <w:sz w:val="24"/>
          <w:szCs w:val="24"/>
        </w:rPr>
        <w:t xml:space="preserve">Figure </w:t>
      </w:r>
      <w:r w:rsidR="005C4791" w:rsidRPr="005C4791">
        <w:rPr>
          <w:rFonts w:ascii="Arial" w:hAnsi="Arial" w:cs="Arial"/>
          <w:noProof/>
          <w:color w:val="000000" w:themeColor="text1"/>
          <w:sz w:val="24"/>
          <w:szCs w:val="24"/>
        </w:rPr>
        <w:t>9</w:t>
      </w:r>
      <w:r w:rsidR="00CD2F56" w:rsidRPr="00CD2F56">
        <w:rPr>
          <w:rFonts w:ascii="Arial" w:hAnsi="Arial" w:cs="Arial"/>
          <w:color w:val="000000" w:themeColor="text1"/>
          <w:sz w:val="24"/>
          <w:szCs w:val="24"/>
        </w:rPr>
        <w:fldChar w:fldCharType="end"/>
      </w:r>
      <w:r w:rsidR="001A38EA">
        <w:rPr>
          <w:rFonts w:ascii="Arial" w:hAnsi="Arial" w:cs="Arial"/>
          <w:sz w:val="24"/>
          <w:szCs w:val="24"/>
        </w:rPr>
        <w:t>,</w:t>
      </w:r>
      <w:r w:rsidR="001A38EA" w:rsidRPr="00EB056A">
        <w:rPr>
          <w:rFonts w:ascii="Arial" w:hAnsi="Arial" w:cs="Arial"/>
          <w:sz w:val="24"/>
          <w:szCs w:val="24"/>
        </w:rPr>
        <w:t xml:space="preserve"> is inspired by these characteristics</w:t>
      </w:r>
      <w:r w:rsidRPr="00EB056A">
        <w:rPr>
          <w:rFonts w:ascii="Arial" w:hAnsi="Arial" w:cs="Arial"/>
          <w:sz w:val="24"/>
          <w:szCs w:val="24"/>
        </w:rPr>
        <w:t xml:space="preserve">. </w:t>
      </w:r>
      <w:r w:rsidR="001A38EA">
        <w:rPr>
          <w:rFonts w:ascii="Arial" w:hAnsi="Arial" w:cs="Arial"/>
          <w:sz w:val="24"/>
          <w:szCs w:val="24"/>
        </w:rPr>
        <w:t>Briefly, o</w:t>
      </w:r>
      <w:r w:rsidR="00117B0B">
        <w:rPr>
          <w:rFonts w:ascii="Arial" w:hAnsi="Arial" w:cs="Arial"/>
          <w:sz w:val="24"/>
          <w:szCs w:val="24"/>
        </w:rPr>
        <w:t xml:space="preserve">ur treatment </w:t>
      </w:r>
      <w:r w:rsidRPr="00EB056A">
        <w:rPr>
          <w:rFonts w:ascii="Arial" w:hAnsi="Arial" w:cs="Arial"/>
          <w:sz w:val="24"/>
          <w:szCs w:val="24"/>
        </w:rPr>
        <w:t xml:space="preserve">will be introduced in patients as a liquid, </w:t>
      </w:r>
      <w:r>
        <w:rPr>
          <w:rFonts w:ascii="Arial" w:hAnsi="Arial" w:cs="Arial"/>
          <w:sz w:val="24"/>
          <w:szCs w:val="24"/>
        </w:rPr>
        <w:t>via</w:t>
      </w:r>
      <w:r w:rsidRPr="00EB056A">
        <w:rPr>
          <w:rFonts w:ascii="Arial" w:hAnsi="Arial" w:cs="Arial"/>
          <w:sz w:val="24"/>
          <w:szCs w:val="24"/>
        </w:rPr>
        <w:t xml:space="preserve"> a 1 mm thick catheter, after blocking blood flow</w:t>
      </w:r>
      <w:r w:rsidR="001A38EA">
        <w:rPr>
          <w:rFonts w:ascii="Arial" w:hAnsi="Arial" w:cs="Arial"/>
          <w:sz w:val="24"/>
          <w:szCs w:val="24"/>
        </w:rPr>
        <w:t xml:space="preserve"> in the vessel </w:t>
      </w:r>
      <w:r w:rsidR="00CB6FFC">
        <w:rPr>
          <w:rFonts w:ascii="Arial" w:hAnsi="Arial" w:cs="Arial"/>
          <w:sz w:val="24"/>
          <w:szCs w:val="24"/>
        </w:rPr>
        <w:t>at the site of</w:t>
      </w:r>
      <w:r w:rsidR="001A38EA">
        <w:rPr>
          <w:rFonts w:ascii="Arial" w:hAnsi="Arial" w:cs="Arial"/>
          <w:sz w:val="24"/>
          <w:szCs w:val="24"/>
        </w:rPr>
        <w:t xml:space="preserve"> the aneurysm</w:t>
      </w:r>
      <w:r w:rsidRPr="00EB056A">
        <w:rPr>
          <w:rFonts w:ascii="Arial" w:hAnsi="Arial" w:cs="Arial"/>
          <w:sz w:val="24"/>
          <w:szCs w:val="24"/>
        </w:rPr>
        <w:t xml:space="preserve"> with a balloon catheter. </w:t>
      </w:r>
      <w:r w:rsidR="001A38EA">
        <w:rPr>
          <w:rFonts w:ascii="Arial" w:hAnsi="Arial" w:cs="Arial"/>
          <w:sz w:val="24"/>
          <w:szCs w:val="24"/>
        </w:rPr>
        <w:t>T</w:t>
      </w:r>
      <w:r w:rsidRPr="00EB056A">
        <w:rPr>
          <w:rFonts w:ascii="Arial" w:hAnsi="Arial" w:cs="Arial"/>
          <w:sz w:val="24"/>
          <w:szCs w:val="24"/>
        </w:rPr>
        <w:t xml:space="preserve">he </w:t>
      </w:r>
      <w:r w:rsidRPr="00362544">
        <w:rPr>
          <w:rFonts w:ascii="Arial" w:hAnsi="Arial" w:cs="Arial"/>
          <w:sz w:val="24"/>
          <w:szCs w:val="24"/>
        </w:rPr>
        <w:t>liquid</w:t>
      </w:r>
      <w:r w:rsidR="00AC0E26">
        <w:rPr>
          <w:rFonts w:ascii="Arial" w:hAnsi="Arial" w:cs="Arial"/>
          <w:sz w:val="24"/>
          <w:szCs w:val="24"/>
        </w:rPr>
        <w:t xml:space="preserve"> solution, comprising</w:t>
      </w:r>
      <w:r w:rsidRPr="00362544">
        <w:rPr>
          <w:rFonts w:ascii="Arial" w:hAnsi="Arial" w:cs="Arial"/>
          <w:sz w:val="24"/>
          <w:szCs w:val="24"/>
        </w:rPr>
        <w:t xml:space="preserve"> </w:t>
      </w:r>
      <w:r w:rsidR="00182CF4">
        <w:rPr>
          <w:rFonts w:ascii="Arial" w:hAnsi="Arial" w:cs="Arial"/>
          <w:sz w:val="24"/>
          <w:szCs w:val="24"/>
        </w:rPr>
        <w:t>pentenoate</w:t>
      </w:r>
      <w:r>
        <w:rPr>
          <w:rFonts w:ascii="Arial" w:hAnsi="Arial" w:cs="Arial"/>
          <w:sz w:val="24"/>
          <w:szCs w:val="24"/>
        </w:rPr>
        <w:t xml:space="preserve"> hyaluronic acid (</w:t>
      </w:r>
      <w:r w:rsidRPr="00362544">
        <w:rPr>
          <w:rFonts w:ascii="Arial" w:hAnsi="Arial" w:cs="Arial"/>
          <w:sz w:val="24"/>
          <w:szCs w:val="24"/>
        </w:rPr>
        <w:t>PHA</w:t>
      </w:r>
      <w:r>
        <w:rPr>
          <w:rFonts w:ascii="Arial" w:hAnsi="Arial" w:cs="Arial"/>
          <w:sz w:val="24"/>
          <w:szCs w:val="24"/>
        </w:rPr>
        <w:t>)</w:t>
      </w:r>
      <w:r w:rsidR="00AC0E26">
        <w:rPr>
          <w:rFonts w:ascii="Arial" w:hAnsi="Arial" w:cs="Arial"/>
          <w:sz w:val="24"/>
          <w:szCs w:val="24"/>
        </w:rPr>
        <w:t>,</w:t>
      </w:r>
      <w:r w:rsidR="00CB6FFC">
        <w:rPr>
          <w:rFonts w:ascii="Arial" w:hAnsi="Arial" w:cs="Arial"/>
          <w:sz w:val="24"/>
          <w:szCs w:val="24"/>
        </w:rPr>
        <w:t xml:space="preserve"> </w:t>
      </w:r>
      <w:r w:rsidR="006A4406">
        <w:rPr>
          <w:rFonts w:ascii="Arial" w:hAnsi="Arial" w:cs="Arial"/>
          <w:sz w:val="24"/>
          <w:szCs w:val="24"/>
        </w:rPr>
        <w:t>dithiothreitol (DTT)</w:t>
      </w:r>
      <w:r w:rsidR="00071E5A">
        <w:rPr>
          <w:rFonts w:ascii="Arial" w:hAnsi="Arial" w:cs="Arial"/>
          <w:sz w:val="24"/>
          <w:szCs w:val="24"/>
        </w:rPr>
        <w:t xml:space="preserve"> as the crosslinker</w:t>
      </w:r>
      <w:r w:rsidR="006A4406">
        <w:rPr>
          <w:rFonts w:ascii="Arial" w:hAnsi="Arial" w:cs="Arial"/>
          <w:sz w:val="24"/>
          <w:szCs w:val="24"/>
        </w:rPr>
        <w:t>, l</w:t>
      </w:r>
      <w:r w:rsidR="006A4406" w:rsidRPr="00EB056A">
        <w:rPr>
          <w:rFonts w:ascii="Arial" w:hAnsi="Arial" w:cs="Arial"/>
          <w:sz w:val="24"/>
          <w:szCs w:val="24"/>
        </w:rPr>
        <w:t>ithium phenyl-2,4,6 trimethylbenzoylphosphinate</w:t>
      </w:r>
      <w:r w:rsidR="006A4406">
        <w:rPr>
          <w:rFonts w:ascii="Arial" w:hAnsi="Arial" w:cs="Arial"/>
          <w:sz w:val="24"/>
          <w:szCs w:val="24"/>
        </w:rPr>
        <w:t xml:space="preserve"> (LAP)</w:t>
      </w:r>
      <w:r w:rsidR="00071E5A">
        <w:rPr>
          <w:rFonts w:ascii="Arial" w:hAnsi="Arial" w:cs="Arial"/>
          <w:sz w:val="24"/>
          <w:szCs w:val="24"/>
        </w:rPr>
        <w:t xml:space="preserve"> as the photo</w:t>
      </w:r>
      <w:r w:rsidR="00E642AF">
        <w:rPr>
          <w:rFonts w:ascii="Arial" w:hAnsi="Arial" w:cs="Arial"/>
          <w:sz w:val="24"/>
          <w:szCs w:val="24"/>
        </w:rPr>
        <w:t>-</w:t>
      </w:r>
      <w:r w:rsidR="00071E5A">
        <w:rPr>
          <w:rFonts w:ascii="Arial" w:hAnsi="Arial" w:cs="Arial"/>
          <w:sz w:val="24"/>
          <w:szCs w:val="24"/>
        </w:rPr>
        <w:t>initiator</w:t>
      </w:r>
      <w:r w:rsidR="006A4406">
        <w:rPr>
          <w:rFonts w:ascii="Arial" w:hAnsi="Arial" w:cs="Arial"/>
          <w:sz w:val="24"/>
          <w:szCs w:val="24"/>
        </w:rPr>
        <w:t>, and phosphate buffered saline (PBS)</w:t>
      </w:r>
      <w:r w:rsidR="00CB6FFC">
        <w:rPr>
          <w:rFonts w:ascii="Arial" w:hAnsi="Arial" w:cs="Arial"/>
          <w:sz w:val="24"/>
          <w:szCs w:val="24"/>
        </w:rPr>
        <w:t xml:space="preserve">, </w:t>
      </w:r>
      <w:r w:rsidRPr="00362544">
        <w:rPr>
          <w:rFonts w:ascii="Arial" w:hAnsi="Arial" w:cs="Arial"/>
          <w:sz w:val="24"/>
          <w:szCs w:val="24"/>
        </w:rPr>
        <w:t xml:space="preserve">will </w:t>
      </w:r>
      <w:r w:rsidR="001A38EA">
        <w:rPr>
          <w:rFonts w:ascii="Arial" w:hAnsi="Arial" w:cs="Arial"/>
          <w:sz w:val="24"/>
          <w:szCs w:val="24"/>
        </w:rPr>
        <w:t xml:space="preserve">then </w:t>
      </w:r>
      <w:r w:rsidRPr="00EB056A">
        <w:rPr>
          <w:rFonts w:ascii="Arial" w:hAnsi="Arial" w:cs="Arial"/>
          <w:sz w:val="24"/>
          <w:szCs w:val="24"/>
        </w:rPr>
        <w:t xml:space="preserve">be </w:t>
      </w:r>
      <w:r w:rsidR="00AC0E26">
        <w:rPr>
          <w:rFonts w:ascii="Arial" w:hAnsi="Arial" w:cs="Arial"/>
          <w:sz w:val="24"/>
          <w:szCs w:val="24"/>
        </w:rPr>
        <w:lastRenderedPageBreak/>
        <w:t xml:space="preserve">safely </w:t>
      </w:r>
      <w:r w:rsidRPr="00EB056A">
        <w:rPr>
          <w:rFonts w:ascii="Arial" w:hAnsi="Arial" w:cs="Arial"/>
          <w:sz w:val="24"/>
          <w:szCs w:val="24"/>
        </w:rPr>
        <w:t>crosslinked</w:t>
      </w:r>
      <w:r w:rsidR="00AC0E26">
        <w:rPr>
          <w:rFonts w:ascii="Arial" w:hAnsi="Arial" w:cs="Arial"/>
          <w:sz w:val="24"/>
          <w:szCs w:val="24"/>
        </w:rPr>
        <w:t xml:space="preserve"> in the aneurysm</w:t>
      </w:r>
      <w:r w:rsidRPr="00EB056A">
        <w:rPr>
          <w:rFonts w:ascii="Arial" w:hAnsi="Arial" w:cs="Arial"/>
          <w:sz w:val="24"/>
          <w:szCs w:val="24"/>
        </w:rPr>
        <w:t xml:space="preserve"> with 365 nm UV light delivered through a 1 mm thick pigtailed diode catheter. The whole process </w:t>
      </w:r>
      <w:r w:rsidR="00CB6FFC">
        <w:rPr>
          <w:rFonts w:ascii="Arial" w:hAnsi="Arial" w:cs="Arial"/>
          <w:sz w:val="24"/>
          <w:szCs w:val="24"/>
        </w:rPr>
        <w:t>is expected to</w:t>
      </w:r>
      <w:r w:rsidR="00CB6FFC" w:rsidRPr="00EB056A">
        <w:rPr>
          <w:rFonts w:ascii="Arial" w:hAnsi="Arial" w:cs="Arial"/>
          <w:sz w:val="24"/>
          <w:szCs w:val="24"/>
        </w:rPr>
        <w:t xml:space="preserve"> </w:t>
      </w:r>
      <w:r w:rsidRPr="00EB056A">
        <w:rPr>
          <w:rFonts w:ascii="Arial" w:hAnsi="Arial" w:cs="Arial"/>
          <w:sz w:val="24"/>
          <w:szCs w:val="24"/>
        </w:rPr>
        <w:t>take between 5 and 8 minutes</w:t>
      </w:r>
      <w:r w:rsidR="00AC0E26">
        <w:rPr>
          <w:rFonts w:ascii="Arial" w:hAnsi="Arial" w:cs="Arial"/>
          <w:sz w:val="24"/>
          <w:szCs w:val="24"/>
        </w:rPr>
        <w:t xml:space="preserve"> and</w:t>
      </w:r>
      <w:r w:rsidRPr="00EB056A">
        <w:rPr>
          <w:rFonts w:ascii="Arial" w:hAnsi="Arial" w:cs="Arial"/>
          <w:sz w:val="24"/>
          <w:szCs w:val="24"/>
        </w:rPr>
        <w:t xml:space="preserve"> </w:t>
      </w:r>
      <w:r w:rsidR="001F07C6">
        <w:rPr>
          <w:rFonts w:ascii="Arial" w:hAnsi="Arial" w:cs="Arial"/>
          <w:sz w:val="24"/>
          <w:szCs w:val="24"/>
        </w:rPr>
        <w:t>i</w:t>
      </w:r>
      <w:r w:rsidRPr="00EB056A">
        <w:rPr>
          <w:rFonts w:ascii="Arial" w:hAnsi="Arial" w:cs="Arial"/>
          <w:sz w:val="24"/>
          <w:szCs w:val="24"/>
        </w:rPr>
        <w:t>s applicable to aneurysm</w:t>
      </w:r>
      <w:r w:rsidR="00CB6FFC">
        <w:rPr>
          <w:rFonts w:ascii="Arial" w:hAnsi="Arial" w:cs="Arial"/>
          <w:sz w:val="24"/>
          <w:szCs w:val="24"/>
        </w:rPr>
        <w:t>s</w:t>
      </w:r>
      <w:r w:rsidRPr="00EB056A">
        <w:rPr>
          <w:rFonts w:ascii="Arial" w:hAnsi="Arial" w:cs="Arial"/>
          <w:sz w:val="24"/>
          <w:szCs w:val="24"/>
        </w:rPr>
        <w:t xml:space="preserve"> with a 1.5 dome to neck ratio</w:t>
      </w:r>
      <w:r w:rsidR="006A4406">
        <w:rPr>
          <w:rFonts w:ascii="Arial" w:hAnsi="Arial" w:cs="Arial"/>
          <w:sz w:val="24"/>
          <w:szCs w:val="24"/>
        </w:rPr>
        <w:t>, which means that, optimally, the diameter of the aneurysm must be one and a half times wider that the diameter of the aneurysm neck</w:t>
      </w:r>
      <w:r w:rsidRPr="00EB056A">
        <w:rPr>
          <w:rFonts w:ascii="Arial" w:hAnsi="Arial" w:cs="Arial"/>
          <w:sz w:val="24"/>
          <w:szCs w:val="24"/>
        </w:rPr>
        <w:t xml:space="preserve">. Resorption will be tracked by imaging with x-ray tomography by tracking the tantalum powder added in the </w:t>
      </w:r>
      <w:r w:rsidR="00AC0E26">
        <w:rPr>
          <w:rFonts w:ascii="Arial" w:hAnsi="Arial" w:cs="Arial"/>
          <w:sz w:val="24"/>
          <w:szCs w:val="24"/>
        </w:rPr>
        <w:t xml:space="preserve">hydrogel </w:t>
      </w:r>
      <w:r w:rsidRPr="00EB056A">
        <w:rPr>
          <w:rFonts w:ascii="Arial" w:hAnsi="Arial" w:cs="Arial"/>
          <w:sz w:val="24"/>
          <w:szCs w:val="24"/>
        </w:rPr>
        <w:t xml:space="preserve">material. </w:t>
      </w:r>
    </w:p>
    <w:p w14:paraId="3639AE0C" w14:textId="1D9F1576" w:rsidR="00FD4342" w:rsidRPr="00EB056A" w:rsidRDefault="00F720E1" w:rsidP="00FD4342">
      <w:pPr>
        <w:jc w:val="both"/>
        <w:rPr>
          <w:rFonts w:ascii="Arial" w:hAnsi="Arial" w:cs="Arial"/>
        </w:rPr>
      </w:pPr>
      <w:r>
        <w:rPr>
          <w:rFonts w:ascii="Arial" w:hAnsi="Arial" w:cs="Arial"/>
          <w:noProof/>
        </w:rPr>
        <w:drawing>
          <wp:inline distT="0" distB="0" distL="0" distR="0" wp14:anchorId="7B070FC7" wp14:editId="0B056BDA">
            <wp:extent cx="4740520" cy="3048000"/>
            <wp:effectExtent l="0" t="0" r="3175" b="0"/>
            <wp:docPr id="34" name="Picture 3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fig generale.JPG"/>
                    <pic:cNvPicPr/>
                  </pic:nvPicPr>
                  <pic:blipFill>
                    <a:blip r:embed="rId17">
                      <a:extLst>
                        <a:ext uri="{28A0092B-C50C-407E-A947-70E740481C1C}">
                          <a14:useLocalDpi xmlns:a14="http://schemas.microsoft.com/office/drawing/2010/main" val="0"/>
                        </a:ext>
                      </a:extLst>
                    </a:blip>
                    <a:stretch>
                      <a:fillRect/>
                    </a:stretch>
                  </pic:blipFill>
                  <pic:spPr>
                    <a:xfrm>
                      <a:off x="0" y="0"/>
                      <a:ext cx="4750827" cy="3054627"/>
                    </a:xfrm>
                    <a:prstGeom prst="rect">
                      <a:avLst/>
                    </a:prstGeom>
                  </pic:spPr>
                </pic:pic>
              </a:graphicData>
            </a:graphic>
          </wp:inline>
        </w:drawing>
      </w:r>
    </w:p>
    <w:p w14:paraId="1B24536B" w14:textId="76F9B9B2" w:rsidR="00FD4342" w:rsidRDefault="00FD4342" w:rsidP="00834360">
      <w:pPr>
        <w:pStyle w:val="Lgende"/>
        <w:spacing w:line="276" w:lineRule="auto"/>
        <w:jc w:val="both"/>
        <w:rPr>
          <w:rFonts w:ascii="Arial" w:hAnsi="Arial" w:cs="Arial"/>
          <w:i w:val="0"/>
          <w:iCs w:val="0"/>
          <w:color w:val="auto"/>
          <w:sz w:val="24"/>
          <w:szCs w:val="24"/>
        </w:rPr>
      </w:pPr>
      <w:bookmarkStart w:id="50" w:name="_Ref104214354"/>
      <w:bookmarkStart w:id="51" w:name="_Toc105918974"/>
      <w:r w:rsidRPr="00EB056A">
        <w:rPr>
          <w:rFonts w:ascii="Arial" w:hAnsi="Arial" w:cs="Arial"/>
          <w:b/>
          <w:bCs/>
          <w:i w:val="0"/>
          <w:iCs w:val="0"/>
          <w:color w:val="auto"/>
          <w:sz w:val="24"/>
          <w:szCs w:val="24"/>
        </w:rPr>
        <w:t xml:space="preserve">Figure </w:t>
      </w:r>
      <w:r w:rsidRPr="00EB056A">
        <w:rPr>
          <w:rFonts w:ascii="Arial" w:hAnsi="Arial" w:cs="Arial"/>
          <w:b/>
          <w:bCs/>
          <w:i w:val="0"/>
          <w:iCs w:val="0"/>
          <w:color w:val="auto"/>
          <w:sz w:val="24"/>
          <w:szCs w:val="24"/>
        </w:rPr>
        <w:fldChar w:fldCharType="begin"/>
      </w:r>
      <w:r w:rsidRPr="00EB056A">
        <w:rPr>
          <w:rFonts w:ascii="Arial" w:hAnsi="Arial" w:cs="Arial"/>
          <w:b/>
          <w:bCs/>
          <w:i w:val="0"/>
          <w:iCs w:val="0"/>
          <w:color w:val="auto"/>
          <w:sz w:val="24"/>
          <w:szCs w:val="24"/>
        </w:rPr>
        <w:instrText xml:space="preserve"> SEQ Figure \* ARABIC </w:instrText>
      </w:r>
      <w:r w:rsidRPr="00EB056A">
        <w:rPr>
          <w:rFonts w:ascii="Arial" w:hAnsi="Arial" w:cs="Arial"/>
          <w:b/>
          <w:bCs/>
          <w:i w:val="0"/>
          <w:iCs w:val="0"/>
          <w:color w:val="auto"/>
          <w:sz w:val="24"/>
          <w:szCs w:val="24"/>
        </w:rPr>
        <w:fldChar w:fldCharType="separate"/>
      </w:r>
      <w:r w:rsidR="005C4791">
        <w:rPr>
          <w:rFonts w:ascii="Arial" w:hAnsi="Arial" w:cs="Arial"/>
          <w:b/>
          <w:bCs/>
          <w:i w:val="0"/>
          <w:iCs w:val="0"/>
          <w:noProof/>
          <w:color w:val="auto"/>
          <w:sz w:val="24"/>
          <w:szCs w:val="24"/>
        </w:rPr>
        <w:t>9</w:t>
      </w:r>
      <w:r w:rsidRPr="00EB056A">
        <w:rPr>
          <w:rFonts w:ascii="Arial" w:hAnsi="Arial" w:cs="Arial"/>
          <w:b/>
          <w:bCs/>
          <w:i w:val="0"/>
          <w:iCs w:val="0"/>
          <w:color w:val="auto"/>
          <w:sz w:val="24"/>
          <w:szCs w:val="24"/>
        </w:rPr>
        <w:fldChar w:fldCharType="end"/>
      </w:r>
      <w:bookmarkEnd w:id="50"/>
      <w:r w:rsidRPr="00EB056A">
        <w:rPr>
          <w:rFonts w:ascii="Arial" w:hAnsi="Arial" w:cs="Arial"/>
          <w:b/>
          <w:bCs/>
          <w:i w:val="0"/>
          <w:iCs w:val="0"/>
          <w:color w:val="auto"/>
          <w:sz w:val="24"/>
          <w:szCs w:val="24"/>
        </w:rPr>
        <w:t>: Injection method and functioning of our material.</w:t>
      </w:r>
      <w:r w:rsidRPr="00EB056A">
        <w:rPr>
          <w:rFonts w:ascii="Arial" w:hAnsi="Arial" w:cs="Arial"/>
          <w:i w:val="0"/>
          <w:iCs w:val="0"/>
          <w:color w:val="auto"/>
          <w:sz w:val="24"/>
          <w:szCs w:val="24"/>
        </w:rPr>
        <w:t xml:space="preserve"> PHA/Ta: our material made of </w:t>
      </w:r>
      <w:r w:rsidR="00182CF4">
        <w:rPr>
          <w:rFonts w:ascii="Arial" w:hAnsi="Arial" w:cs="Arial"/>
          <w:i w:val="0"/>
          <w:iCs w:val="0"/>
          <w:color w:val="auto"/>
          <w:sz w:val="24"/>
          <w:szCs w:val="24"/>
        </w:rPr>
        <w:t>pentenoate</w:t>
      </w:r>
      <w:r w:rsidRPr="00EB056A">
        <w:rPr>
          <w:rFonts w:ascii="Arial" w:hAnsi="Arial" w:cs="Arial"/>
          <w:i w:val="0"/>
          <w:iCs w:val="0"/>
          <w:color w:val="auto"/>
          <w:sz w:val="24"/>
          <w:szCs w:val="24"/>
        </w:rPr>
        <w:t xml:space="preserve"> hyaluronic acid and tantalum powder.</w:t>
      </w:r>
      <w:r w:rsidR="00505C62">
        <w:rPr>
          <w:rFonts w:ascii="Arial" w:hAnsi="Arial" w:cs="Arial"/>
          <w:i w:val="0"/>
          <w:iCs w:val="0"/>
          <w:color w:val="auto"/>
          <w:sz w:val="24"/>
          <w:szCs w:val="24"/>
        </w:rPr>
        <w:t xml:space="preserve"> </w:t>
      </w:r>
      <w:r w:rsidR="00A55AD5">
        <w:rPr>
          <w:rFonts w:ascii="Arial" w:hAnsi="Arial" w:cs="Arial"/>
          <w:i w:val="0"/>
          <w:iCs w:val="0"/>
          <w:color w:val="auto"/>
          <w:sz w:val="24"/>
          <w:szCs w:val="24"/>
        </w:rPr>
        <w:t xml:space="preserve">A: </w:t>
      </w:r>
      <w:r w:rsidR="00505C62">
        <w:rPr>
          <w:rFonts w:ascii="Arial" w:hAnsi="Arial" w:cs="Arial"/>
          <w:i w:val="0"/>
          <w:iCs w:val="0"/>
          <w:color w:val="auto"/>
          <w:sz w:val="24"/>
          <w:szCs w:val="24"/>
        </w:rPr>
        <w:t>First, a ball</w:t>
      </w:r>
      <w:r w:rsidR="00E40A29">
        <w:rPr>
          <w:rFonts w:ascii="Arial" w:hAnsi="Arial" w:cs="Arial"/>
          <w:i w:val="0"/>
          <w:iCs w:val="0"/>
          <w:color w:val="auto"/>
          <w:sz w:val="24"/>
          <w:szCs w:val="24"/>
        </w:rPr>
        <w:t>o</w:t>
      </w:r>
      <w:r w:rsidR="00505C62">
        <w:rPr>
          <w:rFonts w:ascii="Arial" w:hAnsi="Arial" w:cs="Arial"/>
          <w:i w:val="0"/>
          <w:iCs w:val="0"/>
          <w:color w:val="auto"/>
          <w:sz w:val="24"/>
          <w:szCs w:val="24"/>
        </w:rPr>
        <w:t>on catheter is inserted in the main vessel to prevent blood from flowing in the aneurysm</w:t>
      </w:r>
      <w:r w:rsidR="00E40A29">
        <w:rPr>
          <w:rFonts w:ascii="Arial" w:hAnsi="Arial" w:cs="Arial"/>
          <w:i w:val="0"/>
          <w:iCs w:val="0"/>
          <w:color w:val="auto"/>
          <w:sz w:val="24"/>
          <w:szCs w:val="24"/>
        </w:rPr>
        <w:t xml:space="preserve">. </w:t>
      </w:r>
      <w:r w:rsidR="00A55AD5">
        <w:rPr>
          <w:rFonts w:ascii="Arial" w:hAnsi="Arial" w:cs="Arial"/>
          <w:i w:val="0"/>
          <w:iCs w:val="0"/>
          <w:color w:val="auto"/>
          <w:sz w:val="24"/>
          <w:szCs w:val="24"/>
        </w:rPr>
        <w:t xml:space="preserve">B: </w:t>
      </w:r>
      <w:r w:rsidR="00E40A29">
        <w:rPr>
          <w:rFonts w:ascii="Arial" w:hAnsi="Arial" w:cs="Arial"/>
          <w:i w:val="0"/>
          <w:iCs w:val="0"/>
          <w:color w:val="auto"/>
          <w:sz w:val="24"/>
          <w:szCs w:val="24"/>
        </w:rPr>
        <w:t xml:space="preserve">Then, a microcatheter is used to inject the PHA in its liquid state. </w:t>
      </w:r>
      <w:r w:rsidR="00A55AD5">
        <w:rPr>
          <w:rFonts w:ascii="Arial" w:hAnsi="Arial" w:cs="Arial"/>
          <w:i w:val="0"/>
          <w:iCs w:val="0"/>
          <w:color w:val="auto"/>
          <w:sz w:val="24"/>
          <w:szCs w:val="24"/>
        </w:rPr>
        <w:t xml:space="preserve">C: </w:t>
      </w:r>
      <w:r w:rsidR="00E40A29">
        <w:rPr>
          <w:rFonts w:ascii="Arial" w:hAnsi="Arial" w:cs="Arial"/>
          <w:i w:val="0"/>
          <w:iCs w:val="0"/>
          <w:color w:val="auto"/>
          <w:sz w:val="24"/>
          <w:szCs w:val="24"/>
        </w:rPr>
        <w:t xml:space="preserve">PHA is crosslinked with a 365 nm UV light for two minutes to form </w:t>
      </w:r>
      <w:r w:rsidR="00CB6FFC">
        <w:rPr>
          <w:rFonts w:ascii="Arial" w:hAnsi="Arial" w:cs="Arial"/>
          <w:i w:val="0"/>
          <w:iCs w:val="0"/>
          <w:color w:val="auto"/>
          <w:sz w:val="24"/>
          <w:szCs w:val="24"/>
        </w:rPr>
        <w:t xml:space="preserve">a </w:t>
      </w:r>
      <w:r w:rsidR="00E40A29">
        <w:rPr>
          <w:rFonts w:ascii="Arial" w:hAnsi="Arial" w:cs="Arial"/>
          <w:i w:val="0"/>
          <w:iCs w:val="0"/>
          <w:color w:val="auto"/>
          <w:sz w:val="24"/>
          <w:szCs w:val="24"/>
        </w:rPr>
        <w:t>hydrogel. The balloon catheter is withdrawn</w:t>
      </w:r>
      <w:r w:rsidR="00437723">
        <w:rPr>
          <w:rFonts w:ascii="Arial" w:hAnsi="Arial" w:cs="Arial"/>
          <w:i w:val="0"/>
          <w:iCs w:val="0"/>
          <w:color w:val="auto"/>
          <w:sz w:val="24"/>
          <w:szCs w:val="24"/>
        </w:rPr>
        <w:t>.</w:t>
      </w:r>
      <w:r w:rsidR="00D00F3A">
        <w:rPr>
          <w:rFonts w:ascii="Arial" w:hAnsi="Arial" w:cs="Arial"/>
          <w:i w:val="0"/>
          <w:iCs w:val="0"/>
          <w:color w:val="auto"/>
          <w:sz w:val="24"/>
          <w:szCs w:val="24"/>
        </w:rPr>
        <w:t xml:space="preserve"> </w:t>
      </w:r>
      <w:r w:rsidR="00A55AD5">
        <w:rPr>
          <w:rFonts w:ascii="Arial" w:hAnsi="Arial" w:cs="Arial"/>
          <w:i w:val="0"/>
          <w:iCs w:val="0"/>
          <w:color w:val="auto"/>
          <w:sz w:val="24"/>
          <w:szCs w:val="24"/>
        </w:rPr>
        <w:t xml:space="preserve">D: </w:t>
      </w:r>
      <w:r w:rsidR="00D00F3A">
        <w:rPr>
          <w:rFonts w:ascii="Arial" w:hAnsi="Arial" w:cs="Arial"/>
          <w:i w:val="0"/>
          <w:iCs w:val="0"/>
          <w:color w:val="auto"/>
          <w:sz w:val="24"/>
          <w:szCs w:val="24"/>
        </w:rPr>
        <w:t>Because the aneurysm is not fueled by blood, it dies over time and as it degrades, the PHA degrades with it while enhancing blood vessel reconstruction.</w:t>
      </w:r>
      <w:bookmarkEnd w:id="51"/>
    </w:p>
    <w:p w14:paraId="21C49A87" w14:textId="7CBED68F" w:rsidR="00E45978" w:rsidRPr="00525779" w:rsidRDefault="00E45978" w:rsidP="00525779">
      <w:pPr>
        <w:spacing w:line="480" w:lineRule="auto"/>
        <w:ind w:firstLine="720"/>
        <w:jc w:val="both"/>
      </w:pPr>
      <w:r>
        <w:rPr>
          <w:rFonts w:ascii="Arial" w:hAnsi="Arial" w:cs="Arial"/>
          <w:sz w:val="24"/>
          <w:szCs w:val="24"/>
        </w:rPr>
        <w:t>Finally</w:t>
      </w:r>
      <w:r w:rsidRPr="00EB056A">
        <w:rPr>
          <w:rFonts w:ascii="Arial" w:hAnsi="Arial" w:cs="Arial"/>
          <w:sz w:val="24"/>
          <w:szCs w:val="24"/>
        </w:rPr>
        <w:t xml:space="preserve">, our </w:t>
      </w:r>
      <w:r>
        <w:rPr>
          <w:rFonts w:ascii="Arial" w:hAnsi="Arial" w:cs="Arial"/>
          <w:sz w:val="24"/>
          <w:szCs w:val="24"/>
        </w:rPr>
        <w:t xml:space="preserve">HA-based </w:t>
      </w:r>
      <w:r w:rsidRPr="00EB056A">
        <w:rPr>
          <w:rFonts w:ascii="Arial" w:hAnsi="Arial" w:cs="Arial"/>
          <w:sz w:val="24"/>
          <w:szCs w:val="24"/>
        </w:rPr>
        <w:t>material favor</w:t>
      </w:r>
      <w:r>
        <w:rPr>
          <w:rFonts w:ascii="Arial" w:hAnsi="Arial" w:cs="Arial"/>
          <w:sz w:val="24"/>
          <w:szCs w:val="24"/>
        </w:rPr>
        <w:t>s</w:t>
      </w:r>
      <w:r w:rsidRPr="00EB056A">
        <w:rPr>
          <w:rFonts w:ascii="Arial" w:hAnsi="Arial" w:cs="Arial"/>
          <w:sz w:val="24"/>
          <w:szCs w:val="24"/>
        </w:rPr>
        <w:t xml:space="preserve"> wound repair and angiogenesis and is</w:t>
      </w:r>
      <w:r>
        <w:rPr>
          <w:rFonts w:ascii="Arial" w:hAnsi="Arial" w:cs="Arial"/>
          <w:sz w:val="24"/>
          <w:szCs w:val="24"/>
        </w:rPr>
        <w:t xml:space="preserve"> expected to be</w:t>
      </w:r>
      <w:r w:rsidRPr="00EB056A">
        <w:rPr>
          <w:rFonts w:ascii="Arial" w:hAnsi="Arial" w:cs="Arial"/>
          <w:sz w:val="24"/>
          <w:szCs w:val="24"/>
        </w:rPr>
        <w:t xml:space="preserve"> safely resorbed, in theory within 28 </w:t>
      </w:r>
      <w:r w:rsidRPr="00EB056A">
        <w:rPr>
          <w:rFonts w:ascii="Arial" w:hAnsi="Arial" w:cs="Arial"/>
          <w:sz w:val="24"/>
          <w:szCs w:val="24"/>
        </w:rPr>
        <w:lastRenderedPageBreak/>
        <w:t>days</w:t>
      </w:r>
      <w:r w:rsidRPr="00EB056A">
        <w:rPr>
          <w:rFonts w:ascii="Arial" w:hAnsi="Arial" w:cs="Arial"/>
          <w:sz w:val="24"/>
          <w:szCs w:val="24"/>
        </w:rPr>
        <w:fldChar w:fldCharType="begin"/>
      </w:r>
      <w:r>
        <w:rPr>
          <w:rFonts w:ascii="Arial" w:hAnsi="Arial" w:cs="Arial"/>
          <w:sz w:val="24"/>
          <w:szCs w:val="24"/>
        </w:rPr>
        <w:instrText xml:space="preserve"> ADDIN ZOTERO_ITEM CSL_CITATION {"citationID":"c46LxEIf","properties":{"formattedCitation":"\\super 44,45\\nosupersub{}","plainCitation":"44,45","noteIndex":0},"citationItems":[{"id":697,"uris":["http://zotero.org/users/6508478/items/Q38WEGKZ"],"itemData":{"id":697,"type":"article-journal","abstract":"The aim of this study was to evaluate the biocompatibility and resorption pattern in three-layer poly (lactide-co-glycolide) (PLGA) membrane according to the concentrations of hyaluronic acid (HA) hydrogel in rabbit calvarial defect model. Four standardized circular defects with 8 mm diameter were created on the four rabbit calvarium. Three-layer PLGA membranes (5% and 10% HA gel) were used as the test groups, both collagen membrane and monolayer PLGA membrane as the control groups.","container-title":"Biomaterials Research","DOI":"10.1186/2055-7124-18-12","ISSN":"2055-7124","issue":"1","journalAbbreviation":"Biomater Res","language":"en","page":"12","source":"Springer Link","title":"Biocompatibility and resorption pattern of newly developed hyaluronic acid hydrogel reinforced three-layer poly (lactide-co-glycolide) membrane: histologic observation in rabbit calvarial defect model","title-short":"Biocompatibility and resorption pattern of newly developed hyaluronic acid hydrogel reinforced three-layer poly (lactide-co-glycolide) membrane","volume":"18","author":[{"family":"You","given":"Hoon"},{"family":"Lee","given":"Eun-Ung"},{"family":"Kim","given":"You-Kyoung"},{"family":"Kim","given":"Bum-Chul"},{"family":"Park","given":"Jin-Young"},{"family":"Lim","given":"Hyun-Chang"},{"family":"Lee","given":"Jung-Seok"},{"family":"Noh","given":"InSup"},{"family":"Jung","given":"Ui-Won"},{"family":"Choi","given":"Seong-Ho"}],"issued":{"date-parts":[["2014",9,24]]}}},{"id":699,"uris":["http://zotero.org/users/6508478/items/3YIZXXNE"],"itemData":{"id":699,"type":"article-journal","abstract":"Mesenchymal stromal cells (MSCs) promote wound healing by expediting the inflammatory phase. Local injection of MSCs into injured vocal folds (VFs) is effective in animal models, suggesting suitability for clinical translation. Despite their therapeutic potential, MSCs do not persist within the VF. This study evaluates whether hyaluronan (HA) hydrogels offer a safe delivery vehicle for local injection of MSCs into VFs, and increase longevity of the cells within the injured tissue. MSCs ± HA hydrogel were exposed to interleukin (IL)1β, IL8, and chemokine (C-C motif) ligand 4, and evaluated for mRNA expression of matrix remodeling genes and secretion of immunomodulatory/prohealing factors. Chemotaxis/invasion in response to inflammation was evaluated. A lapin model of VF injury evaluated in vivo effects of MSCs ± HA hydrogel on enhancing VF healing. Histological evaluation of inflammation, type I collagen expression, HA hydrogel resorption, and MSC persistence was evaluated at 3 and 25 days after injury. MSCs within HA hydrogel were responsive to their extracellular environment, upregulating immunomodulatory factors when exposed to inflammation. Despite delayed migration out of the gel in vitro, the MSCs did not persist longer within the injured tissue in vivo. MSCs ± HA hydrogel exerted equivalent dampening of inflammation in vivo. The gel was resorbed within 25 days and no edema was evident. HA hydrogels can be safely used in the delivery of MSCs to injured VFs, minimizing leakage of administered cells. MSCs within the HA hydrogel did not persist longer than those in suspension, but did exert comparable therapeutic effects.","container-title":"Stem Cells and Development","DOI":"10.1089/scd.2019.0102","ISSN":"1547-3287","issue":"17","note":"publisher: Mary Ann Liebert, Inc., publishers","page":"1177-1190","source":"liebertpub.com (Atypon)","title":"Hyaluronan Hydrogels for the Local Delivery of Mesenchymal Stromal Cells to the Injured Vocal Fold","volume":"28","author":[{"family":"Hertegård","given":"Stellan"},{"family":"Nagubothu","given":"Srinivasa Rao"},{"family":"Malmström","given":"Emma"},{"family":"Ström","given":"Cecilia E."},{"family":"Tolf","given":"Anna"},{"family":"Davies","given":"Lindsay C."},{"family":"Le Blanc","given":"Katarina"}],"issued":{"date-parts":[["2019",9]]}}}],"schema":"https://github.com/citation-style-language/schema/raw/master/csl-citation.json"} </w:instrText>
      </w:r>
      <w:r w:rsidRPr="00EB056A">
        <w:rPr>
          <w:rFonts w:ascii="Arial" w:hAnsi="Arial" w:cs="Arial"/>
          <w:sz w:val="24"/>
          <w:szCs w:val="24"/>
        </w:rPr>
        <w:fldChar w:fldCharType="separate"/>
      </w:r>
      <w:r w:rsidRPr="00766016">
        <w:rPr>
          <w:rFonts w:ascii="Arial" w:hAnsi="Arial" w:cs="Arial"/>
          <w:sz w:val="24"/>
          <w:szCs w:val="24"/>
          <w:vertAlign w:val="superscript"/>
        </w:rPr>
        <w:t>44,45</w:t>
      </w:r>
      <w:r w:rsidRPr="00EB056A">
        <w:rPr>
          <w:rFonts w:ascii="Arial" w:hAnsi="Arial" w:cs="Arial"/>
          <w:sz w:val="24"/>
          <w:szCs w:val="24"/>
        </w:rPr>
        <w:fldChar w:fldCharType="end"/>
      </w:r>
      <w:r w:rsidRPr="00EB056A">
        <w:rPr>
          <w:rFonts w:ascii="Arial" w:hAnsi="Arial" w:cs="Arial"/>
          <w:sz w:val="24"/>
          <w:szCs w:val="24"/>
        </w:rPr>
        <w:t xml:space="preserve">. </w:t>
      </w:r>
      <w:r>
        <w:rPr>
          <w:rFonts w:ascii="Arial" w:hAnsi="Arial" w:cs="Arial"/>
          <w:sz w:val="24"/>
          <w:szCs w:val="24"/>
        </w:rPr>
        <w:t xml:space="preserve">In the following sections, the choice of our materials will be justified. </w:t>
      </w:r>
    </w:p>
    <w:p w14:paraId="2FAF4382" w14:textId="0296436A" w:rsidR="00E05FF5" w:rsidRPr="00EB056A" w:rsidRDefault="00117B0B" w:rsidP="00E05FF5">
      <w:pPr>
        <w:pStyle w:val="Titre3"/>
        <w:spacing w:line="480" w:lineRule="auto"/>
        <w:jc w:val="both"/>
        <w:rPr>
          <w:rFonts w:ascii="Arial" w:hAnsi="Arial" w:cs="Arial"/>
          <w:b/>
          <w:bCs/>
          <w:color w:val="auto"/>
        </w:rPr>
      </w:pPr>
      <w:bookmarkStart w:id="52" w:name="_Toc106903217"/>
      <w:r>
        <w:rPr>
          <w:rFonts w:ascii="Arial" w:hAnsi="Arial" w:cs="Arial"/>
          <w:b/>
          <w:bCs/>
          <w:color w:val="auto"/>
        </w:rPr>
        <w:t>2</w:t>
      </w:r>
      <w:r w:rsidR="00E05FF5">
        <w:rPr>
          <w:rFonts w:ascii="Arial" w:hAnsi="Arial" w:cs="Arial"/>
          <w:b/>
          <w:bCs/>
          <w:color w:val="auto"/>
        </w:rPr>
        <w:t>.1</w:t>
      </w:r>
      <w:r w:rsidR="00AC0E26">
        <w:rPr>
          <w:rFonts w:ascii="Arial" w:hAnsi="Arial" w:cs="Arial"/>
          <w:b/>
          <w:bCs/>
          <w:color w:val="auto"/>
        </w:rPr>
        <w:t>.1</w:t>
      </w:r>
      <w:r w:rsidR="00E05FF5">
        <w:rPr>
          <w:rFonts w:ascii="Arial" w:hAnsi="Arial" w:cs="Arial"/>
          <w:b/>
          <w:bCs/>
          <w:color w:val="auto"/>
        </w:rPr>
        <w:t xml:space="preserve"> </w:t>
      </w:r>
      <w:r w:rsidR="001C6A87">
        <w:rPr>
          <w:rFonts w:ascii="Arial" w:hAnsi="Arial" w:cs="Arial"/>
          <w:b/>
          <w:bCs/>
          <w:color w:val="auto"/>
        </w:rPr>
        <w:t>Potential w</w:t>
      </w:r>
      <w:r w:rsidR="00E05FF5" w:rsidRPr="00EB056A">
        <w:rPr>
          <w:rFonts w:ascii="Arial" w:hAnsi="Arial" w:cs="Arial"/>
          <w:b/>
          <w:bCs/>
          <w:color w:val="auto"/>
        </w:rPr>
        <w:t xml:space="preserve">ound repair and </w:t>
      </w:r>
      <w:r w:rsidR="003C167F">
        <w:rPr>
          <w:rFonts w:ascii="Arial" w:hAnsi="Arial" w:cs="Arial"/>
          <w:b/>
          <w:bCs/>
          <w:color w:val="auto"/>
        </w:rPr>
        <w:t>resorption of HA</w:t>
      </w:r>
      <w:bookmarkEnd w:id="52"/>
    </w:p>
    <w:p w14:paraId="50317179" w14:textId="32A7B1C9" w:rsidR="00B80B6A" w:rsidRDefault="00CC2C70" w:rsidP="00E05FF5">
      <w:pPr>
        <w:spacing w:after="0" w:line="480" w:lineRule="auto"/>
        <w:ind w:firstLine="720"/>
        <w:jc w:val="both"/>
        <w:rPr>
          <w:rFonts w:ascii="Arial" w:hAnsi="Arial" w:cs="Arial"/>
          <w:sz w:val="24"/>
          <w:szCs w:val="24"/>
        </w:rPr>
      </w:pPr>
      <w:r>
        <w:rPr>
          <w:rFonts w:ascii="Arial" w:hAnsi="Arial" w:cs="Arial"/>
          <w:sz w:val="24"/>
          <w:szCs w:val="24"/>
        </w:rPr>
        <w:t>Our goal is to</w:t>
      </w:r>
      <w:r w:rsidR="00EB51E1">
        <w:rPr>
          <w:rFonts w:ascii="Arial" w:hAnsi="Arial" w:cs="Arial"/>
          <w:sz w:val="24"/>
          <w:szCs w:val="24"/>
        </w:rPr>
        <w:t xml:space="preserve"> </w:t>
      </w:r>
      <w:r w:rsidR="00514137">
        <w:rPr>
          <w:rFonts w:ascii="Arial" w:hAnsi="Arial" w:cs="Arial"/>
          <w:sz w:val="24"/>
          <w:szCs w:val="24"/>
        </w:rPr>
        <w:t xml:space="preserve">treat aneurysms by </w:t>
      </w:r>
      <w:r w:rsidR="00A6312F">
        <w:rPr>
          <w:rFonts w:ascii="Arial" w:hAnsi="Arial" w:cs="Arial"/>
          <w:sz w:val="24"/>
          <w:szCs w:val="24"/>
        </w:rPr>
        <w:t xml:space="preserve">introducing a material within the aneurysm that isolates the aneurysm from blood flow and </w:t>
      </w:r>
      <w:r>
        <w:rPr>
          <w:rFonts w:ascii="Arial" w:hAnsi="Arial" w:cs="Arial"/>
          <w:sz w:val="24"/>
          <w:szCs w:val="24"/>
        </w:rPr>
        <w:t>promot</w:t>
      </w:r>
      <w:r w:rsidR="00A6312F">
        <w:rPr>
          <w:rFonts w:ascii="Arial" w:hAnsi="Arial" w:cs="Arial"/>
          <w:sz w:val="24"/>
          <w:szCs w:val="24"/>
        </w:rPr>
        <w:t>es</w:t>
      </w:r>
      <w:r w:rsidR="00514137">
        <w:rPr>
          <w:rFonts w:ascii="Arial" w:hAnsi="Arial" w:cs="Arial"/>
          <w:sz w:val="24"/>
          <w:szCs w:val="24"/>
        </w:rPr>
        <w:t xml:space="preserve"> aneurysm </w:t>
      </w:r>
      <w:r w:rsidR="00A617EF">
        <w:rPr>
          <w:rFonts w:ascii="Arial" w:hAnsi="Arial" w:cs="Arial"/>
          <w:sz w:val="24"/>
          <w:szCs w:val="24"/>
        </w:rPr>
        <w:t>resor</w:t>
      </w:r>
      <w:r>
        <w:rPr>
          <w:rFonts w:ascii="Arial" w:hAnsi="Arial" w:cs="Arial"/>
          <w:sz w:val="24"/>
          <w:szCs w:val="24"/>
        </w:rPr>
        <w:t>ption and</w:t>
      </w:r>
      <w:r w:rsidR="00514137">
        <w:rPr>
          <w:rFonts w:ascii="Arial" w:hAnsi="Arial" w:cs="Arial"/>
          <w:sz w:val="24"/>
          <w:szCs w:val="24"/>
        </w:rPr>
        <w:t xml:space="preserve"> regenerat</w:t>
      </w:r>
      <w:r>
        <w:rPr>
          <w:rFonts w:ascii="Arial" w:hAnsi="Arial" w:cs="Arial"/>
          <w:sz w:val="24"/>
          <w:szCs w:val="24"/>
        </w:rPr>
        <w:t>ion of</w:t>
      </w:r>
      <w:r w:rsidR="00514137">
        <w:rPr>
          <w:rFonts w:ascii="Arial" w:hAnsi="Arial" w:cs="Arial"/>
          <w:sz w:val="24"/>
          <w:szCs w:val="24"/>
        </w:rPr>
        <w:t xml:space="preserve"> the vessel wall</w:t>
      </w:r>
      <w:r>
        <w:rPr>
          <w:rFonts w:ascii="Arial" w:hAnsi="Arial" w:cs="Arial"/>
          <w:sz w:val="24"/>
          <w:szCs w:val="24"/>
        </w:rPr>
        <w:t xml:space="preserve">. </w:t>
      </w:r>
      <w:r w:rsidR="007B7BA6">
        <w:rPr>
          <w:rFonts w:ascii="Arial" w:hAnsi="Arial" w:cs="Arial"/>
          <w:sz w:val="24"/>
          <w:szCs w:val="24"/>
        </w:rPr>
        <w:t>H</w:t>
      </w:r>
      <w:r w:rsidR="00E05FF5" w:rsidRPr="00EB056A">
        <w:rPr>
          <w:rFonts w:ascii="Arial" w:hAnsi="Arial" w:cs="Arial"/>
          <w:sz w:val="24"/>
          <w:szCs w:val="24"/>
        </w:rPr>
        <w:t xml:space="preserve">yaluronic </w:t>
      </w:r>
      <w:r w:rsidR="00E05FF5" w:rsidRPr="004E5F60">
        <w:rPr>
          <w:rFonts w:ascii="Arial" w:hAnsi="Arial" w:cs="Arial"/>
          <w:sz w:val="24"/>
          <w:szCs w:val="24"/>
        </w:rPr>
        <w:t>acid</w:t>
      </w:r>
      <w:r w:rsidR="00E05FF5">
        <w:rPr>
          <w:rFonts w:ascii="Arial" w:hAnsi="Arial" w:cs="Arial"/>
          <w:sz w:val="24"/>
          <w:szCs w:val="24"/>
        </w:rPr>
        <w:t xml:space="preserve"> (HA)</w:t>
      </w:r>
      <w:r w:rsidR="00E05FF5" w:rsidRPr="004E5F60">
        <w:rPr>
          <w:rFonts w:ascii="Arial" w:hAnsi="Arial" w:cs="Arial"/>
          <w:sz w:val="24"/>
          <w:szCs w:val="24"/>
        </w:rPr>
        <w:t xml:space="preserve"> </w:t>
      </w:r>
      <w:r w:rsidR="007B7BA6">
        <w:rPr>
          <w:rFonts w:ascii="Arial" w:hAnsi="Arial" w:cs="Arial"/>
          <w:sz w:val="24"/>
          <w:szCs w:val="24"/>
        </w:rPr>
        <w:t xml:space="preserve">was chosen </w:t>
      </w:r>
      <w:r w:rsidR="00CE2991">
        <w:rPr>
          <w:rFonts w:ascii="Arial" w:hAnsi="Arial" w:cs="Arial"/>
          <w:sz w:val="24"/>
          <w:szCs w:val="24"/>
        </w:rPr>
        <w:t>because previous studies showed that HA</w:t>
      </w:r>
      <w:r w:rsidR="003C167F">
        <w:rPr>
          <w:rFonts w:ascii="Arial" w:hAnsi="Arial" w:cs="Arial"/>
          <w:sz w:val="24"/>
          <w:szCs w:val="24"/>
        </w:rPr>
        <w:t xml:space="preserve"> is degradable and</w:t>
      </w:r>
      <w:r w:rsidR="00E05FF5" w:rsidRPr="00EB056A">
        <w:rPr>
          <w:rFonts w:ascii="Arial" w:hAnsi="Arial" w:cs="Arial"/>
          <w:sz w:val="24"/>
          <w:szCs w:val="24"/>
        </w:rPr>
        <w:t xml:space="preserve"> promote</w:t>
      </w:r>
      <w:r w:rsidR="00CE2991">
        <w:rPr>
          <w:rFonts w:ascii="Arial" w:hAnsi="Arial" w:cs="Arial"/>
          <w:sz w:val="24"/>
          <w:szCs w:val="24"/>
        </w:rPr>
        <w:t>s</w:t>
      </w:r>
      <w:r w:rsidR="00E05FF5" w:rsidRPr="00EB056A">
        <w:rPr>
          <w:rFonts w:ascii="Arial" w:hAnsi="Arial" w:cs="Arial"/>
          <w:sz w:val="24"/>
          <w:szCs w:val="24"/>
        </w:rPr>
        <w:t xml:space="preserve"> wound healing</w:t>
      </w:r>
      <w:r w:rsidR="00E05FF5" w:rsidRPr="004E5F60">
        <w:rPr>
          <w:rFonts w:ascii="Arial" w:hAnsi="Arial" w:cs="Arial"/>
          <w:sz w:val="24"/>
          <w:szCs w:val="24"/>
        </w:rPr>
        <w:t>.</w:t>
      </w:r>
      <w:r w:rsidR="006C13C1">
        <w:rPr>
          <w:rFonts w:ascii="Arial" w:hAnsi="Arial" w:cs="Arial"/>
          <w:sz w:val="24"/>
          <w:szCs w:val="24"/>
        </w:rPr>
        <w:t xml:space="preserve"> </w:t>
      </w:r>
      <w:r w:rsidR="00B80B6A" w:rsidRPr="00EB056A">
        <w:rPr>
          <w:rFonts w:ascii="Arial" w:hAnsi="Arial" w:cs="Arial"/>
          <w:sz w:val="24"/>
          <w:szCs w:val="24"/>
        </w:rPr>
        <w:t xml:space="preserve">You </w:t>
      </w:r>
      <w:r w:rsidR="00B80B6A" w:rsidRPr="003B5F26">
        <w:rPr>
          <w:rFonts w:ascii="Arial" w:hAnsi="Arial" w:cs="Arial"/>
          <w:i/>
          <w:iCs/>
          <w:sz w:val="24"/>
          <w:szCs w:val="24"/>
        </w:rPr>
        <w:t>et al</w:t>
      </w:r>
      <w:r w:rsidR="00071E5A">
        <w:rPr>
          <w:rFonts w:ascii="Arial" w:hAnsi="Arial" w:cs="Arial"/>
          <w:sz w:val="24"/>
          <w:szCs w:val="24"/>
        </w:rPr>
        <w:t>.</w:t>
      </w:r>
      <w:r w:rsidR="00B80B6A" w:rsidRPr="00EB056A">
        <w:rPr>
          <w:rFonts w:ascii="Arial" w:hAnsi="Arial" w:cs="Arial"/>
          <w:sz w:val="24"/>
          <w:szCs w:val="24"/>
        </w:rPr>
        <w:fldChar w:fldCharType="begin"/>
      </w:r>
      <w:r w:rsidR="005B4F59">
        <w:rPr>
          <w:rFonts w:ascii="Arial" w:hAnsi="Arial" w:cs="Arial"/>
          <w:sz w:val="24"/>
          <w:szCs w:val="24"/>
        </w:rPr>
        <w:instrText xml:space="preserve"> ADDIN ZOTERO_ITEM CSL_CITATION {"citationID":"OoI6Ot74","properties":{"formattedCitation":"\\super 44\\nosupersub{}","plainCitation":"44","noteIndex":0},"citationItems":[{"id":697,"uris":["http://zotero.org/users/6508478/items/Q38WEGKZ"],"itemData":{"id":697,"type":"article-journal","abstract":"The aim of this study was to evaluate the biocompatibility and resorption pattern in three-layer poly (lactide-co-glycolide) (PLGA) membrane according to the concentrations of hyaluronic acid (HA) hydrogel in rabbit calvarial defect model. Four standardized circular defects with 8 mm diameter were created on the four rabbit calvarium. Three-layer PLGA membranes (5% and 10% HA gel) were used as the test groups, both collagen membrane and monolayer PLGA membrane as the control groups.","container-title":"Biomaterials Research","DOI":"10.1186/2055-7124-18-12","ISSN":"2055-7124","issue":"1","journalAbbreviation":"Biomater Res","language":"en","page":"12","source":"Springer Link","title":"Biocompatibility and resorption pattern of newly developed hyaluronic acid hydrogel reinforced three-layer poly (lactide-co-glycolide) membrane: histologic observation in rabbit calvarial defect model","title-short":"Biocompatibility and resorption pattern of newly developed hyaluronic acid hydrogel reinforced three-layer poly (lactide-co-glycolide) membrane","volume":"18","author":[{"family":"You","given":"Hoon"},{"family":"Lee","given":"Eun-Ung"},{"family":"Kim","given":"You-Kyoung"},{"family":"Kim","given":"Bum-Chul"},{"family":"Park","given":"Jin-Young"},{"family":"Lim","given":"Hyun-Chang"},{"family":"Lee","given":"Jung-Seok"},{"family":"Noh","given":"InSup"},{"family":"Jung","given":"Ui-Won"},{"family":"Choi","given":"Seong-Ho"}],"issued":{"date-parts":[["2014",9,24]]}}}],"schema":"https://github.com/citation-style-language/schema/raw/master/csl-citation.json"} </w:instrText>
      </w:r>
      <w:r w:rsidR="00B80B6A" w:rsidRPr="00EB056A">
        <w:rPr>
          <w:rFonts w:ascii="Arial" w:hAnsi="Arial" w:cs="Arial"/>
          <w:sz w:val="24"/>
          <w:szCs w:val="24"/>
        </w:rPr>
        <w:fldChar w:fldCharType="separate"/>
      </w:r>
      <w:r w:rsidR="00766016" w:rsidRPr="00766016">
        <w:rPr>
          <w:rFonts w:ascii="Arial" w:hAnsi="Arial" w:cs="Arial"/>
          <w:sz w:val="24"/>
          <w:szCs w:val="24"/>
          <w:vertAlign w:val="superscript"/>
        </w:rPr>
        <w:t>44</w:t>
      </w:r>
      <w:r w:rsidR="00B80B6A" w:rsidRPr="00EB056A">
        <w:rPr>
          <w:rFonts w:ascii="Arial" w:hAnsi="Arial" w:cs="Arial"/>
          <w:sz w:val="24"/>
          <w:szCs w:val="24"/>
        </w:rPr>
        <w:fldChar w:fldCharType="end"/>
      </w:r>
      <w:r w:rsidR="00B80B6A" w:rsidRPr="00EB056A">
        <w:rPr>
          <w:rFonts w:ascii="Arial" w:hAnsi="Arial" w:cs="Arial"/>
          <w:sz w:val="24"/>
          <w:szCs w:val="24"/>
        </w:rPr>
        <w:t xml:space="preserve"> </w:t>
      </w:r>
      <w:r w:rsidR="007B7BA6">
        <w:rPr>
          <w:rFonts w:ascii="Arial" w:hAnsi="Arial" w:cs="Arial"/>
          <w:sz w:val="24"/>
          <w:szCs w:val="24"/>
        </w:rPr>
        <w:t>utilized</w:t>
      </w:r>
      <w:r w:rsidR="007B7BA6" w:rsidRPr="00AA2547">
        <w:rPr>
          <w:rFonts w:ascii="Arial" w:hAnsi="Arial" w:cs="Arial"/>
          <w:sz w:val="24"/>
          <w:szCs w:val="24"/>
        </w:rPr>
        <w:t xml:space="preserve"> </w:t>
      </w:r>
      <w:r w:rsidR="007B7BA6">
        <w:rPr>
          <w:rFonts w:ascii="Arial" w:hAnsi="Arial" w:cs="Arial"/>
          <w:sz w:val="24"/>
          <w:szCs w:val="24"/>
        </w:rPr>
        <w:t>hydro</w:t>
      </w:r>
      <w:r w:rsidR="00B80B6A" w:rsidRPr="00AA2547">
        <w:rPr>
          <w:rFonts w:ascii="Arial" w:hAnsi="Arial" w:cs="Arial"/>
          <w:sz w:val="24"/>
          <w:szCs w:val="24"/>
        </w:rPr>
        <w:t xml:space="preserve">gels </w:t>
      </w:r>
      <w:r w:rsidR="00B80B6A">
        <w:rPr>
          <w:rFonts w:ascii="Arial" w:hAnsi="Arial" w:cs="Arial"/>
          <w:sz w:val="24"/>
          <w:szCs w:val="24"/>
        </w:rPr>
        <w:t>consisting of one</w:t>
      </w:r>
      <w:r w:rsidR="00B80B6A" w:rsidRPr="00AA2547">
        <w:rPr>
          <w:rFonts w:ascii="Arial" w:hAnsi="Arial" w:cs="Arial"/>
          <w:sz w:val="24"/>
          <w:szCs w:val="24"/>
        </w:rPr>
        <w:t xml:space="preserve"> layer of poly lactide-co-glycolide mixed with HA </w:t>
      </w:r>
      <w:r w:rsidR="007B7BA6">
        <w:rPr>
          <w:rFonts w:ascii="Arial" w:hAnsi="Arial" w:cs="Arial"/>
          <w:sz w:val="24"/>
          <w:szCs w:val="24"/>
        </w:rPr>
        <w:t>hydro</w:t>
      </w:r>
      <w:r w:rsidR="00B80B6A" w:rsidRPr="00AA2547">
        <w:rPr>
          <w:rFonts w:ascii="Arial" w:hAnsi="Arial" w:cs="Arial"/>
          <w:sz w:val="24"/>
          <w:szCs w:val="24"/>
        </w:rPr>
        <w:t xml:space="preserve">gels between </w:t>
      </w:r>
      <w:r w:rsidR="007B7BA6">
        <w:rPr>
          <w:rFonts w:ascii="Arial" w:hAnsi="Arial" w:cs="Arial"/>
          <w:sz w:val="24"/>
          <w:szCs w:val="24"/>
        </w:rPr>
        <w:t>two</w:t>
      </w:r>
      <w:r w:rsidR="00B80B6A" w:rsidRPr="00AA2547">
        <w:rPr>
          <w:rFonts w:ascii="Arial" w:hAnsi="Arial" w:cs="Arial"/>
          <w:sz w:val="24"/>
          <w:szCs w:val="24"/>
        </w:rPr>
        <w:t xml:space="preserve"> layers of 5</w:t>
      </w:r>
      <w:r w:rsidR="007B7BA6">
        <w:rPr>
          <w:rFonts w:ascii="Arial" w:hAnsi="Arial" w:cs="Arial"/>
          <w:sz w:val="24"/>
          <w:szCs w:val="24"/>
        </w:rPr>
        <w:t xml:space="preserve"> </w:t>
      </w:r>
      <w:r w:rsidR="0059345A">
        <w:rPr>
          <w:rFonts w:ascii="Arial" w:hAnsi="Arial" w:cs="Arial"/>
          <w:sz w:val="24"/>
          <w:szCs w:val="24"/>
        </w:rPr>
        <w:t>weight percent (</w:t>
      </w:r>
      <w:r w:rsidR="007B7BA6">
        <w:rPr>
          <w:rFonts w:ascii="Arial" w:hAnsi="Arial" w:cs="Arial"/>
          <w:sz w:val="24"/>
          <w:szCs w:val="24"/>
        </w:rPr>
        <w:t>wt</w:t>
      </w:r>
      <w:r w:rsidR="00B80B6A" w:rsidRPr="00AA2547">
        <w:rPr>
          <w:rFonts w:ascii="Arial" w:hAnsi="Arial" w:cs="Arial"/>
          <w:sz w:val="24"/>
          <w:szCs w:val="24"/>
        </w:rPr>
        <w:t>%</w:t>
      </w:r>
      <w:r w:rsidR="0059345A">
        <w:rPr>
          <w:rFonts w:ascii="Arial" w:hAnsi="Arial" w:cs="Arial"/>
          <w:sz w:val="24"/>
          <w:szCs w:val="24"/>
        </w:rPr>
        <w:t>)</w:t>
      </w:r>
      <w:r w:rsidR="00B80B6A" w:rsidRPr="00AA2547">
        <w:rPr>
          <w:rFonts w:ascii="Arial" w:hAnsi="Arial" w:cs="Arial"/>
          <w:sz w:val="24"/>
          <w:szCs w:val="24"/>
        </w:rPr>
        <w:t xml:space="preserve"> or 10</w:t>
      </w:r>
      <w:r w:rsidR="007B7BA6">
        <w:rPr>
          <w:rFonts w:ascii="Arial" w:hAnsi="Arial" w:cs="Arial"/>
          <w:sz w:val="24"/>
          <w:szCs w:val="24"/>
        </w:rPr>
        <w:t xml:space="preserve"> wt</w:t>
      </w:r>
      <w:r w:rsidR="00B80B6A" w:rsidRPr="00AA2547">
        <w:rPr>
          <w:rFonts w:ascii="Arial" w:hAnsi="Arial" w:cs="Arial"/>
          <w:sz w:val="24"/>
          <w:szCs w:val="24"/>
        </w:rPr>
        <w:t xml:space="preserve">% HA to fill ruptured bones and </w:t>
      </w:r>
      <w:r w:rsidR="007B7BA6">
        <w:rPr>
          <w:rFonts w:ascii="Arial" w:hAnsi="Arial" w:cs="Arial"/>
          <w:sz w:val="24"/>
          <w:szCs w:val="24"/>
        </w:rPr>
        <w:t>demonstrated</w:t>
      </w:r>
      <w:r w:rsidR="007B7BA6" w:rsidRPr="00AA2547">
        <w:rPr>
          <w:rFonts w:ascii="Arial" w:hAnsi="Arial" w:cs="Arial"/>
          <w:sz w:val="24"/>
          <w:szCs w:val="24"/>
        </w:rPr>
        <w:t xml:space="preserve"> </w:t>
      </w:r>
      <w:r w:rsidR="00B80B6A" w:rsidRPr="00AA2547">
        <w:rPr>
          <w:rFonts w:ascii="Arial" w:hAnsi="Arial" w:cs="Arial"/>
          <w:sz w:val="24"/>
          <w:szCs w:val="24"/>
        </w:rPr>
        <w:t xml:space="preserve">that in 28 days the 3-layer </w:t>
      </w:r>
      <w:r w:rsidR="0059345A">
        <w:rPr>
          <w:rFonts w:ascii="Arial" w:hAnsi="Arial" w:cs="Arial"/>
          <w:sz w:val="24"/>
          <w:szCs w:val="24"/>
        </w:rPr>
        <w:t>hydro</w:t>
      </w:r>
      <w:r w:rsidR="00B80B6A" w:rsidRPr="00AA2547">
        <w:rPr>
          <w:rFonts w:ascii="Arial" w:hAnsi="Arial" w:cs="Arial"/>
          <w:sz w:val="24"/>
          <w:szCs w:val="24"/>
        </w:rPr>
        <w:t>gels were fully resorbed.</w:t>
      </w:r>
      <w:r w:rsidR="007B7BA6">
        <w:rPr>
          <w:rFonts w:ascii="Arial" w:hAnsi="Arial" w:cs="Arial"/>
          <w:sz w:val="24"/>
          <w:szCs w:val="24"/>
        </w:rPr>
        <w:t xml:space="preserve"> Similarly,</w:t>
      </w:r>
      <w:r w:rsidR="00B80B6A">
        <w:rPr>
          <w:rFonts w:ascii="Arial" w:hAnsi="Arial" w:cs="Arial"/>
          <w:sz w:val="24"/>
          <w:szCs w:val="24"/>
        </w:rPr>
        <w:t xml:space="preserve"> </w:t>
      </w:r>
      <w:r w:rsidR="00B80B6A" w:rsidRPr="00EB056A">
        <w:rPr>
          <w:rFonts w:ascii="Arial" w:hAnsi="Arial" w:cs="Arial"/>
          <w:sz w:val="24"/>
          <w:szCs w:val="24"/>
        </w:rPr>
        <w:t xml:space="preserve">Hertegård </w:t>
      </w:r>
      <w:r w:rsidR="00B80B6A" w:rsidRPr="003B5F26">
        <w:rPr>
          <w:rFonts w:ascii="Arial" w:hAnsi="Arial" w:cs="Arial"/>
          <w:i/>
          <w:iCs/>
          <w:sz w:val="24"/>
          <w:szCs w:val="24"/>
        </w:rPr>
        <w:t>et al</w:t>
      </w:r>
      <w:r w:rsidR="00071E5A">
        <w:rPr>
          <w:rFonts w:ascii="Arial" w:hAnsi="Arial" w:cs="Arial"/>
          <w:sz w:val="24"/>
          <w:szCs w:val="24"/>
        </w:rPr>
        <w:t>.</w:t>
      </w:r>
      <w:r w:rsidR="00B80B6A" w:rsidRPr="00EB056A">
        <w:rPr>
          <w:rFonts w:ascii="Arial" w:hAnsi="Arial" w:cs="Arial"/>
          <w:sz w:val="24"/>
          <w:szCs w:val="24"/>
        </w:rPr>
        <w:fldChar w:fldCharType="begin"/>
      </w:r>
      <w:r w:rsidR="005B4F59">
        <w:rPr>
          <w:rFonts w:ascii="Arial" w:hAnsi="Arial" w:cs="Arial"/>
          <w:sz w:val="24"/>
          <w:szCs w:val="24"/>
        </w:rPr>
        <w:instrText xml:space="preserve"> ADDIN ZOTERO_ITEM CSL_CITATION {"citationID":"r8lse9TS","properties":{"formattedCitation":"\\super 45\\nosupersub{}","plainCitation":"45","noteIndex":0},"citationItems":[{"id":699,"uris":["http://zotero.org/users/6508478/items/3YIZXXNE"],"itemData":{"id":699,"type":"article-journal","abstract":"Mesenchymal stromal cells (MSCs) promote wound healing by expediting the inflammatory phase. Local injection of MSCs into injured vocal folds (VFs) is effective in animal models, suggesting suitability for clinical translation. Despite their therapeutic potential, MSCs do not persist within the VF. This study evaluates whether hyaluronan (HA) hydrogels offer a safe delivery vehicle for local injection of MSCs into VFs, and increase longevity of the cells within the injured tissue. MSCs ± HA hydrogel were exposed to interleukin (IL)1β, IL8, and chemokine (C-C motif) ligand 4, and evaluated for mRNA expression of matrix remodeling genes and secretion of immunomodulatory/prohealing factors. Chemotaxis/invasion in response to inflammation was evaluated. A lapin model of VF injury evaluated in vivo effects of MSCs ± HA hydrogel on enhancing VF healing. Histological evaluation of inflammation, type I collagen expression, HA hydrogel resorption, and MSC persistence was evaluated at 3 and 25 days after injury. MSCs within HA hydrogel were responsive to their extracellular environment, upregulating immunomodulatory factors when exposed to inflammation. Despite delayed migration out of the gel in vitro, the MSCs did not persist longer within the injured tissue in vivo. MSCs ± HA hydrogel exerted equivalent dampening of inflammation in vivo. The gel was resorbed within 25 days and no edema was evident. HA hydrogels can be safely used in the delivery of MSCs to injured VFs, minimizing leakage of administered cells. MSCs within the HA hydrogel did not persist longer than those in suspension, but did exert comparable therapeutic effects.","container-title":"Stem Cells and Development","DOI":"10.1089/scd.2019.0102","ISSN":"1547-3287","issue":"17","note":"publisher: Mary Ann Liebert, Inc., publishers","page":"1177-1190","source":"liebertpub.com (Atypon)","title":"Hyaluronan Hydrogels for the Local Delivery of Mesenchymal Stromal Cells to the Injured Vocal Fold","volume":"28","author":[{"family":"Hertegård","given":"Stellan"},{"family":"Nagubothu","given":"Srinivasa Rao"},{"family":"Malmström","given":"Emma"},{"family":"Ström","given":"Cecilia E."},{"family":"Tolf","given":"Anna"},{"family":"Davies","given":"Lindsay C."},{"family":"Le Blanc","given":"Katarina"}],"issued":{"date-parts":[["2019",9]]}}}],"schema":"https://github.com/citation-style-language/schema/raw/master/csl-citation.json"} </w:instrText>
      </w:r>
      <w:r w:rsidR="00B80B6A" w:rsidRPr="00EB056A">
        <w:rPr>
          <w:rFonts w:ascii="Arial" w:hAnsi="Arial" w:cs="Arial"/>
          <w:sz w:val="24"/>
          <w:szCs w:val="24"/>
        </w:rPr>
        <w:fldChar w:fldCharType="separate"/>
      </w:r>
      <w:r w:rsidR="00766016" w:rsidRPr="00766016">
        <w:rPr>
          <w:rFonts w:ascii="Arial" w:hAnsi="Arial" w:cs="Arial"/>
          <w:sz w:val="24"/>
          <w:szCs w:val="24"/>
          <w:vertAlign w:val="superscript"/>
        </w:rPr>
        <w:t>45</w:t>
      </w:r>
      <w:r w:rsidR="00B80B6A" w:rsidRPr="00EB056A">
        <w:rPr>
          <w:rFonts w:ascii="Arial" w:hAnsi="Arial" w:cs="Arial"/>
          <w:sz w:val="24"/>
          <w:szCs w:val="24"/>
        </w:rPr>
        <w:fldChar w:fldCharType="end"/>
      </w:r>
      <w:r w:rsidR="00B80B6A" w:rsidRPr="00EB056A">
        <w:rPr>
          <w:rFonts w:ascii="Arial" w:hAnsi="Arial" w:cs="Arial"/>
          <w:sz w:val="24"/>
          <w:szCs w:val="24"/>
        </w:rPr>
        <w:t xml:space="preserve"> made hyaluronic acid </w:t>
      </w:r>
      <w:r w:rsidR="0059345A">
        <w:rPr>
          <w:rFonts w:ascii="Arial" w:hAnsi="Arial" w:cs="Arial"/>
          <w:sz w:val="24"/>
          <w:szCs w:val="24"/>
        </w:rPr>
        <w:t>hydro</w:t>
      </w:r>
      <w:r w:rsidR="00B80B6A" w:rsidRPr="00EB056A">
        <w:rPr>
          <w:rFonts w:ascii="Arial" w:hAnsi="Arial" w:cs="Arial"/>
          <w:sz w:val="24"/>
          <w:szCs w:val="24"/>
        </w:rPr>
        <w:t>gels to help wound regeneration</w:t>
      </w:r>
      <w:r w:rsidR="00B80B6A">
        <w:rPr>
          <w:rFonts w:ascii="Arial" w:hAnsi="Arial" w:cs="Arial"/>
          <w:sz w:val="24"/>
          <w:szCs w:val="24"/>
        </w:rPr>
        <w:t>,</w:t>
      </w:r>
      <w:r w:rsidR="00B80B6A" w:rsidRPr="00EB056A">
        <w:rPr>
          <w:rFonts w:ascii="Arial" w:hAnsi="Arial" w:cs="Arial"/>
          <w:sz w:val="24"/>
          <w:szCs w:val="24"/>
        </w:rPr>
        <w:t xml:space="preserve"> and noticed total HA resorption after 25 days.</w:t>
      </w:r>
    </w:p>
    <w:p w14:paraId="58A7020D" w14:textId="7C63CFFA" w:rsidR="00FD4E05" w:rsidRDefault="00E05FF5" w:rsidP="00F33EDB">
      <w:pPr>
        <w:spacing w:after="0" w:line="480" w:lineRule="auto"/>
        <w:ind w:firstLine="720"/>
        <w:jc w:val="both"/>
        <w:rPr>
          <w:rFonts w:ascii="Arial" w:hAnsi="Arial" w:cs="Arial"/>
          <w:sz w:val="24"/>
          <w:szCs w:val="24"/>
        </w:rPr>
      </w:pPr>
      <w:r w:rsidRPr="00EB056A">
        <w:rPr>
          <w:rFonts w:ascii="Arial" w:hAnsi="Arial" w:cs="Arial"/>
          <w:sz w:val="24"/>
          <w:szCs w:val="24"/>
        </w:rPr>
        <w:t xml:space="preserve">Deng </w:t>
      </w:r>
      <w:r w:rsidRPr="00EB056A">
        <w:rPr>
          <w:rFonts w:ascii="Arial" w:hAnsi="Arial" w:cs="Arial"/>
          <w:i/>
          <w:iCs/>
          <w:sz w:val="24"/>
          <w:szCs w:val="24"/>
        </w:rPr>
        <w:t>et al</w:t>
      </w:r>
      <w:r w:rsidR="00C530B7">
        <w:rPr>
          <w:rFonts w:ascii="Arial" w:hAnsi="Arial" w:cs="Arial"/>
          <w:i/>
          <w:iCs/>
          <w:sz w:val="24"/>
          <w:szCs w:val="24"/>
        </w:rPr>
        <w:t>.</w:t>
      </w:r>
      <w:r w:rsidRPr="00EB056A">
        <w:rPr>
          <w:rFonts w:ascii="Arial" w:hAnsi="Arial" w:cs="Arial"/>
          <w:sz w:val="24"/>
          <w:szCs w:val="24"/>
        </w:rPr>
        <w:fldChar w:fldCharType="begin"/>
      </w:r>
      <w:r w:rsidR="005B4F59">
        <w:rPr>
          <w:rFonts w:ascii="Arial" w:hAnsi="Arial" w:cs="Arial"/>
          <w:sz w:val="24"/>
          <w:szCs w:val="24"/>
        </w:rPr>
        <w:instrText xml:space="preserve"> ADDIN ZOTERO_ITEM CSL_CITATION {"citationID":"30518AeN","properties":{"formattedCitation":"\\super 46\\nosupersub{}","plainCitation":"46","noteIndex":0},"citationItems":[{"id":693,"uris":["http://zotero.org/users/6508478/items/SBP8998G"],"itemData":{"id":693,"type":"webpage","title":"Injectable in situ cross-linking chitosan-hyaluronic acid based hydrogels for abdominal tissue regeneration | Scientific Reports","URL":"https://www.nature.com/articles/s41598-017-02962-z","accessed":{"date-parts":[["2022",3,2]]}}}],"schema":"https://github.com/citation-style-language/schema/raw/master/csl-citation.json"} </w:instrText>
      </w:r>
      <w:r w:rsidRPr="00EB056A">
        <w:rPr>
          <w:rFonts w:ascii="Arial" w:hAnsi="Arial" w:cs="Arial"/>
          <w:sz w:val="24"/>
          <w:szCs w:val="24"/>
        </w:rPr>
        <w:fldChar w:fldCharType="separate"/>
      </w:r>
      <w:r w:rsidR="00766016" w:rsidRPr="00766016">
        <w:rPr>
          <w:rFonts w:ascii="Arial" w:hAnsi="Arial" w:cs="Arial"/>
          <w:sz w:val="24"/>
          <w:szCs w:val="24"/>
          <w:vertAlign w:val="superscript"/>
        </w:rPr>
        <w:t>46</w:t>
      </w:r>
      <w:r w:rsidRPr="00EB056A">
        <w:rPr>
          <w:rFonts w:ascii="Arial" w:hAnsi="Arial" w:cs="Arial"/>
          <w:sz w:val="24"/>
          <w:szCs w:val="24"/>
        </w:rPr>
        <w:fldChar w:fldCharType="end"/>
      </w:r>
      <w:r w:rsidRPr="00EB056A">
        <w:rPr>
          <w:rFonts w:ascii="Arial" w:hAnsi="Arial" w:cs="Arial"/>
          <w:sz w:val="24"/>
          <w:szCs w:val="24"/>
        </w:rPr>
        <w:t xml:space="preserve"> used chitosan and hyaluronic acid hydrogels to repair abdomen wounds in rabbits. The</w:t>
      </w:r>
      <w:r>
        <w:rPr>
          <w:rFonts w:ascii="Arial" w:hAnsi="Arial" w:cs="Arial"/>
          <w:sz w:val="24"/>
          <w:szCs w:val="24"/>
        </w:rPr>
        <w:t xml:space="preserve"> authors</w:t>
      </w:r>
      <w:r w:rsidRPr="00EB056A">
        <w:rPr>
          <w:rFonts w:ascii="Arial" w:hAnsi="Arial" w:cs="Arial"/>
          <w:sz w:val="24"/>
          <w:szCs w:val="24"/>
        </w:rPr>
        <w:t xml:space="preserve"> noticed</w:t>
      </w:r>
      <w:r>
        <w:rPr>
          <w:rFonts w:ascii="Arial" w:hAnsi="Arial" w:cs="Arial"/>
          <w:sz w:val="24"/>
          <w:szCs w:val="24"/>
        </w:rPr>
        <w:t xml:space="preserve"> wounds treated with the hydrogels exhibited</w:t>
      </w:r>
      <w:r w:rsidRPr="00EB056A">
        <w:rPr>
          <w:rFonts w:ascii="Arial" w:hAnsi="Arial" w:cs="Arial"/>
          <w:sz w:val="24"/>
          <w:szCs w:val="24"/>
        </w:rPr>
        <w:t xml:space="preserve"> an increase in cytokines that promote angiogenesis, a</w:t>
      </w:r>
      <w:r>
        <w:rPr>
          <w:rFonts w:ascii="Arial" w:hAnsi="Arial" w:cs="Arial"/>
          <w:sz w:val="24"/>
          <w:szCs w:val="24"/>
        </w:rPr>
        <w:t xml:space="preserve"> 2.5-fold</w:t>
      </w:r>
      <w:r w:rsidRPr="00EB056A">
        <w:rPr>
          <w:rFonts w:ascii="Arial" w:hAnsi="Arial" w:cs="Arial"/>
          <w:sz w:val="24"/>
          <w:szCs w:val="24"/>
        </w:rPr>
        <w:t xml:space="preserve"> increase</w:t>
      </w:r>
      <w:r>
        <w:rPr>
          <w:rFonts w:ascii="Arial" w:hAnsi="Arial" w:cs="Arial"/>
          <w:sz w:val="24"/>
          <w:szCs w:val="24"/>
        </w:rPr>
        <w:t xml:space="preserve"> in</w:t>
      </w:r>
      <w:r w:rsidRPr="00EB056A">
        <w:rPr>
          <w:rFonts w:ascii="Arial" w:hAnsi="Arial" w:cs="Arial"/>
          <w:sz w:val="24"/>
          <w:szCs w:val="24"/>
        </w:rPr>
        <w:t xml:space="preserve"> thickness of new</w:t>
      </w:r>
      <w:r>
        <w:rPr>
          <w:rFonts w:ascii="Arial" w:hAnsi="Arial" w:cs="Arial"/>
          <w:sz w:val="24"/>
          <w:szCs w:val="24"/>
        </w:rPr>
        <w:t>ly</w:t>
      </w:r>
      <w:r w:rsidRPr="00EB056A">
        <w:rPr>
          <w:rFonts w:ascii="Arial" w:hAnsi="Arial" w:cs="Arial"/>
          <w:sz w:val="24"/>
          <w:szCs w:val="24"/>
        </w:rPr>
        <w:t xml:space="preserve"> formed tissues compared to wound</w:t>
      </w:r>
      <w:r>
        <w:rPr>
          <w:rFonts w:ascii="Arial" w:hAnsi="Arial" w:cs="Arial"/>
          <w:sz w:val="24"/>
          <w:szCs w:val="24"/>
        </w:rPr>
        <w:t>s</w:t>
      </w:r>
      <w:r w:rsidRPr="00EB056A">
        <w:rPr>
          <w:rFonts w:ascii="Arial" w:hAnsi="Arial" w:cs="Arial"/>
          <w:sz w:val="24"/>
          <w:szCs w:val="24"/>
        </w:rPr>
        <w:t xml:space="preserve"> without </w:t>
      </w:r>
      <w:r>
        <w:rPr>
          <w:rFonts w:ascii="Arial" w:hAnsi="Arial" w:cs="Arial"/>
          <w:sz w:val="24"/>
          <w:szCs w:val="24"/>
        </w:rPr>
        <w:t>hydro</w:t>
      </w:r>
      <w:r w:rsidRPr="00EB056A">
        <w:rPr>
          <w:rFonts w:ascii="Arial" w:hAnsi="Arial" w:cs="Arial"/>
          <w:sz w:val="24"/>
          <w:szCs w:val="24"/>
        </w:rPr>
        <w:t>gel, and activated M2 macrophages, which indicates fibrogenesis.</w:t>
      </w:r>
      <w:r>
        <w:rPr>
          <w:rFonts w:ascii="Arial" w:hAnsi="Arial" w:cs="Arial"/>
          <w:sz w:val="24"/>
          <w:szCs w:val="24"/>
        </w:rPr>
        <w:t xml:space="preserve"> </w:t>
      </w:r>
      <w:r w:rsidRPr="00EB056A">
        <w:rPr>
          <w:rFonts w:ascii="Arial" w:hAnsi="Arial" w:cs="Arial"/>
          <w:sz w:val="24"/>
          <w:szCs w:val="24"/>
        </w:rPr>
        <w:t xml:space="preserve">Hong </w:t>
      </w:r>
      <w:r w:rsidRPr="00EB056A">
        <w:rPr>
          <w:rFonts w:ascii="Arial" w:hAnsi="Arial" w:cs="Arial"/>
          <w:i/>
          <w:iCs/>
          <w:sz w:val="24"/>
          <w:szCs w:val="24"/>
        </w:rPr>
        <w:t>et al</w:t>
      </w:r>
      <w:r w:rsidR="00C530B7">
        <w:rPr>
          <w:rFonts w:ascii="Arial" w:hAnsi="Arial" w:cs="Arial"/>
          <w:i/>
          <w:iCs/>
          <w:sz w:val="24"/>
          <w:szCs w:val="24"/>
        </w:rPr>
        <w:t>.</w:t>
      </w:r>
      <w:r w:rsidRPr="00EB056A">
        <w:rPr>
          <w:rFonts w:ascii="Arial" w:hAnsi="Arial" w:cs="Arial"/>
          <w:sz w:val="24"/>
          <w:szCs w:val="24"/>
        </w:rPr>
        <w:fldChar w:fldCharType="begin"/>
      </w:r>
      <w:r w:rsidR="005B4F59">
        <w:rPr>
          <w:rFonts w:ascii="Arial" w:hAnsi="Arial" w:cs="Arial"/>
          <w:sz w:val="24"/>
          <w:szCs w:val="24"/>
        </w:rPr>
        <w:instrText xml:space="preserve"> ADDIN ZOTERO_ITEM CSL_CITATION {"citationID":"krfzRXp6","properties":{"formattedCitation":"\\super 47\\nosupersub{}","plainCitation":"47","noteIndex":0},"citationItems":[{"id":39,"uris":["http://zotero.org/users/6508478/items/GFBYUXT2"],"itemData":{"id":39,"type":"article-journal","abstract":"In this work, two kinds of hyaluronic acid (HA)-based hydrogels were fabricated: one is made from physical freezing-thawing of HA solution (HA1), and the other is from chemical cross-linking of HA and polysaccharide (HA2). They were applied to repair full-thickness skin defects with New Zealand rabbits as the test animals, using powder HA and cotton dress as the references. The wound starts to heal after wounds were disinfected with iodine followed by coating with HA2, HA1, HA and cotton dress (the control), respectively. They were recorded as 4 treatments (groups), HA2, HA1, HA and the control. The healing progress was followed and tested in the duration of 56 days, and the biological repairing mechanism was explored. From the wound area alteration, white blood cell (WBC) measurements and H&amp;E staining, HA2 was the most promising treatment in promoting the wound healing with least serious scar formation. Immunochemistry analyses and real-time PCR tests of the bio-factors involved in the wound healing, vascular endothelial growth factor (VEGF), alpha-smooth muscle actin (α-SMA) and transforming growth factor beta-1 (TGF-β1), exhibited that HA2 enhanced VEGF and α-SMA secretion but reduced TGF-β1 expression at early stage, which alleviated the wound inflammation, improved the skin regeneration and relieved the scar formation.","container-title":"Journal of Materials Science: Materials in Medicine","DOI":"10.1007/s10856-018-6158-x","ISSN":"1573-4838","issue":"9","journalAbbreviation":"J Mater Sci: Mater Med","language":"en","page":"150","source":"Springer Link","title":"Hyaluronic acid (HA)-based hydrogels for full-thickness wound repairing and skin regeneration","volume":"29","author":[{"family":"Hong","given":"Lei"},{"family":"Shen","given":"Meiting"},{"family":"Fang","given":"Jiaxi"},{"family":"Wang","given":"Yezhao"},{"family":"Bao","given":"Zhiyuan"},{"family":"Bu","given":"Shizhong"},{"family":"Zhu","given":"Yabin"}],"issued":{"date-parts":[["2018",9,8]]}}}],"schema":"https://github.com/citation-style-language/schema/raw/master/csl-citation.json"} </w:instrText>
      </w:r>
      <w:r w:rsidRPr="00EB056A">
        <w:rPr>
          <w:rFonts w:ascii="Arial" w:hAnsi="Arial" w:cs="Arial"/>
          <w:sz w:val="24"/>
          <w:szCs w:val="24"/>
        </w:rPr>
        <w:fldChar w:fldCharType="separate"/>
      </w:r>
      <w:r w:rsidR="00766016" w:rsidRPr="00766016">
        <w:rPr>
          <w:rFonts w:ascii="Arial" w:hAnsi="Arial" w:cs="Arial"/>
          <w:sz w:val="24"/>
          <w:szCs w:val="24"/>
          <w:vertAlign w:val="superscript"/>
        </w:rPr>
        <w:t>47</w:t>
      </w:r>
      <w:r w:rsidRPr="00EB056A">
        <w:rPr>
          <w:rFonts w:ascii="Arial" w:hAnsi="Arial" w:cs="Arial"/>
          <w:sz w:val="24"/>
          <w:szCs w:val="24"/>
        </w:rPr>
        <w:fldChar w:fldCharType="end"/>
      </w:r>
      <w:r w:rsidRPr="00EB056A">
        <w:rPr>
          <w:rFonts w:ascii="Arial" w:hAnsi="Arial" w:cs="Arial"/>
          <w:sz w:val="24"/>
          <w:szCs w:val="24"/>
        </w:rPr>
        <w:t xml:space="preserve"> observed the scaring rates</w:t>
      </w:r>
      <w:r w:rsidR="005B39ED">
        <w:rPr>
          <w:rFonts w:ascii="Arial" w:hAnsi="Arial" w:cs="Arial"/>
          <w:sz w:val="24"/>
          <w:szCs w:val="24"/>
        </w:rPr>
        <w:t xml:space="preserve"> of rabbits wounds covered with HA hydrogels</w:t>
      </w:r>
      <w:r w:rsidRPr="00EB056A">
        <w:rPr>
          <w:rFonts w:ascii="Arial" w:hAnsi="Arial" w:cs="Arial"/>
          <w:sz w:val="24"/>
          <w:szCs w:val="24"/>
        </w:rPr>
        <w:t>. A</w:t>
      </w:r>
      <w:r>
        <w:rPr>
          <w:rFonts w:ascii="Arial" w:hAnsi="Arial" w:cs="Arial"/>
          <w:sz w:val="24"/>
          <w:szCs w:val="24"/>
        </w:rPr>
        <w:t>fter</w:t>
      </w:r>
      <w:r w:rsidRPr="00EB056A">
        <w:rPr>
          <w:rFonts w:ascii="Arial" w:hAnsi="Arial" w:cs="Arial"/>
          <w:sz w:val="24"/>
          <w:szCs w:val="24"/>
        </w:rPr>
        <w:t xml:space="preserve"> 14 days, wounds covered by hyaluronic acid </w:t>
      </w:r>
      <w:r>
        <w:rPr>
          <w:rFonts w:ascii="Arial" w:hAnsi="Arial" w:cs="Arial"/>
          <w:sz w:val="24"/>
          <w:szCs w:val="24"/>
        </w:rPr>
        <w:t>hydro</w:t>
      </w:r>
      <w:r w:rsidRPr="00EB056A">
        <w:rPr>
          <w:rFonts w:ascii="Arial" w:hAnsi="Arial" w:cs="Arial"/>
          <w:sz w:val="24"/>
          <w:szCs w:val="24"/>
        </w:rPr>
        <w:t>gels were 58% smaller than at day one, whereas wounds without it were, at day 14, only 28% smaller than day 1. Supporting this observation, the</w:t>
      </w:r>
      <w:r>
        <w:rPr>
          <w:rFonts w:ascii="Arial" w:hAnsi="Arial" w:cs="Arial"/>
          <w:sz w:val="24"/>
          <w:szCs w:val="24"/>
        </w:rPr>
        <w:t xml:space="preserve"> authors</w:t>
      </w:r>
      <w:r w:rsidRPr="00EB056A">
        <w:rPr>
          <w:rFonts w:ascii="Arial" w:hAnsi="Arial" w:cs="Arial"/>
          <w:sz w:val="24"/>
          <w:szCs w:val="24"/>
        </w:rPr>
        <w:t xml:space="preserve"> found the presence of transforming growth factor beta-1 (TGF-β1), which starts the skin healing </w:t>
      </w:r>
      <w:r w:rsidRPr="00EB056A">
        <w:rPr>
          <w:rFonts w:ascii="Arial" w:hAnsi="Arial" w:cs="Arial"/>
          <w:sz w:val="24"/>
          <w:szCs w:val="24"/>
        </w:rPr>
        <w:lastRenderedPageBreak/>
        <w:t xml:space="preserve">procedure, at day 7 in the wound with hyaluronic </w:t>
      </w:r>
      <w:r>
        <w:rPr>
          <w:rFonts w:ascii="Arial" w:hAnsi="Arial" w:cs="Arial"/>
          <w:sz w:val="24"/>
          <w:szCs w:val="24"/>
        </w:rPr>
        <w:t>hydro</w:t>
      </w:r>
      <w:r w:rsidRPr="00EB056A">
        <w:rPr>
          <w:rFonts w:ascii="Arial" w:hAnsi="Arial" w:cs="Arial"/>
          <w:sz w:val="24"/>
          <w:szCs w:val="24"/>
        </w:rPr>
        <w:t>gels</w:t>
      </w:r>
      <w:r>
        <w:rPr>
          <w:rFonts w:ascii="Arial" w:hAnsi="Arial" w:cs="Arial"/>
          <w:sz w:val="24"/>
          <w:szCs w:val="24"/>
        </w:rPr>
        <w:t>; however</w:t>
      </w:r>
      <w:r w:rsidR="007B7BA6">
        <w:rPr>
          <w:rFonts w:ascii="Arial" w:hAnsi="Arial" w:cs="Arial"/>
          <w:sz w:val="24"/>
          <w:szCs w:val="24"/>
        </w:rPr>
        <w:t>,</w:t>
      </w:r>
      <w:r>
        <w:rPr>
          <w:rFonts w:ascii="Arial" w:hAnsi="Arial" w:cs="Arial"/>
          <w:sz w:val="24"/>
          <w:szCs w:val="24"/>
        </w:rPr>
        <w:t xml:space="preserve"> this growth factor was not observed in control wounds (i.e., wounds without hydrogel) until</w:t>
      </w:r>
      <w:r w:rsidRPr="00EB056A">
        <w:rPr>
          <w:rFonts w:ascii="Arial" w:hAnsi="Arial" w:cs="Arial"/>
          <w:sz w:val="24"/>
          <w:szCs w:val="24"/>
        </w:rPr>
        <w:t xml:space="preserve"> day 14. </w:t>
      </w:r>
      <w:r w:rsidRPr="00E6551E">
        <w:rPr>
          <w:rFonts w:ascii="Arial" w:hAnsi="Arial" w:cs="Arial"/>
          <w:sz w:val="24"/>
          <w:szCs w:val="24"/>
        </w:rPr>
        <w:t xml:space="preserve">Ghose </w:t>
      </w:r>
      <w:r w:rsidRPr="00E6551E">
        <w:rPr>
          <w:rFonts w:ascii="Arial" w:hAnsi="Arial" w:cs="Arial"/>
          <w:i/>
          <w:iCs/>
          <w:sz w:val="24"/>
          <w:szCs w:val="24"/>
        </w:rPr>
        <w:t>et a</w:t>
      </w:r>
      <w:r w:rsidRPr="00AC0E26">
        <w:rPr>
          <w:rFonts w:ascii="Arial" w:hAnsi="Arial" w:cs="Arial"/>
          <w:i/>
          <w:iCs/>
          <w:sz w:val="24"/>
          <w:szCs w:val="24"/>
        </w:rPr>
        <w:t>l</w:t>
      </w:r>
      <w:r w:rsidR="00C530B7">
        <w:rPr>
          <w:rFonts w:ascii="Arial" w:hAnsi="Arial" w:cs="Arial"/>
          <w:i/>
          <w:iCs/>
          <w:sz w:val="24"/>
          <w:szCs w:val="24"/>
        </w:rPr>
        <w:t>.</w:t>
      </w:r>
      <w:r w:rsidR="00B74BE8" w:rsidRPr="00EB056A">
        <w:rPr>
          <w:rFonts w:ascii="Arial" w:hAnsi="Arial" w:cs="Arial"/>
          <w:sz w:val="24"/>
          <w:szCs w:val="24"/>
        </w:rPr>
        <w:fldChar w:fldCharType="begin"/>
      </w:r>
      <w:r w:rsidR="00B74BE8">
        <w:rPr>
          <w:rFonts w:ascii="Arial" w:hAnsi="Arial" w:cs="Arial"/>
          <w:sz w:val="24"/>
          <w:szCs w:val="24"/>
        </w:rPr>
        <w:instrText xml:space="preserve"> ADDIN ZOTERO_ITEM CSL_CITATION {"citationID":"DHt3NwqP","properties":{"formattedCitation":"\\super 48\\nosupersub{}","plainCitation":"48","noteIndex":0},"citationItems":[{"id":36,"uris":["http://zotero.org/users/6508478/items/9756BZ8I"],"itemData":{"id":36,"type":"article-journal","abstract":"BACKGROUND: Angiogenesis, the formation of new blood vessels from pre-existing vasculature is essential in a number of physiological processes such as embryonic development, wound healing as well as pathological conditions like, tumor growth and metastasis. Hyaluronic acid (HA), a high molecular weight polysaccharide, major component of extracellular matrix is known to associate with malignant phenotypes in melanomas and various other carcinomas. Hyaluronic acid binding protein 1 (HABP1) has been previously reported to trigger enhanced cellular proliferation in human liver cancer cells upon its over-expression. In the present study, we have identified the HA mediated cellular behaviour of liver endothelial cells during angiogenesis.\nMETHODS: Endothelial cells have been isolated from perfused liver of mice. Cell proliferation was studied using microwell plates with tetrazole dye. Cell migration was evaluated by measuring endothelial monolayer wound repair as well as through transwell migration assay. Alterations in proteins and mRNA expression were estimated by immunobloting and quantitative real time PCR using Applied Biosystems. The paraformaldehyde fixed endothelial cells were used for immuno- florescence staining and F-actin detection with conjugated antibodies. The images were captured by using Olympus florescence microscope (IX71).\nRESULTS: We observed that administration of HA enhanced cell proliferation, adhesion, tubular sprout formation as well as migration of liver endothelial cells (ECs). The effect of HA in the rearrangement of the actins confirmed HA -mediated cytoskeleton re-organization and cell migration. Further, we confirmed enhanced expression of angiogenic factors like VEGF-A and VEGFR1 in endothelial cells upon HA treatment. HA supplementation led to elevated expression of HABP1 in murine endothelial cells. It was interesting to note that, although protein levels of β- catenin remained unaltered, but translocation of this protein from membrane to nucleus was observed upon HA treatment, suggesting its role not only in vessel formation but also its involvement in angiogenesis signalling.\nCONCLUSIONS: The elucidation of molecular mechanism (s) responsible for HA mediated regulation of endothelial cells and angiogenesis contributes not only to our understanding the mechanism of disease progression but also offer new avenues for therapeutic intervention.","container-title":"BMC cancer","DOI":"10.1186/s12885-018-4532-1","ISSN":"1471-2407","issue":"1","journalAbbreviation":"BMC Cancer","language":"eng","note":"PMID: 29890947\nPMCID: PMC5996548","page":"648","source":"PubMed","title":"Dynamic Hyaluronan drives liver endothelial cells towards angiogenesis","volume":"18","author":[{"family":"Ghose","given":"Sampa"},{"family":"Biswas","given":"Subhrajit"},{"family":"Datta","given":"Kasturi"},{"family":"Tyagi","given":"Rakesh K."}],"issued":{"date-parts":[["2018",6,11]]}}}],"schema":"https://github.com/citation-style-language/schema/raw/master/csl-citation.json"} </w:instrText>
      </w:r>
      <w:r w:rsidR="00B74BE8" w:rsidRPr="00EB056A">
        <w:rPr>
          <w:rFonts w:ascii="Arial" w:hAnsi="Arial" w:cs="Arial"/>
          <w:sz w:val="24"/>
          <w:szCs w:val="24"/>
        </w:rPr>
        <w:fldChar w:fldCharType="separate"/>
      </w:r>
      <w:r w:rsidR="00B74BE8" w:rsidRPr="00766016">
        <w:rPr>
          <w:rFonts w:ascii="Arial" w:hAnsi="Arial" w:cs="Arial"/>
          <w:sz w:val="24"/>
          <w:szCs w:val="24"/>
          <w:vertAlign w:val="superscript"/>
        </w:rPr>
        <w:t>48</w:t>
      </w:r>
      <w:r w:rsidR="00B74BE8" w:rsidRPr="00EB056A">
        <w:rPr>
          <w:rFonts w:ascii="Arial" w:hAnsi="Arial" w:cs="Arial"/>
          <w:sz w:val="24"/>
          <w:szCs w:val="24"/>
        </w:rPr>
        <w:fldChar w:fldCharType="end"/>
      </w:r>
      <w:r w:rsidRPr="00E6551E">
        <w:rPr>
          <w:rFonts w:ascii="Arial" w:hAnsi="Arial" w:cs="Arial"/>
          <w:sz w:val="24"/>
          <w:szCs w:val="24"/>
        </w:rPr>
        <w:t xml:space="preserve"> </w:t>
      </w:r>
      <w:r w:rsidR="00F33EDB" w:rsidRPr="00E6551E">
        <w:rPr>
          <w:rFonts w:ascii="Arial" w:hAnsi="Arial" w:cs="Arial"/>
          <w:sz w:val="24"/>
          <w:szCs w:val="24"/>
        </w:rPr>
        <w:t>studied the effects of HA on</w:t>
      </w:r>
      <w:r w:rsidR="00E6551E">
        <w:rPr>
          <w:rFonts w:ascii="Arial" w:hAnsi="Arial" w:cs="Arial"/>
          <w:sz w:val="24"/>
          <w:szCs w:val="24"/>
        </w:rPr>
        <w:t xml:space="preserve"> the proliferation of</w:t>
      </w:r>
      <w:r w:rsidR="00F33EDB" w:rsidRPr="00E6551E">
        <w:rPr>
          <w:rFonts w:ascii="Arial" w:hAnsi="Arial" w:cs="Arial"/>
          <w:sz w:val="24"/>
          <w:szCs w:val="24"/>
        </w:rPr>
        <w:t xml:space="preserve"> </w:t>
      </w:r>
      <w:r w:rsidRPr="00E6551E">
        <w:rPr>
          <w:rFonts w:ascii="Arial" w:hAnsi="Arial" w:cs="Arial"/>
          <w:sz w:val="24"/>
          <w:szCs w:val="24"/>
        </w:rPr>
        <w:t>endothelial cells from livers of mice</w:t>
      </w:r>
      <w:r w:rsidR="00F33EDB" w:rsidRPr="00C74E52">
        <w:rPr>
          <w:rFonts w:ascii="Arial" w:hAnsi="Arial" w:cs="Arial"/>
          <w:sz w:val="24"/>
          <w:szCs w:val="24"/>
        </w:rPr>
        <w:t>.</w:t>
      </w:r>
      <w:r w:rsidRPr="00C74E52">
        <w:rPr>
          <w:rFonts w:ascii="Arial" w:hAnsi="Arial" w:cs="Arial"/>
          <w:sz w:val="24"/>
          <w:szCs w:val="24"/>
        </w:rPr>
        <w:t xml:space="preserve"> </w:t>
      </w:r>
      <w:r w:rsidR="00F33EDB">
        <w:rPr>
          <w:rFonts w:ascii="Arial" w:hAnsi="Arial" w:cs="Arial"/>
          <w:sz w:val="24"/>
          <w:szCs w:val="24"/>
        </w:rPr>
        <w:t xml:space="preserve">They </w:t>
      </w:r>
      <w:r w:rsidRPr="00EB056A">
        <w:rPr>
          <w:rFonts w:ascii="Arial" w:hAnsi="Arial" w:cs="Arial"/>
          <w:sz w:val="24"/>
          <w:szCs w:val="24"/>
        </w:rPr>
        <w:t xml:space="preserve">noted that endothelial cells with 10 mg/mL of HA grow </w:t>
      </w:r>
      <w:r w:rsidR="00586C3C">
        <w:rPr>
          <w:rFonts w:ascii="Arial" w:hAnsi="Arial" w:cs="Arial"/>
          <w:sz w:val="24"/>
          <w:szCs w:val="24"/>
        </w:rPr>
        <w:t xml:space="preserve">in 48 hours </w:t>
      </w:r>
      <w:r w:rsidR="00C74E52">
        <w:rPr>
          <w:rFonts w:ascii="Arial" w:hAnsi="Arial" w:cs="Arial"/>
          <w:sz w:val="24"/>
          <w:szCs w:val="24"/>
        </w:rPr>
        <w:t>two times faster than</w:t>
      </w:r>
      <w:r w:rsidRPr="00EB056A">
        <w:rPr>
          <w:rFonts w:ascii="Arial" w:hAnsi="Arial" w:cs="Arial"/>
          <w:sz w:val="24"/>
          <w:szCs w:val="24"/>
        </w:rPr>
        <w:t xml:space="preserve"> endothelial cells alone. </w:t>
      </w:r>
      <w:r w:rsidR="00586C3C">
        <w:rPr>
          <w:rFonts w:ascii="Arial" w:hAnsi="Arial" w:cs="Arial"/>
          <w:sz w:val="24"/>
          <w:szCs w:val="24"/>
        </w:rPr>
        <w:t xml:space="preserve">They </w:t>
      </w:r>
      <w:r w:rsidRPr="00EB056A">
        <w:rPr>
          <w:rFonts w:ascii="Arial" w:hAnsi="Arial" w:cs="Arial"/>
          <w:sz w:val="24"/>
          <w:szCs w:val="24"/>
        </w:rPr>
        <w:t xml:space="preserve">also quantified angiogenic factors </w:t>
      </w:r>
      <w:r w:rsidR="005B0F25">
        <w:rPr>
          <w:rFonts w:ascii="Arial" w:hAnsi="Arial" w:cs="Arial"/>
          <w:sz w:val="24"/>
          <w:szCs w:val="24"/>
        </w:rPr>
        <w:t xml:space="preserve">expression in 48 hours of these endothelial cells with 10 mg/mL of HA </w:t>
      </w:r>
      <w:r w:rsidRPr="00EB056A">
        <w:rPr>
          <w:rFonts w:ascii="Arial" w:hAnsi="Arial" w:cs="Arial"/>
          <w:sz w:val="24"/>
          <w:szCs w:val="24"/>
        </w:rPr>
        <w:t>and observed an increase of by 4</w:t>
      </w:r>
      <w:r w:rsidR="004D306D">
        <w:rPr>
          <w:rFonts w:ascii="Arial" w:hAnsi="Arial" w:cs="Arial"/>
          <w:sz w:val="24"/>
          <w:szCs w:val="24"/>
        </w:rPr>
        <w:t>-</w:t>
      </w:r>
      <w:r w:rsidRPr="00EB056A">
        <w:rPr>
          <w:rFonts w:ascii="Arial" w:hAnsi="Arial" w:cs="Arial"/>
          <w:sz w:val="24"/>
          <w:szCs w:val="24"/>
        </w:rPr>
        <w:t>fold</w:t>
      </w:r>
      <w:r w:rsidR="00586C3C">
        <w:rPr>
          <w:rFonts w:ascii="Arial" w:hAnsi="Arial" w:cs="Arial"/>
          <w:sz w:val="24"/>
          <w:szCs w:val="24"/>
        </w:rPr>
        <w:t>, 7</w:t>
      </w:r>
      <w:r w:rsidR="004D306D">
        <w:rPr>
          <w:rFonts w:ascii="Arial" w:hAnsi="Arial" w:cs="Arial"/>
          <w:sz w:val="24"/>
          <w:szCs w:val="24"/>
        </w:rPr>
        <w:t>-</w:t>
      </w:r>
      <w:r w:rsidR="00586C3C">
        <w:rPr>
          <w:rFonts w:ascii="Arial" w:hAnsi="Arial" w:cs="Arial"/>
          <w:sz w:val="24"/>
          <w:szCs w:val="24"/>
        </w:rPr>
        <w:t>fold</w:t>
      </w:r>
      <w:r w:rsidR="004D306D">
        <w:rPr>
          <w:rFonts w:ascii="Arial" w:hAnsi="Arial" w:cs="Arial"/>
          <w:sz w:val="24"/>
          <w:szCs w:val="24"/>
        </w:rPr>
        <w:t>,</w:t>
      </w:r>
      <w:r w:rsidR="00586C3C">
        <w:rPr>
          <w:rFonts w:ascii="Arial" w:hAnsi="Arial" w:cs="Arial"/>
          <w:sz w:val="24"/>
          <w:szCs w:val="24"/>
        </w:rPr>
        <w:t xml:space="preserve"> and 8</w:t>
      </w:r>
      <w:r w:rsidR="004D306D">
        <w:rPr>
          <w:rFonts w:ascii="Arial" w:hAnsi="Arial" w:cs="Arial"/>
          <w:sz w:val="24"/>
          <w:szCs w:val="24"/>
        </w:rPr>
        <w:t>-</w:t>
      </w:r>
      <w:r w:rsidR="00586C3C">
        <w:rPr>
          <w:rFonts w:ascii="Arial" w:hAnsi="Arial" w:cs="Arial"/>
          <w:sz w:val="24"/>
          <w:szCs w:val="24"/>
        </w:rPr>
        <w:t>fold</w:t>
      </w:r>
      <w:r w:rsidRPr="00EB056A">
        <w:rPr>
          <w:rFonts w:ascii="Arial" w:hAnsi="Arial" w:cs="Arial"/>
          <w:sz w:val="24"/>
          <w:szCs w:val="24"/>
        </w:rPr>
        <w:t xml:space="preserve"> with HA compared to control</w:t>
      </w:r>
      <w:r w:rsidR="005B0F25">
        <w:rPr>
          <w:rFonts w:ascii="Arial" w:hAnsi="Arial" w:cs="Arial"/>
          <w:sz w:val="24"/>
          <w:szCs w:val="24"/>
        </w:rPr>
        <w:t>,</w:t>
      </w:r>
      <w:r w:rsidRPr="00EB056A">
        <w:rPr>
          <w:rFonts w:ascii="Arial" w:hAnsi="Arial" w:cs="Arial"/>
          <w:sz w:val="24"/>
          <w:szCs w:val="24"/>
        </w:rPr>
        <w:t xml:space="preserve"> </w:t>
      </w:r>
      <w:r w:rsidR="00586C3C">
        <w:rPr>
          <w:rFonts w:ascii="Arial" w:hAnsi="Arial" w:cs="Arial"/>
          <w:sz w:val="24"/>
          <w:szCs w:val="24"/>
        </w:rPr>
        <w:t xml:space="preserve">of </w:t>
      </w:r>
      <w:r w:rsidR="00586C3C" w:rsidRPr="00EB056A">
        <w:rPr>
          <w:rFonts w:ascii="Arial" w:hAnsi="Arial" w:cs="Arial"/>
          <w:sz w:val="24"/>
          <w:szCs w:val="24"/>
        </w:rPr>
        <w:t>vascular endothelial growth factor</w:t>
      </w:r>
      <w:r w:rsidR="00586C3C">
        <w:rPr>
          <w:rFonts w:ascii="Arial" w:hAnsi="Arial" w:cs="Arial"/>
          <w:sz w:val="24"/>
          <w:szCs w:val="24"/>
        </w:rPr>
        <w:t xml:space="preserve">, </w:t>
      </w:r>
      <w:r w:rsidR="00586C3C" w:rsidRPr="00EB056A">
        <w:rPr>
          <w:rFonts w:ascii="Arial" w:hAnsi="Arial" w:cs="Arial"/>
          <w:sz w:val="24"/>
          <w:szCs w:val="24"/>
        </w:rPr>
        <w:t>catenin β</w:t>
      </w:r>
      <w:r w:rsidRPr="00EB056A">
        <w:rPr>
          <w:rFonts w:ascii="Arial" w:hAnsi="Arial" w:cs="Arial"/>
          <w:sz w:val="24"/>
          <w:szCs w:val="24"/>
        </w:rPr>
        <w:t>,</w:t>
      </w:r>
      <w:r w:rsidR="00586C3C">
        <w:rPr>
          <w:rFonts w:ascii="Arial" w:hAnsi="Arial" w:cs="Arial"/>
          <w:sz w:val="24"/>
          <w:szCs w:val="24"/>
        </w:rPr>
        <w:t xml:space="preserve"> and </w:t>
      </w:r>
      <w:r w:rsidR="004D306D">
        <w:rPr>
          <w:rFonts w:ascii="Arial" w:hAnsi="Arial" w:cs="Arial"/>
          <w:sz w:val="24"/>
          <w:szCs w:val="24"/>
        </w:rPr>
        <w:t>v</w:t>
      </w:r>
      <w:r w:rsidR="00586C3C" w:rsidRPr="00EB056A">
        <w:rPr>
          <w:rFonts w:ascii="Arial" w:hAnsi="Arial" w:cs="Arial"/>
          <w:sz w:val="24"/>
          <w:szCs w:val="24"/>
        </w:rPr>
        <w:t>ascular endothelial growth factor receptor 1</w:t>
      </w:r>
      <w:r w:rsidR="00586C3C">
        <w:rPr>
          <w:rFonts w:ascii="Arial" w:hAnsi="Arial" w:cs="Arial"/>
          <w:sz w:val="24"/>
          <w:szCs w:val="24"/>
        </w:rPr>
        <w:t>, respectively</w:t>
      </w:r>
      <w:r w:rsidRPr="00EB056A">
        <w:rPr>
          <w:rFonts w:ascii="Arial" w:hAnsi="Arial" w:cs="Arial"/>
          <w:sz w:val="24"/>
          <w:szCs w:val="24"/>
        </w:rPr>
        <w:fldChar w:fldCharType="begin"/>
      </w:r>
      <w:r w:rsidR="005B4F59">
        <w:rPr>
          <w:rFonts w:ascii="Arial" w:hAnsi="Arial" w:cs="Arial"/>
          <w:sz w:val="24"/>
          <w:szCs w:val="24"/>
        </w:rPr>
        <w:instrText xml:space="preserve"> ADDIN ZOTERO_ITEM CSL_CITATION {"citationID":"if6vgelz","properties":{"formattedCitation":"\\super 48\\nosupersub{}","plainCitation":"48","noteIndex":0},"citationItems":[{"id":36,"uris":["http://zotero.org/users/6508478/items/9756BZ8I"],"itemData":{"id":36,"type":"article-journal","abstract":"BACKGROUND: Angiogenesis, the formation of new blood vessels from pre-existing vasculature is essential in a number of physiological processes such as embryonic development, wound healing as well as pathological conditions like, tumor growth and metastasis. Hyaluronic acid (HA), a high molecular weight polysaccharide, major component of extracellular matrix is known to associate with malignant phenotypes in melanomas and various other carcinomas. Hyaluronic acid binding protein 1 (HABP1) has been previously reported to trigger enhanced cellular proliferation in human liver cancer cells upon its over-expression. In the present study, we have identified the HA mediated cellular behaviour of liver endothelial cells during angiogenesis.\nMETHODS: Endothelial cells have been isolated from perfused liver of mice. Cell proliferation was studied using microwell plates with tetrazole dye. Cell migration was evaluated by measuring endothelial monolayer wound repair as well as through transwell migration assay. Alterations in proteins and mRNA expression were estimated by immunobloting and quantitative real time PCR using Applied Biosystems. The paraformaldehyde fixed endothelial cells were used for immuno- florescence staining and F-actin detection with conjugated antibodies. The images were captured by using Olympus florescence microscope (IX71).\nRESULTS: We observed that administration of HA enhanced cell proliferation, adhesion, tubular sprout formation as well as migration of liver endothelial cells (ECs). The effect of HA in the rearrangement of the actins confirmed HA -mediated cytoskeleton re-organization and cell migration. Further, we confirmed enhanced expression of angiogenic factors like VEGF-A and VEGFR1 in endothelial cells upon HA treatment. HA supplementation led to elevated expression of HABP1 in murine endothelial cells. It was interesting to note that, although protein levels of β- catenin remained unaltered, but translocation of this protein from membrane to nucleus was observed upon HA treatment, suggesting its role not only in vessel formation but also its involvement in angiogenesis signalling.\nCONCLUSIONS: The elucidation of molecular mechanism (s) responsible for HA mediated regulation of endothelial cells and angiogenesis contributes not only to our understanding the mechanism of disease progression but also offer new avenues for therapeutic intervention.","container-title":"BMC cancer","DOI":"10.1186/s12885-018-4532-1","ISSN":"1471-2407","issue":"1","journalAbbreviation":"BMC Cancer","language":"eng","note":"PMID: 29890947\nPMCID: PMC5996548","page":"648","source":"PubMed","title":"Dynamic Hyaluronan drives liver endothelial cells towards angiogenesis","volume":"18","author":[{"family":"Ghose","given":"Sampa"},{"family":"Biswas","given":"Subhrajit"},{"family":"Datta","given":"Kasturi"},{"family":"Tyagi","given":"Rakesh K."}],"issued":{"date-parts":[["2018",6,11]]}}}],"schema":"https://github.com/citation-style-language/schema/raw/master/csl-citation.json"} </w:instrText>
      </w:r>
      <w:r w:rsidRPr="00EB056A">
        <w:rPr>
          <w:rFonts w:ascii="Arial" w:hAnsi="Arial" w:cs="Arial"/>
          <w:sz w:val="24"/>
          <w:szCs w:val="24"/>
        </w:rPr>
        <w:fldChar w:fldCharType="separate"/>
      </w:r>
      <w:r w:rsidR="00766016" w:rsidRPr="00766016">
        <w:rPr>
          <w:rFonts w:ascii="Arial" w:hAnsi="Arial" w:cs="Arial"/>
          <w:sz w:val="24"/>
          <w:szCs w:val="24"/>
          <w:vertAlign w:val="superscript"/>
        </w:rPr>
        <w:t>48</w:t>
      </w:r>
      <w:r w:rsidRPr="00EB056A">
        <w:rPr>
          <w:rFonts w:ascii="Arial" w:hAnsi="Arial" w:cs="Arial"/>
          <w:sz w:val="24"/>
          <w:szCs w:val="24"/>
        </w:rPr>
        <w:fldChar w:fldCharType="end"/>
      </w:r>
      <w:r w:rsidRPr="00EB056A">
        <w:rPr>
          <w:rFonts w:ascii="Arial" w:hAnsi="Arial" w:cs="Arial"/>
          <w:sz w:val="24"/>
          <w:szCs w:val="24"/>
        </w:rPr>
        <w:t>.</w:t>
      </w:r>
      <w:r>
        <w:rPr>
          <w:rFonts w:ascii="Arial" w:hAnsi="Arial" w:cs="Arial"/>
          <w:sz w:val="24"/>
          <w:szCs w:val="24"/>
        </w:rPr>
        <w:t xml:space="preserve"> </w:t>
      </w:r>
    </w:p>
    <w:p w14:paraId="4159470A" w14:textId="403A1513" w:rsidR="002161E2" w:rsidRDefault="00B80B6A" w:rsidP="00525779">
      <w:pPr>
        <w:spacing w:line="480" w:lineRule="auto"/>
        <w:ind w:firstLine="720"/>
        <w:jc w:val="both"/>
      </w:pPr>
      <w:r>
        <w:rPr>
          <w:rFonts w:ascii="Arial" w:hAnsi="Arial" w:cs="Arial"/>
          <w:sz w:val="24"/>
          <w:szCs w:val="24"/>
        </w:rPr>
        <w:t>The literature above shows that HA is a resorbable polymer that promotes wound healing.</w:t>
      </w:r>
      <w:r w:rsidR="00DA3AEE">
        <w:rPr>
          <w:rFonts w:ascii="Arial" w:hAnsi="Arial" w:cs="Arial"/>
          <w:sz w:val="24"/>
          <w:szCs w:val="24"/>
        </w:rPr>
        <w:t xml:space="preserve"> On one hand, </w:t>
      </w:r>
      <w:r w:rsidR="004D306D">
        <w:rPr>
          <w:rFonts w:ascii="Arial" w:hAnsi="Arial" w:cs="Arial"/>
          <w:sz w:val="24"/>
          <w:szCs w:val="24"/>
        </w:rPr>
        <w:t>i</w:t>
      </w:r>
      <w:r>
        <w:rPr>
          <w:rFonts w:ascii="Arial" w:hAnsi="Arial" w:cs="Arial"/>
          <w:sz w:val="24"/>
          <w:szCs w:val="24"/>
        </w:rPr>
        <w:t xml:space="preserve">t will be </w:t>
      </w:r>
      <w:r w:rsidR="00DA3AEE">
        <w:rPr>
          <w:rFonts w:ascii="Arial" w:hAnsi="Arial" w:cs="Arial"/>
          <w:sz w:val="24"/>
          <w:szCs w:val="24"/>
        </w:rPr>
        <w:t>a good material to enhance wound healing of the vessel wall at the neck of the aneurysm. On the other, HA will be an appropriate material because it will be resorbed along with the aneurysm</w:t>
      </w:r>
      <w:r w:rsidR="00AD2A46">
        <w:rPr>
          <w:rFonts w:ascii="Arial" w:hAnsi="Arial" w:cs="Arial"/>
          <w:sz w:val="24"/>
          <w:szCs w:val="24"/>
        </w:rPr>
        <w:t>.</w:t>
      </w:r>
      <w:r w:rsidR="00DA3AEE">
        <w:rPr>
          <w:rFonts w:ascii="Arial" w:hAnsi="Arial" w:cs="Arial"/>
          <w:sz w:val="24"/>
          <w:szCs w:val="24"/>
        </w:rPr>
        <w:t xml:space="preserve">  </w:t>
      </w:r>
    </w:p>
    <w:p w14:paraId="752F544F" w14:textId="09752356" w:rsidR="00AC6D3B" w:rsidRPr="00015C00" w:rsidRDefault="00117B0B" w:rsidP="00015C00">
      <w:pPr>
        <w:pStyle w:val="Titre3"/>
        <w:spacing w:line="480" w:lineRule="auto"/>
        <w:jc w:val="both"/>
        <w:rPr>
          <w:rFonts w:ascii="Arial" w:hAnsi="Arial" w:cs="Arial"/>
          <w:b/>
          <w:bCs/>
          <w:color w:val="auto"/>
        </w:rPr>
      </w:pPr>
      <w:bookmarkStart w:id="53" w:name="_Toc106903218"/>
      <w:r>
        <w:rPr>
          <w:rFonts w:ascii="Arial" w:hAnsi="Arial" w:cs="Arial"/>
          <w:b/>
          <w:bCs/>
          <w:color w:val="auto"/>
        </w:rPr>
        <w:t>2</w:t>
      </w:r>
      <w:r w:rsidR="00FD4E05">
        <w:rPr>
          <w:rFonts w:ascii="Arial" w:hAnsi="Arial" w:cs="Arial"/>
          <w:b/>
          <w:bCs/>
          <w:color w:val="auto"/>
        </w:rPr>
        <w:t>.</w:t>
      </w:r>
      <w:r w:rsidR="00B15899">
        <w:rPr>
          <w:rFonts w:ascii="Arial" w:hAnsi="Arial" w:cs="Arial"/>
          <w:b/>
          <w:bCs/>
          <w:color w:val="auto"/>
        </w:rPr>
        <w:t>1.</w:t>
      </w:r>
      <w:r w:rsidR="006D1195">
        <w:rPr>
          <w:rFonts w:ascii="Arial" w:hAnsi="Arial" w:cs="Arial"/>
          <w:b/>
          <w:bCs/>
          <w:color w:val="auto"/>
        </w:rPr>
        <w:t>2</w:t>
      </w:r>
      <w:r w:rsidR="00FD4E05">
        <w:rPr>
          <w:rFonts w:ascii="Arial" w:hAnsi="Arial" w:cs="Arial"/>
          <w:b/>
          <w:bCs/>
          <w:color w:val="auto"/>
        </w:rPr>
        <w:t xml:space="preserve"> </w:t>
      </w:r>
      <w:r w:rsidR="008E75E6" w:rsidRPr="00015C00">
        <w:rPr>
          <w:rFonts w:ascii="Arial" w:hAnsi="Arial" w:cs="Arial"/>
          <w:b/>
          <w:bCs/>
          <w:color w:val="auto"/>
        </w:rPr>
        <w:t>S</w:t>
      </w:r>
      <w:r w:rsidR="00AC6D3B" w:rsidRPr="00015C00">
        <w:rPr>
          <w:rFonts w:ascii="Arial" w:hAnsi="Arial" w:cs="Arial"/>
          <w:b/>
          <w:bCs/>
          <w:color w:val="auto"/>
        </w:rPr>
        <w:t>afe crosslinking</w:t>
      </w:r>
      <w:bookmarkEnd w:id="45"/>
      <w:r w:rsidR="00317C5D" w:rsidRPr="00015C00">
        <w:rPr>
          <w:rFonts w:ascii="Arial" w:hAnsi="Arial" w:cs="Arial"/>
          <w:b/>
          <w:bCs/>
          <w:color w:val="auto"/>
        </w:rPr>
        <w:t xml:space="preserve"> and photo</w:t>
      </w:r>
      <w:r w:rsidR="006A360D" w:rsidRPr="00015C00">
        <w:rPr>
          <w:rFonts w:ascii="Arial" w:hAnsi="Arial" w:cs="Arial"/>
          <w:b/>
          <w:bCs/>
          <w:color w:val="auto"/>
        </w:rPr>
        <w:t>-</w:t>
      </w:r>
      <w:r w:rsidR="00317C5D" w:rsidRPr="00015C00">
        <w:rPr>
          <w:rFonts w:ascii="Arial" w:hAnsi="Arial" w:cs="Arial"/>
          <w:b/>
          <w:bCs/>
          <w:color w:val="auto"/>
        </w:rPr>
        <w:t>initiating</w:t>
      </w:r>
      <w:bookmarkEnd w:id="53"/>
    </w:p>
    <w:p w14:paraId="3B0AB851" w14:textId="571A2859" w:rsidR="00211A02" w:rsidRDefault="00211A02" w:rsidP="00015C00">
      <w:pPr>
        <w:spacing w:line="480" w:lineRule="auto"/>
        <w:ind w:firstLine="720"/>
        <w:jc w:val="both"/>
        <w:rPr>
          <w:rFonts w:ascii="Arial" w:hAnsi="Arial" w:cs="Arial"/>
          <w:sz w:val="24"/>
          <w:szCs w:val="24"/>
        </w:rPr>
      </w:pPr>
      <w:r>
        <w:rPr>
          <w:rFonts w:ascii="Arial" w:hAnsi="Arial" w:cs="Arial"/>
          <w:sz w:val="24"/>
          <w:szCs w:val="24"/>
        </w:rPr>
        <w:t>O</w:t>
      </w:r>
      <w:r w:rsidR="00992388">
        <w:rPr>
          <w:rFonts w:ascii="Arial" w:hAnsi="Arial" w:cs="Arial"/>
          <w:sz w:val="24"/>
          <w:szCs w:val="24"/>
        </w:rPr>
        <w:t>ur treatment</w:t>
      </w:r>
      <w:r>
        <w:rPr>
          <w:rFonts w:ascii="Arial" w:hAnsi="Arial" w:cs="Arial"/>
          <w:sz w:val="24"/>
          <w:szCs w:val="24"/>
        </w:rPr>
        <w:t xml:space="preserve"> will be injected</w:t>
      </w:r>
      <w:r w:rsidR="00992388">
        <w:rPr>
          <w:rFonts w:ascii="Arial" w:hAnsi="Arial" w:cs="Arial"/>
          <w:sz w:val="24"/>
          <w:szCs w:val="24"/>
        </w:rPr>
        <w:t xml:space="preserve"> into an aneurysm</w:t>
      </w:r>
      <w:r>
        <w:rPr>
          <w:rFonts w:ascii="Arial" w:hAnsi="Arial" w:cs="Arial"/>
          <w:sz w:val="24"/>
          <w:szCs w:val="24"/>
        </w:rPr>
        <w:t xml:space="preserve"> as a liquid solution of PHA. Thus, once PHA is delivered in the aneurysm, to solidify is with UV light, a photo-initiator </w:t>
      </w:r>
      <w:r w:rsidR="00364C90">
        <w:rPr>
          <w:rFonts w:ascii="Arial" w:hAnsi="Arial" w:cs="Arial"/>
          <w:sz w:val="24"/>
          <w:szCs w:val="24"/>
        </w:rPr>
        <w:t>–</w:t>
      </w:r>
      <w:r>
        <w:rPr>
          <w:rFonts w:ascii="Arial" w:hAnsi="Arial" w:cs="Arial"/>
          <w:sz w:val="24"/>
          <w:szCs w:val="24"/>
        </w:rPr>
        <w:t xml:space="preserve"> </w:t>
      </w:r>
      <w:r w:rsidR="00364C90">
        <w:rPr>
          <w:rFonts w:ascii="Arial" w:hAnsi="Arial" w:cs="Arial"/>
          <w:sz w:val="24"/>
          <w:szCs w:val="24"/>
        </w:rPr>
        <w:t xml:space="preserve">a </w:t>
      </w:r>
      <w:r>
        <w:rPr>
          <w:rFonts w:ascii="Arial" w:hAnsi="Arial" w:cs="Arial"/>
          <w:sz w:val="24"/>
          <w:szCs w:val="24"/>
        </w:rPr>
        <w:t>chemical that reacts to UV light - is needed.</w:t>
      </w:r>
      <w:r w:rsidR="00992388">
        <w:rPr>
          <w:rFonts w:ascii="Arial" w:hAnsi="Arial" w:cs="Arial"/>
          <w:sz w:val="24"/>
          <w:szCs w:val="24"/>
        </w:rPr>
        <w:t xml:space="preserve"> </w:t>
      </w:r>
      <w:r w:rsidR="00CB2FFE">
        <w:rPr>
          <w:rFonts w:ascii="Arial" w:hAnsi="Arial" w:cs="Arial"/>
          <w:sz w:val="24"/>
          <w:szCs w:val="24"/>
        </w:rPr>
        <w:t>Among all the photo-initiators, LAP was chosen for its low toxicity and low radical production, as justified by the studies below.</w:t>
      </w:r>
    </w:p>
    <w:p w14:paraId="0FBDFD1E" w14:textId="78CF0A2F" w:rsidR="000D375C" w:rsidRPr="00EB056A" w:rsidRDefault="00C93F3E" w:rsidP="00200170">
      <w:pPr>
        <w:spacing w:line="480" w:lineRule="auto"/>
        <w:ind w:firstLine="720"/>
        <w:jc w:val="both"/>
        <w:rPr>
          <w:rFonts w:ascii="Arial" w:hAnsi="Arial" w:cs="Arial"/>
          <w:sz w:val="24"/>
          <w:szCs w:val="24"/>
        </w:rPr>
      </w:pPr>
      <w:r w:rsidRPr="00EB056A">
        <w:rPr>
          <w:rFonts w:ascii="Arial" w:hAnsi="Arial" w:cs="Arial"/>
          <w:sz w:val="24"/>
          <w:szCs w:val="24"/>
        </w:rPr>
        <w:t>Fairba</w:t>
      </w:r>
      <w:r w:rsidR="00106905" w:rsidRPr="00EB056A">
        <w:rPr>
          <w:rFonts w:ascii="Arial" w:hAnsi="Arial" w:cs="Arial"/>
          <w:sz w:val="24"/>
          <w:szCs w:val="24"/>
        </w:rPr>
        <w:t>n</w:t>
      </w:r>
      <w:r w:rsidRPr="00EB056A">
        <w:rPr>
          <w:rFonts w:ascii="Arial" w:hAnsi="Arial" w:cs="Arial"/>
          <w:sz w:val="24"/>
          <w:szCs w:val="24"/>
        </w:rPr>
        <w:t xml:space="preserve">ks </w:t>
      </w:r>
      <w:r w:rsidRPr="00EB056A">
        <w:rPr>
          <w:rFonts w:ascii="Arial" w:hAnsi="Arial" w:cs="Arial"/>
          <w:i/>
          <w:iCs/>
          <w:sz w:val="24"/>
          <w:szCs w:val="24"/>
        </w:rPr>
        <w:t>et a</w:t>
      </w:r>
      <w:r w:rsidR="00D82E90" w:rsidRPr="00EB056A">
        <w:rPr>
          <w:rFonts w:ascii="Arial" w:hAnsi="Arial" w:cs="Arial"/>
          <w:i/>
          <w:iCs/>
          <w:sz w:val="24"/>
          <w:szCs w:val="24"/>
        </w:rPr>
        <w:t>l</w:t>
      </w:r>
      <w:r w:rsidR="00890634" w:rsidRPr="00EB056A">
        <w:rPr>
          <w:rFonts w:ascii="Arial" w:hAnsi="Arial" w:cs="Arial"/>
          <w:i/>
          <w:iCs/>
          <w:sz w:val="24"/>
          <w:szCs w:val="24"/>
        </w:rPr>
        <w:t>.</w:t>
      </w:r>
      <w:r w:rsidR="006E6726" w:rsidRPr="00EB056A">
        <w:rPr>
          <w:rFonts w:ascii="Arial" w:hAnsi="Arial" w:cs="Arial"/>
          <w:i/>
          <w:iCs/>
          <w:sz w:val="24"/>
          <w:szCs w:val="24"/>
        </w:rPr>
        <w:fldChar w:fldCharType="begin"/>
      </w:r>
      <w:r w:rsidR="005B4F59">
        <w:rPr>
          <w:rFonts w:ascii="Arial" w:hAnsi="Arial" w:cs="Arial"/>
          <w:i/>
          <w:iCs/>
          <w:sz w:val="24"/>
          <w:szCs w:val="24"/>
        </w:rPr>
        <w:instrText xml:space="preserve"> ADDIN ZOTERO_ITEM CSL_CITATION {"citationID":"OvEMcNQO","properties":{"formattedCitation":"\\super 49\\nosupersub{}","plainCitation":"49","noteIndex":0},"citationItems":[{"id":34,"uris":["http://zotero.org/users/6508478/items/3BGF4JVC"],"itemData":{"id":34,"type":"webpage","title":"Photoinitiated polymerization of PEG-diacrylate with lithium phenyl-2,4,6-trimethylbenzoylphosphinate: polymerization rate and cytocompatibility - ScienceDirect","URL":"https://www.sciencedirect.com/science/article/pii/S0142961209009041?casa_token=0P561E9gARoAAAAA:bKPfeYqOkTUjfiMpTti7rSqaC6XEwvdCHTwTr8W1cviT_LctOS2ZREayHMYPdRt43byPWg5s-ao","accessed":{"date-parts":[["2021",6,4]]}}}],"schema":"https://github.com/citation-style-language/schema/raw/master/csl-citation.json"} </w:instrText>
      </w:r>
      <w:r w:rsidR="006E6726" w:rsidRPr="00EB056A">
        <w:rPr>
          <w:rFonts w:ascii="Arial" w:hAnsi="Arial" w:cs="Arial"/>
          <w:i/>
          <w:iCs/>
          <w:sz w:val="24"/>
          <w:szCs w:val="24"/>
        </w:rPr>
        <w:fldChar w:fldCharType="separate"/>
      </w:r>
      <w:r w:rsidR="00766016" w:rsidRPr="00766016">
        <w:rPr>
          <w:rFonts w:ascii="Arial" w:hAnsi="Arial" w:cs="Arial"/>
          <w:sz w:val="24"/>
          <w:szCs w:val="24"/>
          <w:vertAlign w:val="superscript"/>
        </w:rPr>
        <w:t>49</w:t>
      </w:r>
      <w:r w:rsidR="006E6726" w:rsidRPr="00EB056A">
        <w:rPr>
          <w:rFonts w:ascii="Arial" w:hAnsi="Arial" w:cs="Arial"/>
          <w:i/>
          <w:iCs/>
          <w:sz w:val="24"/>
          <w:szCs w:val="24"/>
        </w:rPr>
        <w:fldChar w:fldCharType="end"/>
      </w:r>
      <w:r w:rsidR="00106905" w:rsidRPr="00EB056A">
        <w:rPr>
          <w:rFonts w:ascii="Arial" w:hAnsi="Arial" w:cs="Arial"/>
          <w:sz w:val="24"/>
          <w:szCs w:val="24"/>
        </w:rPr>
        <w:t xml:space="preserve"> studied the effects of two </w:t>
      </w:r>
      <w:r w:rsidR="00BC41CD" w:rsidRPr="00EB056A">
        <w:rPr>
          <w:rFonts w:ascii="Arial" w:hAnsi="Arial" w:cs="Arial"/>
          <w:sz w:val="24"/>
          <w:szCs w:val="24"/>
        </w:rPr>
        <w:t>combinations</w:t>
      </w:r>
      <w:r w:rsidR="00106905" w:rsidRPr="00EB056A">
        <w:rPr>
          <w:rFonts w:ascii="Arial" w:hAnsi="Arial" w:cs="Arial"/>
          <w:sz w:val="24"/>
          <w:szCs w:val="24"/>
        </w:rPr>
        <w:t xml:space="preserve"> of L</w:t>
      </w:r>
      <w:r w:rsidR="000D375C" w:rsidRPr="00EB056A">
        <w:rPr>
          <w:rFonts w:ascii="Arial" w:hAnsi="Arial" w:cs="Arial"/>
          <w:sz w:val="24"/>
          <w:szCs w:val="24"/>
        </w:rPr>
        <w:t>AP</w:t>
      </w:r>
      <w:r w:rsidR="00106905" w:rsidRPr="00EB056A">
        <w:rPr>
          <w:rFonts w:ascii="Arial" w:hAnsi="Arial" w:cs="Arial"/>
          <w:sz w:val="24"/>
          <w:szCs w:val="24"/>
        </w:rPr>
        <w:t xml:space="preserve"> concentration</w:t>
      </w:r>
      <w:r w:rsidR="00AE13BC" w:rsidRPr="00EB056A">
        <w:rPr>
          <w:rFonts w:ascii="Arial" w:hAnsi="Arial" w:cs="Arial"/>
          <w:sz w:val="24"/>
          <w:szCs w:val="24"/>
        </w:rPr>
        <w:t>s</w:t>
      </w:r>
      <w:r w:rsidR="00106905" w:rsidRPr="00EB056A">
        <w:rPr>
          <w:rFonts w:ascii="Arial" w:hAnsi="Arial" w:cs="Arial"/>
          <w:sz w:val="24"/>
          <w:szCs w:val="24"/>
        </w:rPr>
        <w:t xml:space="preserve"> and </w:t>
      </w:r>
      <w:r w:rsidR="00985858" w:rsidRPr="00EB056A">
        <w:rPr>
          <w:rFonts w:ascii="Arial" w:hAnsi="Arial" w:cs="Arial"/>
          <w:sz w:val="24"/>
          <w:szCs w:val="24"/>
        </w:rPr>
        <w:t>exposure</w:t>
      </w:r>
      <w:r w:rsidR="00AE13BC" w:rsidRPr="00EB056A">
        <w:rPr>
          <w:rFonts w:ascii="Arial" w:hAnsi="Arial" w:cs="Arial"/>
          <w:sz w:val="24"/>
          <w:szCs w:val="24"/>
        </w:rPr>
        <w:t xml:space="preserve"> times</w:t>
      </w:r>
      <w:r w:rsidR="00985858" w:rsidRPr="00EB056A">
        <w:rPr>
          <w:rFonts w:ascii="Arial" w:hAnsi="Arial" w:cs="Arial"/>
          <w:sz w:val="24"/>
          <w:szCs w:val="24"/>
        </w:rPr>
        <w:t xml:space="preserve"> </w:t>
      </w:r>
      <w:r w:rsidR="003E0B93" w:rsidRPr="00EB056A">
        <w:rPr>
          <w:rFonts w:ascii="Arial" w:hAnsi="Arial" w:cs="Arial"/>
          <w:sz w:val="24"/>
          <w:szCs w:val="24"/>
        </w:rPr>
        <w:t>to 10</w:t>
      </w:r>
      <w:r w:rsidR="00D67FD3" w:rsidRPr="00EB056A">
        <w:rPr>
          <w:rFonts w:ascii="Arial" w:hAnsi="Arial" w:cs="Arial"/>
          <w:sz w:val="24"/>
          <w:szCs w:val="24"/>
        </w:rPr>
        <w:t xml:space="preserve"> mW/cm</w:t>
      </w:r>
      <w:r w:rsidR="00D67FD3" w:rsidRPr="00EB056A">
        <w:rPr>
          <w:rFonts w:ascii="Arial" w:hAnsi="Arial" w:cs="Arial"/>
          <w:sz w:val="24"/>
          <w:szCs w:val="24"/>
          <w:vertAlign w:val="superscript"/>
        </w:rPr>
        <w:t>2</w:t>
      </w:r>
      <w:r w:rsidR="00D67FD3" w:rsidRPr="00EB056A">
        <w:rPr>
          <w:rFonts w:ascii="Arial" w:hAnsi="Arial" w:cs="Arial"/>
          <w:sz w:val="24"/>
          <w:szCs w:val="24"/>
        </w:rPr>
        <w:t xml:space="preserve"> o</w:t>
      </w:r>
      <w:r w:rsidR="00D010C9" w:rsidRPr="00EB056A">
        <w:rPr>
          <w:rFonts w:ascii="Arial" w:hAnsi="Arial" w:cs="Arial"/>
          <w:sz w:val="24"/>
          <w:szCs w:val="24"/>
        </w:rPr>
        <w:t xml:space="preserve">f </w:t>
      </w:r>
      <w:r w:rsidR="00985858" w:rsidRPr="00EB056A">
        <w:rPr>
          <w:rFonts w:ascii="Arial" w:hAnsi="Arial" w:cs="Arial"/>
          <w:sz w:val="24"/>
          <w:szCs w:val="24"/>
        </w:rPr>
        <w:t>365 nm UV light</w:t>
      </w:r>
      <w:r w:rsidR="006820BE" w:rsidRPr="00EB056A">
        <w:rPr>
          <w:rFonts w:ascii="Arial" w:hAnsi="Arial" w:cs="Arial"/>
          <w:sz w:val="24"/>
          <w:szCs w:val="24"/>
        </w:rPr>
        <w:t xml:space="preserve"> on human neonatal foreskin fibroblast</w:t>
      </w:r>
      <w:r w:rsidR="00BC41CD" w:rsidRPr="00EB056A">
        <w:rPr>
          <w:rFonts w:ascii="Arial" w:hAnsi="Arial" w:cs="Arial"/>
          <w:sz w:val="24"/>
          <w:szCs w:val="24"/>
        </w:rPr>
        <w:t>.</w:t>
      </w:r>
      <w:r w:rsidR="00985858" w:rsidRPr="00EB056A">
        <w:rPr>
          <w:rFonts w:ascii="Arial" w:hAnsi="Arial" w:cs="Arial"/>
          <w:sz w:val="24"/>
          <w:szCs w:val="24"/>
        </w:rPr>
        <w:t xml:space="preserve"> </w:t>
      </w:r>
      <w:r w:rsidR="003E0B93" w:rsidRPr="00EB056A">
        <w:rPr>
          <w:rFonts w:ascii="Arial" w:hAnsi="Arial" w:cs="Arial"/>
          <w:sz w:val="24"/>
          <w:szCs w:val="24"/>
        </w:rPr>
        <w:t xml:space="preserve">The </w:t>
      </w:r>
      <w:r w:rsidR="002659BC" w:rsidRPr="00EB056A">
        <w:rPr>
          <w:rFonts w:ascii="Arial" w:hAnsi="Arial" w:cs="Arial"/>
          <w:sz w:val="24"/>
          <w:szCs w:val="24"/>
        </w:rPr>
        <w:t>combinations were</w:t>
      </w:r>
      <w:r w:rsidR="003E0B93" w:rsidRPr="00EB056A">
        <w:rPr>
          <w:rFonts w:ascii="Arial" w:hAnsi="Arial" w:cs="Arial"/>
          <w:sz w:val="24"/>
          <w:szCs w:val="24"/>
        </w:rPr>
        <w:t xml:space="preserve"> 2.2 m</w:t>
      </w:r>
      <w:r w:rsidR="00654F8F" w:rsidRPr="00EB056A">
        <w:rPr>
          <w:rFonts w:ascii="Arial" w:hAnsi="Arial" w:cs="Arial"/>
          <w:sz w:val="24"/>
          <w:szCs w:val="24"/>
        </w:rPr>
        <w:t>M</w:t>
      </w:r>
      <w:r w:rsidR="003E0B93" w:rsidRPr="00EB056A">
        <w:rPr>
          <w:rFonts w:ascii="Arial" w:hAnsi="Arial" w:cs="Arial"/>
          <w:sz w:val="24"/>
          <w:szCs w:val="24"/>
        </w:rPr>
        <w:t xml:space="preserve"> of LAP</w:t>
      </w:r>
      <w:r w:rsidR="005E3249" w:rsidRPr="00EB056A">
        <w:rPr>
          <w:rFonts w:ascii="Arial" w:hAnsi="Arial" w:cs="Arial"/>
          <w:sz w:val="24"/>
          <w:szCs w:val="24"/>
        </w:rPr>
        <w:t>/ 1 min UV exposure and 0.22 mM LAP/ 10 min</w:t>
      </w:r>
      <w:r w:rsidR="00001C3B" w:rsidRPr="00EB056A">
        <w:rPr>
          <w:rFonts w:ascii="Arial" w:hAnsi="Arial" w:cs="Arial"/>
          <w:sz w:val="24"/>
          <w:szCs w:val="24"/>
        </w:rPr>
        <w:t xml:space="preserve"> UV exposure. </w:t>
      </w:r>
      <w:r w:rsidR="00001C3B" w:rsidRPr="00200170">
        <w:rPr>
          <w:rFonts w:ascii="Arial" w:hAnsi="Arial" w:cs="Arial"/>
          <w:sz w:val="24"/>
          <w:szCs w:val="24"/>
        </w:rPr>
        <w:t xml:space="preserve">Cells </w:t>
      </w:r>
      <w:r w:rsidR="00001C3B" w:rsidRPr="00200170">
        <w:rPr>
          <w:rFonts w:ascii="Arial" w:hAnsi="Arial" w:cs="Arial"/>
          <w:sz w:val="24"/>
          <w:szCs w:val="24"/>
        </w:rPr>
        <w:lastRenderedPageBreak/>
        <w:t xml:space="preserve">survival </w:t>
      </w:r>
      <w:r w:rsidR="00E42A48">
        <w:rPr>
          <w:rFonts w:ascii="Arial" w:hAnsi="Arial" w:cs="Arial"/>
          <w:sz w:val="24"/>
          <w:szCs w:val="24"/>
        </w:rPr>
        <w:t xml:space="preserve">rates </w:t>
      </w:r>
      <w:r w:rsidR="00001C3B" w:rsidRPr="00200170">
        <w:rPr>
          <w:rFonts w:ascii="Arial" w:hAnsi="Arial" w:cs="Arial"/>
          <w:sz w:val="24"/>
          <w:szCs w:val="24"/>
        </w:rPr>
        <w:t xml:space="preserve">after 24 hours </w:t>
      </w:r>
      <w:r w:rsidR="005F0677" w:rsidRPr="00200170">
        <w:rPr>
          <w:rFonts w:ascii="Arial" w:hAnsi="Arial" w:cs="Arial"/>
          <w:sz w:val="24"/>
          <w:szCs w:val="24"/>
        </w:rPr>
        <w:t xml:space="preserve">in contact with </w:t>
      </w:r>
      <w:r w:rsidR="0059345A">
        <w:rPr>
          <w:rFonts w:ascii="Arial" w:hAnsi="Arial" w:cs="Arial"/>
          <w:sz w:val="24"/>
          <w:szCs w:val="24"/>
        </w:rPr>
        <w:t>hydro</w:t>
      </w:r>
      <w:r w:rsidR="005F0677" w:rsidRPr="00200170">
        <w:rPr>
          <w:rFonts w:ascii="Arial" w:hAnsi="Arial" w:cs="Arial"/>
          <w:sz w:val="24"/>
          <w:szCs w:val="24"/>
        </w:rPr>
        <w:t xml:space="preserve">gels (so with LAP and after UV exposure) were </w:t>
      </w:r>
      <w:r w:rsidR="00EB13C2" w:rsidRPr="00200170">
        <w:rPr>
          <w:rFonts w:ascii="Arial" w:hAnsi="Arial" w:cs="Arial"/>
          <w:sz w:val="24"/>
          <w:szCs w:val="24"/>
        </w:rPr>
        <w:t>95±2% and 96±2%</w:t>
      </w:r>
      <w:r w:rsidR="00E42A48">
        <w:rPr>
          <w:rFonts w:ascii="Arial" w:hAnsi="Arial" w:cs="Arial"/>
          <w:sz w:val="24"/>
          <w:szCs w:val="24"/>
        </w:rPr>
        <w:t>, respectively</w:t>
      </w:r>
      <w:r w:rsidR="00B66151" w:rsidRPr="00200170">
        <w:rPr>
          <w:rFonts w:ascii="Arial" w:hAnsi="Arial" w:cs="Arial"/>
          <w:sz w:val="24"/>
          <w:szCs w:val="24"/>
        </w:rPr>
        <w:t xml:space="preserve">. </w:t>
      </w:r>
      <w:r w:rsidR="00B66151" w:rsidRPr="00EB056A">
        <w:rPr>
          <w:rFonts w:ascii="Arial" w:hAnsi="Arial" w:cs="Arial"/>
          <w:sz w:val="24"/>
          <w:szCs w:val="24"/>
        </w:rPr>
        <w:t xml:space="preserve">The first combination showed that standard concentrations of LAP are not </w:t>
      </w:r>
      <w:r w:rsidR="00105C74" w:rsidRPr="00EB056A">
        <w:rPr>
          <w:rFonts w:ascii="Arial" w:hAnsi="Arial" w:cs="Arial"/>
          <w:sz w:val="24"/>
          <w:szCs w:val="24"/>
        </w:rPr>
        <w:t>h</w:t>
      </w:r>
      <w:r w:rsidR="00281D46" w:rsidRPr="00EB056A">
        <w:rPr>
          <w:rFonts w:ascii="Arial" w:hAnsi="Arial" w:cs="Arial"/>
          <w:sz w:val="24"/>
          <w:szCs w:val="24"/>
        </w:rPr>
        <w:t>armful to cells</w:t>
      </w:r>
      <w:r w:rsidR="00522DC5" w:rsidRPr="00EB056A">
        <w:rPr>
          <w:rFonts w:ascii="Arial" w:hAnsi="Arial" w:cs="Arial"/>
          <w:sz w:val="24"/>
          <w:szCs w:val="24"/>
        </w:rPr>
        <w:t xml:space="preserve">, </w:t>
      </w:r>
      <w:r w:rsidR="00281D46" w:rsidRPr="00EB056A">
        <w:rPr>
          <w:rFonts w:ascii="Arial" w:hAnsi="Arial" w:cs="Arial"/>
          <w:sz w:val="24"/>
          <w:szCs w:val="24"/>
        </w:rPr>
        <w:t xml:space="preserve">at least during the first 24 hours of contact. The second </w:t>
      </w:r>
      <w:r w:rsidR="00105C74" w:rsidRPr="00EB056A">
        <w:rPr>
          <w:rFonts w:ascii="Arial" w:hAnsi="Arial" w:cs="Arial"/>
          <w:sz w:val="24"/>
          <w:szCs w:val="24"/>
        </w:rPr>
        <w:t xml:space="preserve">combination showed that </w:t>
      </w:r>
      <w:r w:rsidR="00DF330F" w:rsidRPr="00EB056A">
        <w:rPr>
          <w:rFonts w:ascii="Arial" w:hAnsi="Arial" w:cs="Arial"/>
          <w:sz w:val="24"/>
          <w:szCs w:val="24"/>
        </w:rPr>
        <w:t>cells can s</w:t>
      </w:r>
      <w:r w:rsidR="00D010C9" w:rsidRPr="00EB056A">
        <w:rPr>
          <w:rFonts w:ascii="Arial" w:hAnsi="Arial" w:cs="Arial"/>
          <w:sz w:val="24"/>
          <w:szCs w:val="24"/>
        </w:rPr>
        <w:t>urvive 10 min of exposure to 10 mW/cm</w:t>
      </w:r>
      <w:r w:rsidR="00D010C9" w:rsidRPr="00EB056A">
        <w:rPr>
          <w:rFonts w:ascii="Arial" w:hAnsi="Arial" w:cs="Arial"/>
          <w:sz w:val="24"/>
          <w:szCs w:val="24"/>
          <w:vertAlign w:val="superscript"/>
        </w:rPr>
        <w:t>2</w:t>
      </w:r>
      <w:r w:rsidR="00D010C9" w:rsidRPr="00EB056A">
        <w:rPr>
          <w:rFonts w:ascii="Arial" w:hAnsi="Arial" w:cs="Arial"/>
          <w:sz w:val="24"/>
          <w:szCs w:val="24"/>
        </w:rPr>
        <w:t xml:space="preserve"> of 365 nm UV light</w:t>
      </w:r>
      <w:r w:rsidR="00EE273B" w:rsidRPr="00EB056A">
        <w:rPr>
          <w:rFonts w:ascii="Arial" w:hAnsi="Arial" w:cs="Arial"/>
          <w:sz w:val="24"/>
          <w:szCs w:val="24"/>
        </w:rPr>
        <w:t xml:space="preserve"> without being damaged</w:t>
      </w:r>
      <w:r w:rsidR="00CE268A" w:rsidRPr="00EB056A">
        <w:rPr>
          <w:rFonts w:ascii="Arial" w:hAnsi="Arial" w:cs="Arial"/>
          <w:sz w:val="24"/>
          <w:szCs w:val="24"/>
        </w:rPr>
        <w:fldChar w:fldCharType="begin"/>
      </w:r>
      <w:r w:rsidR="005B4F59">
        <w:rPr>
          <w:rFonts w:ascii="Arial" w:hAnsi="Arial" w:cs="Arial"/>
          <w:sz w:val="24"/>
          <w:szCs w:val="24"/>
        </w:rPr>
        <w:instrText xml:space="preserve"> ADDIN ZOTERO_ITEM CSL_CITATION {"citationID":"QZVMP2NC","properties":{"formattedCitation":"\\super 49\\nosupersub{}","plainCitation":"49","noteIndex":0},"citationItems":[{"id":34,"uris":["http://zotero.org/users/6508478/items/3BGF4JVC"],"itemData":{"id":34,"type":"webpage","title":"Photoinitiated polymerization of PEG-diacrylate with lithium phenyl-2,4,6-trimethylbenzoylphosphinate: polymerization rate and cytocompatibility - ScienceDirect","URL":"https://www.sciencedirect.com/science/article/pii/S0142961209009041?casa_token=0P561E9gARoAAAAA:bKPfeYqOkTUjfiMpTti7rSqaC6XEwvdCHTwTr8W1cviT_LctOS2ZREayHMYPdRt43byPWg5s-ao","accessed":{"date-parts":[["2021",6,4]]}}}],"schema":"https://github.com/citation-style-language/schema/raw/master/csl-citation.json"} </w:instrText>
      </w:r>
      <w:r w:rsidR="00CE268A" w:rsidRPr="00EB056A">
        <w:rPr>
          <w:rFonts w:ascii="Arial" w:hAnsi="Arial" w:cs="Arial"/>
          <w:sz w:val="24"/>
          <w:szCs w:val="24"/>
        </w:rPr>
        <w:fldChar w:fldCharType="separate"/>
      </w:r>
      <w:r w:rsidR="00766016" w:rsidRPr="00766016">
        <w:rPr>
          <w:rFonts w:ascii="Arial" w:hAnsi="Arial" w:cs="Arial"/>
          <w:sz w:val="24"/>
          <w:szCs w:val="24"/>
          <w:vertAlign w:val="superscript"/>
        </w:rPr>
        <w:t>49</w:t>
      </w:r>
      <w:r w:rsidR="00CE268A" w:rsidRPr="00EB056A">
        <w:rPr>
          <w:rFonts w:ascii="Arial" w:hAnsi="Arial" w:cs="Arial"/>
          <w:sz w:val="24"/>
          <w:szCs w:val="24"/>
        </w:rPr>
        <w:fldChar w:fldCharType="end"/>
      </w:r>
      <w:r w:rsidR="00EE273B" w:rsidRPr="00EB056A">
        <w:rPr>
          <w:rFonts w:ascii="Arial" w:hAnsi="Arial" w:cs="Arial"/>
          <w:sz w:val="24"/>
          <w:szCs w:val="24"/>
        </w:rPr>
        <w:t>.</w:t>
      </w:r>
      <w:r w:rsidR="00983799" w:rsidRPr="00EB056A">
        <w:rPr>
          <w:rFonts w:ascii="Arial" w:hAnsi="Arial" w:cs="Arial"/>
          <w:sz w:val="24"/>
          <w:szCs w:val="24"/>
        </w:rPr>
        <w:t xml:space="preserve"> </w:t>
      </w:r>
    </w:p>
    <w:p w14:paraId="10154A46" w14:textId="2C3E83BB" w:rsidR="001B2385" w:rsidRPr="00EB056A" w:rsidRDefault="000D09E8" w:rsidP="00EB056A">
      <w:pPr>
        <w:spacing w:line="480" w:lineRule="auto"/>
        <w:ind w:firstLine="720"/>
        <w:jc w:val="both"/>
        <w:rPr>
          <w:rFonts w:ascii="Arial" w:hAnsi="Arial" w:cs="Arial"/>
          <w:sz w:val="24"/>
          <w:szCs w:val="24"/>
        </w:rPr>
      </w:pPr>
      <w:r w:rsidRPr="00EB056A">
        <w:rPr>
          <w:rFonts w:ascii="Arial" w:hAnsi="Arial" w:cs="Arial"/>
          <w:sz w:val="24"/>
          <w:szCs w:val="24"/>
        </w:rPr>
        <w:t>N</w:t>
      </w:r>
      <w:r w:rsidR="009C7737" w:rsidRPr="00EB056A">
        <w:rPr>
          <w:rFonts w:ascii="Arial" w:hAnsi="Arial" w:cs="Arial"/>
          <w:sz w:val="24"/>
          <w:szCs w:val="24"/>
        </w:rPr>
        <w:t xml:space="preserve">guyen </w:t>
      </w:r>
      <w:r w:rsidR="009C7737" w:rsidRPr="00EB056A">
        <w:rPr>
          <w:rFonts w:ascii="Arial" w:hAnsi="Arial" w:cs="Arial"/>
          <w:i/>
          <w:iCs/>
          <w:sz w:val="24"/>
          <w:szCs w:val="24"/>
        </w:rPr>
        <w:t>e</w:t>
      </w:r>
      <w:r w:rsidR="00983799" w:rsidRPr="00EB056A">
        <w:rPr>
          <w:rFonts w:ascii="Arial" w:hAnsi="Arial" w:cs="Arial"/>
          <w:i/>
          <w:iCs/>
          <w:sz w:val="24"/>
          <w:szCs w:val="24"/>
        </w:rPr>
        <w:t>t a</w:t>
      </w:r>
      <w:r w:rsidR="00D119CB" w:rsidRPr="00EB056A">
        <w:rPr>
          <w:rFonts w:ascii="Arial" w:hAnsi="Arial" w:cs="Arial"/>
          <w:i/>
          <w:iCs/>
          <w:sz w:val="24"/>
          <w:szCs w:val="24"/>
        </w:rPr>
        <w:t>l</w:t>
      </w:r>
      <w:r w:rsidR="00C530B7">
        <w:rPr>
          <w:rFonts w:ascii="Arial" w:hAnsi="Arial" w:cs="Arial"/>
          <w:i/>
          <w:iCs/>
          <w:sz w:val="24"/>
          <w:szCs w:val="24"/>
        </w:rPr>
        <w:t>.</w:t>
      </w:r>
      <w:r w:rsidRPr="00EB056A">
        <w:rPr>
          <w:rFonts w:ascii="Arial" w:hAnsi="Arial" w:cs="Arial"/>
          <w:sz w:val="24"/>
          <w:szCs w:val="24"/>
        </w:rPr>
        <w:fldChar w:fldCharType="begin"/>
      </w:r>
      <w:r w:rsidR="005B4F59">
        <w:rPr>
          <w:rFonts w:ascii="Arial" w:hAnsi="Arial" w:cs="Arial"/>
          <w:sz w:val="24"/>
          <w:szCs w:val="24"/>
        </w:rPr>
        <w:instrText xml:space="preserve"> ADDIN ZOTERO_ITEM CSL_CITATION {"citationID":"02ofXsBK","properties":{"formattedCitation":"\\super 50\\nosupersub{}","plainCitation":"50","noteIndex":0},"citationItems":[{"id":683,"uris":["http://zotero.org/users/6508478/items/GQ3KP6CV"],"itemData":{"id":683,"type":"article-journal","container-title":"Biointerphases","DOI":"10.1116/1.5095886","ISSN":"1934-8630","issue":"2","note":"publisher: American Vacuum Society","page":"021007","source":"avs.scitation.org (Atypon)","title":"Toxicity and photosensitizing assessment of gelatin methacryloyl-based hydrogels photoinitiated with lithium phenyl-2,4,6-trimethylbenzoylphosphinate in human primary renal proximal tubule epithelial cells","volume":"14","author":[{"family":"Nguyen","given":"Alexander K."},{"family":"Goering","given":"Peter L."},{"family":"Reipa","given":"Vytas"},{"family":"Narayan","given":"Roger J."}],"issued":{"date-parts":[["2019",3]]}}}],"schema":"https://github.com/citation-style-language/schema/raw/master/csl-citation.json"} </w:instrText>
      </w:r>
      <w:r w:rsidRPr="00EB056A">
        <w:rPr>
          <w:rFonts w:ascii="Arial" w:hAnsi="Arial" w:cs="Arial"/>
          <w:sz w:val="24"/>
          <w:szCs w:val="24"/>
        </w:rPr>
        <w:fldChar w:fldCharType="separate"/>
      </w:r>
      <w:r w:rsidR="00766016" w:rsidRPr="00766016">
        <w:rPr>
          <w:rFonts w:ascii="Arial" w:hAnsi="Arial" w:cs="Arial"/>
          <w:sz w:val="24"/>
          <w:szCs w:val="24"/>
          <w:vertAlign w:val="superscript"/>
        </w:rPr>
        <w:t>50</w:t>
      </w:r>
      <w:r w:rsidRPr="00EB056A">
        <w:rPr>
          <w:rFonts w:ascii="Arial" w:hAnsi="Arial" w:cs="Arial"/>
          <w:sz w:val="24"/>
          <w:szCs w:val="24"/>
        </w:rPr>
        <w:fldChar w:fldCharType="end"/>
      </w:r>
      <w:r w:rsidR="000331EE" w:rsidRPr="00EB056A">
        <w:rPr>
          <w:rFonts w:ascii="Arial" w:hAnsi="Arial" w:cs="Arial"/>
          <w:sz w:val="24"/>
          <w:szCs w:val="24"/>
        </w:rPr>
        <w:t xml:space="preserve"> found similar results </w:t>
      </w:r>
      <w:r w:rsidR="001A4196" w:rsidRPr="00EB056A">
        <w:rPr>
          <w:rFonts w:ascii="Arial" w:hAnsi="Arial" w:cs="Arial"/>
          <w:sz w:val="24"/>
          <w:szCs w:val="24"/>
        </w:rPr>
        <w:t>by exposing</w:t>
      </w:r>
      <w:r w:rsidR="0042668B" w:rsidRPr="00EB056A">
        <w:rPr>
          <w:rFonts w:ascii="Arial" w:hAnsi="Arial" w:cs="Arial"/>
          <w:sz w:val="24"/>
          <w:szCs w:val="24"/>
        </w:rPr>
        <w:t xml:space="preserve"> human primary renal proximal tubule epithelial cells</w:t>
      </w:r>
      <w:r w:rsidR="001A4196" w:rsidRPr="00EB056A">
        <w:rPr>
          <w:rFonts w:ascii="Arial" w:hAnsi="Arial" w:cs="Arial"/>
          <w:sz w:val="24"/>
          <w:szCs w:val="24"/>
        </w:rPr>
        <w:t xml:space="preserve"> to solutions of 0.008</w:t>
      </w:r>
      <w:r w:rsidR="00C70898" w:rsidRPr="00EB056A">
        <w:rPr>
          <w:rFonts w:ascii="Arial" w:hAnsi="Arial" w:cs="Arial"/>
          <w:sz w:val="24"/>
          <w:szCs w:val="24"/>
        </w:rPr>
        <w:t>, 0.04, 0.2, and</w:t>
      </w:r>
      <w:r w:rsidR="0004728B" w:rsidRPr="00EB056A">
        <w:rPr>
          <w:rFonts w:ascii="Arial" w:hAnsi="Arial" w:cs="Arial"/>
          <w:sz w:val="24"/>
          <w:szCs w:val="24"/>
        </w:rPr>
        <w:t xml:space="preserve"> 1</w:t>
      </w:r>
      <w:r w:rsidR="001A4196" w:rsidRPr="00EB056A">
        <w:rPr>
          <w:rFonts w:ascii="Arial" w:hAnsi="Arial" w:cs="Arial"/>
          <w:sz w:val="24"/>
          <w:szCs w:val="24"/>
        </w:rPr>
        <w:t> mg/ml</w:t>
      </w:r>
      <w:r w:rsidR="001867D0" w:rsidRPr="00EB056A">
        <w:rPr>
          <w:rFonts w:ascii="Arial" w:hAnsi="Arial" w:cs="Arial"/>
          <w:sz w:val="24"/>
          <w:szCs w:val="24"/>
        </w:rPr>
        <w:t xml:space="preserve"> of LAP and </w:t>
      </w:r>
      <w:r w:rsidR="001F3FEE" w:rsidRPr="00EB056A">
        <w:rPr>
          <w:rFonts w:ascii="Arial" w:hAnsi="Arial" w:cs="Arial"/>
          <w:sz w:val="24"/>
          <w:szCs w:val="24"/>
        </w:rPr>
        <w:t>to 86, 342, or 855 mJ/cm</w:t>
      </w:r>
      <w:r w:rsidR="001F3FEE" w:rsidRPr="00EB056A">
        <w:rPr>
          <w:rFonts w:ascii="Arial" w:hAnsi="Arial" w:cs="Arial"/>
          <w:sz w:val="24"/>
          <w:szCs w:val="24"/>
          <w:vertAlign w:val="superscript"/>
        </w:rPr>
        <w:t>2</w:t>
      </w:r>
      <w:r w:rsidR="00B901B4" w:rsidRPr="00EB056A">
        <w:rPr>
          <w:rFonts w:ascii="Arial" w:hAnsi="Arial" w:cs="Arial"/>
          <w:sz w:val="24"/>
          <w:szCs w:val="24"/>
        </w:rPr>
        <w:t xml:space="preserve"> 3</w:t>
      </w:r>
      <w:r w:rsidR="004979BE" w:rsidRPr="00EB056A">
        <w:rPr>
          <w:rFonts w:ascii="Arial" w:hAnsi="Arial" w:cs="Arial"/>
          <w:sz w:val="24"/>
          <w:szCs w:val="24"/>
        </w:rPr>
        <w:t>5</w:t>
      </w:r>
      <w:r w:rsidR="00B901B4" w:rsidRPr="00EB056A">
        <w:rPr>
          <w:rFonts w:ascii="Arial" w:hAnsi="Arial" w:cs="Arial"/>
          <w:sz w:val="24"/>
          <w:szCs w:val="24"/>
        </w:rPr>
        <w:t>0</w:t>
      </w:r>
      <w:r w:rsidR="004979BE" w:rsidRPr="00EB056A">
        <w:rPr>
          <w:rFonts w:ascii="Arial" w:hAnsi="Arial" w:cs="Arial"/>
          <w:sz w:val="24"/>
          <w:szCs w:val="24"/>
        </w:rPr>
        <w:t>-400</w:t>
      </w:r>
      <w:r w:rsidR="00B901B4" w:rsidRPr="00EB056A">
        <w:rPr>
          <w:rFonts w:ascii="Arial" w:hAnsi="Arial" w:cs="Arial"/>
          <w:sz w:val="24"/>
          <w:szCs w:val="24"/>
        </w:rPr>
        <w:t xml:space="preserve"> nm UV radiation.</w:t>
      </w:r>
      <w:r w:rsidR="0009588D" w:rsidRPr="00EB056A">
        <w:rPr>
          <w:rFonts w:ascii="Arial" w:hAnsi="Arial" w:cs="Arial"/>
          <w:sz w:val="24"/>
          <w:szCs w:val="24"/>
        </w:rPr>
        <w:t xml:space="preserve"> They noticed that the intensity of the UV light did not impact cell </w:t>
      </w:r>
      <w:r w:rsidR="00693F57" w:rsidRPr="00EB056A">
        <w:rPr>
          <w:rFonts w:ascii="Arial" w:hAnsi="Arial" w:cs="Arial"/>
          <w:sz w:val="24"/>
          <w:szCs w:val="24"/>
        </w:rPr>
        <w:t>health</w:t>
      </w:r>
      <w:r w:rsidR="00F90B2C" w:rsidRPr="00EB056A">
        <w:rPr>
          <w:rFonts w:ascii="Arial" w:hAnsi="Arial" w:cs="Arial"/>
          <w:sz w:val="24"/>
          <w:szCs w:val="24"/>
        </w:rPr>
        <w:t xml:space="preserve"> but the gro</w:t>
      </w:r>
      <w:r w:rsidR="000C1BD7" w:rsidRPr="00EB056A">
        <w:rPr>
          <w:rFonts w:ascii="Arial" w:hAnsi="Arial" w:cs="Arial"/>
          <w:sz w:val="24"/>
          <w:szCs w:val="24"/>
        </w:rPr>
        <w:t>w</w:t>
      </w:r>
      <w:r w:rsidR="00F90B2C" w:rsidRPr="00EB056A">
        <w:rPr>
          <w:rFonts w:ascii="Arial" w:hAnsi="Arial" w:cs="Arial"/>
          <w:sz w:val="24"/>
          <w:szCs w:val="24"/>
        </w:rPr>
        <w:t>ing concentration</w:t>
      </w:r>
      <w:r w:rsidR="000C1BD7" w:rsidRPr="00EB056A">
        <w:rPr>
          <w:rFonts w:ascii="Arial" w:hAnsi="Arial" w:cs="Arial"/>
          <w:sz w:val="24"/>
          <w:szCs w:val="24"/>
        </w:rPr>
        <w:t>s</w:t>
      </w:r>
      <w:r w:rsidR="00F90B2C" w:rsidRPr="00EB056A">
        <w:rPr>
          <w:rFonts w:ascii="Arial" w:hAnsi="Arial" w:cs="Arial"/>
          <w:sz w:val="24"/>
          <w:szCs w:val="24"/>
        </w:rPr>
        <w:t xml:space="preserve"> of LAP did. While </w:t>
      </w:r>
      <w:r w:rsidR="00A90487" w:rsidRPr="00EB056A">
        <w:rPr>
          <w:rFonts w:ascii="Arial" w:hAnsi="Arial" w:cs="Arial"/>
          <w:sz w:val="24"/>
          <w:szCs w:val="24"/>
        </w:rPr>
        <w:t>0.008</w:t>
      </w:r>
      <w:r w:rsidR="00D47708" w:rsidRPr="00EB056A">
        <w:rPr>
          <w:rFonts w:ascii="Arial" w:hAnsi="Arial" w:cs="Arial"/>
          <w:sz w:val="24"/>
          <w:szCs w:val="24"/>
        </w:rPr>
        <w:t xml:space="preserve">, </w:t>
      </w:r>
      <w:r w:rsidR="00A90487" w:rsidRPr="00EB056A">
        <w:rPr>
          <w:rFonts w:ascii="Arial" w:hAnsi="Arial" w:cs="Arial"/>
          <w:sz w:val="24"/>
          <w:szCs w:val="24"/>
        </w:rPr>
        <w:t>0.04</w:t>
      </w:r>
      <w:r w:rsidR="00D47708" w:rsidRPr="00EB056A">
        <w:rPr>
          <w:rFonts w:ascii="Arial" w:hAnsi="Arial" w:cs="Arial"/>
          <w:sz w:val="24"/>
          <w:szCs w:val="24"/>
        </w:rPr>
        <w:t>, and</w:t>
      </w:r>
      <w:r w:rsidR="00A90487" w:rsidRPr="00EB056A">
        <w:rPr>
          <w:rFonts w:ascii="Arial" w:hAnsi="Arial" w:cs="Arial"/>
          <w:sz w:val="24"/>
          <w:szCs w:val="24"/>
        </w:rPr>
        <w:t xml:space="preserve"> mg/mL of LAP led to</w:t>
      </w:r>
      <w:r w:rsidR="00D17A22" w:rsidRPr="00EB056A">
        <w:rPr>
          <w:rFonts w:ascii="Arial" w:hAnsi="Arial" w:cs="Arial"/>
          <w:sz w:val="24"/>
          <w:szCs w:val="24"/>
        </w:rPr>
        <w:t xml:space="preserve"> 92.5%, 85.4%,</w:t>
      </w:r>
      <w:r w:rsidR="00D47708" w:rsidRPr="00EB056A">
        <w:rPr>
          <w:rFonts w:ascii="Arial" w:hAnsi="Arial" w:cs="Arial"/>
          <w:sz w:val="24"/>
          <w:szCs w:val="24"/>
        </w:rPr>
        <w:t xml:space="preserve"> and</w:t>
      </w:r>
      <w:r w:rsidR="00D17A22" w:rsidRPr="00EB056A">
        <w:rPr>
          <w:rFonts w:ascii="Arial" w:hAnsi="Arial" w:cs="Arial"/>
          <w:sz w:val="24"/>
          <w:szCs w:val="24"/>
        </w:rPr>
        <w:t xml:space="preserve"> 78.9% of cell </w:t>
      </w:r>
      <w:r w:rsidR="00A655D2" w:rsidRPr="00EB056A">
        <w:rPr>
          <w:rFonts w:ascii="Arial" w:hAnsi="Arial" w:cs="Arial"/>
          <w:sz w:val="24"/>
          <w:szCs w:val="24"/>
        </w:rPr>
        <w:t>survival, 1</w:t>
      </w:r>
      <w:r w:rsidR="00D47708" w:rsidRPr="00EB056A">
        <w:rPr>
          <w:rFonts w:ascii="Arial" w:hAnsi="Arial" w:cs="Arial"/>
          <w:sz w:val="24"/>
          <w:szCs w:val="24"/>
        </w:rPr>
        <w:t xml:space="preserve"> mg/mL of LAP </w:t>
      </w:r>
      <w:r w:rsidR="00F515F0" w:rsidRPr="00EB056A">
        <w:rPr>
          <w:rFonts w:ascii="Arial" w:hAnsi="Arial" w:cs="Arial"/>
          <w:sz w:val="24"/>
          <w:szCs w:val="24"/>
        </w:rPr>
        <w:t xml:space="preserve">resulted </w:t>
      </w:r>
      <w:r w:rsidR="006A729F" w:rsidRPr="00EB056A">
        <w:rPr>
          <w:rFonts w:ascii="Arial" w:hAnsi="Arial" w:cs="Arial"/>
          <w:sz w:val="24"/>
          <w:szCs w:val="24"/>
        </w:rPr>
        <w:t>in 67.1</w:t>
      </w:r>
      <w:r w:rsidR="00D17A22" w:rsidRPr="00EB056A">
        <w:rPr>
          <w:rFonts w:ascii="Arial" w:hAnsi="Arial" w:cs="Arial"/>
          <w:sz w:val="24"/>
          <w:szCs w:val="24"/>
        </w:rPr>
        <w:t>%</w:t>
      </w:r>
      <w:r w:rsidR="00F515F0" w:rsidRPr="00EB056A">
        <w:rPr>
          <w:rFonts w:ascii="Arial" w:hAnsi="Arial" w:cs="Arial"/>
          <w:sz w:val="24"/>
          <w:szCs w:val="24"/>
        </w:rPr>
        <w:t xml:space="preserve"> of cell survival.</w:t>
      </w:r>
      <w:r w:rsidR="009A4326" w:rsidRPr="00EB056A">
        <w:rPr>
          <w:rFonts w:ascii="Arial" w:hAnsi="Arial" w:cs="Arial"/>
          <w:sz w:val="24"/>
          <w:szCs w:val="24"/>
        </w:rPr>
        <w:t xml:space="preserve"> </w:t>
      </w:r>
      <w:r w:rsidR="00D119CB" w:rsidRPr="00EB056A">
        <w:rPr>
          <w:rFonts w:ascii="Arial" w:hAnsi="Arial" w:cs="Arial"/>
          <w:sz w:val="24"/>
          <w:szCs w:val="24"/>
        </w:rPr>
        <w:t xml:space="preserve">Nguyen </w:t>
      </w:r>
      <w:r w:rsidR="00D119CB" w:rsidRPr="00EB056A">
        <w:rPr>
          <w:rFonts w:ascii="Arial" w:hAnsi="Arial" w:cs="Arial"/>
          <w:i/>
          <w:iCs/>
          <w:sz w:val="24"/>
          <w:szCs w:val="24"/>
        </w:rPr>
        <w:t>et al</w:t>
      </w:r>
      <w:r w:rsidR="00C530B7">
        <w:rPr>
          <w:rFonts w:ascii="Arial" w:hAnsi="Arial" w:cs="Arial"/>
          <w:i/>
          <w:iCs/>
          <w:sz w:val="24"/>
          <w:szCs w:val="24"/>
        </w:rPr>
        <w:t>.</w:t>
      </w:r>
      <w:r w:rsidR="008B4EDE">
        <w:rPr>
          <w:rFonts w:ascii="Arial" w:hAnsi="Arial" w:cs="Arial"/>
          <w:i/>
          <w:iCs/>
          <w:sz w:val="24"/>
          <w:szCs w:val="24"/>
        </w:rPr>
        <w:fldChar w:fldCharType="begin"/>
      </w:r>
      <w:r w:rsidR="008B4EDE">
        <w:rPr>
          <w:rFonts w:ascii="Arial" w:hAnsi="Arial" w:cs="Arial"/>
          <w:i/>
          <w:iCs/>
          <w:sz w:val="24"/>
          <w:szCs w:val="24"/>
        </w:rPr>
        <w:instrText xml:space="preserve"> ADDIN ZOTERO_ITEM CSL_CITATION {"citationID":"QYt6Xgzd","properties":{"formattedCitation":"\\super 50\\nosupersub{}","plainCitation":"50","noteIndex":0},"citationItems":[{"id":683,"uris":["http://zotero.org/users/6508478/items/GQ3KP6CV"],"itemData":{"id":683,"type":"article-journal","container-title":"Biointerphases","DOI":"10.1116/1.5095886","ISSN":"1934-8630","issue":"2","note":"publisher: American Vacuum Society","page":"021007","source":"avs.scitation.org (Atypon)","title":"Toxicity and photosensitizing assessment of gelatin methacryloyl-based hydrogels photoinitiated with lithium phenyl-2,4,6-trimethylbenzoylphosphinate in human primary renal proximal tubule epithelial cells","volume":"14","author":[{"family":"Nguyen","given":"Alexander K."},{"family":"Goering","given":"Peter L."},{"family":"Reipa","given":"Vytas"},{"family":"Narayan","given":"Roger J."}],"issued":{"date-parts":[["2019",3]]}}}],"schema":"https://github.com/citation-style-language/schema/raw/master/csl-citation.json"} </w:instrText>
      </w:r>
      <w:r w:rsidR="008B4EDE">
        <w:rPr>
          <w:rFonts w:ascii="Arial" w:hAnsi="Arial" w:cs="Arial"/>
          <w:i/>
          <w:iCs/>
          <w:sz w:val="24"/>
          <w:szCs w:val="24"/>
        </w:rPr>
        <w:fldChar w:fldCharType="separate"/>
      </w:r>
      <w:r w:rsidR="008B4EDE" w:rsidRPr="008B4EDE">
        <w:rPr>
          <w:rFonts w:ascii="Arial" w:hAnsi="Arial" w:cs="Arial"/>
          <w:sz w:val="24"/>
          <w:szCs w:val="24"/>
          <w:vertAlign w:val="superscript"/>
        </w:rPr>
        <w:t>50</w:t>
      </w:r>
      <w:r w:rsidR="008B4EDE">
        <w:rPr>
          <w:rFonts w:ascii="Arial" w:hAnsi="Arial" w:cs="Arial"/>
          <w:i/>
          <w:iCs/>
          <w:sz w:val="24"/>
          <w:szCs w:val="24"/>
        </w:rPr>
        <w:fldChar w:fldCharType="end"/>
      </w:r>
      <w:r w:rsidR="009A4326" w:rsidRPr="00EB056A">
        <w:rPr>
          <w:rFonts w:ascii="Arial" w:hAnsi="Arial" w:cs="Arial"/>
          <w:sz w:val="24"/>
          <w:szCs w:val="24"/>
        </w:rPr>
        <w:t xml:space="preserve"> also investigated </w:t>
      </w:r>
      <w:r w:rsidR="00A66397" w:rsidRPr="00EB056A">
        <w:rPr>
          <w:rFonts w:ascii="Arial" w:hAnsi="Arial" w:cs="Arial"/>
          <w:sz w:val="24"/>
          <w:szCs w:val="24"/>
        </w:rPr>
        <w:t xml:space="preserve">the </w:t>
      </w:r>
      <w:r w:rsidR="00526575" w:rsidRPr="00EB056A">
        <w:rPr>
          <w:rFonts w:ascii="Arial" w:hAnsi="Arial" w:cs="Arial"/>
          <w:sz w:val="24"/>
          <w:szCs w:val="24"/>
        </w:rPr>
        <w:t xml:space="preserve">liberation of </w:t>
      </w:r>
      <w:r w:rsidR="00C924D6" w:rsidRPr="00EB056A">
        <w:rPr>
          <w:rFonts w:ascii="Arial" w:hAnsi="Arial" w:cs="Arial"/>
          <w:sz w:val="24"/>
          <w:szCs w:val="24"/>
        </w:rPr>
        <w:t>NAD</w:t>
      </w:r>
      <w:r w:rsidR="0016448E" w:rsidRPr="00EB056A">
        <w:rPr>
          <w:rFonts w:ascii="Arial" w:hAnsi="Arial" w:cs="Arial"/>
          <w:sz w:val="28"/>
          <w:szCs w:val="28"/>
          <w:vertAlign w:val="superscript"/>
        </w:rPr>
        <w:t>+</w:t>
      </w:r>
      <w:r w:rsidR="00C924D6" w:rsidRPr="00EB056A">
        <w:rPr>
          <w:rFonts w:ascii="Arial" w:hAnsi="Arial" w:cs="Arial"/>
          <w:sz w:val="24"/>
          <w:szCs w:val="24"/>
        </w:rPr>
        <w:t xml:space="preserve"> </w:t>
      </w:r>
      <w:r w:rsidR="00526575" w:rsidRPr="00EB056A">
        <w:rPr>
          <w:rFonts w:ascii="Arial" w:hAnsi="Arial" w:cs="Arial"/>
          <w:sz w:val="24"/>
          <w:szCs w:val="24"/>
        </w:rPr>
        <w:t>radical</w:t>
      </w:r>
      <w:r w:rsidR="00C924D6" w:rsidRPr="00EB056A">
        <w:rPr>
          <w:rFonts w:ascii="Arial" w:hAnsi="Arial" w:cs="Arial"/>
          <w:sz w:val="24"/>
          <w:szCs w:val="24"/>
        </w:rPr>
        <w:t>s</w:t>
      </w:r>
      <w:r w:rsidR="00526575" w:rsidRPr="00EB056A">
        <w:rPr>
          <w:rFonts w:ascii="Arial" w:hAnsi="Arial" w:cs="Arial"/>
          <w:sz w:val="24"/>
          <w:szCs w:val="24"/>
        </w:rPr>
        <w:t xml:space="preserve"> </w:t>
      </w:r>
      <w:r w:rsidR="00A655D2" w:rsidRPr="00EB056A">
        <w:rPr>
          <w:rFonts w:ascii="Arial" w:hAnsi="Arial" w:cs="Arial"/>
          <w:sz w:val="24"/>
          <w:szCs w:val="24"/>
        </w:rPr>
        <w:t>by the UV light activation of LAP</w:t>
      </w:r>
      <w:r w:rsidR="009B41F6" w:rsidRPr="00EB056A">
        <w:rPr>
          <w:rFonts w:ascii="Arial" w:hAnsi="Arial" w:cs="Arial"/>
          <w:sz w:val="24"/>
          <w:szCs w:val="24"/>
        </w:rPr>
        <w:t>,</w:t>
      </w:r>
      <w:r w:rsidR="00A655D2" w:rsidRPr="00EB056A">
        <w:rPr>
          <w:rFonts w:ascii="Arial" w:hAnsi="Arial" w:cs="Arial"/>
          <w:sz w:val="24"/>
          <w:szCs w:val="24"/>
        </w:rPr>
        <w:t xml:space="preserve"> and concluded that </w:t>
      </w:r>
      <w:r w:rsidR="000F1328" w:rsidRPr="00EB056A">
        <w:rPr>
          <w:rFonts w:ascii="Arial" w:hAnsi="Arial" w:cs="Arial"/>
          <w:sz w:val="24"/>
          <w:szCs w:val="24"/>
        </w:rPr>
        <w:t xml:space="preserve">it </w:t>
      </w:r>
      <w:r w:rsidR="00AD357F" w:rsidRPr="00EB056A">
        <w:rPr>
          <w:rFonts w:ascii="Arial" w:hAnsi="Arial" w:cs="Arial"/>
          <w:sz w:val="24"/>
          <w:szCs w:val="24"/>
        </w:rPr>
        <w:t>increased with LAP concentration and decreased with UV</w:t>
      </w:r>
      <w:r w:rsidR="002D2757" w:rsidRPr="00EB056A">
        <w:rPr>
          <w:rFonts w:ascii="Arial" w:hAnsi="Arial" w:cs="Arial"/>
          <w:sz w:val="24"/>
          <w:szCs w:val="24"/>
        </w:rPr>
        <w:t xml:space="preserve"> exposure</w:t>
      </w:r>
      <w:r w:rsidR="009E470C" w:rsidRPr="00EB056A">
        <w:rPr>
          <w:rFonts w:ascii="Arial" w:hAnsi="Arial" w:cs="Arial"/>
          <w:sz w:val="24"/>
          <w:szCs w:val="24"/>
        </w:rPr>
        <w:t xml:space="preserve"> intensity</w:t>
      </w:r>
      <w:r w:rsidR="0079299D" w:rsidRPr="00EB056A">
        <w:rPr>
          <w:rFonts w:ascii="Arial" w:hAnsi="Arial" w:cs="Arial"/>
          <w:sz w:val="24"/>
          <w:szCs w:val="24"/>
        </w:rPr>
        <w:t xml:space="preserve"> and</w:t>
      </w:r>
      <w:r w:rsidR="00AD357F" w:rsidRPr="00EB056A">
        <w:rPr>
          <w:rFonts w:ascii="Arial" w:hAnsi="Arial" w:cs="Arial"/>
          <w:sz w:val="24"/>
          <w:szCs w:val="24"/>
        </w:rPr>
        <w:t xml:space="preserve"> wavelength.</w:t>
      </w:r>
      <w:r w:rsidR="009E470C" w:rsidRPr="00EB056A">
        <w:rPr>
          <w:rFonts w:ascii="Arial" w:hAnsi="Arial" w:cs="Arial"/>
          <w:sz w:val="24"/>
          <w:szCs w:val="24"/>
        </w:rPr>
        <w:t xml:space="preserve"> Apparently</w:t>
      </w:r>
      <w:r w:rsidR="007E7DAA" w:rsidRPr="00EB056A">
        <w:rPr>
          <w:rFonts w:ascii="Arial" w:hAnsi="Arial" w:cs="Arial"/>
          <w:sz w:val="24"/>
          <w:szCs w:val="24"/>
        </w:rPr>
        <w:t xml:space="preserve">, </w:t>
      </w:r>
      <w:r w:rsidR="0015448A" w:rsidRPr="00EB056A">
        <w:rPr>
          <w:rFonts w:ascii="Arial" w:hAnsi="Arial" w:cs="Arial"/>
          <w:sz w:val="24"/>
          <w:szCs w:val="24"/>
        </w:rPr>
        <w:t xml:space="preserve">an exposure of 855 mJ/cm2 </w:t>
      </w:r>
      <w:r w:rsidR="00EF35C4" w:rsidRPr="00EB056A">
        <w:rPr>
          <w:rFonts w:ascii="Arial" w:hAnsi="Arial" w:cs="Arial"/>
          <w:sz w:val="24"/>
          <w:szCs w:val="24"/>
        </w:rPr>
        <w:t>of 350-400 nm UV light combined with 0.01 mg/mL of LAP release nearly 0% of radicals</w:t>
      </w:r>
      <w:r w:rsidR="00CE268A" w:rsidRPr="00EB056A">
        <w:rPr>
          <w:rFonts w:ascii="Arial" w:hAnsi="Arial" w:cs="Arial"/>
          <w:sz w:val="24"/>
          <w:szCs w:val="24"/>
        </w:rPr>
        <w:fldChar w:fldCharType="begin"/>
      </w:r>
      <w:r w:rsidR="005B4F59">
        <w:rPr>
          <w:rFonts w:ascii="Arial" w:hAnsi="Arial" w:cs="Arial"/>
          <w:sz w:val="24"/>
          <w:szCs w:val="24"/>
        </w:rPr>
        <w:instrText xml:space="preserve"> ADDIN ZOTERO_ITEM CSL_CITATION {"citationID":"FgptVkzS","properties":{"formattedCitation":"\\super 50\\nosupersub{}","plainCitation":"50","noteIndex":0},"citationItems":[{"id":683,"uris":["http://zotero.org/users/6508478/items/GQ3KP6CV"],"itemData":{"id":683,"type":"article-journal","container-title":"Biointerphases","DOI":"10.1116/1.5095886","ISSN":"1934-8630","issue":"2","note":"publisher: American Vacuum Society","page":"021007","source":"avs.scitation.org (Atypon)","title":"Toxicity and photosensitizing assessment of gelatin methacryloyl-based hydrogels photoinitiated with lithium phenyl-2,4,6-trimethylbenzoylphosphinate in human primary renal proximal tubule epithelial cells","volume":"14","author":[{"family":"Nguyen","given":"Alexander K."},{"family":"Goering","given":"Peter L."},{"family":"Reipa","given":"Vytas"},{"family":"Narayan","given":"Roger J."}],"issued":{"date-parts":[["2019",3]]}}}],"schema":"https://github.com/citation-style-language/schema/raw/master/csl-citation.json"} </w:instrText>
      </w:r>
      <w:r w:rsidR="00CE268A" w:rsidRPr="00EB056A">
        <w:rPr>
          <w:rFonts w:ascii="Arial" w:hAnsi="Arial" w:cs="Arial"/>
          <w:sz w:val="24"/>
          <w:szCs w:val="24"/>
        </w:rPr>
        <w:fldChar w:fldCharType="separate"/>
      </w:r>
      <w:r w:rsidR="00766016" w:rsidRPr="00766016">
        <w:rPr>
          <w:rFonts w:ascii="Arial" w:hAnsi="Arial" w:cs="Arial"/>
          <w:sz w:val="24"/>
          <w:szCs w:val="24"/>
          <w:vertAlign w:val="superscript"/>
        </w:rPr>
        <w:t>50</w:t>
      </w:r>
      <w:r w:rsidR="00CE268A" w:rsidRPr="00EB056A">
        <w:rPr>
          <w:rFonts w:ascii="Arial" w:hAnsi="Arial" w:cs="Arial"/>
          <w:sz w:val="24"/>
          <w:szCs w:val="24"/>
        </w:rPr>
        <w:fldChar w:fldCharType="end"/>
      </w:r>
      <w:r w:rsidR="00EF35C4" w:rsidRPr="00EB056A">
        <w:rPr>
          <w:rFonts w:ascii="Arial" w:hAnsi="Arial" w:cs="Arial"/>
          <w:sz w:val="24"/>
          <w:szCs w:val="24"/>
        </w:rPr>
        <w:t>.</w:t>
      </w:r>
    </w:p>
    <w:p w14:paraId="3B3A0F91" w14:textId="5223CAA8" w:rsidR="00231BF6" w:rsidRDefault="00B71D9D" w:rsidP="00FD4E05">
      <w:pPr>
        <w:spacing w:line="480" w:lineRule="auto"/>
        <w:ind w:firstLine="720"/>
        <w:jc w:val="both"/>
        <w:rPr>
          <w:rFonts w:ascii="Arial" w:hAnsi="Arial" w:cs="Arial"/>
          <w:sz w:val="24"/>
          <w:szCs w:val="24"/>
        </w:rPr>
      </w:pPr>
      <w:r w:rsidRPr="00EB056A">
        <w:rPr>
          <w:rFonts w:ascii="Arial" w:hAnsi="Arial" w:cs="Arial"/>
          <w:sz w:val="24"/>
          <w:szCs w:val="24"/>
        </w:rPr>
        <w:t xml:space="preserve">McCall </w:t>
      </w:r>
      <w:r w:rsidRPr="003B5F26">
        <w:rPr>
          <w:rFonts w:ascii="Arial" w:hAnsi="Arial" w:cs="Arial"/>
          <w:i/>
          <w:iCs/>
          <w:sz w:val="24"/>
          <w:szCs w:val="24"/>
        </w:rPr>
        <w:t>e</w:t>
      </w:r>
      <w:r w:rsidR="00654F66" w:rsidRPr="003B5F26">
        <w:rPr>
          <w:rFonts w:ascii="Arial" w:hAnsi="Arial" w:cs="Arial"/>
          <w:i/>
          <w:iCs/>
          <w:sz w:val="24"/>
          <w:szCs w:val="24"/>
        </w:rPr>
        <w:t>t al</w:t>
      </w:r>
      <w:r w:rsidR="00654F66" w:rsidRPr="00EB056A">
        <w:rPr>
          <w:rFonts w:ascii="Arial" w:hAnsi="Arial" w:cs="Arial"/>
          <w:sz w:val="24"/>
          <w:szCs w:val="24"/>
        </w:rPr>
        <w:t>.</w:t>
      </w:r>
      <w:r w:rsidR="00654F66" w:rsidRPr="00EB056A">
        <w:rPr>
          <w:rFonts w:ascii="Arial" w:hAnsi="Arial" w:cs="Arial"/>
          <w:sz w:val="24"/>
          <w:szCs w:val="24"/>
        </w:rPr>
        <w:fldChar w:fldCharType="begin"/>
      </w:r>
      <w:r w:rsidR="005B4F59">
        <w:rPr>
          <w:rFonts w:ascii="Arial" w:hAnsi="Arial" w:cs="Arial"/>
          <w:sz w:val="24"/>
          <w:szCs w:val="24"/>
        </w:rPr>
        <w:instrText xml:space="preserve"> ADDIN ZOTERO_ITEM CSL_CITATION {"citationID":"ZBVvvtZE","properties":{"formattedCitation":"\\super 51\\nosupersub{}","plainCitation":"51","noteIndex":0},"citationItems":[{"id":681,"uris":["http://zotero.org/users/6508478/items/PTSDN889"],"itemData":{"id":681,"type":"article-journal","abstract":"Photoinitiated polymerization remains a robust method for fabrication of hydrogels, as these reactions allow facile spatial and temporal control of gelation and high compatibility for encapsulation of cells and biologics. The chain-growth reaction of macromolecular monomers, such as acrylated PEG and hyaluronan, is commonly used to form hydrogels, but there is growing interest in step-growth photopolymerizations, such as the thiol–ene “click” reaction, as an alternative. Thiol–ene reactions are not susceptible to oxygen inhibition and rapidly form hydrogels using low initiator concentrations. In this work, we characterize the differences in recovery of bioactive proteins when exposed to similar photoinitiation conditions during thiol–ene versus acrylate polymerizations. Following exposure to chain polymerization of acrylates, lysozyme bioactivity was approximately 50%; after step-growth thiol–ene reaction, lysozyme retained nearly 100% of its prereaction activity. Bioactive protein recovery was enhanced 1000-fold in the presence of a thiol–ene reaction, relative to recovery from solutions containing identical primary radical concentrations, but without the thiol–ene components. When the cytokine TGFβ was encapsulated in PEG hydrogels formed via the thiol–ene reaction, full protein bioactivity was preserved.","container-title":"Biomacromolecules","DOI":"10.1021/bm300671s","ISSN":"1525-7797","issue":"8","journalAbbreviation":"Biomacromolecules","note":"publisher: American Chemical Society","page":"2410-2417","source":"ACS Publications","title":"Thiol–Ene Photopolymerizations Provide a Facile Method To Encapsulate Proteins and Maintain Their Bioactivity","volume":"13","author":[{"family":"McCall","given":"Joshua D."},{"family":"Anseth","given":"Kristi S."}],"issued":{"date-parts":[["2012",8,13]]}}}],"schema":"https://github.com/citation-style-language/schema/raw/master/csl-citation.json"} </w:instrText>
      </w:r>
      <w:r w:rsidR="00654F66" w:rsidRPr="00EB056A">
        <w:rPr>
          <w:rFonts w:ascii="Arial" w:hAnsi="Arial" w:cs="Arial"/>
          <w:sz w:val="24"/>
          <w:szCs w:val="24"/>
        </w:rPr>
        <w:fldChar w:fldCharType="separate"/>
      </w:r>
      <w:r w:rsidR="00766016" w:rsidRPr="00766016">
        <w:rPr>
          <w:rFonts w:ascii="Arial" w:hAnsi="Arial" w:cs="Arial"/>
          <w:sz w:val="24"/>
          <w:szCs w:val="24"/>
          <w:vertAlign w:val="superscript"/>
        </w:rPr>
        <w:t>51</w:t>
      </w:r>
      <w:r w:rsidR="00654F66" w:rsidRPr="00EB056A">
        <w:rPr>
          <w:rFonts w:ascii="Arial" w:hAnsi="Arial" w:cs="Arial"/>
          <w:sz w:val="24"/>
          <w:szCs w:val="24"/>
        </w:rPr>
        <w:fldChar w:fldCharType="end"/>
      </w:r>
      <w:r w:rsidR="00096C00" w:rsidRPr="00EB056A">
        <w:rPr>
          <w:rFonts w:ascii="Arial" w:hAnsi="Arial" w:cs="Arial"/>
          <w:sz w:val="24"/>
          <w:szCs w:val="24"/>
        </w:rPr>
        <w:t xml:space="preserve"> specifically </w:t>
      </w:r>
      <w:r w:rsidR="00AD2A46">
        <w:rPr>
          <w:rFonts w:ascii="Arial" w:hAnsi="Arial" w:cs="Arial"/>
          <w:sz w:val="24"/>
          <w:szCs w:val="24"/>
        </w:rPr>
        <w:t>investigated</w:t>
      </w:r>
      <w:r w:rsidR="00AD2A46" w:rsidRPr="00EB056A">
        <w:rPr>
          <w:rFonts w:ascii="Arial" w:hAnsi="Arial" w:cs="Arial"/>
          <w:sz w:val="24"/>
          <w:szCs w:val="24"/>
        </w:rPr>
        <w:t xml:space="preserve"> </w:t>
      </w:r>
      <w:r w:rsidR="00096C00" w:rsidRPr="00EB056A">
        <w:rPr>
          <w:rFonts w:ascii="Arial" w:hAnsi="Arial" w:cs="Arial"/>
          <w:sz w:val="24"/>
          <w:szCs w:val="24"/>
        </w:rPr>
        <w:t xml:space="preserve">the formation of radicals during </w:t>
      </w:r>
      <w:r w:rsidR="00D00AC1" w:rsidRPr="00EB056A">
        <w:rPr>
          <w:rFonts w:ascii="Arial" w:hAnsi="Arial" w:cs="Arial"/>
          <w:sz w:val="24"/>
          <w:szCs w:val="24"/>
        </w:rPr>
        <w:t>10 mW/cm2 365 nm</w:t>
      </w:r>
      <w:r w:rsidR="00B11635" w:rsidRPr="00EB056A">
        <w:rPr>
          <w:rFonts w:ascii="Arial" w:hAnsi="Arial" w:cs="Arial"/>
          <w:sz w:val="24"/>
          <w:szCs w:val="24"/>
        </w:rPr>
        <w:t xml:space="preserve"> crosslinking of LAP</w:t>
      </w:r>
      <w:r w:rsidR="00EA450D" w:rsidRPr="00EB056A">
        <w:rPr>
          <w:rFonts w:ascii="Arial" w:hAnsi="Arial" w:cs="Arial"/>
          <w:sz w:val="24"/>
          <w:szCs w:val="24"/>
        </w:rPr>
        <w:t xml:space="preserve"> during 5 minutes. </w:t>
      </w:r>
      <w:r w:rsidR="00A423A3" w:rsidRPr="00EB056A">
        <w:rPr>
          <w:rFonts w:ascii="Arial" w:hAnsi="Arial" w:cs="Arial"/>
          <w:sz w:val="24"/>
          <w:szCs w:val="24"/>
        </w:rPr>
        <w:t>They reported that the concentration of acrylate radical</w:t>
      </w:r>
      <w:r w:rsidR="0063338F" w:rsidRPr="00EB056A">
        <w:rPr>
          <w:rFonts w:ascii="Arial" w:hAnsi="Arial" w:cs="Arial"/>
          <w:sz w:val="24"/>
          <w:szCs w:val="24"/>
        </w:rPr>
        <w:t>s</w:t>
      </w:r>
      <w:r w:rsidR="00A423A3" w:rsidRPr="00EB056A">
        <w:rPr>
          <w:rFonts w:ascii="Arial" w:hAnsi="Arial" w:cs="Arial"/>
          <w:sz w:val="24"/>
          <w:szCs w:val="24"/>
        </w:rPr>
        <w:t xml:space="preserve"> from 1 </w:t>
      </w:r>
      <w:r w:rsidR="0057537F" w:rsidRPr="00EB056A">
        <w:rPr>
          <w:rFonts w:ascii="Arial" w:hAnsi="Arial" w:cs="Arial"/>
          <w:sz w:val="24"/>
          <w:szCs w:val="24"/>
        </w:rPr>
        <w:t xml:space="preserve">mM LAP was 1.82 mM and the concentrations of thiol-ene </w:t>
      </w:r>
      <w:r w:rsidR="00E24FB3" w:rsidRPr="00EB056A">
        <w:rPr>
          <w:rFonts w:ascii="Arial" w:hAnsi="Arial" w:cs="Arial"/>
          <w:sz w:val="24"/>
          <w:szCs w:val="24"/>
        </w:rPr>
        <w:t>radicals from 0.1, 1, and</w:t>
      </w:r>
      <w:r w:rsidR="00014F40">
        <w:rPr>
          <w:rFonts w:ascii="Arial" w:hAnsi="Arial" w:cs="Arial"/>
          <w:sz w:val="24"/>
          <w:szCs w:val="24"/>
        </w:rPr>
        <w:t>,</w:t>
      </w:r>
      <w:r w:rsidR="00E24FB3" w:rsidRPr="00EB056A">
        <w:rPr>
          <w:rFonts w:ascii="Arial" w:hAnsi="Arial" w:cs="Arial"/>
          <w:sz w:val="24"/>
          <w:szCs w:val="24"/>
        </w:rPr>
        <w:t xml:space="preserve"> 10 mM LAP were respectively </w:t>
      </w:r>
      <w:r w:rsidR="00645217" w:rsidRPr="00EB056A">
        <w:rPr>
          <w:rFonts w:ascii="Arial" w:hAnsi="Arial" w:cs="Arial"/>
          <w:sz w:val="24"/>
          <w:szCs w:val="24"/>
        </w:rPr>
        <w:t>0.11, 0.13, and 0.27 mM.</w:t>
      </w:r>
      <w:r w:rsidR="004E3604" w:rsidRPr="00EB056A">
        <w:rPr>
          <w:rFonts w:ascii="Arial" w:hAnsi="Arial" w:cs="Arial"/>
          <w:sz w:val="24"/>
          <w:szCs w:val="24"/>
        </w:rPr>
        <w:t xml:space="preserve"> </w:t>
      </w:r>
      <w:r w:rsidR="00931FD6" w:rsidRPr="00EB056A">
        <w:rPr>
          <w:rFonts w:ascii="Arial" w:hAnsi="Arial" w:cs="Arial"/>
          <w:sz w:val="24"/>
          <w:szCs w:val="24"/>
        </w:rPr>
        <w:t xml:space="preserve">Then they evaluated the impact </w:t>
      </w:r>
      <w:r w:rsidR="000C0317" w:rsidRPr="00EB056A">
        <w:rPr>
          <w:rFonts w:ascii="Arial" w:hAnsi="Arial" w:cs="Arial"/>
          <w:sz w:val="24"/>
          <w:szCs w:val="24"/>
        </w:rPr>
        <w:t xml:space="preserve">of these radicals on </w:t>
      </w:r>
      <w:r w:rsidR="003C4A8B" w:rsidRPr="00EB056A">
        <w:rPr>
          <w:rFonts w:ascii="Arial" w:hAnsi="Arial" w:cs="Arial"/>
          <w:sz w:val="24"/>
          <w:szCs w:val="24"/>
        </w:rPr>
        <w:t>several proteins</w:t>
      </w:r>
      <w:r w:rsidR="007C692F" w:rsidRPr="00EB056A">
        <w:rPr>
          <w:rFonts w:ascii="Arial" w:hAnsi="Arial" w:cs="Arial"/>
          <w:sz w:val="24"/>
          <w:szCs w:val="24"/>
        </w:rPr>
        <w:t xml:space="preserve"> as TGF</w:t>
      </w:r>
      <w:r w:rsidR="00400B85" w:rsidRPr="00EB056A">
        <w:rPr>
          <w:rFonts w:ascii="Arial" w:hAnsi="Arial" w:cs="Arial"/>
          <w:sz w:val="24"/>
          <w:szCs w:val="24"/>
        </w:rPr>
        <w:t xml:space="preserve">β, </w:t>
      </w:r>
      <w:r w:rsidR="00400B85" w:rsidRPr="00EB056A">
        <w:rPr>
          <w:rFonts w:ascii="Arial" w:hAnsi="Arial" w:cs="Arial"/>
          <w:sz w:val="24"/>
          <w:szCs w:val="24"/>
        </w:rPr>
        <w:lastRenderedPageBreak/>
        <w:t xml:space="preserve">lysozyme or collagenase 3, </w:t>
      </w:r>
      <w:r w:rsidR="001E48D4" w:rsidRPr="00EB056A">
        <w:rPr>
          <w:rFonts w:ascii="Arial" w:hAnsi="Arial" w:cs="Arial"/>
          <w:sz w:val="24"/>
          <w:szCs w:val="24"/>
        </w:rPr>
        <w:t>and concluded that at these 10</w:t>
      </w:r>
      <w:r w:rsidR="001E48D4" w:rsidRPr="00EB056A">
        <w:rPr>
          <w:rFonts w:ascii="Arial" w:hAnsi="Arial" w:cs="Arial"/>
          <w:sz w:val="24"/>
          <w:szCs w:val="24"/>
          <w:vertAlign w:val="superscript"/>
        </w:rPr>
        <w:t>-1</w:t>
      </w:r>
      <w:r w:rsidR="001E48D4" w:rsidRPr="00EB056A">
        <w:rPr>
          <w:rFonts w:ascii="Arial" w:hAnsi="Arial" w:cs="Arial"/>
          <w:sz w:val="24"/>
          <w:szCs w:val="24"/>
        </w:rPr>
        <w:t xml:space="preserve"> mM concentrations there was no bioactivity </w:t>
      </w:r>
      <w:r w:rsidR="001E48D4" w:rsidRPr="006D6317">
        <w:rPr>
          <w:rFonts w:ascii="Arial" w:hAnsi="Arial" w:cs="Arial"/>
          <w:sz w:val="24"/>
          <w:szCs w:val="24"/>
        </w:rPr>
        <w:t>loss</w:t>
      </w:r>
      <w:r w:rsidR="00F266F5">
        <w:rPr>
          <w:rFonts w:ascii="Arial" w:hAnsi="Arial" w:cs="Arial"/>
          <w:sz w:val="24"/>
          <w:szCs w:val="24"/>
        </w:rPr>
        <w:t xml:space="preserve"> and </w:t>
      </w:r>
      <w:r w:rsidR="00D02671" w:rsidRPr="006D6317">
        <w:rPr>
          <w:rFonts w:ascii="Arial" w:hAnsi="Arial" w:cs="Arial"/>
          <w:sz w:val="24"/>
          <w:szCs w:val="24"/>
        </w:rPr>
        <w:t xml:space="preserve">no impact </w:t>
      </w:r>
      <w:r w:rsidR="00F266F5">
        <w:rPr>
          <w:rFonts w:ascii="Arial" w:hAnsi="Arial" w:cs="Arial"/>
          <w:sz w:val="24"/>
          <w:szCs w:val="24"/>
        </w:rPr>
        <w:t>on</w:t>
      </w:r>
      <w:r w:rsidR="00D02671" w:rsidRPr="006D6317">
        <w:rPr>
          <w:rFonts w:ascii="Arial" w:hAnsi="Arial" w:cs="Arial"/>
          <w:sz w:val="24"/>
          <w:szCs w:val="24"/>
        </w:rPr>
        <w:t xml:space="preserve"> cells</w:t>
      </w:r>
      <w:r w:rsidR="00D02671" w:rsidRPr="006D6317">
        <w:rPr>
          <w:rFonts w:ascii="Arial" w:hAnsi="Arial" w:cs="Arial"/>
          <w:sz w:val="24"/>
          <w:szCs w:val="24"/>
        </w:rPr>
        <w:fldChar w:fldCharType="begin"/>
      </w:r>
      <w:r w:rsidR="005B4F59">
        <w:rPr>
          <w:rFonts w:ascii="Arial" w:hAnsi="Arial" w:cs="Arial"/>
          <w:sz w:val="24"/>
          <w:szCs w:val="24"/>
        </w:rPr>
        <w:instrText xml:space="preserve"> ADDIN ZOTERO_ITEM CSL_CITATION {"citationID":"EjgpAEhO","properties":{"formattedCitation":"\\super 51\\nosupersub{}","plainCitation":"51","noteIndex":0},"citationItems":[{"id":681,"uris":["http://zotero.org/users/6508478/items/PTSDN889"],"itemData":{"id":681,"type":"article-journal","abstract":"Photoinitiated polymerization remains a robust method for fabrication of hydrogels, as these reactions allow facile spatial and temporal control of gelation and high compatibility for encapsulation of cells and biologics. The chain-growth reaction of macromolecular monomers, such as acrylated PEG and hyaluronan, is commonly used to form hydrogels, but there is growing interest in step-growth photopolymerizations, such as the thiol–ene “click” reaction, as an alternative. Thiol–ene reactions are not susceptible to oxygen inhibition and rapidly form hydrogels using low initiator concentrations. In this work, we characterize the differences in recovery of bioactive proteins when exposed to similar photoinitiation conditions during thiol–ene versus acrylate polymerizations. Following exposure to chain polymerization of acrylates, lysozyme bioactivity was approximately 50%; after step-growth thiol–ene reaction, lysozyme retained nearly 100% of its prereaction activity. Bioactive protein recovery was enhanced 1000-fold in the presence of a thiol–ene reaction, relative to recovery from solutions containing identical primary radical concentrations, but without the thiol–ene components. When the cytokine TGFβ was encapsulated in PEG hydrogels formed via the thiol–ene reaction, full protein bioactivity was preserved.","container-title":"Biomacromolecules","DOI":"10.1021/bm300671s","ISSN":"1525-7797","issue":"8","journalAbbreviation":"Biomacromolecules","note":"publisher: American Chemical Society","page":"2410-2417","source":"ACS Publications","title":"Thiol–Ene Photopolymerizations Provide a Facile Method To Encapsulate Proteins and Maintain Their Bioactivity","volume":"13","author":[{"family":"McCall","given":"Joshua D."},{"family":"Anseth","given":"Kristi S."}],"issued":{"date-parts":[["2012",8,13]]}}}],"schema":"https://github.com/citation-style-language/schema/raw/master/csl-citation.json"} </w:instrText>
      </w:r>
      <w:r w:rsidR="00D02671" w:rsidRPr="006D6317">
        <w:rPr>
          <w:rFonts w:ascii="Arial" w:hAnsi="Arial" w:cs="Arial"/>
          <w:sz w:val="24"/>
          <w:szCs w:val="24"/>
        </w:rPr>
        <w:fldChar w:fldCharType="separate"/>
      </w:r>
      <w:r w:rsidR="00766016" w:rsidRPr="00766016">
        <w:rPr>
          <w:rFonts w:ascii="Arial" w:hAnsi="Arial" w:cs="Arial"/>
          <w:sz w:val="24"/>
          <w:szCs w:val="24"/>
          <w:vertAlign w:val="superscript"/>
        </w:rPr>
        <w:t>51</w:t>
      </w:r>
      <w:r w:rsidR="00D02671" w:rsidRPr="006D6317">
        <w:rPr>
          <w:rFonts w:ascii="Arial" w:hAnsi="Arial" w:cs="Arial"/>
          <w:sz w:val="24"/>
          <w:szCs w:val="24"/>
        </w:rPr>
        <w:fldChar w:fldCharType="end"/>
      </w:r>
      <w:r w:rsidR="00D02671" w:rsidRPr="006D6317">
        <w:rPr>
          <w:rFonts w:ascii="Arial" w:hAnsi="Arial" w:cs="Arial"/>
          <w:sz w:val="24"/>
          <w:szCs w:val="24"/>
        </w:rPr>
        <w:t xml:space="preserve">. </w:t>
      </w:r>
    </w:p>
    <w:p w14:paraId="0E5973A7" w14:textId="35FECF90" w:rsidR="00FD4E05" w:rsidRPr="006D6317" w:rsidRDefault="00043818" w:rsidP="000B6D48">
      <w:pPr>
        <w:spacing w:line="480" w:lineRule="auto"/>
        <w:ind w:firstLine="720"/>
        <w:jc w:val="both"/>
        <w:rPr>
          <w:rFonts w:ascii="Arial" w:hAnsi="Arial" w:cs="Arial"/>
        </w:rPr>
      </w:pPr>
      <w:r>
        <w:rPr>
          <w:rFonts w:ascii="Arial" w:hAnsi="Arial" w:cs="Arial"/>
          <w:sz w:val="24"/>
          <w:szCs w:val="24"/>
        </w:rPr>
        <w:t xml:space="preserve">These studies </w:t>
      </w:r>
      <w:r w:rsidR="00235FE1">
        <w:rPr>
          <w:rFonts w:ascii="Arial" w:hAnsi="Arial" w:cs="Arial"/>
          <w:sz w:val="24"/>
          <w:szCs w:val="24"/>
        </w:rPr>
        <w:t>shed light on</w:t>
      </w:r>
      <w:r>
        <w:rPr>
          <w:rFonts w:ascii="Arial" w:hAnsi="Arial" w:cs="Arial"/>
          <w:sz w:val="24"/>
          <w:szCs w:val="24"/>
        </w:rPr>
        <w:t xml:space="preserve"> the good survival rates of cell</w:t>
      </w:r>
      <w:r w:rsidR="00235FE1">
        <w:rPr>
          <w:rFonts w:ascii="Arial" w:hAnsi="Arial" w:cs="Arial"/>
          <w:sz w:val="24"/>
          <w:szCs w:val="24"/>
        </w:rPr>
        <w:t>s</w:t>
      </w:r>
      <w:r>
        <w:rPr>
          <w:rFonts w:ascii="Arial" w:hAnsi="Arial" w:cs="Arial"/>
          <w:sz w:val="24"/>
          <w:szCs w:val="24"/>
        </w:rPr>
        <w:t xml:space="preserve"> in contact with </w:t>
      </w:r>
      <w:r w:rsidR="00235FE1">
        <w:rPr>
          <w:rFonts w:ascii="Arial" w:hAnsi="Arial" w:cs="Arial"/>
          <w:sz w:val="24"/>
          <w:szCs w:val="24"/>
        </w:rPr>
        <w:t>LAP</w:t>
      </w:r>
      <w:r>
        <w:rPr>
          <w:rFonts w:ascii="Arial" w:hAnsi="Arial" w:cs="Arial"/>
          <w:sz w:val="24"/>
          <w:szCs w:val="24"/>
        </w:rPr>
        <w:t>, which make</w:t>
      </w:r>
      <w:r w:rsidR="00235FE1">
        <w:rPr>
          <w:rFonts w:ascii="Arial" w:hAnsi="Arial" w:cs="Arial"/>
          <w:sz w:val="24"/>
          <w:szCs w:val="24"/>
        </w:rPr>
        <w:t>s</w:t>
      </w:r>
      <w:r>
        <w:rPr>
          <w:rFonts w:ascii="Arial" w:hAnsi="Arial" w:cs="Arial"/>
          <w:sz w:val="24"/>
          <w:szCs w:val="24"/>
        </w:rPr>
        <w:t xml:space="preserve"> it an appropriate photo</w:t>
      </w:r>
      <w:r w:rsidR="00F70151">
        <w:rPr>
          <w:rFonts w:ascii="Arial" w:hAnsi="Arial" w:cs="Arial"/>
          <w:sz w:val="24"/>
          <w:szCs w:val="24"/>
        </w:rPr>
        <w:t>-initiator</w:t>
      </w:r>
      <w:r>
        <w:rPr>
          <w:rFonts w:ascii="Arial" w:hAnsi="Arial" w:cs="Arial"/>
          <w:sz w:val="24"/>
          <w:szCs w:val="24"/>
        </w:rPr>
        <w:t xml:space="preserve"> to start the crosslinking reaction of PHA into hydrogels. </w:t>
      </w:r>
    </w:p>
    <w:p w14:paraId="4062D60B" w14:textId="39014923" w:rsidR="00AC6D3B" w:rsidRPr="006D6317" w:rsidRDefault="00117B0B" w:rsidP="006D6317">
      <w:pPr>
        <w:pStyle w:val="Titre3"/>
        <w:spacing w:line="480" w:lineRule="auto"/>
        <w:jc w:val="both"/>
        <w:rPr>
          <w:rFonts w:ascii="Arial" w:hAnsi="Arial" w:cs="Arial"/>
          <w:b/>
          <w:bCs/>
          <w:color w:val="auto"/>
        </w:rPr>
      </w:pPr>
      <w:bookmarkStart w:id="54" w:name="_Toc77701676"/>
      <w:bookmarkStart w:id="55" w:name="_Toc106903219"/>
      <w:r>
        <w:rPr>
          <w:rFonts w:ascii="Arial" w:hAnsi="Arial" w:cs="Arial"/>
          <w:b/>
          <w:bCs/>
          <w:color w:val="auto"/>
        </w:rPr>
        <w:t>2</w:t>
      </w:r>
      <w:r w:rsidR="00FD4E05">
        <w:rPr>
          <w:rFonts w:ascii="Arial" w:hAnsi="Arial" w:cs="Arial"/>
          <w:b/>
          <w:bCs/>
          <w:color w:val="auto"/>
        </w:rPr>
        <w:t>.</w:t>
      </w:r>
      <w:r w:rsidR="00B15899">
        <w:rPr>
          <w:rFonts w:ascii="Arial" w:hAnsi="Arial" w:cs="Arial"/>
          <w:b/>
          <w:bCs/>
          <w:color w:val="auto"/>
        </w:rPr>
        <w:t>1.</w:t>
      </w:r>
      <w:r w:rsidR="006D1195">
        <w:rPr>
          <w:rFonts w:ascii="Arial" w:hAnsi="Arial" w:cs="Arial"/>
          <w:b/>
          <w:bCs/>
          <w:color w:val="auto"/>
        </w:rPr>
        <w:t xml:space="preserve">3 </w:t>
      </w:r>
      <w:r w:rsidR="0088117B" w:rsidRPr="006D6317">
        <w:rPr>
          <w:rFonts w:ascii="Arial" w:hAnsi="Arial" w:cs="Arial"/>
          <w:b/>
          <w:bCs/>
          <w:color w:val="auto"/>
        </w:rPr>
        <w:t>E</w:t>
      </w:r>
      <w:r w:rsidR="00AC6D3B" w:rsidRPr="006D6317">
        <w:rPr>
          <w:rFonts w:ascii="Arial" w:hAnsi="Arial" w:cs="Arial"/>
          <w:b/>
          <w:bCs/>
          <w:color w:val="auto"/>
        </w:rPr>
        <w:t>asy and safe imaging</w:t>
      </w:r>
      <w:bookmarkEnd w:id="54"/>
      <w:bookmarkEnd w:id="55"/>
      <w:r w:rsidR="00AC6D3B" w:rsidRPr="006D6317">
        <w:rPr>
          <w:rFonts w:ascii="Arial" w:hAnsi="Arial" w:cs="Arial"/>
          <w:b/>
          <w:bCs/>
          <w:color w:val="auto"/>
        </w:rPr>
        <w:t xml:space="preserve"> </w:t>
      </w:r>
    </w:p>
    <w:p w14:paraId="65400D37" w14:textId="3E61DE07" w:rsidR="00922513" w:rsidRDefault="00FF0DEC" w:rsidP="00834360">
      <w:pPr>
        <w:spacing w:after="0" w:line="480" w:lineRule="auto"/>
        <w:ind w:firstLine="720"/>
        <w:jc w:val="both"/>
        <w:rPr>
          <w:rFonts w:ascii="Arial" w:hAnsi="Arial" w:cs="Arial"/>
          <w:sz w:val="24"/>
          <w:szCs w:val="24"/>
        </w:rPr>
      </w:pPr>
      <w:r>
        <w:rPr>
          <w:rFonts w:ascii="Arial" w:hAnsi="Arial" w:cs="Arial"/>
          <w:sz w:val="24"/>
          <w:szCs w:val="24"/>
        </w:rPr>
        <w:t xml:space="preserve">Because PHA hydrogels are transparent, to non-invasively assess with X-rays that our treatment is properly injected in patients, an imaging agent is necessary. </w:t>
      </w:r>
      <w:r w:rsidR="00922513" w:rsidRPr="00EB056A">
        <w:rPr>
          <w:rFonts w:ascii="Arial" w:hAnsi="Arial" w:cs="Arial"/>
          <w:sz w:val="24"/>
          <w:szCs w:val="24"/>
        </w:rPr>
        <w:t>X-rays for brain imaging are safe and used in several procedures as fluoroscopy or computed tomography</w:t>
      </w:r>
      <w:r w:rsidR="00922513" w:rsidRPr="00EB056A">
        <w:rPr>
          <w:rFonts w:ascii="Arial" w:hAnsi="Arial" w:cs="Arial"/>
          <w:sz w:val="24"/>
          <w:szCs w:val="24"/>
        </w:rPr>
        <w:fldChar w:fldCharType="begin"/>
      </w:r>
      <w:r w:rsidR="005B4F59">
        <w:rPr>
          <w:rFonts w:ascii="Arial" w:hAnsi="Arial" w:cs="Arial"/>
          <w:sz w:val="24"/>
          <w:szCs w:val="24"/>
        </w:rPr>
        <w:instrText xml:space="preserve"> ADDIN ZOTERO_ITEM CSL_CITATION {"citationID":"WyqOZ0Rq","properties":{"formattedCitation":"\\super 52,53\\nosupersub{}","plainCitation":"52,53","noteIndex":0},"citationItems":[{"id":661,"uris":["http://zotero.org/users/6508478/items/NSFUUHLY"],"itemData":{"id":661,"type":"webpage","title":"Sudden, severe headache: an unexpected culprit - The Lancet","URL":"https://www.thelancet.com/journals/lancet/article/PIIS0140-6736%2814%2960083-0/fulltext","accessed":{"date-parts":[["2021",11,19]]}}},{"id":673,"uris":["http://zotero.org/users/6508478/items/VH4J9HMS"],"itemData":{"id":673,"type":"article-journal","abstract":"Fluoroscopy is a type of medical imaging that shows a continuous X-ray image on a monitor, much like an X-ray movie.","container-title":"FDA","language":"en","note":"publisher: FDA","source":"www.fda.gov","title":"Fluoroscopy","URL":"https://www.fda.gov/radiation-emitting-products/medical-x-ray-imaging/fluoroscopy","author":[{"family":"Health","given":"Center for Devices and Radiological"}],"accessed":{"date-parts":[["2021",12,9]]},"issued":{"date-parts":[["2021",3,18]]}}}],"schema":"https://github.com/citation-style-language/schema/raw/master/csl-citation.json"} </w:instrText>
      </w:r>
      <w:r w:rsidR="00922513" w:rsidRPr="00EB056A">
        <w:rPr>
          <w:rFonts w:ascii="Arial" w:hAnsi="Arial" w:cs="Arial"/>
          <w:sz w:val="24"/>
          <w:szCs w:val="24"/>
        </w:rPr>
        <w:fldChar w:fldCharType="separate"/>
      </w:r>
      <w:r w:rsidR="00766016" w:rsidRPr="00766016">
        <w:rPr>
          <w:rFonts w:ascii="Arial" w:hAnsi="Arial" w:cs="Arial"/>
          <w:sz w:val="24"/>
          <w:szCs w:val="24"/>
          <w:vertAlign w:val="superscript"/>
        </w:rPr>
        <w:t>52,53</w:t>
      </w:r>
      <w:r w:rsidR="00922513" w:rsidRPr="00EB056A">
        <w:rPr>
          <w:rFonts w:ascii="Arial" w:hAnsi="Arial" w:cs="Arial"/>
          <w:sz w:val="24"/>
          <w:szCs w:val="24"/>
        </w:rPr>
        <w:fldChar w:fldCharType="end"/>
      </w:r>
      <w:r w:rsidR="00922513" w:rsidRPr="00EB056A">
        <w:rPr>
          <w:rFonts w:ascii="Arial" w:hAnsi="Arial" w:cs="Arial"/>
          <w:sz w:val="24"/>
          <w:szCs w:val="24"/>
        </w:rPr>
        <w:t>. Fluoroscopy is a continuous imaging technique that uses X-Rays to provide images during a procedure. It is a well-known and FDA approved method which has various applications as blood vessel visualization, catheter insertion or stent visualization during aneurysm surgery</w:t>
      </w:r>
      <w:r w:rsidR="00922513" w:rsidRPr="00EB056A">
        <w:rPr>
          <w:rFonts w:ascii="Arial" w:hAnsi="Arial" w:cs="Arial"/>
          <w:sz w:val="24"/>
          <w:szCs w:val="24"/>
        </w:rPr>
        <w:fldChar w:fldCharType="begin"/>
      </w:r>
      <w:r w:rsidR="005B4F59">
        <w:rPr>
          <w:rFonts w:ascii="Arial" w:hAnsi="Arial" w:cs="Arial"/>
          <w:sz w:val="24"/>
          <w:szCs w:val="24"/>
        </w:rPr>
        <w:instrText xml:space="preserve"> ADDIN ZOTERO_ITEM CSL_CITATION {"citationID":"gsUVn0PY","properties":{"formattedCitation":"\\super 41,53\\nosupersub{}","plainCitation":"41,53","noteIndex":0},"citationItems":[{"id":43,"uris":["http://zotero.org/users/6508478/items/6W76PZN8"],"itemData":{"id":43,"type":"webpage","abstract":"The Onyx Liquid Embolic System (LES) is an ethylene vinyl alcohol (EVOH) copolymer that provides blockage and distal penetration of peripheral and neurovascular lesions. Learn more about the Onyx Liquid Embolic System.","language":"en","title":"Peripheral Embolization Products - Onyx Liquid Embolic System","URL":"https://europe.medtronic.com/xd-en/healthcare-professionals/products/cardiovascular/peripheral-embolization/onyx.html","author":[{"literal":"Medtronic"}],"accessed":{"date-parts":[["2021",5,25]]}}},{"id":673,"uris":["http://zotero.org/users/6508478/items/VH4J9HMS"],"itemData":{"id":673,"type":"article-journal","abstract":"Fluoroscopy is a type of medical imaging that shows a continuous X-ray image on a monitor, much like an X-ray movie.","container-title":"FDA","language":"en","note":"publisher: FDA","source":"www.fda.gov","title":"Fluoroscopy","URL":"https://www.fda.gov/radiation-emitting-products/medical-x-ray-imaging/fluoroscopy","author":[{"family":"Health","given":"Center for Devices and Radiological"}],"accessed":{"date-parts":[["2021",12,9]]},"issued":{"date-parts":[["2021",3,18]]}}}],"schema":"https://github.com/citation-style-language/schema/raw/master/csl-citation.json"} </w:instrText>
      </w:r>
      <w:r w:rsidR="00922513" w:rsidRPr="00EB056A">
        <w:rPr>
          <w:rFonts w:ascii="Arial" w:hAnsi="Arial" w:cs="Arial"/>
          <w:sz w:val="24"/>
          <w:szCs w:val="24"/>
        </w:rPr>
        <w:fldChar w:fldCharType="separate"/>
      </w:r>
      <w:r w:rsidR="00766016" w:rsidRPr="00766016">
        <w:rPr>
          <w:rFonts w:ascii="Arial" w:hAnsi="Arial" w:cs="Arial"/>
          <w:sz w:val="24"/>
          <w:szCs w:val="24"/>
          <w:vertAlign w:val="superscript"/>
        </w:rPr>
        <w:t>41,53</w:t>
      </w:r>
      <w:r w:rsidR="00922513" w:rsidRPr="00EB056A">
        <w:rPr>
          <w:rFonts w:ascii="Arial" w:hAnsi="Arial" w:cs="Arial"/>
          <w:sz w:val="24"/>
          <w:szCs w:val="24"/>
        </w:rPr>
        <w:fldChar w:fldCharType="end"/>
      </w:r>
      <w:r w:rsidR="00922513" w:rsidRPr="00EB056A">
        <w:rPr>
          <w:rFonts w:ascii="Arial" w:hAnsi="Arial" w:cs="Arial"/>
          <w:sz w:val="24"/>
          <w:szCs w:val="24"/>
        </w:rPr>
        <w:t xml:space="preserve">. Conlin </w:t>
      </w:r>
      <w:r w:rsidR="00922513" w:rsidRPr="00EB056A">
        <w:rPr>
          <w:rFonts w:ascii="Arial" w:hAnsi="Arial" w:cs="Arial"/>
          <w:i/>
          <w:iCs/>
          <w:sz w:val="24"/>
          <w:szCs w:val="24"/>
        </w:rPr>
        <w:t>et al</w:t>
      </w:r>
      <w:r w:rsidR="00C530B7">
        <w:rPr>
          <w:rFonts w:ascii="Arial" w:hAnsi="Arial" w:cs="Arial"/>
          <w:i/>
          <w:iCs/>
          <w:sz w:val="24"/>
          <w:szCs w:val="24"/>
        </w:rPr>
        <w:t>.</w:t>
      </w:r>
      <w:r w:rsidR="00922513" w:rsidRPr="00EB056A">
        <w:rPr>
          <w:rFonts w:ascii="Arial" w:hAnsi="Arial" w:cs="Arial"/>
          <w:sz w:val="24"/>
          <w:szCs w:val="24"/>
        </w:rPr>
        <w:fldChar w:fldCharType="begin"/>
      </w:r>
      <w:r w:rsidR="005B4F59">
        <w:rPr>
          <w:rFonts w:ascii="Arial" w:hAnsi="Arial" w:cs="Arial"/>
          <w:sz w:val="24"/>
          <w:szCs w:val="24"/>
        </w:rPr>
        <w:instrText xml:space="preserve"> ADDIN ZOTERO_ITEM CSL_CITATION {"citationID":"2BCZ5xt6","properties":{"formattedCitation":"\\super 52\\nosupersub{}","plainCitation":"52","noteIndex":0},"citationItems":[{"id":661,"uris":["http://zotero.org/users/6508478/items/NSFUUHLY"],"itemData":{"id":661,"type":"webpage","title":"Sudden, severe headache: an unexpected culprit - The Lancet","URL":"https://www.thelancet.com/journals/lancet/article/PIIS0140-6736%2814%2960083-0/fulltext","accessed":{"date-parts":[["2021",11,19]]}}}],"schema":"https://github.com/citation-style-language/schema/raw/master/csl-citation.json"} </w:instrText>
      </w:r>
      <w:r w:rsidR="00922513" w:rsidRPr="00EB056A">
        <w:rPr>
          <w:rFonts w:ascii="Arial" w:hAnsi="Arial" w:cs="Arial"/>
          <w:sz w:val="24"/>
          <w:szCs w:val="24"/>
        </w:rPr>
        <w:fldChar w:fldCharType="separate"/>
      </w:r>
      <w:r w:rsidR="00766016" w:rsidRPr="00766016">
        <w:rPr>
          <w:rFonts w:ascii="Arial" w:hAnsi="Arial" w:cs="Arial"/>
          <w:sz w:val="24"/>
          <w:szCs w:val="24"/>
          <w:vertAlign w:val="superscript"/>
        </w:rPr>
        <w:t>52</w:t>
      </w:r>
      <w:r w:rsidR="00922513" w:rsidRPr="00EB056A">
        <w:rPr>
          <w:rFonts w:ascii="Arial" w:hAnsi="Arial" w:cs="Arial"/>
          <w:sz w:val="24"/>
          <w:szCs w:val="24"/>
        </w:rPr>
        <w:fldChar w:fldCharType="end"/>
      </w:r>
      <w:r w:rsidR="00922513" w:rsidRPr="00EB056A">
        <w:rPr>
          <w:rFonts w:ascii="Arial" w:hAnsi="Arial" w:cs="Arial"/>
          <w:sz w:val="24"/>
          <w:szCs w:val="24"/>
        </w:rPr>
        <w:t xml:space="preserve"> used computed tomography of the brain of a patient to find the source of their headache.</w:t>
      </w:r>
    </w:p>
    <w:p w14:paraId="119B419B" w14:textId="0F3CA4AD" w:rsidR="00A545C1" w:rsidRPr="0052242C" w:rsidRDefault="00F507C2" w:rsidP="00EB056A">
      <w:pPr>
        <w:spacing w:line="480" w:lineRule="auto"/>
        <w:ind w:firstLine="720"/>
        <w:jc w:val="both"/>
        <w:rPr>
          <w:rFonts w:ascii="Arial" w:hAnsi="Arial" w:cs="Arial"/>
          <w:sz w:val="24"/>
          <w:szCs w:val="24"/>
        </w:rPr>
      </w:pPr>
      <w:r w:rsidRPr="00EB056A">
        <w:rPr>
          <w:rFonts w:ascii="Arial" w:hAnsi="Arial" w:cs="Arial"/>
          <w:sz w:val="24"/>
          <w:szCs w:val="24"/>
        </w:rPr>
        <w:t>There are many different possible biocompatible imaging agent</w:t>
      </w:r>
      <w:r w:rsidR="00C55F5C" w:rsidRPr="00EB056A">
        <w:rPr>
          <w:rFonts w:ascii="Arial" w:hAnsi="Arial" w:cs="Arial"/>
          <w:sz w:val="24"/>
          <w:szCs w:val="24"/>
        </w:rPr>
        <w:t>s</w:t>
      </w:r>
      <w:r w:rsidRPr="00EB056A">
        <w:rPr>
          <w:rFonts w:ascii="Arial" w:hAnsi="Arial" w:cs="Arial"/>
          <w:sz w:val="24"/>
          <w:szCs w:val="24"/>
        </w:rPr>
        <w:t xml:space="preserve"> </w:t>
      </w:r>
      <w:r w:rsidR="00E37272" w:rsidRPr="00EB056A">
        <w:rPr>
          <w:rFonts w:ascii="Arial" w:hAnsi="Arial" w:cs="Arial"/>
          <w:sz w:val="24"/>
          <w:szCs w:val="24"/>
        </w:rPr>
        <w:t>for X-rays</w:t>
      </w:r>
      <w:r w:rsidR="009A5F28" w:rsidRPr="00EB056A">
        <w:rPr>
          <w:rFonts w:ascii="Arial" w:hAnsi="Arial" w:cs="Arial"/>
          <w:sz w:val="24"/>
          <w:szCs w:val="24"/>
        </w:rPr>
        <w:t xml:space="preserve"> such as </w:t>
      </w:r>
      <w:r w:rsidR="008F2718" w:rsidRPr="00EB056A">
        <w:rPr>
          <w:rFonts w:ascii="Arial" w:hAnsi="Arial" w:cs="Arial"/>
          <w:sz w:val="24"/>
          <w:szCs w:val="24"/>
        </w:rPr>
        <w:t>bismuth</w:t>
      </w:r>
      <w:r w:rsidR="005A0AB7" w:rsidRPr="00EB056A">
        <w:rPr>
          <w:rFonts w:ascii="Arial" w:hAnsi="Arial" w:cs="Arial"/>
          <w:sz w:val="24"/>
          <w:szCs w:val="24"/>
        </w:rPr>
        <w:t xml:space="preserve"> chelate</w:t>
      </w:r>
      <w:r w:rsidR="00C61F0F" w:rsidRPr="00EB056A">
        <w:rPr>
          <w:rFonts w:ascii="Arial" w:hAnsi="Arial" w:cs="Arial"/>
          <w:sz w:val="24"/>
          <w:szCs w:val="24"/>
        </w:rPr>
        <w:fldChar w:fldCharType="begin"/>
      </w:r>
      <w:r w:rsidR="005B4F59">
        <w:rPr>
          <w:rFonts w:ascii="Arial" w:hAnsi="Arial" w:cs="Arial"/>
          <w:sz w:val="24"/>
          <w:szCs w:val="24"/>
        </w:rPr>
        <w:instrText xml:space="preserve"> ADDIN ZOTERO_ITEM CSL_CITATION {"citationID":"G8kBgdTo","properties":{"formattedCitation":"\\super 54\\nosupersub{}","plainCitation":"54","noteIndex":0},"citationItems":[{"id":51,"uris":["http://zotero.org/users/6508478/items/LWQ6HWKN"],"itemData":{"id":51,"type":"article-journal","abstract":"Backgrounds\nDue to the unexpected side effects of the iodinated contrast agents, novel contrast agents for X-ray computed tomography (CT) imaging are urgently needed. Nanoparticles made by heavy metal elements are often employed, such as gold and bismuth. These nanoparticles have the advantages of long in vivo circulation time and tumor targeted ability. However, due to the long residence time in vivo, these nanoparticles may bring unexpected toxicity and, the preparation methods of these nanoparticles are complicated and time—consuming.\n\nMethods\nIn this investigation, a small molecular bismuth chelate using diethylenetriaminepentaacetic acid (DPTA) as the chelating agent was proposed to be an ideal CT contrast agent.\n\nResults\nThe preparation method is easy and cost—effective. Moreover, the bismuth agent show better CT imaging for kidney than iohexol in the aspect of improved CT values. Up to 500 µM, the bismuth agent show negligible toxicity to L02 cells and negligible hemolysis. And, the bismuth agent did not induce detectable morphology changes to the main organs of the mice after intravenously repeated administration at a high dose of 250 mg/kg. The pharmacokinetics of the bismuth agent follows the first—order elimination kinetics and, it has a short half—life time of 0.602 h. The rapid clearance from the body promised its excellent biocompatibility.\n\nConclusions\nThis bismuth agent may serve as a potential candidate for developing novel contrast agent for CT imaging in clinical applications.","container-title":"Journal of Nanobiotechnology","DOI":"10.1186/s12951-020-00669-4","ISSN":"1477-3155","journalAbbreviation":"J Nanobiotechnology","note":"PMID: 32762751\nPMCID: PMC7412782","source":"PubMed Central","title":"Bismuth chelate as a contrast agent for X-ray computed tomography","URL":"https://www.ncbi.nlm.nih.gov/pmc/articles/PMC7412782/","volume":"18","author":[{"family":"Fu","given":"Ji-jun"},{"family":"Guo","given":"Jun-jie"},{"family":"Qin","given":"Ai-ping"},{"family":"Yu","given":"Xi-yong"},{"family":"Zhang","given":"Qiang"},{"family":"Lei","given":"Xue-ping"},{"family":"Huang","given":"Yu-gang"},{"family":"Chen","given":"Ming-yue"},{"family":"Li","given":"Jie-xia"},{"family":"Zhang","given":"Yu"},{"family":"Liu","given":"Jing-ping"},{"family":"Dang","given":"Yuan-ye"},{"family":"Wu","given":"Dan"},{"family":"Zhao","given":"Xiao-ya"},{"family":"Lin","given":"Zhong-xiao"},{"family":"Lin","given":"Yin-lei"},{"family":"Li","given":"Song-pei"},{"family":"Zhang","given":"Ling-yan"}],"accessed":{"date-parts":[["2021",5,20]]},"issued":{"date-parts":[["2020",8,6]]}}}],"schema":"https://github.com/citation-style-language/schema/raw/master/csl-citation.json"} </w:instrText>
      </w:r>
      <w:r w:rsidR="00C61F0F" w:rsidRPr="00EB056A">
        <w:rPr>
          <w:rFonts w:ascii="Arial" w:hAnsi="Arial" w:cs="Arial"/>
          <w:sz w:val="24"/>
          <w:szCs w:val="24"/>
        </w:rPr>
        <w:fldChar w:fldCharType="separate"/>
      </w:r>
      <w:r w:rsidR="00766016" w:rsidRPr="00766016">
        <w:rPr>
          <w:rFonts w:ascii="Arial" w:hAnsi="Arial" w:cs="Arial"/>
          <w:sz w:val="24"/>
          <w:szCs w:val="24"/>
          <w:vertAlign w:val="superscript"/>
        </w:rPr>
        <w:t>54</w:t>
      </w:r>
      <w:r w:rsidR="00C61F0F" w:rsidRPr="00EB056A">
        <w:rPr>
          <w:rFonts w:ascii="Arial" w:hAnsi="Arial" w:cs="Arial"/>
          <w:sz w:val="24"/>
          <w:szCs w:val="24"/>
        </w:rPr>
        <w:fldChar w:fldCharType="end"/>
      </w:r>
      <w:r w:rsidR="008F2718" w:rsidRPr="00EB056A">
        <w:rPr>
          <w:rFonts w:ascii="Arial" w:hAnsi="Arial" w:cs="Arial"/>
          <w:sz w:val="24"/>
          <w:szCs w:val="24"/>
        </w:rPr>
        <w:t xml:space="preserve">, </w:t>
      </w:r>
      <w:r w:rsidR="00C27203" w:rsidRPr="00EB056A">
        <w:rPr>
          <w:rFonts w:ascii="Arial" w:hAnsi="Arial" w:cs="Arial"/>
          <w:sz w:val="24"/>
          <w:szCs w:val="24"/>
        </w:rPr>
        <w:t xml:space="preserve">iodine, </w:t>
      </w:r>
      <w:r w:rsidR="00C61F0F" w:rsidRPr="00EB056A">
        <w:rPr>
          <w:rFonts w:ascii="Arial" w:hAnsi="Arial" w:cs="Arial"/>
          <w:sz w:val="24"/>
          <w:szCs w:val="24"/>
        </w:rPr>
        <w:t xml:space="preserve">ferrous sulfate, </w:t>
      </w:r>
      <w:r w:rsidR="004E417D" w:rsidRPr="00EB056A">
        <w:rPr>
          <w:rFonts w:ascii="Arial" w:hAnsi="Arial" w:cs="Arial"/>
          <w:sz w:val="24"/>
          <w:szCs w:val="24"/>
        </w:rPr>
        <w:t xml:space="preserve">tantalum, </w:t>
      </w:r>
      <w:r w:rsidR="00C61F0F" w:rsidRPr="00EB056A">
        <w:rPr>
          <w:rFonts w:ascii="Arial" w:hAnsi="Arial" w:cs="Arial"/>
          <w:sz w:val="24"/>
          <w:szCs w:val="24"/>
        </w:rPr>
        <w:t>copper sulfate</w:t>
      </w:r>
      <w:r w:rsidR="0083738E" w:rsidRPr="00EB056A">
        <w:rPr>
          <w:rFonts w:ascii="Arial" w:hAnsi="Arial" w:cs="Arial"/>
          <w:sz w:val="24"/>
          <w:szCs w:val="24"/>
        </w:rPr>
        <w:fldChar w:fldCharType="begin"/>
      </w:r>
      <w:r w:rsidR="005B4F59">
        <w:rPr>
          <w:rFonts w:ascii="Arial" w:hAnsi="Arial" w:cs="Arial"/>
          <w:sz w:val="24"/>
          <w:szCs w:val="24"/>
        </w:rPr>
        <w:instrText xml:space="preserve"> ADDIN ZOTERO_ITEM CSL_CITATION {"citationID":"q3dQdfw9","properties":{"formattedCitation":"\\super 55\\nosupersub{}","plainCitation":"55","noteIndex":0},"citationItems":[{"id":50,"uris":["http://zotero.org/users/6508478/items/7RRKILWC"],"itemData":{"id":50,"type":"article-journal","abstract":"X-ray computed tomography is a strong tool that finds many applications both in medical applications and in the investigation of biological and nonbiological samples. In the clinics, X-ray tomography is widely used for diagnostic purposes whose three-dimensional imaging in high resolution helps physicians to obtain detailed image of investigated regions. Researchers in biological sciences and engineering use X-ray tomography because it is a nondestructive method to assess the structure of their samples. In both medical and biological applications, visualization of soft tissues and structures requires special treatment, in which special contrast agents are used. In this detailed report, molecule-based and nanoparticle-based contrast agents used in biological applications to enhance the image quality were compiled and reported. Special contrast agent applications and protocols to enhance the contrast for the biological applications and works to develop nanoparticle contrast agents to enhance the contrast for targeted drug delivery and general imaging applications were also assessed and listed.","container-title":"Microscopy Research and Technique","DOI":"https://doi.org/10.1002/jemt.23225","ISSN":"1097-0029","issue":"6","language":"en","page":"812-848","source":"Wiley Online Library","title":"Evaluation of X-ray tomography contrast agents: A review of production, protocols, and biological applications","title-short":"Evaluation of X-ray tomography contrast agents","volume":"82","author":[{"family":"Koç","given":"Mümin Mehmet"},{"family":"Aslan","given":"Naim"},{"family":"Kao","given":"Alexander P."},{"family":"Barber","given":"Asa H."}],"issued":{"date-parts":[["2019"]]}}}],"schema":"https://github.com/citation-style-language/schema/raw/master/csl-citation.json"} </w:instrText>
      </w:r>
      <w:r w:rsidR="0083738E" w:rsidRPr="00EB056A">
        <w:rPr>
          <w:rFonts w:ascii="Arial" w:hAnsi="Arial" w:cs="Arial"/>
          <w:sz w:val="24"/>
          <w:szCs w:val="24"/>
        </w:rPr>
        <w:fldChar w:fldCharType="separate"/>
      </w:r>
      <w:r w:rsidR="00766016" w:rsidRPr="00766016">
        <w:rPr>
          <w:rFonts w:ascii="Arial" w:hAnsi="Arial" w:cs="Arial"/>
          <w:sz w:val="24"/>
          <w:szCs w:val="24"/>
          <w:vertAlign w:val="superscript"/>
        </w:rPr>
        <w:t>55</w:t>
      </w:r>
      <w:r w:rsidR="0083738E" w:rsidRPr="00EB056A">
        <w:rPr>
          <w:rFonts w:ascii="Arial" w:hAnsi="Arial" w:cs="Arial"/>
          <w:sz w:val="24"/>
          <w:szCs w:val="24"/>
        </w:rPr>
        <w:fldChar w:fldCharType="end"/>
      </w:r>
      <w:r w:rsidR="00CB3812">
        <w:rPr>
          <w:rFonts w:ascii="Arial" w:hAnsi="Arial" w:cs="Arial"/>
          <w:sz w:val="24"/>
          <w:szCs w:val="24"/>
        </w:rPr>
        <w:t>.</w:t>
      </w:r>
      <w:r w:rsidR="00C61F0F" w:rsidRPr="00EB056A">
        <w:rPr>
          <w:rFonts w:ascii="Arial" w:hAnsi="Arial" w:cs="Arial"/>
          <w:sz w:val="24"/>
          <w:szCs w:val="24"/>
        </w:rPr>
        <w:t xml:space="preserve">  </w:t>
      </w:r>
      <w:r w:rsidR="00592AE6" w:rsidRPr="00EB056A">
        <w:rPr>
          <w:rFonts w:ascii="Arial" w:hAnsi="Arial" w:cs="Arial"/>
          <w:sz w:val="24"/>
          <w:szCs w:val="24"/>
        </w:rPr>
        <w:t xml:space="preserve">Roberts </w:t>
      </w:r>
      <w:r w:rsidR="00BB6AC4" w:rsidRPr="00EB056A">
        <w:rPr>
          <w:rFonts w:ascii="Arial" w:hAnsi="Arial" w:cs="Arial"/>
          <w:i/>
          <w:iCs/>
          <w:sz w:val="24"/>
          <w:szCs w:val="24"/>
        </w:rPr>
        <w:t>et al</w:t>
      </w:r>
      <w:r w:rsidR="00C530B7">
        <w:rPr>
          <w:rFonts w:ascii="Arial" w:hAnsi="Arial" w:cs="Arial"/>
          <w:i/>
          <w:iCs/>
          <w:sz w:val="24"/>
          <w:szCs w:val="24"/>
        </w:rPr>
        <w:t>.</w:t>
      </w:r>
      <w:r w:rsidR="00BB6AC4" w:rsidRPr="00EB056A">
        <w:rPr>
          <w:rFonts w:ascii="Arial" w:hAnsi="Arial" w:cs="Arial"/>
          <w:sz w:val="24"/>
          <w:szCs w:val="24"/>
        </w:rPr>
        <w:fldChar w:fldCharType="begin"/>
      </w:r>
      <w:r w:rsidR="005B4F59">
        <w:rPr>
          <w:rFonts w:ascii="Arial" w:hAnsi="Arial" w:cs="Arial"/>
          <w:sz w:val="24"/>
          <w:szCs w:val="24"/>
        </w:rPr>
        <w:instrText xml:space="preserve"> ADDIN ZOTERO_ITEM CSL_CITATION {"citationID":"XYNJuhtY","properties":{"formattedCitation":"\\super 56\\nosupersub{}","plainCitation":"56","noteIndex":0},"citationItems":[{"id":28,"uris":["http://zotero.org/users/6508478/items/AXDKZN5W"],"itemData":{"id":28,"type":"book","abstract":"Introduction\nCurrent clinically-approved computed tomography (CT) contrast agents employ iodinated small molecules that are used to highlight vascular anatomy and pathology. (Cormode 2013) However, iodinated compounds have poor imaging efficacy in large patients and their use is contraindicated in a growing population of renally impaired patients who are hypersensitive to these contrast agents. (Cormode 2013) Nanoparticles have been explored as a potential new class of CT contrast agents. (Garcia 2014) In order to be clinically translatable as contrast agents, nanoparticles must have controlled physiochemical parameters and appropriate biological safety profiles. (Jakhmola 2012 &amp; Garcia 2014) Tantalum oxide nanoparticles (TaO NPs) have high potential as CT contrast agents because of their promising biocompatibility and good radiopacity. (Bonitatibus 2010 &amp; Torres 2012) In this study, we have identified a &lt;5nm zwitterion-coated TaO nanoparticle that exhibits promising physiochemical, biological and CT imaging performance.\nMethods and Results\nA phosphonate-coated TaO NP (PHS, Bonitatibus 2010), a zwitterionic mixed siloxane-coated TaO NP (ZMS, Bonitatibus 2012) and a single-ligand zwitterion-coated TaO NP (CZ) were synthesized. Compared to the previously reported physiochemical properties of PHS, zwitterion-coated nanoparticles (ZMS, CZ) show lower viscosities at higher concentrations. (Figure 1a,b) To test organ retention of each TaO NP, naive rats were intravenously injected with the anticipated clinical dose (400 mg Ta/kg bodyweight) of each TaO NP. One week after injection, organs known to retain nanoparticles (liver, kidney and spleen) were removed and measured for Ta content (% injected dose/organ) by combustion followed by inductively-coupled plasma spectroscopy. Zwitterionic nanoparticles showed lower tantalum organ retention than PHS; CZ showing the lowest retention. (Figure 1c) To explore the safety performance of these nanoparticles, rats were intravenously injected with 3x anticipated clinical dose (1500 mg Ta/kg bodyweight) of each nanoparticle. To evaluate potential renal toxicity, kidneys were collected (day 7), sectioned, stained by H&amp;E, and scored by a toxicologic pathologist (Charles River Labs). The kidney pathology that is observed with PHS was not observed by the zwitterionic nanoparticles (ZMS, CZ). (Figure 1d)\nTantalum-based contrast agents can provide improved vascular contrast and allow reduced radiation dose especially in larger patients. In Figure 1e, we show the image contrast produced by tantalum compared to iodine at the range of x-ray tube voltages (kVp) used in CT imaging. 80 kVp is used to scan the smallest adult patients. Tantalum provides higher image contrast than other elements at 100-140 kVp and could be used to improve image quality or to reduce radiation and/or contrast agent dose in most patients, with the highest improvement at 140 kVp, which is required for large patients.\nConclusions\nIn summary, zwitterionic coated TaO nanoparticles (ZMS, CZ) exhibit the best physiochemical, retention and safety profiles. These TaO nanoparticles may also reduce the radiation dose for CT imaging in larger patients.","note":"DOI: 10.13140/RG.2.1.3352.3687","source":"ResearchGate","title":"Physiochemical, biological, and imaging performance of zwitterionic-coated TaO nanoparticles as CT contrast agents","author":[{"family":"Roberts","given":"Jeannette"},{"family":"Bonitatibus","given":"Peter"},{"family":"Butts","given":"Matthew"},{"family":"Colborn","given":"Robert"},{"family":"Edic","given":"Peter"},{"family":"Fitzgerald","given":"Paul"},{"family":"Lambert","given":"Jack"},{"family":"Marino","given":"Michael"},{"family":"Torres","given":"Andrew"},{"family":"Yeh","given":"Benjamin"}],"issued":{"date-parts":[["2015",9,24]]}}}],"schema":"https://github.com/citation-style-language/schema/raw/master/csl-citation.json"} </w:instrText>
      </w:r>
      <w:r w:rsidR="00BB6AC4" w:rsidRPr="00EB056A">
        <w:rPr>
          <w:rFonts w:ascii="Arial" w:hAnsi="Arial" w:cs="Arial"/>
          <w:sz w:val="24"/>
          <w:szCs w:val="24"/>
        </w:rPr>
        <w:fldChar w:fldCharType="separate"/>
      </w:r>
      <w:r w:rsidR="00766016" w:rsidRPr="00766016">
        <w:rPr>
          <w:rFonts w:ascii="Arial" w:hAnsi="Arial" w:cs="Arial"/>
          <w:sz w:val="24"/>
          <w:szCs w:val="24"/>
          <w:vertAlign w:val="superscript"/>
        </w:rPr>
        <w:t>56</w:t>
      </w:r>
      <w:r w:rsidR="00BB6AC4" w:rsidRPr="00EB056A">
        <w:rPr>
          <w:rFonts w:ascii="Arial" w:hAnsi="Arial" w:cs="Arial"/>
          <w:sz w:val="24"/>
          <w:szCs w:val="24"/>
        </w:rPr>
        <w:fldChar w:fldCharType="end"/>
      </w:r>
      <w:r w:rsidR="00C23025" w:rsidRPr="00EB056A">
        <w:rPr>
          <w:rFonts w:ascii="Arial" w:hAnsi="Arial" w:cs="Arial"/>
          <w:sz w:val="24"/>
          <w:szCs w:val="24"/>
        </w:rPr>
        <w:t xml:space="preserve"> </w:t>
      </w:r>
      <w:r w:rsidR="00004876" w:rsidRPr="00EB056A">
        <w:rPr>
          <w:rFonts w:ascii="Arial" w:hAnsi="Arial" w:cs="Arial"/>
          <w:sz w:val="24"/>
          <w:szCs w:val="24"/>
        </w:rPr>
        <w:t xml:space="preserve">observed that </w:t>
      </w:r>
      <w:r w:rsidR="00653A8A" w:rsidRPr="00EB056A">
        <w:rPr>
          <w:rFonts w:ascii="Arial" w:hAnsi="Arial" w:cs="Arial"/>
          <w:sz w:val="24"/>
          <w:szCs w:val="24"/>
        </w:rPr>
        <w:t>tantalum</w:t>
      </w:r>
      <w:r w:rsidR="00FF0DEC">
        <w:rPr>
          <w:rFonts w:ascii="Arial" w:hAnsi="Arial" w:cs="Arial"/>
          <w:sz w:val="24"/>
          <w:szCs w:val="24"/>
        </w:rPr>
        <w:t xml:space="preserve"> (Ta)</w:t>
      </w:r>
      <w:r w:rsidR="00653A8A" w:rsidRPr="00EB056A">
        <w:rPr>
          <w:rFonts w:ascii="Arial" w:hAnsi="Arial" w:cs="Arial"/>
          <w:sz w:val="24"/>
          <w:szCs w:val="24"/>
        </w:rPr>
        <w:t xml:space="preserve"> offers a better imagin</w:t>
      </w:r>
      <w:r w:rsidR="007E3698" w:rsidRPr="00EB056A">
        <w:rPr>
          <w:rFonts w:ascii="Arial" w:hAnsi="Arial" w:cs="Arial"/>
          <w:sz w:val="24"/>
          <w:szCs w:val="24"/>
        </w:rPr>
        <w:t>g</w:t>
      </w:r>
      <w:r w:rsidR="00653A8A" w:rsidRPr="00EB056A">
        <w:rPr>
          <w:rFonts w:ascii="Arial" w:hAnsi="Arial" w:cs="Arial"/>
          <w:sz w:val="24"/>
          <w:szCs w:val="24"/>
        </w:rPr>
        <w:t xml:space="preserve"> contrast tha</w:t>
      </w:r>
      <w:r w:rsidR="00CB3812">
        <w:rPr>
          <w:rFonts w:ascii="Arial" w:hAnsi="Arial" w:cs="Arial"/>
          <w:sz w:val="24"/>
          <w:szCs w:val="24"/>
        </w:rPr>
        <w:t>n</w:t>
      </w:r>
      <w:r w:rsidR="00653A8A" w:rsidRPr="00EB056A">
        <w:rPr>
          <w:rFonts w:ascii="Arial" w:hAnsi="Arial" w:cs="Arial"/>
          <w:sz w:val="24"/>
          <w:szCs w:val="24"/>
        </w:rPr>
        <w:t xml:space="preserve"> iodine </w:t>
      </w:r>
      <w:r w:rsidR="009B47D2" w:rsidRPr="00EB056A">
        <w:rPr>
          <w:rFonts w:ascii="Arial" w:hAnsi="Arial" w:cs="Arial"/>
          <w:sz w:val="24"/>
          <w:szCs w:val="24"/>
        </w:rPr>
        <w:t xml:space="preserve">above 80 kVp, </w:t>
      </w:r>
      <w:r w:rsidR="00CB3812">
        <w:rPr>
          <w:rFonts w:ascii="Arial" w:hAnsi="Arial" w:cs="Arial"/>
          <w:sz w:val="24"/>
          <w:szCs w:val="24"/>
        </w:rPr>
        <w:t>while</w:t>
      </w:r>
      <w:r w:rsidR="00CB3812" w:rsidRPr="00EB056A">
        <w:rPr>
          <w:rFonts w:ascii="Arial" w:hAnsi="Arial" w:cs="Arial"/>
          <w:sz w:val="24"/>
          <w:szCs w:val="24"/>
        </w:rPr>
        <w:t xml:space="preserve"> </w:t>
      </w:r>
      <w:r w:rsidR="00592AE6" w:rsidRPr="00EB056A">
        <w:rPr>
          <w:rFonts w:ascii="Arial" w:hAnsi="Arial" w:cs="Arial"/>
          <w:sz w:val="24"/>
          <w:szCs w:val="24"/>
        </w:rPr>
        <w:t xml:space="preserve">Rathnayake </w:t>
      </w:r>
      <w:r w:rsidR="009B47D2" w:rsidRPr="00EB056A">
        <w:rPr>
          <w:rFonts w:ascii="Arial" w:hAnsi="Arial" w:cs="Arial"/>
          <w:i/>
          <w:iCs/>
          <w:sz w:val="24"/>
          <w:szCs w:val="24"/>
        </w:rPr>
        <w:t>et al</w:t>
      </w:r>
      <w:r w:rsidR="00C530B7">
        <w:rPr>
          <w:rFonts w:ascii="Arial" w:hAnsi="Arial" w:cs="Arial"/>
          <w:i/>
          <w:iCs/>
          <w:sz w:val="24"/>
          <w:szCs w:val="24"/>
        </w:rPr>
        <w:t>.</w:t>
      </w:r>
      <w:r w:rsidR="009B47D2" w:rsidRPr="00EB056A">
        <w:rPr>
          <w:rFonts w:ascii="Arial" w:hAnsi="Arial" w:cs="Arial"/>
          <w:sz w:val="24"/>
          <w:szCs w:val="24"/>
        </w:rPr>
        <w:fldChar w:fldCharType="begin"/>
      </w:r>
      <w:r w:rsidR="005B4F59">
        <w:rPr>
          <w:rFonts w:ascii="Arial" w:hAnsi="Arial" w:cs="Arial"/>
          <w:sz w:val="24"/>
          <w:szCs w:val="24"/>
        </w:rPr>
        <w:instrText xml:space="preserve"> ADDIN ZOTERO_ITEM CSL_CITATION {"citationID":"CxiwKnW6","properties":{"formattedCitation":"\\super 57\\nosupersub{}","plainCitation":"57","noteIndex":0},"citationItems":[{"id":29,"uris":["http://zotero.org/users/6508478/items/CB7YJJQ6"],"itemData":{"id":29,"type":"article-journal","abstract":"To assess the ability of dual-energy CT (DECT) to separate intravenous contrast of bowel wall from intraluminal contrast, we scanned 16 rabbits on a clinical DECT scanner: n=3 using only iodinated intravenous contrast; and n=13 double-contrast enhanced scans using iodinated intravenous contrast and experimental enteric non-iodinated contrast agents in the bowel lumen (5 bismuth-, 4 tungsten-, and 4 tantalum-based). Representative image pairs from conventional CT images and DECT iodine density maps of small bowel (116 pairs from 232 images) were viewed by four abdominal imaging attending radiologists to independently score each comparison pair on a visual analog scale (−100 to +100%) for: 1) preference in small bowel wall visualization; and 2) preference in completeness of intraluminal enteric contrast subtraction. Median small bowel wall visualization was scored 39 and 42 percentage points (95% CI: 30–44% and 36–45%, p&lt;0.001 both) higher at double-contrast DECT than at conventional CT with enteric tungsten and tantalum contrast, respectively. Median small bowel wall visualization at double-contrast DECT was scored 29 and 35 percentage points (95% CI: 20–35% and 33–39%, p&lt;0.001 both) higher with enteric tungsten and tantalum, respectively, than with bismuth contrast. Median completeness of intraluminal enteric contrast subtraction in double-contrast DECT iodine density maps was scored 28 and 29 percentage points (95% CI: 15–31% and 28–33%, p&lt;0.001 both) higher with enteric tungsten and tantalum, respectively, than with bismuth contrast. Results suggest that in vivo double-contrast DECT with iodinated intravenous and either tantalum- or tungsten-based enteric contrast provide better visualization of small bowel than conventional CT.","container-title":"Contrast media &amp; molecular imaging","DOI":"10.1002/cmmi.1687","ISSN":"1555-4309","issue":"4","journalAbbreviation":"Contrast Media Mol Imaging","note":"PMID: 26892945\nPMCID: PMC4969129","page":"254-261","source":"PubMed Central","title":"In vivo comparison of tantalum, tungsten, and bismuth enteric contrast agents to complement intravenous iodine for double-contrast dual-energy CT of the bowel","volume":"11","author":[{"family":"Rathnayake","given":"Samira"},{"family":"Mongan","given":"John"},{"family":"Torres","given":"Andrew S."},{"family":"Colborn","given":"Robert"},{"family":"Gao","given":"Dong-Wei"},{"family":"Yeh","given":"Benjamin M"},{"family":"Fu","given":"Yanjun"}],"issued":{"date-parts":[["2016",7]]}}}],"schema":"https://github.com/citation-style-language/schema/raw/master/csl-citation.json"} </w:instrText>
      </w:r>
      <w:r w:rsidR="009B47D2" w:rsidRPr="00EB056A">
        <w:rPr>
          <w:rFonts w:ascii="Arial" w:hAnsi="Arial" w:cs="Arial"/>
          <w:sz w:val="24"/>
          <w:szCs w:val="24"/>
        </w:rPr>
        <w:fldChar w:fldCharType="separate"/>
      </w:r>
      <w:r w:rsidR="00766016" w:rsidRPr="00766016">
        <w:rPr>
          <w:rFonts w:ascii="Arial" w:hAnsi="Arial" w:cs="Arial"/>
          <w:sz w:val="24"/>
          <w:szCs w:val="24"/>
          <w:vertAlign w:val="superscript"/>
        </w:rPr>
        <w:t>57</w:t>
      </w:r>
      <w:r w:rsidR="009B47D2" w:rsidRPr="00EB056A">
        <w:rPr>
          <w:rFonts w:ascii="Arial" w:hAnsi="Arial" w:cs="Arial"/>
          <w:sz w:val="24"/>
          <w:szCs w:val="24"/>
        </w:rPr>
        <w:fldChar w:fldCharType="end"/>
      </w:r>
      <w:r w:rsidR="00CE0D04" w:rsidRPr="00EB056A">
        <w:rPr>
          <w:rFonts w:ascii="Arial" w:hAnsi="Arial" w:cs="Arial"/>
          <w:sz w:val="24"/>
          <w:szCs w:val="24"/>
        </w:rPr>
        <w:t xml:space="preserve"> reported that </w:t>
      </w:r>
      <w:r w:rsidR="00BF162F" w:rsidRPr="00EB056A">
        <w:rPr>
          <w:rFonts w:ascii="Arial" w:hAnsi="Arial" w:cs="Arial"/>
          <w:sz w:val="24"/>
          <w:szCs w:val="24"/>
        </w:rPr>
        <w:t xml:space="preserve">tantalum </w:t>
      </w:r>
      <w:r w:rsidR="00AA2E4B" w:rsidRPr="00EB056A">
        <w:rPr>
          <w:rFonts w:ascii="Arial" w:hAnsi="Arial" w:cs="Arial"/>
          <w:sz w:val="24"/>
          <w:szCs w:val="24"/>
        </w:rPr>
        <w:t>bring</w:t>
      </w:r>
      <w:r w:rsidR="00230516" w:rsidRPr="00EB056A">
        <w:rPr>
          <w:rFonts w:ascii="Arial" w:hAnsi="Arial" w:cs="Arial"/>
          <w:sz w:val="24"/>
          <w:szCs w:val="24"/>
        </w:rPr>
        <w:t>s</w:t>
      </w:r>
      <w:r w:rsidR="00AA2E4B" w:rsidRPr="00EB056A">
        <w:rPr>
          <w:rFonts w:ascii="Arial" w:hAnsi="Arial" w:cs="Arial"/>
          <w:sz w:val="24"/>
          <w:szCs w:val="24"/>
        </w:rPr>
        <w:t xml:space="preserve"> more contrast </w:t>
      </w:r>
      <w:r w:rsidR="006E26F4" w:rsidRPr="00EB056A">
        <w:rPr>
          <w:rFonts w:ascii="Arial" w:hAnsi="Arial" w:cs="Arial"/>
          <w:sz w:val="24"/>
          <w:szCs w:val="24"/>
        </w:rPr>
        <w:t xml:space="preserve">and details </w:t>
      </w:r>
      <w:r w:rsidR="000C4D95" w:rsidRPr="00EB056A">
        <w:rPr>
          <w:rFonts w:ascii="Arial" w:hAnsi="Arial" w:cs="Arial"/>
          <w:sz w:val="24"/>
          <w:szCs w:val="24"/>
        </w:rPr>
        <w:t xml:space="preserve">with dual contrast </w:t>
      </w:r>
      <w:r w:rsidR="001C6EC7" w:rsidRPr="00EB056A">
        <w:rPr>
          <w:rFonts w:ascii="Arial" w:hAnsi="Arial" w:cs="Arial"/>
          <w:sz w:val="24"/>
          <w:szCs w:val="24"/>
        </w:rPr>
        <w:t>d</w:t>
      </w:r>
      <w:r w:rsidR="000C4D95" w:rsidRPr="00EB056A">
        <w:rPr>
          <w:rFonts w:ascii="Arial" w:hAnsi="Arial" w:cs="Arial"/>
          <w:sz w:val="24"/>
          <w:szCs w:val="24"/>
        </w:rPr>
        <w:t>ual energy computed tomography</w:t>
      </w:r>
      <w:r w:rsidR="00230516" w:rsidRPr="00EB056A">
        <w:rPr>
          <w:rFonts w:ascii="Arial" w:hAnsi="Arial" w:cs="Arial"/>
          <w:sz w:val="24"/>
          <w:szCs w:val="24"/>
        </w:rPr>
        <w:t>, compared to bismuth</w:t>
      </w:r>
      <w:r w:rsidR="000C4D95" w:rsidRPr="00EB056A">
        <w:rPr>
          <w:rFonts w:ascii="Arial" w:hAnsi="Arial" w:cs="Arial"/>
          <w:sz w:val="24"/>
          <w:szCs w:val="24"/>
        </w:rPr>
        <w:t>.</w:t>
      </w:r>
      <w:r w:rsidR="00CE0D04" w:rsidRPr="00EB056A">
        <w:rPr>
          <w:rFonts w:ascii="Arial" w:hAnsi="Arial" w:cs="Arial"/>
          <w:sz w:val="24"/>
          <w:szCs w:val="24"/>
        </w:rPr>
        <w:t xml:space="preserve"> Moreover, </w:t>
      </w:r>
      <w:r w:rsidR="00275E7B" w:rsidRPr="00EB056A">
        <w:rPr>
          <w:rFonts w:ascii="Arial" w:hAnsi="Arial" w:cs="Arial"/>
          <w:sz w:val="24"/>
          <w:szCs w:val="24"/>
        </w:rPr>
        <w:t>tantalum was used in the Onyx embolization agent</w:t>
      </w:r>
      <w:r w:rsidR="00B509AE" w:rsidRPr="00EB056A">
        <w:rPr>
          <w:rFonts w:ascii="Arial" w:hAnsi="Arial" w:cs="Arial"/>
          <w:sz w:val="24"/>
          <w:szCs w:val="24"/>
        </w:rPr>
        <w:fldChar w:fldCharType="begin"/>
      </w:r>
      <w:r w:rsidR="005B4F59">
        <w:rPr>
          <w:rFonts w:ascii="Arial" w:hAnsi="Arial" w:cs="Arial"/>
          <w:sz w:val="24"/>
          <w:szCs w:val="24"/>
        </w:rPr>
        <w:instrText xml:space="preserve"> ADDIN ZOTERO_ITEM CSL_CITATION {"citationID":"KiOfmUA7","properties":{"formattedCitation":"\\super 41\\nosupersub{}","plainCitation":"41","noteIndex":0},"citationItems":[{"id":43,"uris":["http://zotero.org/users/6508478/items/6W76PZN8"],"itemData":{"id":43,"type":"webpage","abstract":"The Onyx Liquid Embolic System (LES) is an ethylene vinyl alcohol (EVOH) copolymer that provides blockage and distal penetration of peripheral and neurovascular lesions. Learn more about the Onyx Liquid Embolic System.","language":"en","title":"Peripheral Embolization Products - Onyx Liquid Embolic System","URL":"https://europe.medtronic.com/xd-en/healthcare-professionals/products/cardiovascular/peripheral-embolization/onyx.html","author":[{"literal":"Medtronic"}],"accessed":{"date-parts":[["2021",5,25]]}}}],"schema":"https://github.com/citation-style-language/schema/raw/master/csl-citation.json"} </w:instrText>
      </w:r>
      <w:r w:rsidR="00B509AE" w:rsidRPr="00EB056A">
        <w:rPr>
          <w:rFonts w:ascii="Arial" w:hAnsi="Arial" w:cs="Arial"/>
          <w:sz w:val="24"/>
          <w:szCs w:val="24"/>
        </w:rPr>
        <w:fldChar w:fldCharType="separate"/>
      </w:r>
      <w:r w:rsidR="00766016" w:rsidRPr="00766016">
        <w:rPr>
          <w:rFonts w:ascii="Arial" w:hAnsi="Arial" w:cs="Arial"/>
          <w:sz w:val="24"/>
          <w:szCs w:val="24"/>
          <w:vertAlign w:val="superscript"/>
        </w:rPr>
        <w:t>41</w:t>
      </w:r>
      <w:r w:rsidR="00B509AE" w:rsidRPr="00EB056A">
        <w:rPr>
          <w:rFonts w:ascii="Arial" w:hAnsi="Arial" w:cs="Arial"/>
          <w:sz w:val="24"/>
          <w:szCs w:val="24"/>
        </w:rPr>
        <w:fldChar w:fldCharType="end"/>
      </w:r>
      <w:r w:rsidR="00275E7B" w:rsidRPr="00EB056A">
        <w:rPr>
          <w:rFonts w:ascii="Arial" w:hAnsi="Arial" w:cs="Arial"/>
          <w:sz w:val="24"/>
          <w:szCs w:val="24"/>
        </w:rPr>
        <w:t xml:space="preserve">, which is a </w:t>
      </w:r>
      <w:r w:rsidR="0079258E" w:rsidRPr="00EB056A">
        <w:rPr>
          <w:rFonts w:ascii="Arial" w:hAnsi="Arial" w:cs="Arial"/>
          <w:sz w:val="24"/>
          <w:szCs w:val="24"/>
        </w:rPr>
        <w:t>marketed product</w:t>
      </w:r>
      <w:r w:rsidR="00457DE5" w:rsidRPr="00EB056A">
        <w:rPr>
          <w:rFonts w:ascii="Arial" w:hAnsi="Arial" w:cs="Arial"/>
          <w:sz w:val="24"/>
          <w:szCs w:val="24"/>
        </w:rPr>
        <w:t xml:space="preserve"> </w:t>
      </w:r>
      <w:r w:rsidR="000C3F8D" w:rsidRPr="00EB056A">
        <w:rPr>
          <w:rFonts w:ascii="Arial" w:hAnsi="Arial" w:cs="Arial"/>
          <w:sz w:val="24"/>
          <w:szCs w:val="24"/>
        </w:rPr>
        <w:t xml:space="preserve">that </w:t>
      </w:r>
      <w:r w:rsidR="00E35A95" w:rsidRPr="00EB056A">
        <w:rPr>
          <w:rFonts w:ascii="Arial" w:hAnsi="Arial" w:cs="Arial"/>
          <w:sz w:val="24"/>
          <w:szCs w:val="24"/>
        </w:rPr>
        <w:t>aims to fill aneurysms, repair them and allow follo</w:t>
      </w:r>
      <w:r w:rsidR="003C510A" w:rsidRPr="00EB056A">
        <w:rPr>
          <w:rFonts w:ascii="Arial" w:hAnsi="Arial" w:cs="Arial"/>
          <w:sz w:val="24"/>
          <w:szCs w:val="24"/>
        </w:rPr>
        <w:t>w</w:t>
      </w:r>
      <w:r w:rsidR="00E35A95" w:rsidRPr="00EB056A">
        <w:rPr>
          <w:rFonts w:ascii="Arial" w:hAnsi="Arial" w:cs="Arial"/>
          <w:sz w:val="24"/>
          <w:szCs w:val="24"/>
        </w:rPr>
        <w:t xml:space="preserve"> up by </w:t>
      </w:r>
      <w:r w:rsidR="003C510A" w:rsidRPr="00EB056A">
        <w:rPr>
          <w:rFonts w:ascii="Arial" w:hAnsi="Arial" w:cs="Arial"/>
          <w:sz w:val="24"/>
          <w:szCs w:val="24"/>
        </w:rPr>
        <w:t>computed tomography</w:t>
      </w:r>
      <w:r w:rsidR="00E35A95" w:rsidRPr="00EB056A">
        <w:rPr>
          <w:rFonts w:ascii="Arial" w:hAnsi="Arial" w:cs="Arial"/>
          <w:sz w:val="24"/>
          <w:szCs w:val="24"/>
        </w:rPr>
        <w:t xml:space="preserve"> </w:t>
      </w:r>
      <w:r w:rsidR="00E35A95" w:rsidRPr="0052242C">
        <w:rPr>
          <w:rFonts w:ascii="Arial" w:hAnsi="Arial" w:cs="Arial"/>
          <w:sz w:val="24"/>
          <w:szCs w:val="24"/>
        </w:rPr>
        <w:t xml:space="preserve">imaging. </w:t>
      </w:r>
    </w:p>
    <w:p w14:paraId="4A646584" w14:textId="56D3796F" w:rsidR="009D100D" w:rsidRPr="00EB056A" w:rsidRDefault="009D100D" w:rsidP="00EB056A">
      <w:pPr>
        <w:pStyle w:val="Lgende"/>
        <w:spacing w:line="480" w:lineRule="auto"/>
        <w:jc w:val="both"/>
        <w:rPr>
          <w:rFonts w:ascii="Arial" w:hAnsi="Arial" w:cs="Arial"/>
          <w:b/>
          <w:bCs/>
          <w:sz w:val="36"/>
          <w:szCs w:val="36"/>
        </w:rPr>
      </w:pPr>
      <w:bookmarkStart w:id="56" w:name="_Toc105072724"/>
      <w:bookmarkStart w:id="57" w:name="_Ref109766001"/>
      <w:r w:rsidRPr="00EB056A">
        <w:rPr>
          <w:rFonts w:ascii="Arial" w:hAnsi="Arial" w:cs="Arial"/>
          <w:b/>
          <w:bCs/>
          <w:i w:val="0"/>
          <w:iCs w:val="0"/>
          <w:color w:val="auto"/>
          <w:sz w:val="24"/>
          <w:szCs w:val="24"/>
        </w:rPr>
        <w:lastRenderedPageBreak/>
        <w:t xml:space="preserve">Table </w:t>
      </w:r>
      <w:r w:rsidRPr="00EB056A">
        <w:rPr>
          <w:rFonts w:ascii="Arial" w:hAnsi="Arial" w:cs="Arial"/>
          <w:b/>
          <w:bCs/>
          <w:i w:val="0"/>
          <w:iCs w:val="0"/>
          <w:color w:val="auto"/>
          <w:sz w:val="24"/>
          <w:szCs w:val="24"/>
        </w:rPr>
        <w:fldChar w:fldCharType="begin"/>
      </w:r>
      <w:r w:rsidRPr="00EB056A">
        <w:rPr>
          <w:rFonts w:ascii="Arial" w:hAnsi="Arial" w:cs="Arial"/>
          <w:b/>
          <w:bCs/>
          <w:i w:val="0"/>
          <w:iCs w:val="0"/>
          <w:color w:val="auto"/>
          <w:sz w:val="24"/>
          <w:szCs w:val="24"/>
        </w:rPr>
        <w:instrText xml:space="preserve"> SEQ Table \* ARABIC </w:instrText>
      </w:r>
      <w:r w:rsidRPr="00EB056A">
        <w:rPr>
          <w:rFonts w:ascii="Arial" w:hAnsi="Arial" w:cs="Arial"/>
          <w:b/>
          <w:bCs/>
          <w:i w:val="0"/>
          <w:iCs w:val="0"/>
          <w:color w:val="auto"/>
          <w:sz w:val="24"/>
          <w:szCs w:val="24"/>
        </w:rPr>
        <w:fldChar w:fldCharType="separate"/>
      </w:r>
      <w:r w:rsidR="005C4791">
        <w:rPr>
          <w:rFonts w:ascii="Arial" w:hAnsi="Arial" w:cs="Arial"/>
          <w:b/>
          <w:bCs/>
          <w:i w:val="0"/>
          <w:iCs w:val="0"/>
          <w:noProof/>
          <w:color w:val="auto"/>
          <w:sz w:val="24"/>
          <w:szCs w:val="24"/>
        </w:rPr>
        <w:t>2</w:t>
      </w:r>
      <w:r w:rsidRPr="00EB056A">
        <w:rPr>
          <w:rFonts w:ascii="Arial" w:hAnsi="Arial" w:cs="Arial"/>
          <w:b/>
          <w:bCs/>
          <w:i w:val="0"/>
          <w:iCs w:val="0"/>
          <w:color w:val="auto"/>
          <w:sz w:val="24"/>
          <w:szCs w:val="24"/>
        </w:rPr>
        <w:fldChar w:fldCharType="end"/>
      </w:r>
      <w:bookmarkEnd w:id="57"/>
      <w:r w:rsidRPr="00EB056A">
        <w:rPr>
          <w:rFonts w:ascii="Arial" w:hAnsi="Arial" w:cs="Arial"/>
          <w:b/>
          <w:bCs/>
          <w:i w:val="0"/>
          <w:iCs w:val="0"/>
          <w:color w:val="auto"/>
          <w:sz w:val="24"/>
          <w:szCs w:val="24"/>
        </w:rPr>
        <w:t>: Concentrations of tantalum as an imaging agent found in the literature</w:t>
      </w:r>
      <w:bookmarkEnd w:id="56"/>
    </w:p>
    <w:tbl>
      <w:tblPr>
        <w:tblW w:w="7740" w:type="dxa"/>
        <w:tblLayout w:type="fixed"/>
        <w:tblCellMar>
          <w:left w:w="0" w:type="dxa"/>
          <w:right w:w="0" w:type="dxa"/>
        </w:tblCellMar>
        <w:tblLook w:val="0420" w:firstRow="1" w:lastRow="0" w:firstColumn="0" w:lastColumn="0" w:noHBand="0" w:noVBand="1"/>
      </w:tblPr>
      <w:tblGrid>
        <w:gridCol w:w="2460"/>
        <w:gridCol w:w="2220"/>
        <w:gridCol w:w="2070"/>
        <w:gridCol w:w="990"/>
      </w:tblGrid>
      <w:tr w:rsidR="002C6D6F" w:rsidRPr="00022247" w14:paraId="05872DE6" w14:textId="2A163277" w:rsidTr="00525779">
        <w:trPr>
          <w:trHeight w:val="440"/>
        </w:trPr>
        <w:tc>
          <w:tcPr>
            <w:tcW w:w="246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669AC112" w14:textId="4B92057D" w:rsidR="002C6D6F" w:rsidRPr="00EB056A" w:rsidRDefault="002C6D6F" w:rsidP="00EB056A">
            <w:pPr>
              <w:spacing w:line="240" w:lineRule="auto"/>
              <w:jc w:val="both"/>
              <w:rPr>
                <w:rFonts w:ascii="Arial" w:eastAsia="Calibri" w:hAnsi="Arial" w:cs="Arial"/>
                <w:sz w:val="24"/>
                <w:szCs w:val="24"/>
              </w:rPr>
            </w:pPr>
            <w:r w:rsidRPr="00EB056A">
              <w:rPr>
                <w:rFonts w:ascii="Arial" w:eastAsia="Calibri" w:hAnsi="Arial" w:cs="Arial"/>
                <w:b/>
                <w:bCs/>
                <w:sz w:val="24"/>
                <w:szCs w:val="24"/>
              </w:rPr>
              <w:t>Contrast agent</w:t>
            </w:r>
          </w:p>
        </w:tc>
        <w:tc>
          <w:tcPr>
            <w:tcW w:w="222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59EDCDCB" w14:textId="0E9768E6" w:rsidR="002C6D6F" w:rsidRPr="00EB056A" w:rsidRDefault="002C6D6F" w:rsidP="007E5497">
            <w:pPr>
              <w:spacing w:line="240" w:lineRule="auto"/>
              <w:jc w:val="center"/>
              <w:rPr>
                <w:rFonts w:ascii="Arial" w:eastAsia="Calibri" w:hAnsi="Arial" w:cs="Arial"/>
                <w:sz w:val="24"/>
                <w:szCs w:val="24"/>
              </w:rPr>
            </w:pPr>
            <w:r w:rsidRPr="00EB056A">
              <w:rPr>
                <w:rFonts w:ascii="Arial" w:eastAsia="Calibri" w:hAnsi="Arial" w:cs="Arial"/>
                <w:b/>
                <w:bCs/>
                <w:sz w:val="24"/>
                <w:szCs w:val="24"/>
              </w:rPr>
              <w:t>Used in</w:t>
            </w:r>
          </w:p>
        </w:tc>
        <w:tc>
          <w:tcPr>
            <w:tcW w:w="207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12FCC110" w14:textId="4C2685A1" w:rsidR="002C6D6F" w:rsidRPr="00EB056A" w:rsidRDefault="00DC5D93" w:rsidP="00EB056A">
            <w:pPr>
              <w:spacing w:line="240" w:lineRule="auto"/>
              <w:jc w:val="both"/>
              <w:rPr>
                <w:rFonts w:ascii="Arial" w:eastAsia="Calibri" w:hAnsi="Arial" w:cs="Arial"/>
                <w:sz w:val="24"/>
                <w:szCs w:val="24"/>
              </w:rPr>
            </w:pPr>
            <w:r w:rsidRPr="00EB056A">
              <w:rPr>
                <w:rFonts w:ascii="Arial" w:eastAsia="Calibri" w:hAnsi="Arial" w:cs="Arial"/>
                <w:b/>
                <w:bCs/>
                <w:sz w:val="24"/>
                <w:szCs w:val="24"/>
              </w:rPr>
              <w:t>C</w:t>
            </w:r>
            <w:r w:rsidR="002C6D6F" w:rsidRPr="00EB056A">
              <w:rPr>
                <w:rFonts w:ascii="Arial" w:eastAsia="Calibri" w:hAnsi="Arial" w:cs="Arial"/>
                <w:b/>
                <w:bCs/>
                <w:sz w:val="24"/>
                <w:szCs w:val="24"/>
              </w:rPr>
              <w:t>oncentration</w:t>
            </w:r>
          </w:p>
        </w:tc>
        <w:tc>
          <w:tcPr>
            <w:tcW w:w="990" w:type="dxa"/>
            <w:tcBorders>
              <w:top w:val="single" w:sz="8" w:space="0" w:color="000000"/>
              <w:left w:val="nil"/>
              <w:bottom w:val="single" w:sz="8" w:space="0" w:color="000000"/>
              <w:right w:val="nil"/>
            </w:tcBorders>
          </w:tcPr>
          <w:p w14:paraId="309ABA0D" w14:textId="400B9458" w:rsidR="002C6D6F" w:rsidRPr="00EB056A" w:rsidRDefault="00DC5D93" w:rsidP="00EB056A">
            <w:pPr>
              <w:spacing w:line="240" w:lineRule="auto"/>
              <w:jc w:val="both"/>
              <w:rPr>
                <w:rFonts w:ascii="Arial" w:eastAsia="Calibri" w:hAnsi="Arial" w:cs="Arial"/>
                <w:b/>
                <w:bCs/>
                <w:sz w:val="24"/>
                <w:szCs w:val="24"/>
              </w:rPr>
            </w:pPr>
            <w:r w:rsidRPr="00EB056A">
              <w:rPr>
                <w:rFonts w:ascii="Arial" w:eastAsia="Calibri" w:hAnsi="Arial" w:cs="Arial"/>
                <w:b/>
                <w:bCs/>
                <w:sz w:val="24"/>
                <w:szCs w:val="24"/>
              </w:rPr>
              <w:t>Referen</w:t>
            </w:r>
            <w:r w:rsidR="003E7069">
              <w:rPr>
                <w:rFonts w:ascii="Arial" w:eastAsia="Calibri" w:hAnsi="Arial" w:cs="Arial"/>
                <w:b/>
                <w:bCs/>
                <w:sz w:val="24"/>
                <w:szCs w:val="24"/>
              </w:rPr>
              <w:t>-</w:t>
            </w:r>
            <w:r w:rsidRPr="00EB056A">
              <w:rPr>
                <w:rFonts w:ascii="Arial" w:eastAsia="Calibri" w:hAnsi="Arial" w:cs="Arial"/>
                <w:b/>
                <w:bCs/>
                <w:sz w:val="24"/>
                <w:szCs w:val="24"/>
              </w:rPr>
              <w:t>ce</w:t>
            </w:r>
          </w:p>
        </w:tc>
      </w:tr>
      <w:tr w:rsidR="002C6D6F" w:rsidRPr="00733C44" w14:paraId="4AF649FE" w14:textId="2F35D502" w:rsidTr="00525779">
        <w:trPr>
          <w:trHeight w:val="1432"/>
        </w:trPr>
        <w:tc>
          <w:tcPr>
            <w:tcW w:w="2460" w:type="dxa"/>
            <w:tcBorders>
              <w:top w:val="single" w:sz="8" w:space="0" w:color="000000"/>
              <w:left w:val="nil"/>
              <w:bottom w:val="nil"/>
              <w:right w:val="nil"/>
            </w:tcBorders>
            <w:shd w:val="clear" w:color="auto" w:fill="E7E7E7"/>
            <w:tcMar>
              <w:top w:w="72" w:type="dxa"/>
              <w:left w:w="144" w:type="dxa"/>
              <w:bottom w:w="72" w:type="dxa"/>
              <w:right w:w="144" w:type="dxa"/>
            </w:tcMar>
            <w:vAlign w:val="center"/>
            <w:hideMark/>
          </w:tcPr>
          <w:p w14:paraId="2DF8950A" w14:textId="6114DD70" w:rsidR="002C6D6F" w:rsidRPr="00733C44" w:rsidRDefault="001049D2" w:rsidP="00EB056A">
            <w:pPr>
              <w:spacing w:line="240" w:lineRule="auto"/>
              <w:rPr>
                <w:rFonts w:ascii="Arial" w:eastAsia="Calibri" w:hAnsi="Arial" w:cs="Arial"/>
                <w:sz w:val="24"/>
                <w:szCs w:val="24"/>
              </w:rPr>
            </w:pPr>
            <w:r w:rsidRPr="00733C44">
              <w:rPr>
                <w:rFonts w:ascii="Arial" w:eastAsia="Calibri" w:hAnsi="Arial" w:cs="Arial"/>
                <w:sz w:val="24"/>
                <w:szCs w:val="24"/>
              </w:rPr>
              <w:t>C</w:t>
            </w:r>
            <w:r w:rsidR="002C6D6F" w:rsidRPr="00733C44">
              <w:rPr>
                <w:rFonts w:ascii="Arial" w:eastAsia="Calibri" w:hAnsi="Arial" w:cs="Arial"/>
                <w:sz w:val="24"/>
                <w:szCs w:val="24"/>
              </w:rPr>
              <w:t>arboxybetaine zwitterionic</w:t>
            </w:r>
          </w:p>
          <w:p w14:paraId="347A7B39" w14:textId="625DFEF7" w:rsidR="002C6D6F" w:rsidRPr="00733C44" w:rsidRDefault="001049D2" w:rsidP="00EB056A">
            <w:pPr>
              <w:spacing w:line="240" w:lineRule="auto"/>
              <w:rPr>
                <w:rFonts w:ascii="Arial" w:eastAsia="Calibri" w:hAnsi="Arial" w:cs="Arial"/>
                <w:sz w:val="24"/>
                <w:szCs w:val="24"/>
              </w:rPr>
            </w:pPr>
            <w:r w:rsidRPr="00733C44">
              <w:rPr>
                <w:rFonts w:ascii="Arial" w:eastAsia="Calibri" w:hAnsi="Arial" w:cs="Arial"/>
                <w:sz w:val="24"/>
                <w:szCs w:val="24"/>
              </w:rPr>
              <w:t>T</w:t>
            </w:r>
            <w:r w:rsidR="002C6D6F" w:rsidRPr="00733C44">
              <w:rPr>
                <w:rFonts w:ascii="Arial" w:eastAsia="Calibri" w:hAnsi="Arial" w:cs="Arial"/>
                <w:sz w:val="24"/>
                <w:szCs w:val="24"/>
              </w:rPr>
              <w:t>antalum oxide nanoparticles</w:t>
            </w:r>
          </w:p>
        </w:tc>
        <w:tc>
          <w:tcPr>
            <w:tcW w:w="2220" w:type="dxa"/>
            <w:tcBorders>
              <w:top w:val="single" w:sz="8" w:space="0" w:color="000000"/>
              <w:left w:val="nil"/>
              <w:bottom w:val="nil"/>
              <w:right w:val="nil"/>
            </w:tcBorders>
            <w:shd w:val="clear" w:color="auto" w:fill="E7E7E7"/>
            <w:tcMar>
              <w:top w:w="72" w:type="dxa"/>
              <w:left w:w="144" w:type="dxa"/>
              <w:bottom w:w="72" w:type="dxa"/>
              <w:right w:w="144" w:type="dxa"/>
            </w:tcMar>
            <w:vAlign w:val="center"/>
            <w:hideMark/>
          </w:tcPr>
          <w:p w14:paraId="59D60456" w14:textId="41E9A710" w:rsidR="002C6D6F" w:rsidRPr="00733C44" w:rsidRDefault="002C6D6F" w:rsidP="00EB056A">
            <w:pPr>
              <w:spacing w:line="240" w:lineRule="auto"/>
              <w:jc w:val="both"/>
              <w:rPr>
                <w:rFonts w:ascii="Arial" w:eastAsia="Calibri" w:hAnsi="Arial" w:cs="Arial"/>
                <w:sz w:val="24"/>
                <w:szCs w:val="24"/>
              </w:rPr>
            </w:pPr>
            <w:r w:rsidRPr="00733C44">
              <w:rPr>
                <w:rFonts w:ascii="Arial" w:eastAsia="Calibri" w:hAnsi="Arial" w:cs="Arial"/>
                <w:sz w:val="24"/>
                <w:szCs w:val="24"/>
              </w:rPr>
              <w:t>Rat blood vessels</w:t>
            </w:r>
          </w:p>
        </w:tc>
        <w:tc>
          <w:tcPr>
            <w:tcW w:w="2070" w:type="dxa"/>
            <w:tcBorders>
              <w:top w:val="single" w:sz="8" w:space="0" w:color="000000"/>
              <w:left w:val="nil"/>
              <w:bottom w:val="nil"/>
              <w:right w:val="nil"/>
            </w:tcBorders>
            <w:shd w:val="clear" w:color="auto" w:fill="E7E7E7"/>
            <w:tcMar>
              <w:top w:w="72" w:type="dxa"/>
              <w:left w:w="144" w:type="dxa"/>
              <w:bottom w:w="72" w:type="dxa"/>
              <w:right w:w="144" w:type="dxa"/>
            </w:tcMar>
            <w:vAlign w:val="center"/>
            <w:hideMark/>
          </w:tcPr>
          <w:p w14:paraId="02712DCA" w14:textId="77777777" w:rsidR="002C6D6F" w:rsidRPr="00733C44" w:rsidRDefault="002C6D6F" w:rsidP="00EB056A">
            <w:pPr>
              <w:spacing w:line="240" w:lineRule="auto"/>
              <w:jc w:val="both"/>
              <w:rPr>
                <w:rFonts w:ascii="Arial" w:eastAsia="Calibri" w:hAnsi="Arial" w:cs="Arial"/>
                <w:sz w:val="24"/>
                <w:szCs w:val="24"/>
              </w:rPr>
            </w:pPr>
            <w:r w:rsidRPr="00733C44">
              <w:rPr>
                <w:rFonts w:ascii="Arial" w:eastAsia="Calibri" w:hAnsi="Arial" w:cs="Arial"/>
                <w:sz w:val="24"/>
                <w:szCs w:val="24"/>
              </w:rPr>
              <w:t>138 mg Ta/mL</w:t>
            </w:r>
          </w:p>
        </w:tc>
        <w:tc>
          <w:tcPr>
            <w:tcW w:w="990" w:type="dxa"/>
            <w:tcBorders>
              <w:top w:val="single" w:sz="8" w:space="0" w:color="000000"/>
              <w:left w:val="nil"/>
              <w:bottom w:val="nil"/>
              <w:right w:val="nil"/>
            </w:tcBorders>
            <w:shd w:val="clear" w:color="auto" w:fill="E7E7E7"/>
          </w:tcPr>
          <w:p w14:paraId="3F3979A1" w14:textId="3B4CA940" w:rsidR="002C6D6F" w:rsidRPr="00733C44" w:rsidRDefault="007F2C94" w:rsidP="00EB056A">
            <w:pPr>
              <w:spacing w:line="240" w:lineRule="auto"/>
              <w:jc w:val="both"/>
              <w:rPr>
                <w:rFonts w:ascii="Arial" w:eastAsia="Calibri" w:hAnsi="Arial" w:cs="Arial"/>
                <w:sz w:val="24"/>
                <w:szCs w:val="24"/>
              </w:rPr>
            </w:pPr>
            <w:r w:rsidRPr="00733C44">
              <w:rPr>
                <w:rFonts w:ascii="Arial" w:eastAsia="Calibri" w:hAnsi="Arial" w:cs="Arial"/>
                <w:sz w:val="24"/>
                <w:szCs w:val="24"/>
              </w:rPr>
              <w:fldChar w:fldCharType="begin"/>
            </w:r>
            <w:r w:rsidR="00030373">
              <w:rPr>
                <w:rFonts w:ascii="Arial" w:eastAsia="Calibri" w:hAnsi="Arial" w:cs="Arial"/>
                <w:sz w:val="24"/>
                <w:szCs w:val="24"/>
              </w:rPr>
              <w:instrText xml:space="preserve"> ADDIN ZOTERO_ITEM CSL_CITATION {"citationID":"j5b8hJd3","properties":{"formattedCitation":"\\super 58\\nosupersub{}","plainCitation":"58","noteIndex":0},"citationItems":[{"id":26,"uris":["http://zotero.org/users/6508478/items/ZRK4HGSE"],"itemData":{"id":26,"type":"article-journal","abstract":"Objectives\nTo produce and evaluate a proposed computed tomography (CT) contrast\nagent based on carboxybetaine zwitterionic (CZ) coated soluble tantalum\noxide nanoparticles (CZ-TaO NPs). We chose tantalum to provide superior\nimaging performance compared to current iodine-based clinical CT contrast\nagents. We developed the CZ coating to provide biological and physical\nperformance similar to that of current iodinated contrast agents. The aim of\nthis study was to evaluate the imaging, biological, and physicochemical\nperformance of this proposed contrast agent compared to clinically-used\niodinated agents.\n\nMaterials and Methods\nWe evaluated CT imaging performance of our CZ-TaO NPs compared to an\niodinated agent in live rats, imaged centrally-located within a\ntissue-equivalent plastic phantom that simulated a large patient. To\nevaluate vascular contrast enhancement, we scanned the rats’ great\nvessels at high temporal resolution during and following contrast agent\ninjection. We performed several in vivo CZ-TaO NP studies\nin healthy rats to evaluate tolerability. These studies included injecting\nthe agent at the anticipated clinical dose (ACD) and at 3 times and 6 times\nthe ACD, followed by longitudinal hematology to assess impact to blood cells\nand organ function (from 4 hours to 1 week). Kidney histological analysis\nwas performed 48 hours after injection at 3 times the ACD. We measured the\nelimination half-life of CZ-TaO NPs from blood, and we monitored acute\nkidney injury biomarkers with a kidney injury assay using urine collected\nfrom 4 hours to 1 week. We measured tantalum retention in individual organs\nand in the whole carcass 48 hours after injection at ACD. CZ-TaO NPs were\nsynthesized and analyzed in detail. We used multi-dimensional nuclear\nmagnetic resonance (NMR) to determine surface functionality of the\nnanoparticles. We measured nanoparticle size and solution properties\n(osmolality and viscosity) of the agent over a range of tantalum\nconcentrations, including the high concentrations required for standard\nclinical CT imaging.\n\nResults\nCT imaging studies demonstrated image contrast improvement of\napproximately 40–50% using CZ-TaO NPs compared with an\niodinated agent injected at the same mass concentration. Blood and organ\nanalyses showed no adverse effects following injection in healthy\nnaïve rats at 3 times the ACD. Retention of tantalum at 48 hours\nafter injection was less than 2% of the injected dose in the whole\ncarcass, which very closely matched the reported retention of existing\ncommercial iodine-based contrast agents. Urine analysis of sensitive markers\nfor acute kidney injury showed no responses at 1 week following injection at\n3 times the ACD; however, a moderate response in the neutrophil\ngelatinase-associated lipocalin (NGAL) biomarker was measured at 24 and 48\nhours. Compared to other tantalum oxide nanoparticles reported in the\nliterature, CZ-TaO NPs had relatively low osmolality and viscosity at\nconcentrations &gt;200 mg Ta/mL, and were similar in these physical\nproperties to dimeric iodine-based contrast agents.\n\nConclusions\nWe found that a CZ-TaO NP-based contrast agent is potentially viable\nfor general-purpose clinical CT imaging. Our results suggest that such an\nagent can be formulated with clinically-viable physicochemical properties,\ncan be biologically safe and cleared rapidly in urine, and can provide\nsubstantially improved image contrast at CT compared to current iodinated\nagents.","container-title":"Investigative radiology","DOI":"10.1097/RLI.0000000000000279","ISSN":"0020-9996","issue":"12","journalAbbreviation":"Invest Radiol","note":"PMID: 27115702\nPMCID: PMC5079849","page":"786-796","source":"PubMed Central","title":"A proposed CT contrast agent using carboxybetaine zwitterionic tantalum oxide nanoparticles: Imaging, biological, and physicochemical performance","title-short":"A proposed CT contrast agent using carboxybetaine zwitterionic tantalum oxide nanoparticles","volume":"51","author":[{"family":"FitzGerald","given":"Paul F."},{"family":"Butts","given":"Matthew D."},{"family":"Roberts","given":"Jeannette C."},{"family":"Colborn","given":"Robert E."},{"family":"Torres","given":"Andrew S."},{"family":"Lee","given":"Brian D."},{"family":"Yeh","given":"Benjamin M."},{"family":"Bonitatibus","given":"Peter J."}],"issued":{"date-parts":[["2016",12]]}}}],"schema":"https://github.com/citation-style-language/schema/raw/master/csl-citation.json"} </w:instrText>
            </w:r>
            <w:r w:rsidRPr="00733C44">
              <w:rPr>
                <w:rFonts w:ascii="Arial" w:eastAsia="Calibri" w:hAnsi="Arial" w:cs="Arial"/>
                <w:sz w:val="24"/>
                <w:szCs w:val="24"/>
              </w:rPr>
              <w:fldChar w:fldCharType="separate"/>
            </w:r>
            <w:r w:rsidR="00030373" w:rsidRPr="00030373">
              <w:rPr>
                <w:rFonts w:ascii="Arial" w:hAnsi="Arial" w:cs="Arial"/>
                <w:sz w:val="24"/>
                <w:szCs w:val="24"/>
                <w:vertAlign w:val="superscript"/>
              </w:rPr>
              <w:t>58</w:t>
            </w:r>
            <w:r w:rsidRPr="00733C44">
              <w:rPr>
                <w:rFonts w:ascii="Arial" w:eastAsia="Calibri" w:hAnsi="Arial" w:cs="Arial"/>
                <w:sz w:val="24"/>
                <w:szCs w:val="24"/>
              </w:rPr>
              <w:fldChar w:fldCharType="end"/>
            </w:r>
          </w:p>
        </w:tc>
      </w:tr>
      <w:tr w:rsidR="002C6D6F" w:rsidRPr="006B53A7" w14:paraId="3E554DFF" w14:textId="2746E3B8" w:rsidTr="00525779">
        <w:trPr>
          <w:trHeight w:val="1101"/>
        </w:trPr>
        <w:tc>
          <w:tcPr>
            <w:tcW w:w="2460" w:type="dxa"/>
            <w:tcBorders>
              <w:top w:val="nil"/>
              <w:left w:val="nil"/>
              <w:bottom w:val="nil"/>
              <w:right w:val="nil"/>
            </w:tcBorders>
            <w:shd w:val="clear" w:color="auto" w:fill="auto"/>
            <w:tcMar>
              <w:top w:w="72" w:type="dxa"/>
              <w:left w:w="144" w:type="dxa"/>
              <w:bottom w:w="72" w:type="dxa"/>
              <w:right w:w="144" w:type="dxa"/>
            </w:tcMar>
            <w:vAlign w:val="center"/>
            <w:hideMark/>
          </w:tcPr>
          <w:p w14:paraId="6581642C" w14:textId="0A17B366" w:rsidR="002C6D6F" w:rsidRPr="00733C44" w:rsidRDefault="001049D2" w:rsidP="00EB056A">
            <w:pPr>
              <w:spacing w:line="240" w:lineRule="auto"/>
              <w:rPr>
                <w:rFonts w:ascii="Arial" w:eastAsia="Calibri" w:hAnsi="Arial" w:cs="Arial"/>
                <w:sz w:val="24"/>
                <w:szCs w:val="24"/>
              </w:rPr>
            </w:pPr>
            <w:r w:rsidRPr="00733C44">
              <w:rPr>
                <w:rFonts w:ascii="Arial" w:eastAsia="Calibri" w:hAnsi="Arial" w:cs="Arial"/>
                <w:sz w:val="24"/>
                <w:szCs w:val="24"/>
              </w:rPr>
              <w:t>Z</w:t>
            </w:r>
            <w:r w:rsidR="002C6D6F" w:rsidRPr="00733C44">
              <w:rPr>
                <w:rFonts w:ascii="Arial" w:eastAsia="Calibri" w:hAnsi="Arial" w:cs="Arial"/>
                <w:sz w:val="24"/>
                <w:szCs w:val="24"/>
              </w:rPr>
              <w:t>witterionic forms of tantalum oxide nanoparticles</w:t>
            </w:r>
          </w:p>
        </w:tc>
        <w:tc>
          <w:tcPr>
            <w:tcW w:w="2220" w:type="dxa"/>
            <w:tcBorders>
              <w:top w:val="nil"/>
              <w:left w:val="nil"/>
              <w:bottom w:val="nil"/>
              <w:right w:val="nil"/>
            </w:tcBorders>
            <w:shd w:val="clear" w:color="auto" w:fill="auto"/>
            <w:tcMar>
              <w:top w:w="72" w:type="dxa"/>
              <w:left w:w="144" w:type="dxa"/>
              <w:bottom w:w="72" w:type="dxa"/>
              <w:right w:w="144" w:type="dxa"/>
            </w:tcMar>
            <w:vAlign w:val="center"/>
            <w:hideMark/>
          </w:tcPr>
          <w:p w14:paraId="2FECE718" w14:textId="77777777" w:rsidR="002C6D6F" w:rsidRPr="00733C44" w:rsidRDefault="002C6D6F" w:rsidP="00EB056A">
            <w:pPr>
              <w:spacing w:line="240" w:lineRule="auto"/>
              <w:jc w:val="both"/>
              <w:rPr>
                <w:rFonts w:ascii="Arial" w:eastAsia="Calibri" w:hAnsi="Arial" w:cs="Arial"/>
                <w:sz w:val="24"/>
                <w:szCs w:val="24"/>
              </w:rPr>
            </w:pPr>
            <w:r w:rsidRPr="00733C44">
              <w:rPr>
                <w:rFonts w:ascii="Arial" w:eastAsia="Calibri" w:hAnsi="Arial" w:cs="Arial"/>
                <w:sz w:val="24"/>
                <w:szCs w:val="24"/>
              </w:rPr>
              <w:t>Rat blood vessels</w:t>
            </w:r>
          </w:p>
        </w:tc>
        <w:tc>
          <w:tcPr>
            <w:tcW w:w="2070" w:type="dxa"/>
            <w:tcBorders>
              <w:top w:val="nil"/>
              <w:left w:val="nil"/>
              <w:bottom w:val="nil"/>
              <w:right w:val="nil"/>
            </w:tcBorders>
            <w:shd w:val="clear" w:color="auto" w:fill="auto"/>
            <w:tcMar>
              <w:top w:w="72" w:type="dxa"/>
              <w:left w:w="144" w:type="dxa"/>
              <w:bottom w:w="72" w:type="dxa"/>
              <w:right w:w="144" w:type="dxa"/>
            </w:tcMar>
            <w:vAlign w:val="center"/>
            <w:hideMark/>
          </w:tcPr>
          <w:p w14:paraId="2E6A47E8" w14:textId="77777777" w:rsidR="002C6D6F" w:rsidRPr="00733C44" w:rsidRDefault="002C6D6F" w:rsidP="00EB056A">
            <w:pPr>
              <w:spacing w:line="240" w:lineRule="auto"/>
              <w:jc w:val="both"/>
              <w:rPr>
                <w:rFonts w:ascii="Arial" w:eastAsia="Calibri" w:hAnsi="Arial" w:cs="Arial"/>
                <w:sz w:val="24"/>
                <w:szCs w:val="24"/>
              </w:rPr>
            </w:pPr>
            <w:r w:rsidRPr="00733C44">
              <w:rPr>
                <w:rFonts w:ascii="Arial" w:eastAsia="Calibri" w:hAnsi="Arial" w:cs="Arial"/>
                <w:sz w:val="24"/>
                <w:szCs w:val="24"/>
              </w:rPr>
              <w:t>190 mg Ta/mL</w:t>
            </w:r>
          </w:p>
        </w:tc>
        <w:tc>
          <w:tcPr>
            <w:tcW w:w="990" w:type="dxa"/>
            <w:tcBorders>
              <w:top w:val="nil"/>
              <w:left w:val="nil"/>
              <w:bottom w:val="nil"/>
              <w:right w:val="nil"/>
            </w:tcBorders>
          </w:tcPr>
          <w:p w14:paraId="659AD871" w14:textId="370EF2F7" w:rsidR="002C6D6F" w:rsidRPr="006E7531" w:rsidRDefault="00CC79C4" w:rsidP="00EB056A">
            <w:pPr>
              <w:spacing w:line="240" w:lineRule="auto"/>
              <w:jc w:val="both"/>
              <w:rPr>
                <w:rFonts w:ascii="Arial" w:eastAsia="Calibri" w:hAnsi="Arial" w:cs="Arial"/>
                <w:sz w:val="24"/>
                <w:szCs w:val="24"/>
                <w:lang w:val="fr-FR"/>
              </w:rPr>
            </w:pPr>
            <w:r w:rsidRPr="00733C44">
              <w:rPr>
                <w:rFonts w:ascii="Arial" w:eastAsia="Calibri" w:hAnsi="Arial" w:cs="Arial"/>
                <w:sz w:val="24"/>
                <w:szCs w:val="24"/>
              </w:rPr>
              <w:fldChar w:fldCharType="begin"/>
            </w:r>
            <w:r w:rsidR="005B4F59" w:rsidRPr="00733C44">
              <w:rPr>
                <w:rFonts w:ascii="Arial" w:eastAsia="Calibri" w:hAnsi="Arial" w:cs="Arial"/>
                <w:sz w:val="24"/>
                <w:szCs w:val="24"/>
              </w:rPr>
              <w:instrText xml:space="preserve"> ADDIN ZOTERO_ITEM CSL_CITATION {"citationID":"lflsX3yK","properties":{"formattedCitation":"\\super 56\\nosupersub{}","plainCitation":"56","noteIndex":0},"citationItems":[{"id":28,"uris":["http://zotero.org/users/6508478/items/AXDKZN5W"],"itemData":{"id":28,"type":"book","abstract":"Introduction\nCurrent clinically-approved computed tomography (CT) contrast agents employ iodinated small molecules that are used to highlight vascular anatomy and pathology. (Cormode 2013) However, iodinated compounds have poor imaging efficacy in large patients and their use is contraindicated in a growing population of renally impaired patients who are hypersensitive to these contrast agents. (Cormode 2013) Nanoparticles have been explored as a potential new class of CT contrast agents. (Garcia 2014) In order to be clinically translatable as contrast agents, nanoparticles must have controlled physiochemical parameters and appropriate biological safety profiles. (Jakhmola 2012 &amp; Garcia 2014) Tantalum oxide nanoparticles (TaO NPs) have high potential as CT contrast agents because of their promising biocompatibility and good radiopacity. (Bonitatibus 2010 &amp; Torres 2012) In this study, we have identified a &lt;5nm zwitterion-coated TaO nanoparticle that exhibits promising physiochemical, biological and CT imaging performance.\nMethods and Results\nA phosphonate-coated TaO NP (PHS, Bonitatibus 2010), a zwitterionic mixed siloxane-coated TaO NP (ZMS, Bonitatibus 2012) and a single-ligand zwitterion-coated TaO NP (CZ) were synthesized. Compared to the previously reported physiochemical properties of PHS, zwitterion-coated nanoparticles (ZMS, CZ) show lower viscosities at higher concentrations. (Figure 1a,b) To test organ retention of each TaO NP, naive rats were intravenously injected with the anticipated clinical dose (400 mg Ta/kg bodyweight) of each TaO NP. One week after injection, organs known to retain nanoparticles (liver, kidney and spleen) were removed and measured for Ta content (% injected dose/organ) by combustion followed by inductively-coupled plasma spectroscopy. Zwitterionic nanoparticles showed lower tantalum organ retention than PHS; CZ showing the lowest retention. (Figure 1c) To explore the safety performance of these nanoparticles, rats were intravenously injected with 3x anticipated clinical dose (1500 mg Ta/kg bodyweight) of each nanoparticle. To evaluate potential renal toxicity, kidneys were collected (day 7), sectioned, stained by H&amp;E, and scored by a toxicologic pathologist (Charles River Labs). The kidney pathology that is observed with PHS was not observed by the zwitterionic nanoparticles (ZMS, CZ). (Figure 1d)\nTantalum-based contrast agents can prov</w:instrText>
            </w:r>
            <w:r w:rsidR="005B4F59" w:rsidRPr="0066360F">
              <w:rPr>
                <w:rFonts w:ascii="Arial" w:eastAsia="Calibri" w:hAnsi="Arial" w:cs="Arial"/>
                <w:sz w:val="24"/>
                <w:szCs w:val="24"/>
                <w:lang w:val="fr-FR"/>
              </w:rPr>
              <w:instrText xml:space="preserve">ide improved vascular contrast and allow reduced radiation dose especially in larger patients. In Figure 1e, we show the image contrast produced by tantalum compared to iodine at the range of x-ray tube voltages (kVp) used in CT imaging. 80 kVp is used to scan the smallest adult patients. Tantalum provides higher image contrast than other elements at 100-140 kVp and could be used to improve image quality or to reduce radiation and/or contrast agent dose in most patients, with the highest improvement at 140 kVp, which is required for large patients.\nConclusions\nIn summary, zwitterionic coated TaO nanoparticles (ZMS, CZ) exhibit the best physiochemical, retention and safety profiles. These TaO nanoparticles may also reduce the radiation dose for CT imaging in larger patients.","note":"DOI: 10.13140/RG.2.1.3352.3687","source":"ResearchGate","title":"Physiochemical, biological, and imaging performance of zwitterionic-coated TaO nanoparticles as CT contrast agents","author":[{"family":"Roberts","given":"Jeannette"},{"family":"Bonitatibus","given":"Peter"},{"family":"Butts","given":"Matthew"},{"family":"Colborn","given":"Robert"},{"family":"Edic","given":"Peter"},{"family":"Fitzgerald","given":"Paul"},{"family":"Lambert","given":"Jack"},{"family":"Marino","given":"Michael"},{"family":"Torres","given":"Andrew"},{"family":"Yeh","given":"Benjamin"}],"issued":{"date-parts":[["2015",9,24]]}}}],"schema":"https://github.com/citation-style-language/schema/raw/master/csl-citation.json"} </w:instrText>
            </w:r>
            <w:r w:rsidRPr="00733C44">
              <w:rPr>
                <w:rFonts w:ascii="Arial" w:eastAsia="Calibri" w:hAnsi="Arial" w:cs="Arial"/>
                <w:sz w:val="24"/>
                <w:szCs w:val="24"/>
              </w:rPr>
              <w:fldChar w:fldCharType="separate"/>
            </w:r>
            <w:r w:rsidR="00766016" w:rsidRPr="006E7531">
              <w:rPr>
                <w:rFonts w:ascii="Arial" w:hAnsi="Arial" w:cs="Arial"/>
                <w:sz w:val="24"/>
                <w:szCs w:val="24"/>
                <w:vertAlign w:val="superscript"/>
                <w:lang w:val="fr-FR"/>
              </w:rPr>
              <w:t>56</w:t>
            </w:r>
            <w:r w:rsidRPr="00733C44">
              <w:rPr>
                <w:rFonts w:ascii="Arial" w:eastAsia="Calibri" w:hAnsi="Arial" w:cs="Arial"/>
                <w:sz w:val="24"/>
                <w:szCs w:val="24"/>
              </w:rPr>
              <w:fldChar w:fldCharType="end"/>
            </w:r>
          </w:p>
        </w:tc>
      </w:tr>
      <w:tr w:rsidR="002C6D6F" w:rsidRPr="006B53A7" w14:paraId="3D1E2E50" w14:textId="429A679B" w:rsidTr="00525779">
        <w:trPr>
          <w:trHeight w:val="1101"/>
        </w:trPr>
        <w:tc>
          <w:tcPr>
            <w:tcW w:w="2460" w:type="dxa"/>
            <w:tcBorders>
              <w:top w:val="nil"/>
              <w:left w:val="nil"/>
              <w:bottom w:val="nil"/>
              <w:right w:val="nil"/>
            </w:tcBorders>
            <w:shd w:val="clear" w:color="auto" w:fill="E7E7E7"/>
            <w:tcMar>
              <w:top w:w="72" w:type="dxa"/>
              <w:left w:w="144" w:type="dxa"/>
              <w:bottom w:w="72" w:type="dxa"/>
              <w:right w:w="144" w:type="dxa"/>
            </w:tcMar>
            <w:vAlign w:val="center"/>
            <w:hideMark/>
          </w:tcPr>
          <w:p w14:paraId="699E0ABF" w14:textId="77777777" w:rsidR="002C6D6F" w:rsidRPr="006E7531" w:rsidRDefault="002C6D6F" w:rsidP="00EB056A">
            <w:pPr>
              <w:spacing w:line="240" w:lineRule="auto"/>
              <w:rPr>
                <w:rFonts w:ascii="Arial" w:eastAsia="Calibri" w:hAnsi="Arial" w:cs="Arial"/>
                <w:sz w:val="24"/>
                <w:szCs w:val="24"/>
                <w:lang w:val="fr-FR"/>
              </w:rPr>
            </w:pPr>
            <w:r w:rsidRPr="006E7531">
              <w:rPr>
                <w:rFonts w:ascii="Arial" w:eastAsia="Calibri" w:hAnsi="Arial" w:cs="Arial"/>
                <w:sz w:val="24"/>
                <w:szCs w:val="24"/>
                <w:lang w:val="fr-FR"/>
              </w:rPr>
              <w:t>Tantalum oxide nanoparticles</w:t>
            </w:r>
          </w:p>
        </w:tc>
        <w:tc>
          <w:tcPr>
            <w:tcW w:w="2220" w:type="dxa"/>
            <w:tcBorders>
              <w:top w:val="nil"/>
              <w:left w:val="nil"/>
              <w:bottom w:val="nil"/>
              <w:right w:val="nil"/>
            </w:tcBorders>
            <w:shd w:val="clear" w:color="auto" w:fill="E7E7E7"/>
            <w:tcMar>
              <w:top w:w="72" w:type="dxa"/>
              <w:left w:w="144" w:type="dxa"/>
              <w:bottom w:w="72" w:type="dxa"/>
              <w:right w:w="144" w:type="dxa"/>
            </w:tcMar>
            <w:vAlign w:val="center"/>
            <w:hideMark/>
          </w:tcPr>
          <w:p w14:paraId="6F0F3CCB" w14:textId="77777777" w:rsidR="002C6D6F" w:rsidRPr="006E7531" w:rsidRDefault="002C6D6F" w:rsidP="007E5497">
            <w:pPr>
              <w:spacing w:line="240" w:lineRule="auto"/>
              <w:rPr>
                <w:rFonts w:ascii="Arial" w:eastAsia="Calibri" w:hAnsi="Arial" w:cs="Arial"/>
                <w:sz w:val="24"/>
                <w:szCs w:val="24"/>
                <w:lang w:val="fr-FR"/>
              </w:rPr>
            </w:pPr>
            <w:r w:rsidRPr="006E7531">
              <w:rPr>
                <w:rFonts w:ascii="Arial" w:eastAsia="Calibri" w:hAnsi="Arial" w:cs="Arial"/>
                <w:sz w:val="24"/>
                <w:szCs w:val="24"/>
                <w:lang w:val="fr-FR"/>
              </w:rPr>
              <w:t>Rabbit blood vessels</w:t>
            </w:r>
          </w:p>
        </w:tc>
        <w:tc>
          <w:tcPr>
            <w:tcW w:w="2070" w:type="dxa"/>
            <w:tcBorders>
              <w:top w:val="nil"/>
              <w:left w:val="nil"/>
              <w:bottom w:val="nil"/>
              <w:right w:val="nil"/>
            </w:tcBorders>
            <w:shd w:val="clear" w:color="auto" w:fill="E7E7E7"/>
            <w:tcMar>
              <w:top w:w="72" w:type="dxa"/>
              <w:left w:w="144" w:type="dxa"/>
              <w:bottom w:w="72" w:type="dxa"/>
              <w:right w:w="144" w:type="dxa"/>
            </w:tcMar>
            <w:vAlign w:val="center"/>
            <w:hideMark/>
          </w:tcPr>
          <w:p w14:paraId="1D4A0E95" w14:textId="1D5889B8" w:rsidR="002C6D6F" w:rsidRPr="006E7531" w:rsidRDefault="002C6D6F" w:rsidP="00EB056A">
            <w:pPr>
              <w:spacing w:line="240" w:lineRule="auto"/>
              <w:rPr>
                <w:rFonts w:ascii="Arial" w:eastAsia="Calibri" w:hAnsi="Arial" w:cs="Arial"/>
                <w:sz w:val="24"/>
                <w:szCs w:val="24"/>
                <w:lang w:val="fr-FR"/>
              </w:rPr>
            </w:pPr>
            <w:r w:rsidRPr="006E7531">
              <w:rPr>
                <w:rFonts w:ascii="Arial" w:eastAsia="Calibri" w:hAnsi="Arial" w:cs="Arial"/>
                <w:sz w:val="24"/>
                <w:szCs w:val="24"/>
                <w:lang w:val="fr-FR"/>
              </w:rPr>
              <w:t>240 mg Ta/mL</w:t>
            </w:r>
          </w:p>
        </w:tc>
        <w:tc>
          <w:tcPr>
            <w:tcW w:w="990" w:type="dxa"/>
            <w:tcBorders>
              <w:top w:val="nil"/>
              <w:left w:val="nil"/>
              <w:bottom w:val="nil"/>
              <w:right w:val="nil"/>
            </w:tcBorders>
            <w:shd w:val="clear" w:color="auto" w:fill="E7E7E7"/>
          </w:tcPr>
          <w:p w14:paraId="388573B9" w14:textId="75D5B983" w:rsidR="002C6D6F" w:rsidRPr="006E7531" w:rsidRDefault="00BB4B44" w:rsidP="00EB056A">
            <w:pPr>
              <w:spacing w:line="240" w:lineRule="auto"/>
              <w:jc w:val="both"/>
              <w:rPr>
                <w:rFonts w:ascii="Arial" w:eastAsia="Calibri" w:hAnsi="Arial" w:cs="Arial"/>
                <w:sz w:val="24"/>
                <w:szCs w:val="24"/>
                <w:lang w:val="fr-FR"/>
              </w:rPr>
            </w:pPr>
            <w:r w:rsidRPr="00733C44">
              <w:rPr>
                <w:rFonts w:ascii="Arial" w:eastAsia="Calibri" w:hAnsi="Arial" w:cs="Arial"/>
                <w:sz w:val="24"/>
                <w:szCs w:val="24"/>
              </w:rPr>
              <w:fldChar w:fldCharType="begin"/>
            </w:r>
            <w:r w:rsidR="00030373">
              <w:rPr>
                <w:rFonts w:ascii="Arial" w:eastAsia="Calibri" w:hAnsi="Arial" w:cs="Arial"/>
                <w:sz w:val="24"/>
                <w:szCs w:val="24"/>
                <w:lang w:val="fr-FR"/>
              </w:rPr>
              <w:instrText xml:space="preserve"> ADDIN ZOTERO_ITEM CSL_CITATION {"citationID":"QORFf9GZ","properties":{"formattedCitation":"\\super 59\\nosupersub{}","plainCitation":"59","noteIndex":0},"citationItems":[{"id":30,"uris":["http://zotero.org/users/6508478/items/UVDGIKSD"],"itemData":{"id":30,"type":"patent","abstract":"The present invention is generally directed to core/shell nanoparticles, wherein such core/shell nanoparticles comprise a nanoparticle core and a nanoshell disposed about the nanoparticle core such that, in the aggregate, they form a core/shell nanoparticle that is operable for use as an imaging agent in X-ray/computed tomography (CT). Typically, such core/shell nanoparticle-based X-ray CT imaging agents further comprise a targeting species for targeting the imaging agent to diseased sites.","language":"en","title":"Tantalum oxide nanoparticles as imaging agents for x-ray/ computed tomography and methods for making same","URL":"https://patents.google.com/patent/WO2008092059A2/en","accessed":{"date-parts":[["2021",6,7]]},"issued":{"date-parts":[["2008",1,25]]}}}],"schema":"https://github.com/citation-style-language/schema/raw/master/csl-citation.json"} </w:instrText>
            </w:r>
            <w:r w:rsidRPr="00733C44">
              <w:rPr>
                <w:rFonts w:ascii="Arial" w:eastAsia="Calibri" w:hAnsi="Arial" w:cs="Arial"/>
                <w:sz w:val="24"/>
                <w:szCs w:val="24"/>
              </w:rPr>
              <w:fldChar w:fldCharType="separate"/>
            </w:r>
            <w:r w:rsidR="00030373" w:rsidRPr="006E7531">
              <w:rPr>
                <w:rFonts w:ascii="Arial" w:hAnsi="Arial" w:cs="Arial"/>
                <w:sz w:val="24"/>
                <w:szCs w:val="24"/>
                <w:vertAlign w:val="superscript"/>
                <w:lang w:val="fr-FR"/>
              </w:rPr>
              <w:t>59</w:t>
            </w:r>
            <w:r w:rsidRPr="00733C44">
              <w:rPr>
                <w:rFonts w:ascii="Arial" w:eastAsia="Calibri" w:hAnsi="Arial" w:cs="Arial"/>
                <w:sz w:val="24"/>
                <w:szCs w:val="24"/>
              </w:rPr>
              <w:fldChar w:fldCharType="end"/>
            </w:r>
          </w:p>
        </w:tc>
      </w:tr>
      <w:tr w:rsidR="002C6D6F" w:rsidRPr="00733C44" w14:paraId="386C3EE7" w14:textId="509DD571" w:rsidTr="00525779">
        <w:trPr>
          <w:trHeight w:val="19"/>
        </w:trPr>
        <w:tc>
          <w:tcPr>
            <w:tcW w:w="2460"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191FC4D9" w14:textId="339B9405" w:rsidR="002C6D6F" w:rsidRPr="006E7531" w:rsidRDefault="002C6D6F" w:rsidP="00EB056A">
            <w:pPr>
              <w:spacing w:line="240" w:lineRule="auto"/>
              <w:rPr>
                <w:rFonts w:ascii="Arial" w:eastAsia="Calibri" w:hAnsi="Arial" w:cs="Arial"/>
                <w:sz w:val="24"/>
                <w:szCs w:val="24"/>
                <w:lang w:val="fr-FR"/>
              </w:rPr>
            </w:pPr>
            <w:r w:rsidRPr="006E7531">
              <w:rPr>
                <w:rFonts w:ascii="Arial" w:eastAsia="Calibri" w:hAnsi="Arial" w:cs="Arial"/>
                <w:sz w:val="24"/>
                <w:szCs w:val="24"/>
                <w:lang w:val="fr-FR"/>
              </w:rPr>
              <w:t>Tantalum oxide nanoparticles</w:t>
            </w:r>
          </w:p>
        </w:tc>
        <w:tc>
          <w:tcPr>
            <w:tcW w:w="2220"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72CF7286" w14:textId="77777777" w:rsidR="002C6D6F" w:rsidRPr="006E7531" w:rsidRDefault="002C6D6F" w:rsidP="00EB056A">
            <w:pPr>
              <w:spacing w:line="240" w:lineRule="auto"/>
              <w:rPr>
                <w:rFonts w:ascii="Arial" w:eastAsia="Calibri" w:hAnsi="Arial" w:cs="Arial"/>
                <w:sz w:val="24"/>
                <w:szCs w:val="24"/>
                <w:lang w:val="fr-FR"/>
              </w:rPr>
            </w:pPr>
            <w:r w:rsidRPr="006E7531">
              <w:rPr>
                <w:rFonts w:ascii="Arial" w:eastAsia="Calibri" w:hAnsi="Arial" w:cs="Arial"/>
                <w:sz w:val="24"/>
                <w:szCs w:val="24"/>
                <w:lang w:val="fr-FR"/>
              </w:rPr>
              <w:t>Rabbit enteric blood vessels</w:t>
            </w:r>
          </w:p>
        </w:tc>
        <w:tc>
          <w:tcPr>
            <w:tcW w:w="2070"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1B6979A4" w14:textId="77777777" w:rsidR="002C6D6F" w:rsidRPr="006E7531" w:rsidRDefault="002C6D6F" w:rsidP="00EB056A">
            <w:pPr>
              <w:spacing w:line="240" w:lineRule="auto"/>
              <w:jc w:val="both"/>
              <w:rPr>
                <w:rFonts w:ascii="Arial" w:eastAsia="Calibri" w:hAnsi="Arial" w:cs="Arial"/>
                <w:sz w:val="24"/>
                <w:szCs w:val="24"/>
                <w:lang w:val="fr-FR"/>
              </w:rPr>
            </w:pPr>
            <w:r w:rsidRPr="006E7531">
              <w:rPr>
                <w:rFonts w:ascii="Arial" w:eastAsia="Calibri" w:hAnsi="Arial" w:cs="Arial"/>
                <w:sz w:val="24"/>
                <w:szCs w:val="24"/>
                <w:lang w:val="fr-FR"/>
              </w:rPr>
              <w:t>16 mg Ta/mL</w:t>
            </w:r>
          </w:p>
        </w:tc>
        <w:tc>
          <w:tcPr>
            <w:tcW w:w="990" w:type="dxa"/>
            <w:tcBorders>
              <w:top w:val="nil"/>
              <w:left w:val="nil"/>
              <w:bottom w:val="single" w:sz="8" w:space="0" w:color="000000"/>
              <w:right w:val="nil"/>
            </w:tcBorders>
          </w:tcPr>
          <w:p w14:paraId="521222EC" w14:textId="2BC8251E" w:rsidR="002C6D6F" w:rsidRPr="00733C44" w:rsidRDefault="00CC79C4" w:rsidP="00EB056A">
            <w:pPr>
              <w:spacing w:line="240" w:lineRule="auto"/>
              <w:jc w:val="both"/>
              <w:rPr>
                <w:rFonts w:ascii="Arial" w:eastAsia="Calibri" w:hAnsi="Arial" w:cs="Arial"/>
                <w:sz w:val="24"/>
                <w:szCs w:val="24"/>
              </w:rPr>
            </w:pPr>
            <w:r w:rsidRPr="00733C44">
              <w:rPr>
                <w:rFonts w:ascii="Arial" w:eastAsia="Calibri" w:hAnsi="Arial" w:cs="Arial"/>
                <w:sz w:val="24"/>
                <w:szCs w:val="24"/>
              </w:rPr>
              <w:fldChar w:fldCharType="begin"/>
            </w:r>
            <w:r w:rsidR="005B4F59" w:rsidRPr="006E7531">
              <w:rPr>
                <w:rFonts w:ascii="Arial" w:eastAsia="Calibri" w:hAnsi="Arial" w:cs="Arial"/>
                <w:sz w:val="24"/>
                <w:szCs w:val="24"/>
                <w:lang w:val="fr-FR"/>
              </w:rPr>
              <w:instrText xml:space="preserve"> ADDIN ZOTERO_ITEM CSL_CITATION {"citationID":"M1IePqCS","properties":{"formattedCitation":"\\super 57\\nosupersub{}","plainCitation":"57","noteIndex":0},"citationItems":[{"id":29,"uris":["http://zotero.o</w:instrText>
            </w:r>
            <w:r w:rsidR="005B4F59" w:rsidRPr="00733C44">
              <w:rPr>
                <w:rFonts w:ascii="Arial" w:eastAsia="Calibri" w:hAnsi="Arial" w:cs="Arial"/>
                <w:sz w:val="24"/>
                <w:szCs w:val="24"/>
              </w:rPr>
              <w:instrText xml:space="preserve">rg/users/6508478/items/CB7YJJQ6"],"itemData":{"id":29,"type":"article-journal","abstract":"To assess the ability of dual-energy CT (DECT) to separate intravenous contrast of bowel wall from intraluminal contrast, we scanned 16 rabbits on a clinical DECT scanner: n=3 using only iodinated intravenous contrast; and n=13 double-contrast enhanced scans using iodinated intravenous contrast and experimental enteric non-iodinated contrast agents in the bowel lumen (5 bismuth-, 4 tungsten-, and 4 tantalum-based). Representative image pairs from conventional CT images and DECT iodine density maps of small bowel (116 pairs from 232 images) were viewed by four abdominal imaging attending radiologists to independently score each comparison pair on a visual analog scale (−100 to +100%) for: 1) preference in small bowel wall visualization; and 2) preference in completeness of intraluminal enteric contrast subtraction. Median small bowel wall visualization was scored 39 and 42 percentage points (95% CI: 30–44% and 36–45%, p&lt;0.001 both) higher at double-contrast DECT than at conventional CT with enteric tungsten and tantalum contrast, respectively. Median small bowel wall visualization at double-contrast DECT was scored 29 and 35 percentage points (95% CI: 20–35% and 33–39%, p&lt;0.001 both) higher with enteric tungsten and tantalum, respectively, than with bismuth contrast. Median completeness of intraluminal enteric contrast subtraction in double-contrast DECT iodine density maps was scored 28 and 29 percentage points (95% CI: 15–31% and 28–33%, p&lt;0.001 both) higher with enteric tungsten and tantalum, respectively, than with bismuth contrast. Results suggest that in vivo double-contrast DECT with iodinated intravenous and either tantalum- or tungsten-based enteric contrast provide better visualization of small bowel than conventional CT.","container-title":"Contrast media &amp; molecular imaging","DOI":"10.1002/cmmi.1687","ISSN":"1555-4309","issue":"4","journalAbbreviation":"Contrast Media Mol Imaging","note":"PMID: 26892945\nPMCID: PMC4969129","page":"254-261","source":"PubMed Central","title":"In vivo comparison of tantalum, tungsten, and bismuth enteric contrast agents to complement intravenous iodine for double-contrast dual-energy CT of the bowel","volume":"11","author":[{"family":"Rathnayake","given":"Samira"},{"family":"Mongan","given":"John"},{"family":"Torres","given":"Andrew S."},{"family":"Colborn","given":"Robert"},{"family":"Gao","given":"Dong-Wei"},{"family":"Yeh","given":"Benjamin M"},{"family":"Fu","given":"Yanjun"}],"issued":{"date-parts":[["2016",7]]}}}],"schema":"https://github.com/citation-style-language/schema/raw/master/csl-citation.json"} </w:instrText>
            </w:r>
            <w:r w:rsidRPr="00733C44">
              <w:rPr>
                <w:rFonts w:ascii="Arial" w:eastAsia="Calibri" w:hAnsi="Arial" w:cs="Arial"/>
                <w:sz w:val="24"/>
                <w:szCs w:val="24"/>
              </w:rPr>
              <w:fldChar w:fldCharType="separate"/>
            </w:r>
            <w:r w:rsidR="00766016" w:rsidRPr="00733C44">
              <w:rPr>
                <w:rFonts w:ascii="Arial" w:hAnsi="Arial" w:cs="Arial"/>
                <w:sz w:val="24"/>
                <w:szCs w:val="24"/>
                <w:vertAlign w:val="superscript"/>
              </w:rPr>
              <w:t>57</w:t>
            </w:r>
            <w:r w:rsidRPr="00733C44">
              <w:rPr>
                <w:rFonts w:ascii="Arial" w:eastAsia="Calibri" w:hAnsi="Arial" w:cs="Arial"/>
                <w:sz w:val="24"/>
                <w:szCs w:val="24"/>
              </w:rPr>
              <w:fldChar w:fldCharType="end"/>
            </w:r>
          </w:p>
        </w:tc>
      </w:tr>
    </w:tbl>
    <w:p w14:paraId="3E3935E8" w14:textId="28E08E2F" w:rsidR="00417C30" w:rsidRDefault="008046DF" w:rsidP="007F4D05">
      <w:pPr>
        <w:spacing w:before="240" w:line="480" w:lineRule="auto"/>
        <w:ind w:firstLine="720"/>
        <w:jc w:val="both"/>
        <w:rPr>
          <w:rFonts w:ascii="Arial" w:hAnsi="Arial" w:cs="Arial"/>
          <w:sz w:val="24"/>
          <w:szCs w:val="24"/>
        </w:rPr>
      </w:pPr>
      <w:r w:rsidRPr="00733C44">
        <w:rPr>
          <w:rFonts w:ascii="Arial" w:hAnsi="Arial" w:cs="Arial"/>
          <w:sz w:val="24"/>
          <w:szCs w:val="24"/>
        </w:rPr>
        <w:t xml:space="preserve">Tantalum’s safety and biocompatibility has been evaluated in several studies. </w:t>
      </w:r>
      <w:r w:rsidRPr="006E7531">
        <w:rPr>
          <w:rFonts w:ascii="Arial" w:hAnsi="Arial" w:cs="Arial"/>
          <w:sz w:val="24"/>
          <w:szCs w:val="24"/>
          <w:lang w:val="fr-FR"/>
        </w:rPr>
        <w:t xml:space="preserve">Roberts </w:t>
      </w:r>
      <w:r w:rsidRPr="006E7531">
        <w:rPr>
          <w:rFonts w:ascii="Arial" w:hAnsi="Arial" w:cs="Arial"/>
          <w:i/>
          <w:iCs/>
          <w:sz w:val="24"/>
          <w:szCs w:val="24"/>
          <w:lang w:val="fr-FR"/>
        </w:rPr>
        <w:t>et al</w:t>
      </w:r>
      <w:r w:rsidR="00AD2A46" w:rsidRPr="006E7531">
        <w:rPr>
          <w:rFonts w:ascii="Arial" w:hAnsi="Arial" w:cs="Arial"/>
          <w:i/>
          <w:iCs/>
          <w:sz w:val="24"/>
          <w:szCs w:val="24"/>
          <w:lang w:val="fr-FR"/>
        </w:rPr>
        <w:t>.</w:t>
      </w:r>
      <w:r w:rsidRPr="00733C44">
        <w:rPr>
          <w:rFonts w:ascii="Arial" w:hAnsi="Arial" w:cs="Arial"/>
          <w:sz w:val="24"/>
          <w:szCs w:val="24"/>
        </w:rPr>
        <w:fldChar w:fldCharType="begin"/>
      </w:r>
      <w:r w:rsidRPr="006E7531">
        <w:rPr>
          <w:rFonts w:ascii="Arial" w:hAnsi="Arial" w:cs="Arial"/>
          <w:sz w:val="24"/>
          <w:szCs w:val="24"/>
          <w:lang w:val="fr-FR"/>
        </w:rPr>
        <w:instrText xml:space="preserve"> ADDIN ZOTERO_ITEM CSL_CITATION {"citationID":"CYbLjSwU","properties":{"formattedCitation":"\\super 56\\nosupersub{}","plainCitation":"56","noteIndex":0},"citationItems":[{"id":28,"uris":["http://zotero.org/users/6508478/items/AXDKZN5W"],"itemData":{"id":28,"type":"book","abstract":"Introduction\nCurrent clinically-approved computed tomography (CT) contrast agents employ iodinated small molecules that are used to highlight vascular anatomy and pathology. (Cormode 2013) However, iodinated compounds have poor imaging efficacy in large patients and their use is contraindicated in a growing population of renally impaired patients who are hypersensitive to these contrast agents. (Cormode 2013) Nanoparticles have been explored as a potential new class of CT contrast agents. (Garcia 2014) In order to be clinically translatable as contrast agents, nanoparticles must have controlled physiochemical parameters and appropriate biological safety profiles. (Jakhmola 2012 &amp; Garcia 2014) Tantalum oxide nanoparticles (TaO NPs) have high potential as CT contrast agents because of their promising biocompatibility and good radiopacity. (Bonitatibus 2010 &amp; Torres 2012) In this study, we have identified a &lt;5nm zwitterion-coated TaO nanoparticle that exhibits promising physiochemical, biological and CT imaging performance.\nMethods and Results\nA phosphonate-coated TaO NP (PHS, Bonitatibus 2010), a zwitterionic mixed siloxane-coated TaO NP (ZMS, Bonitatibus 2012) and a single-ligand zwitterion-coated TaO NP (CZ) were synthesized. Compared to the previously reported physiochemical properties of PHS, zwitterion-coated nanoparticles (ZMS, CZ) show lower viscosities at higher concentrations. (Figure 1a,b) To test organ retention of each TaO NP, naive rats were intravenously injected with the anticipated clinical dose (400 mg Ta/kg bodyweight) of each TaO NP. One week after injection, organs known to retain nanoparticles (liver, kidney and spleen) were removed and measured for Ta content (% injected dose/organ) by combustion followed by inductively-coupled plasma spectroscopy. Zwitterionic nanoparticles showed lower tantalum organ retention than PHS; CZ showing the lowest retention. (Figure 1c) To explore the safety performance of these nanoparticles, rats were intravenously injected with 3x anticipated clinical dose (1500 mg Ta/kg bodyweight) of each nanoparticle. To evaluate potential renal toxicity, kidneys were collected (day 7), sectioned, stained by H&amp;E, and scored by a toxicologic pathologist (Charles River Labs). The kidney pathology that is observed with PHS was not observed by the zwitterionic nanoparticles (ZMS, CZ). (Figure 1d)\nTantalum-based contrast agents can provide improved vascular contrast and allow reduced radiation dose especially in larger patients. In Figure 1e, we show the image contrast produced by tantalum compared to iodine at the range of x-ray tube voltages (kVp) used in CT imaging. 80 kVp is used to scan the smallest adult patients. Tantalum provides higher image contrast than other elements at 100-140 kVp and could be used to improve image quality or to reduce radiation and/or contrast agent dose in most patients, with the highest improvement at 140 kVp, which is required for large patients.\nConclusions\nIn summary, zwitterionic coated TaO nanoparticles (ZMS, CZ) exhibit the best physiochemical, retention and safety profiles. These TaO nanoparticles may also reduce the radiation dose for CT imaging in larger patients.","note":"DOI: 10.13140/RG.2.1.3352.3687","source":"ResearchGate","title":"Physiochemical, biological, and imaging performance of zwitterionic-coated TaO nanoparticles as CT contrast agents","author":[{"family":"Roberts","given":"Jeannette"},{"family":"Bonitatibus","given":"Peter"},{"family":"Butts","given":"Matthew"},{"family":"Colborn","given":"Robert"},{"family":"Edic","given":"Peter"},{"family":"Fitzgerald","given":"Paul"},{"family":"Lambert","given":"Jack"},{"family":"Marino","given":"Michael"},{"family":"Torres","given":"Andrew"},{"family":"Yeh","given":"Benjamin"}],"issued":{"date-parts":[["2015",9,24]]}}}],"schema":"https://github.com/citation-style-language/schema/raw/master/csl-citation.json"} </w:instrText>
      </w:r>
      <w:r w:rsidRPr="00733C44">
        <w:rPr>
          <w:rFonts w:ascii="Arial" w:hAnsi="Arial" w:cs="Arial"/>
          <w:sz w:val="24"/>
          <w:szCs w:val="24"/>
        </w:rPr>
        <w:fldChar w:fldCharType="separate"/>
      </w:r>
      <w:r w:rsidRPr="00525779">
        <w:rPr>
          <w:rFonts w:ascii="Arial" w:hAnsi="Arial" w:cs="Arial"/>
          <w:sz w:val="24"/>
          <w:szCs w:val="24"/>
          <w:vertAlign w:val="superscript"/>
          <w:lang w:val="fr-FR"/>
        </w:rPr>
        <w:t>56</w:t>
      </w:r>
      <w:r w:rsidRPr="00733C44">
        <w:rPr>
          <w:rFonts w:ascii="Arial" w:hAnsi="Arial" w:cs="Arial"/>
          <w:sz w:val="24"/>
          <w:szCs w:val="24"/>
        </w:rPr>
        <w:fldChar w:fldCharType="end"/>
      </w:r>
      <w:r w:rsidRPr="00525779">
        <w:rPr>
          <w:rFonts w:ascii="Arial" w:hAnsi="Arial" w:cs="Arial"/>
          <w:sz w:val="24"/>
          <w:szCs w:val="24"/>
          <w:lang w:val="fr-FR"/>
        </w:rPr>
        <w:t xml:space="preserve"> used tantalum oxide nanoparticles (injected in Lewis rats at 300 mg Ta/kg) as imaging agents and found that the total nanoparticle retention in naïve Lewis rats was 1.49% 48 hours post-injection, which shows that most of the tantalum injected gets out of the body after 2 days ; thus, tantalum does not pollute the body.</w:t>
      </w:r>
      <w:r w:rsidRPr="00FF0DEC">
        <w:rPr>
          <w:rFonts w:ascii="Arial" w:hAnsi="Arial" w:cs="Arial"/>
          <w:sz w:val="24"/>
          <w:szCs w:val="24"/>
          <w:lang w:val="fr-FR"/>
        </w:rPr>
        <w:t xml:space="preserve"> </w:t>
      </w:r>
      <w:r w:rsidRPr="00E266DD">
        <w:rPr>
          <w:rFonts w:ascii="Arial" w:hAnsi="Arial" w:cs="Arial"/>
          <w:sz w:val="24"/>
          <w:szCs w:val="24"/>
          <w:lang w:val="fr-FR"/>
        </w:rPr>
        <w:t xml:space="preserve">Wang </w:t>
      </w:r>
      <w:r w:rsidRPr="00E266DD">
        <w:rPr>
          <w:rFonts w:ascii="Arial" w:hAnsi="Arial" w:cs="Arial"/>
          <w:i/>
          <w:iCs/>
          <w:sz w:val="24"/>
          <w:szCs w:val="24"/>
          <w:lang w:val="fr-FR"/>
        </w:rPr>
        <w:t>et al</w:t>
      </w:r>
      <w:r w:rsidR="00AD2A46" w:rsidRPr="00E266DD">
        <w:rPr>
          <w:rFonts w:ascii="Arial" w:hAnsi="Arial" w:cs="Arial"/>
          <w:i/>
          <w:iCs/>
          <w:sz w:val="24"/>
          <w:szCs w:val="24"/>
          <w:lang w:val="fr-FR"/>
        </w:rPr>
        <w:t>.</w:t>
      </w:r>
      <w:r w:rsidRPr="00EB056A">
        <w:rPr>
          <w:rFonts w:ascii="Arial" w:hAnsi="Arial" w:cs="Arial"/>
          <w:sz w:val="24"/>
          <w:szCs w:val="24"/>
        </w:rPr>
        <w:fldChar w:fldCharType="begin"/>
      </w:r>
      <w:r w:rsidR="00030373" w:rsidRPr="00E266DD">
        <w:rPr>
          <w:rFonts w:ascii="Arial" w:hAnsi="Arial" w:cs="Arial"/>
          <w:sz w:val="24"/>
          <w:szCs w:val="24"/>
          <w:lang w:val="fr-FR"/>
        </w:rPr>
        <w:instrText xml:space="preserve"> ADDIN ZOTERO_ITEM CSL_CITATION {"citationID":"QBZrYJST","properties":{"formattedCitation":"\\super 60\\nosupersub{}","plainCitation":"60","noteIndex":0},"citationItems":[{"id":33,"uris":["http://zotero.org/users/6508478/items/8K22DVNH"],"itemData":{"id":33,"type":"article-journal","abstract":"Porous tantalum has been reported to be a promising material for use in bone tissue engineering. In the present study, the biocompatibility and osteogenic properties of porous tantalum were studied in vitro and in vivo. The morphology of porous tantalum was observed using scanning electron microscopy (SEM). Osteoblasts were cultured with porous tantalum, and cell morphology, adhesion and proliferation were investigated using optical microscopy and SEM. In addition, porous tantalum rods were implanted in rabbits, and osteogenesis was observed using laser scanning confocal microscopy and hard tissue slice examination. The osteoblasts were observed to proliferate over time and adhere to the tantalum surface and pore walls, exhibiting a variety of shapes and intercellular connections. The porous tantalum rod connected tightly with the host bone. At weeks 2 and 4 following implantation, new bone and small blood vessels were observed at the tantalum</w:instrText>
      </w:r>
      <w:r w:rsidR="00030373" w:rsidRPr="00E266DD">
        <w:rPr>
          <w:rFonts w:ascii="Cambria Math" w:hAnsi="Cambria Math" w:cs="Cambria Math"/>
          <w:sz w:val="24"/>
          <w:szCs w:val="24"/>
          <w:lang w:val="fr-FR"/>
        </w:rPr>
        <w:instrText>‑</w:instrText>
      </w:r>
      <w:r w:rsidR="00030373" w:rsidRPr="00E266DD">
        <w:rPr>
          <w:rFonts w:ascii="Arial" w:hAnsi="Arial" w:cs="Arial"/>
          <w:sz w:val="24"/>
          <w:szCs w:val="24"/>
          <w:lang w:val="fr-FR"/>
        </w:rPr>
        <w:instrText>host bone interface and pores. At week 10 after the porous tantalum implantation, new bone tissue was observed at the tantalum</w:instrText>
      </w:r>
      <w:r w:rsidR="00030373" w:rsidRPr="00E266DD">
        <w:rPr>
          <w:rFonts w:ascii="Cambria Math" w:hAnsi="Cambria Math" w:cs="Cambria Math"/>
          <w:sz w:val="24"/>
          <w:szCs w:val="24"/>
          <w:lang w:val="fr-FR"/>
        </w:rPr>
        <w:instrText>‑</w:instrText>
      </w:r>
      <w:r w:rsidR="00030373" w:rsidRPr="00E266DD">
        <w:rPr>
          <w:rFonts w:ascii="Arial" w:hAnsi="Arial" w:cs="Arial"/>
          <w:sz w:val="24"/>
          <w:szCs w:val="24"/>
          <w:lang w:val="fr-FR"/>
        </w:rPr>
        <w:instrText>host bone interface and pores. By week 12, the tantalum</w:instrText>
      </w:r>
      <w:r w:rsidR="00030373" w:rsidRPr="00E266DD">
        <w:rPr>
          <w:rFonts w:ascii="Cambria Math" w:hAnsi="Cambria Math" w:cs="Cambria Math"/>
          <w:sz w:val="24"/>
          <w:szCs w:val="24"/>
          <w:lang w:val="fr-FR"/>
        </w:rPr>
        <w:instrText>‑</w:instrText>
      </w:r>
      <w:r w:rsidR="00030373" w:rsidRPr="00E266DD">
        <w:rPr>
          <w:rFonts w:ascii="Arial" w:hAnsi="Arial" w:cs="Arial"/>
          <w:sz w:val="24"/>
          <w:szCs w:val="24"/>
          <w:lang w:val="fr-FR"/>
        </w:rPr>
        <w:instrText xml:space="preserve">host bone interface and pores were covered with new </w:instrText>
      </w:r>
      <w:r w:rsidR="00030373" w:rsidRPr="00525779">
        <w:rPr>
          <w:rFonts w:ascii="Arial" w:hAnsi="Arial" w:cs="Arial"/>
          <w:sz w:val="24"/>
          <w:szCs w:val="24"/>
        </w:rPr>
        <w:instrText>bone tissue and the bone trabeculae had matured and connected directly with the materials. Therefore, the results of the present study indicate that porous tantalum is non</w:instrText>
      </w:r>
      <w:r w:rsidR="00030373" w:rsidRPr="00525779">
        <w:rPr>
          <w:rFonts w:ascii="Cambria Math" w:hAnsi="Cambria Math" w:cs="Cambria Math"/>
          <w:sz w:val="24"/>
          <w:szCs w:val="24"/>
        </w:rPr>
        <w:instrText>‑</w:instrText>
      </w:r>
      <w:r w:rsidR="00030373" w:rsidRPr="00525779">
        <w:rPr>
          <w:rFonts w:ascii="Arial" w:hAnsi="Arial" w:cs="Arial"/>
          <w:sz w:val="24"/>
          <w:szCs w:val="24"/>
        </w:rPr>
        <w:instrText xml:space="preserve">toxic, biocompatible and a promising material for use in bone tissue engineering applications.","container-title":"Experimental and Therapeutic Medicine","DOI":"10.3892/etm.2015.2208","ISSN":"1792-0981","issue":"3","page":"780-786","source":"www.spandidos-publications.com","title":"Biocompatibility and osteogenic properties of porous tantalum","volume":"9","author":[{"family":"Wang","given":"Qian"},{"family":"Zhang","given":"Hui"},{"family":"Li","given":"Qijia"},{"family":"Ye","given":"Lei"},{"family":"Gan","given":"Hongquan"},{"family":"Liu","given":"Yingjie"},{"family":"Wang","given":"Hui"},{"family":"Wang","given":"Zhiqiang"}],"issued":{"date-parts":[["2015",3,1]]}}}],"schema":"https://github.com/citation-style-language/schema/raw/master/csl-citation.json"} </w:instrText>
      </w:r>
      <w:r w:rsidRPr="00EB056A">
        <w:rPr>
          <w:rFonts w:ascii="Arial" w:hAnsi="Arial" w:cs="Arial"/>
          <w:sz w:val="24"/>
          <w:szCs w:val="24"/>
        </w:rPr>
        <w:fldChar w:fldCharType="separate"/>
      </w:r>
      <w:r w:rsidR="00030373" w:rsidRPr="00030373">
        <w:rPr>
          <w:rFonts w:ascii="Arial" w:hAnsi="Arial" w:cs="Arial"/>
          <w:sz w:val="24"/>
          <w:szCs w:val="24"/>
          <w:vertAlign w:val="superscript"/>
        </w:rPr>
        <w:t>60</w:t>
      </w:r>
      <w:r w:rsidRPr="00EB056A">
        <w:rPr>
          <w:rFonts w:ascii="Arial" w:hAnsi="Arial" w:cs="Arial"/>
          <w:sz w:val="24"/>
          <w:szCs w:val="24"/>
        </w:rPr>
        <w:fldChar w:fldCharType="end"/>
      </w:r>
      <w:r w:rsidRPr="00C34E16">
        <w:rPr>
          <w:rFonts w:ascii="Arial" w:hAnsi="Arial" w:cs="Arial"/>
          <w:sz w:val="24"/>
          <w:szCs w:val="24"/>
        </w:rPr>
        <w:t xml:space="preserve"> used porous tantalum as a bone replacement. </w:t>
      </w:r>
      <w:r>
        <w:rPr>
          <w:rFonts w:ascii="Arial" w:hAnsi="Arial" w:cs="Arial"/>
          <w:sz w:val="24"/>
          <w:szCs w:val="24"/>
        </w:rPr>
        <w:t>The researchers</w:t>
      </w:r>
      <w:r w:rsidRPr="00EB056A">
        <w:rPr>
          <w:rFonts w:ascii="Arial" w:hAnsi="Arial" w:cs="Arial"/>
          <w:sz w:val="24"/>
          <w:szCs w:val="24"/>
        </w:rPr>
        <w:t xml:space="preserve"> </w:t>
      </w:r>
      <w:r>
        <w:rPr>
          <w:rFonts w:ascii="Arial" w:hAnsi="Arial" w:cs="Arial"/>
          <w:sz w:val="24"/>
          <w:szCs w:val="24"/>
        </w:rPr>
        <w:t>demonstrated</w:t>
      </w:r>
      <w:r w:rsidRPr="00EB056A">
        <w:rPr>
          <w:rFonts w:ascii="Arial" w:hAnsi="Arial" w:cs="Arial"/>
          <w:sz w:val="24"/>
          <w:szCs w:val="24"/>
        </w:rPr>
        <w:t xml:space="preserve"> that tantalum in contact with </w:t>
      </w:r>
      <w:r w:rsidRPr="00BE2E36">
        <w:rPr>
          <w:rFonts w:ascii="Arial" w:hAnsi="Arial" w:cs="Arial"/>
          <w:sz w:val="24"/>
          <w:szCs w:val="24"/>
        </w:rPr>
        <w:t xml:space="preserve">osteoblasts </w:t>
      </w:r>
      <w:r>
        <w:rPr>
          <w:rFonts w:ascii="Arial" w:hAnsi="Arial" w:cs="Arial"/>
          <w:sz w:val="24"/>
          <w:szCs w:val="24"/>
        </w:rPr>
        <w:t>for</w:t>
      </w:r>
      <w:r w:rsidRPr="00BE2E36">
        <w:rPr>
          <w:rFonts w:ascii="Arial" w:hAnsi="Arial" w:cs="Arial"/>
          <w:sz w:val="24"/>
          <w:szCs w:val="24"/>
        </w:rPr>
        <w:t xml:space="preserve"> 8 days </w:t>
      </w:r>
      <w:r>
        <w:rPr>
          <w:rFonts w:ascii="Arial" w:hAnsi="Arial" w:cs="Arial"/>
          <w:sz w:val="24"/>
          <w:szCs w:val="24"/>
        </w:rPr>
        <w:t>did</w:t>
      </w:r>
      <w:r w:rsidRPr="00BE2E36">
        <w:rPr>
          <w:rFonts w:ascii="Arial" w:hAnsi="Arial" w:cs="Arial"/>
          <w:sz w:val="24"/>
          <w:szCs w:val="24"/>
        </w:rPr>
        <w:t xml:space="preserve"> not affect </w:t>
      </w:r>
      <w:r>
        <w:rPr>
          <w:rFonts w:ascii="Arial" w:hAnsi="Arial" w:cs="Arial"/>
          <w:sz w:val="24"/>
          <w:szCs w:val="24"/>
        </w:rPr>
        <w:t xml:space="preserve">cell </w:t>
      </w:r>
      <w:r w:rsidRPr="00BE2E36">
        <w:rPr>
          <w:rFonts w:ascii="Arial" w:hAnsi="Arial" w:cs="Arial"/>
          <w:sz w:val="24"/>
          <w:szCs w:val="24"/>
        </w:rPr>
        <w:t>proliferation, and tantalum in</w:t>
      </w:r>
      <w:r w:rsidRPr="00EB056A">
        <w:rPr>
          <w:rFonts w:ascii="Arial" w:hAnsi="Arial" w:cs="Arial"/>
          <w:sz w:val="24"/>
          <w:szCs w:val="24"/>
        </w:rPr>
        <w:t xml:space="preserve"> contact with bones </w:t>
      </w:r>
      <w:r w:rsidRPr="00EB056A">
        <w:rPr>
          <w:rFonts w:ascii="Arial" w:hAnsi="Arial" w:cs="Arial"/>
          <w:i/>
          <w:iCs/>
          <w:sz w:val="24"/>
          <w:szCs w:val="24"/>
        </w:rPr>
        <w:t>in vivo</w:t>
      </w:r>
      <w:r w:rsidRPr="00EB056A">
        <w:rPr>
          <w:rFonts w:ascii="Arial" w:hAnsi="Arial" w:cs="Arial"/>
          <w:sz w:val="24"/>
          <w:szCs w:val="24"/>
        </w:rPr>
        <w:t xml:space="preserve"> increase</w:t>
      </w:r>
      <w:r>
        <w:rPr>
          <w:rFonts w:ascii="Arial" w:hAnsi="Arial" w:cs="Arial"/>
          <w:sz w:val="24"/>
          <w:szCs w:val="24"/>
        </w:rPr>
        <w:t>d</w:t>
      </w:r>
      <w:r w:rsidRPr="00EB056A">
        <w:rPr>
          <w:rFonts w:ascii="Arial" w:hAnsi="Arial" w:cs="Arial"/>
          <w:sz w:val="24"/>
          <w:szCs w:val="24"/>
        </w:rPr>
        <w:t xml:space="preserve"> bone regeneration and collagen type I secretion.</w:t>
      </w:r>
    </w:p>
    <w:p w14:paraId="2D9E14EE" w14:textId="6001EA8B" w:rsidR="00B334B6" w:rsidRPr="00CD6EBE" w:rsidRDefault="0087222F" w:rsidP="00CD6EBE">
      <w:pPr>
        <w:spacing w:line="480" w:lineRule="auto"/>
        <w:ind w:firstLine="720"/>
        <w:jc w:val="both"/>
        <w:rPr>
          <w:rFonts w:ascii="Arial" w:hAnsi="Arial" w:cs="Arial"/>
          <w:b/>
          <w:bCs/>
          <w:sz w:val="24"/>
          <w:szCs w:val="24"/>
        </w:rPr>
      </w:pPr>
      <w:r w:rsidRPr="007E5497">
        <w:rPr>
          <w:rFonts w:ascii="Arial" w:hAnsi="Arial" w:cs="Arial"/>
          <w:sz w:val="24"/>
          <w:szCs w:val="24"/>
        </w:rPr>
        <w:t>Different tantalum concentrations found in the literature have been compiled in</w:t>
      </w:r>
      <w:r w:rsidR="00FE11D5">
        <w:rPr>
          <w:rFonts w:ascii="Arial" w:hAnsi="Arial" w:cs="Arial"/>
          <w:sz w:val="24"/>
          <w:szCs w:val="24"/>
        </w:rPr>
        <w:t xml:space="preserve"> </w:t>
      </w:r>
      <w:r w:rsidR="00FE11D5" w:rsidRPr="00FE11D5">
        <w:rPr>
          <w:rFonts w:ascii="Arial" w:hAnsi="Arial" w:cs="Arial"/>
          <w:sz w:val="24"/>
          <w:szCs w:val="24"/>
        </w:rPr>
        <w:fldChar w:fldCharType="begin"/>
      </w:r>
      <w:r w:rsidR="00FE11D5" w:rsidRPr="00FE11D5">
        <w:rPr>
          <w:rFonts w:ascii="Arial" w:hAnsi="Arial" w:cs="Arial"/>
          <w:sz w:val="24"/>
          <w:szCs w:val="24"/>
        </w:rPr>
        <w:instrText xml:space="preserve"> REF _Ref109766001 \h </w:instrText>
      </w:r>
      <w:r w:rsidR="00FE11D5" w:rsidRPr="00FE11D5">
        <w:rPr>
          <w:rFonts w:ascii="Arial" w:hAnsi="Arial" w:cs="Arial"/>
          <w:sz w:val="24"/>
          <w:szCs w:val="24"/>
        </w:rPr>
      </w:r>
      <w:r w:rsidR="00FE11D5" w:rsidRPr="00FE11D5">
        <w:rPr>
          <w:rFonts w:ascii="Arial" w:hAnsi="Arial" w:cs="Arial"/>
          <w:sz w:val="24"/>
          <w:szCs w:val="24"/>
        </w:rPr>
        <w:instrText xml:space="preserve"> \* MERGEFORMAT </w:instrText>
      </w:r>
      <w:r w:rsidR="00FE11D5" w:rsidRPr="00FE11D5">
        <w:rPr>
          <w:rFonts w:ascii="Arial" w:hAnsi="Arial" w:cs="Arial"/>
          <w:sz w:val="24"/>
          <w:szCs w:val="24"/>
        </w:rPr>
        <w:fldChar w:fldCharType="separate"/>
      </w:r>
      <w:r w:rsidR="005C4791" w:rsidRPr="005C4791">
        <w:rPr>
          <w:rFonts w:ascii="Arial" w:hAnsi="Arial" w:cs="Arial"/>
          <w:sz w:val="24"/>
          <w:szCs w:val="24"/>
        </w:rPr>
        <w:t xml:space="preserve">Table </w:t>
      </w:r>
      <w:r w:rsidR="005C4791" w:rsidRPr="005C4791">
        <w:rPr>
          <w:rFonts w:ascii="Arial" w:hAnsi="Arial" w:cs="Arial"/>
          <w:i/>
          <w:iCs/>
          <w:noProof/>
          <w:sz w:val="24"/>
          <w:szCs w:val="24"/>
        </w:rPr>
        <w:t>2</w:t>
      </w:r>
      <w:r w:rsidR="00FE11D5" w:rsidRPr="00FE11D5">
        <w:rPr>
          <w:rFonts w:ascii="Arial" w:hAnsi="Arial" w:cs="Arial"/>
          <w:sz w:val="24"/>
          <w:szCs w:val="24"/>
        </w:rPr>
        <w:fldChar w:fldCharType="end"/>
      </w:r>
      <w:r w:rsidRPr="007E5497">
        <w:rPr>
          <w:rFonts w:ascii="Arial" w:hAnsi="Arial" w:cs="Arial"/>
          <w:sz w:val="24"/>
          <w:szCs w:val="24"/>
        </w:rPr>
        <w:t xml:space="preserve">. In blood vessels, most tantalum </w:t>
      </w:r>
      <w:r w:rsidRPr="007E5497">
        <w:rPr>
          <w:rFonts w:ascii="Arial" w:hAnsi="Arial" w:cs="Arial"/>
          <w:sz w:val="24"/>
          <w:szCs w:val="24"/>
        </w:rPr>
        <w:lastRenderedPageBreak/>
        <w:t>concentrations used are around 200 mg of Ta per mL</w:t>
      </w:r>
      <w:r w:rsidRPr="007E5497">
        <w:rPr>
          <w:rFonts w:ascii="Arial" w:hAnsi="Arial" w:cs="Arial"/>
          <w:sz w:val="24"/>
          <w:szCs w:val="24"/>
        </w:rPr>
        <w:fldChar w:fldCharType="begin"/>
      </w:r>
      <w:r w:rsidR="00030373">
        <w:rPr>
          <w:rFonts w:ascii="Arial" w:hAnsi="Arial" w:cs="Arial"/>
          <w:sz w:val="24"/>
          <w:szCs w:val="24"/>
        </w:rPr>
        <w:instrText xml:space="preserve"> ADDIN ZOTERO_ITEM CSL_CITATION {"citationID":"9GsVzs3C","properties":{"formattedCitation":"\\super 56,58,59\\nosupersub{}","plainCitation":"56,58,59","noteIndex":0},"citationItems":[{"id":28,"uris":["http://zotero.org/users/6508478/items/AXDKZN5W"],"itemData":{"id":28,"type":"book","abstract":"Introduction\nCurrent clinically-approved computed tomography (CT) contrast agents employ iodinated small molecules that are used to highlight vascular anatomy and pathology. (Cormode 2013) However, iodinated compounds have poor imaging efficacy in large patients and their use is contraindicated in a growing population of renally impaired patients who are hypersensitive to these contrast agents. (Cormode 2013) Nanoparticles have been explored as a potential new class of CT contrast agents. (Garcia 2014) In order to be clinically translatable as contrast agents, nanoparticles must have controlled physiochemical parameters and appropriate biological safety profiles. (Jakhmola 2012 &amp; Garcia 2014) Tantalum oxide nanoparticles (TaO NPs) have high potential as CT contrast agents because of their promising biocompatibility and good radiopacity. (Bonitatibus 2010 &amp; Torres 2012) In this study, we have identified a &lt;5nm zwitterion-coated TaO nanoparticle that exhibits promising physiochemical, biological and CT imaging performance.\nMethods and Results\nA phosphonate-coated TaO NP (PHS, Bonitatibus 2010), a zwitterionic mixed siloxane-coated TaO NP (ZMS, Bonitatibus 2012) and a single-ligand zwitterion-coated TaO NP (CZ) were synthesized. Compared to the previously reported physiochemical properties of PHS, zwitterion-coated nanoparticles (ZMS, CZ) show lower viscosities at higher concentrations. (Figure 1a,b) To test organ retention of each TaO NP, naive rats were intravenously injected with the anticipated clinical dose (400 mg Ta/kg bodyweight) of each TaO NP. One week after injection, organs known to retain nanoparticles (liver, kidney and spleen) were removed and measured for Ta content (% injected dose/organ) by combustion followed by inductively-coupled plasma spectroscopy. Zwitterionic nanoparticles showed lower tantalum organ retention than PHS; CZ showing the lowest retention. (Figure 1c) To explore the safety performance of these nanoparticles, rats were intravenously injected with 3x anticipated clinical dose (1500 mg Ta/kg bodyweight) of each nanoparticle. To evaluate potential renal toxicity, kidneys were collected (day 7), sectioned, stained by H&amp;E, and scored by a toxicologic pathologist (Charles River Labs). The kidney pathology that is observed with PHS was not observed by the zwitterionic nanoparticles (ZMS, CZ). (Figure 1d)\nTantalum-based contrast agents can provide improved vascular contrast and allow reduced radiation dose especially in larger patients. In Figure 1e, we show the image contrast produced by tantalum compared to iodine at the range of x-ray tube voltages (kVp) used in CT imaging. 80 kVp is used to scan the smallest adult patients. Tantalum provides higher image contrast than other elements at 100-140 kVp and could be used to improve image quality or to reduce radiation and/or contrast agent dose in most patients, with the highest improvement at 140 kVp, which is required for large patients.\nConclusions\nIn summary, zwitterionic coated TaO nanoparticles (ZMS, CZ) exhibit the best physiochemical, retention and safety profiles. These TaO nanoparticles may also reduce the radiation dose for CT imaging in larger patients.","note":"DOI: 10.13140/RG.2.1.3352.3687","source":"ResearchGate","title":"Physiochemical, biological, and imaging performance of zwitterionic-coated TaO nanoparticles as CT contrast agents","author":[{"family":"Roberts","given":"Jeannette"},{"family":"Bonitatibus","given":"Peter"},{"family":"Butts","given":"Matthew"},{"family":"Colborn","given":"Robert"},{"family":"Edic","given":"Peter"},{"family":"Fitzgerald","given":"Paul"},{"family":"Lambert","given":"Jack"},{"family":"Marino","given":"Michael"},{"family":"Torres","given":"Andrew"},{"family":"Yeh","given":"Benjamin"}],"issued":{"date-parts":[["2015",9,24]]}}},{"id":26,"uris":["http://zotero.org/users/6508478/items/ZRK4HGSE"],"itemData":{"id":26,"type":"article-journal","abstract":"Objectives\nTo produce and evaluate a proposed computed tomography (CT) contrast\nagent based on carboxybetaine zwitterionic (CZ) coated soluble tantalum\noxide nanoparticles (CZ-TaO NPs). We chose tantalum to provide superior\nimaging performance compared to current iodine-based clinical CT contrast\nagents. We developed the CZ coating to provide biological and physical\nperformance similar to that of current iodinated contrast agents. The aim of\nthis study was to evaluate the imaging, biological, and physicochemical\nperformance of this proposed contrast agent compared to clinically-used\niodinated agents.\n\nMaterials and Methods\nWe evaluated CT imaging performance of our CZ-TaO NPs compared to an\niodinated agent in live rats, imaged centrally-located within a\ntissue-equivalent plastic phantom that simulated a large patient. To\nevaluate vascular contrast enhancement, we scanned the rats’ great\nvessels at high temporal resolution during and following contrast agent\ninjection. We performed several in vivo CZ-TaO NP studies\nin healthy rats to evaluate tolerability. These studies included injecting\nthe agent at the anticipated clinical dose (ACD) and at 3 times and 6 times\nthe ACD, followed by longitudinal hematology to assess impact to blood cells\nand organ function (from 4 hours to 1 week). Kidney histological analysis\nwas performed 48 hours after injection at 3 times the ACD. We measured the\nelimination half-life of CZ-TaO NPs from blood, and we monitored acute\nkidney injury biomarkers with a kidney injury assay using urine collected\nfrom 4 hours to 1 week. We measured tantalum retention in individual organs\nand in the whole carcass 48 hours after injection at ACD. CZ-TaO NPs were\nsynthesized and analyzed in detail. We used multi-dimensional nuclear\nmagnetic resonance (NMR) to determine surface functionality of the\nnanoparticles. We measured nanoparticle size and solution properties\n(osmolality and viscosity) of the agent over a range of tantalum\nconcentrations, including the high concentrations required for standard\nclinical CT imaging.\n\nResults\nCT imaging studies demonstrated image contrast improvement of\napproximately 40–50% using CZ-TaO NPs compared with an\niodinated agent injected at the same mass concentration. Blood and organ\nanalyses showed no adverse effects following injection in healthy\nnaïve rats at 3 times the ACD. Retention of tantalum at 48 hours\nafter injection was less than 2% of the injected dose in the whole\ncarcass, which very closely matched the reported retention of existing\ncommercial iodine-based contrast agents. Urine analysis of sensitive markers\nfor acute kidney injury showed no responses at 1 week following injection at\n3 times the ACD; however, a moderate response in the neutrophil\ngelatinase-associated lipocalin (NGAL) biomarker was measured at 24 and 48\nhours. Compared to other tantalum oxide nanoparticles reported in the\nliterature, CZ-TaO NPs had relatively low osmolality and viscosity at\nconcentrations &gt;200 mg Ta/mL, and were similar in these physical\nproperties to dimeric iodine-based contrast agents.\n\nConclusions\nWe found that a CZ-TaO NP-based contrast agent is potentially viable\nfor general-purpose clinical CT imaging. Our results suggest that such an\nagent can be formulated with clinically-viable physicochemical properties,\ncan be biologically safe and cleared rapidly in urine, and can provide\nsubstantially improved image contrast at CT compared to current iodinated\nagents.","container-title":"Investigative radiology","DOI":"10.1097/RLI.0000000000000279","ISSN":"0020-9996","issue":"12","journalAbbreviation":"Invest Radiol","note":"PMID: 27115702\nPMCID: PMC5079849","page":"786-796","source":"PubMed Central","title":"A proposed CT contrast agent using carboxybetaine zwitterionic tantalum oxide nanoparticles: Imaging, biological, and physicochemical performance","title-short":"A proposed CT contrast agent using carboxybetaine zwitterionic tantalum oxide nanoparticles","volume":"51","author":[{"family":"FitzGerald","given":"Paul F."},{"family":"Butts","given":"Matthew D."},{"family":"Roberts","given":"Jeannette C."},{"family":"Colborn","given":"Robert E."},{"family":"Torres","given":"Andrew S."},{"family":"Lee","given":"Brian D."},{"family":"Yeh","given":"Benjamin M."},{"family":"Bonitatibus","given":"Peter J."}],"issued":{"date-parts":[["2016",12]]}}},{"id":30,"uris":["http://zotero.org/users/6508478/items/UVDGIKSD"],"itemData":{"id":30,"type":"patent","abstract":"The present invention is generally directed to core/shell nanoparticles, wherein such core/shell nanoparticles comprise a nanoparticle core and a nanoshell disposed about the nanoparticle core such that, in the aggregate, they form a core/shell nanoparticle that is operable for use as an imaging agent in X-ray/computed tomography (CT). Typically, such core/shell nanoparticle-based X-ray CT imaging agents further comprise a targeting species for targeting the imaging agent to diseased sites.","language":"en","title":"Tantalum oxide nanoparticles as imaging agents for x-ray/ computed tomography and methods for making same","URL":"https://patents.google.com/patent/WO2008092059A2/en","accessed":{"date-parts":[["2021",6,7]]},"issued":{"date-parts":[["2008",1,25]]}}}],"schema":"https://github.com/citation-style-language/schema/raw/master/csl-citation.json"} </w:instrText>
      </w:r>
      <w:r w:rsidRPr="007E5497">
        <w:rPr>
          <w:rFonts w:ascii="Arial" w:hAnsi="Arial" w:cs="Arial"/>
          <w:sz w:val="24"/>
          <w:szCs w:val="24"/>
        </w:rPr>
        <w:fldChar w:fldCharType="separate"/>
      </w:r>
      <w:r w:rsidR="00030373" w:rsidRPr="00030373">
        <w:rPr>
          <w:rFonts w:ascii="Arial" w:hAnsi="Arial" w:cs="Arial"/>
          <w:sz w:val="24"/>
          <w:szCs w:val="24"/>
          <w:vertAlign w:val="superscript"/>
        </w:rPr>
        <w:t>56,58,59</w:t>
      </w:r>
      <w:r w:rsidRPr="007E5497">
        <w:rPr>
          <w:rFonts w:ascii="Arial" w:hAnsi="Arial" w:cs="Arial"/>
          <w:sz w:val="24"/>
          <w:szCs w:val="24"/>
        </w:rPr>
        <w:fldChar w:fldCharType="end"/>
      </w:r>
      <w:r w:rsidRPr="007E5497">
        <w:rPr>
          <w:rFonts w:ascii="Arial" w:hAnsi="Arial" w:cs="Arial"/>
          <w:sz w:val="24"/>
          <w:szCs w:val="24"/>
        </w:rPr>
        <w:t xml:space="preserve">. However, FitzGerald </w:t>
      </w:r>
      <w:r w:rsidRPr="007E5497">
        <w:rPr>
          <w:rFonts w:ascii="Arial" w:hAnsi="Arial" w:cs="Arial"/>
          <w:i/>
          <w:iCs/>
          <w:sz w:val="24"/>
          <w:szCs w:val="24"/>
        </w:rPr>
        <w:t>et al</w:t>
      </w:r>
      <w:r w:rsidR="00585C4C">
        <w:rPr>
          <w:rFonts w:ascii="Arial" w:hAnsi="Arial" w:cs="Arial"/>
          <w:i/>
          <w:iCs/>
          <w:sz w:val="24"/>
          <w:szCs w:val="24"/>
        </w:rPr>
        <w:t>.</w:t>
      </w:r>
      <w:r w:rsidRPr="007E5497">
        <w:rPr>
          <w:rFonts w:ascii="Arial" w:hAnsi="Arial" w:cs="Arial"/>
          <w:sz w:val="24"/>
          <w:szCs w:val="24"/>
        </w:rPr>
        <w:fldChar w:fldCharType="begin"/>
      </w:r>
      <w:r w:rsidR="00030373">
        <w:rPr>
          <w:rFonts w:ascii="Arial" w:hAnsi="Arial" w:cs="Arial"/>
          <w:sz w:val="24"/>
          <w:szCs w:val="24"/>
        </w:rPr>
        <w:instrText xml:space="preserve"> ADDIN ZOTERO_ITEM CSL_CITATION {"citationID":"2QOK2trb","properties":{"formattedCitation":"\\super 58\\nosupersub{}","plainCitation":"58","noteIndex":0},"citationItems":[{"id":26,"uris":["http://zotero.org/users/6508478/items/ZRK4HGSE"],"itemData":{"id":26,"type":"article-journal","abstract":"Objectives\nTo produce and evaluate a proposed computed tomography (CT) contrast\nagent based on carboxybetaine zwitterionic (CZ) coated soluble tantalum\noxide nanoparticles (CZ-TaO NPs). We chose tantalum to provide superior\nimaging performance compared to current iodine-based clinical CT contrast\nagents. We developed the CZ coating to provide biological and physical\nperformance similar to that of current iodinated contrast agents. The aim of\nthis study was to evaluate the imaging, biological, and physicochemical\nperformance of this proposed contrast agent compared to clinically-used\niodinated agents.\n\nMaterials and Methods\nWe evaluated CT imaging performance of our CZ-TaO NPs compared to an\niodinated agent in live rats, imaged centrally-located within a\ntissue-equivalent plastic phantom that simulated a large patient. To\nevaluate vascular contrast enhancement, we scanned the rats’ great\nvessels at high temporal resolution during and following contrast agent\ninjection. We performed several in vivo CZ-TaO NP studies\nin healthy rats to evaluate tolerability. These studies included injecting\nthe agent at the anticipated clinical dose (ACD) and at 3 times and 6 times\nthe ACD, followed by longitudinal hematology to assess impact to blood cells\nand organ function (from 4 hours to 1 week). Kidney histological analysis\nwas performed 48 hours after injection at 3 times the ACD. We measured the\nelimination half-life of CZ-TaO NPs from blood, and we monitored acute\nkidney injury biomarkers with a kidney injury assay using urine collected\nfrom 4 hours to 1 week. We measured tantalum retention in individual organs\nand in the whole carcass 48 hours after injection at ACD. CZ-TaO NPs were\nsynthesized and analyzed in detail. We used multi-dimensional nuclear\nmagnetic resonance (NMR) to determine surface functionality of the\nnanoparticles. We measured nanoparticle size and solution properties\n(osmolality and viscosity) of the agent over a range of tantalum\nconcentrations, including the high concentrations required for standard\nclinical CT imaging.\n\nResults\nCT imaging studies demonstrated image contrast improvement of\napproximately 40–50% using CZ-TaO NPs compared with an\niodinated agent injected at the same mass concentration. Blood and organ\nanalyses showed no adverse effects following injection in healthy\nnaïve rats at 3 times the ACD. Retention of tantalum at 48 hours\nafter injection was less than 2% of the injected dose in the whole\ncarcass, which very closely matched the reported retention of existing\ncommercial iodine-based contrast agents. Urine analysis of sensitive markers\nfor acute kidney injury showed no responses at 1 week following injection at\n3 times the ACD; however, a moderate response in the neutrophil\ngelatinase-associated lipocalin (NGAL) biomarker was measured at 24 and 48\nhours. Compared to other tantalum oxide nanoparticles reported in the\nliterature, CZ-TaO NPs had relatively low osmolality and viscosity at\nconcentrations &gt;200 mg Ta/mL, and were similar in these physical\nproperties to dimeric iodine-based contrast agents.\n\nConclusions\nWe found that a CZ-TaO NP-based contrast agent is potentially viable\nfor general-purpose clinical CT imaging. Our results suggest that such an\nagent can be formulated with clinically-viable physicochemical properties,\ncan be biologically safe and cleared rapidly in urine, and can provide\nsubstantially improved image contrast at CT compared to current iodinated\nagents.","container-title":"Investigative radiology","DOI":"10.1097/RLI.0000000000000279","ISSN":"0020-9996","issue":"12","journalAbbreviation":"Invest Radiol","note":"PMID: 27115702\nPMCID: PMC5079849","page":"786-796","source":"PubMed Central","title":"A proposed CT contrast agent using carboxybetaine zwitterionic tantalum oxide nanoparticles: Imaging, biological, and physicochemical performance","title-short":"A proposed CT contrast agent using carboxybetaine zwitterionic tantalum oxide nanoparticles","volume":"51","author":[{"family":"FitzGerald","given":"Paul F."},{"family":"Butts","given":"Matthew D."},{"family":"Roberts","given":"Jeannette C."},{"family":"Colborn","given":"Robert E."},{"family":"Torres","given":"Andrew S."},{"family":"Lee","given":"Brian D."},{"family":"Yeh","given":"Benjamin M."},{"family":"Bonitatibus","given":"Peter J."}],"issued":{"date-parts":[["2016",12]]}}}],"schema":"https://github.com/citation-style-language/schema/raw/master/csl-citation.json"} </w:instrText>
      </w:r>
      <w:r w:rsidRPr="007E5497">
        <w:rPr>
          <w:rFonts w:ascii="Arial" w:hAnsi="Arial" w:cs="Arial"/>
          <w:sz w:val="24"/>
          <w:szCs w:val="24"/>
        </w:rPr>
        <w:fldChar w:fldCharType="separate"/>
      </w:r>
      <w:r w:rsidR="00030373" w:rsidRPr="00030373">
        <w:rPr>
          <w:rFonts w:ascii="Arial" w:hAnsi="Arial" w:cs="Arial"/>
          <w:sz w:val="24"/>
          <w:szCs w:val="24"/>
          <w:vertAlign w:val="superscript"/>
        </w:rPr>
        <w:t>58</w:t>
      </w:r>
      <w:r w:rsidRPr="007E5497">
        <w:rPr>
          <w:rFonts w:ascii="Arial" w:hAnsi="Arial" w:cs="Arial"/>
          <w:sz w:val="24"/>
          <w:szCs w:val="24"/>
        </w:rPr>
        <w:fldChar w:fldCharType="end"/>
      </w:r>
      <w:r w:rsidRPr="007E5497">
        <w:rPr>
          <w:rFonts w:ascii="Arial" w:hAnsi="Arial" w:cs="Arial"/>
          <w:sz w:val="24"/>
          <w:szCs w:val="24"/>
        </w:rPr>
        <w:t xml:space="preserve"> reported</w:t>
      </w:r>
      <w:r w:rsidR="00CD6EBE" w:rsidRPr="007E5497">
        <w:rPr>
          <w:rFonts w:ascii="Arial" w:hAnsi="Arial" w:cs="Arial"/>
          <w:sz w:val="24"/>
          <w:szCs w:val="24"/>
        </w:rPr>
        <w:t xml:space="preserve"> that</w:t>
      </w:r>
      <w:r w:rsidRPr="007E5497">
        <w:rPr>
          <w:rFonts w:ascii="Arial" w:hAnsi="Arial" w:cs="Arial"/>
          <w:sz w:val="24"/>
          <w:szCs w:val="24"/>
        </w:rPr>
        <w:t xml:space="preserve"> the concentration of tantalum introduced was diluted by at least a factor 10 by the blood stream, so most concentrations are around 10 or 20 mg Ta/mL. Rathnayake </w:t>
      </w:r>
      <w:r w:rsidRPr="007E5497">
        <w:rPr>
          <w:rFonts w:ascii="Arial" w:hAnsi="Arial" w:cs="Arial"/>
          <w:i/>
          <w:iCs/>
          <w:sz w:val="24"/>
          <w:szCs w:val="24"/>
        </w:rPr>
        <w:t>et al</w:t>
      </w:r>
      <w:r w:rsidR="00585C4C">
        <w:rPr>
          <w:rFonts w:ascii="Arial" w:hAnsi="Arial" w:cs="Arial"/>
          <w:i/>
          <w:iCs/>
          <w:sz w:val="24"/>
          <w:szCs w:val="24"/>
        </w:rPr>
        <w:t>.</w:t>
      </w:r>
      <w:r w:rsidRPr="007E5497">
        <w:rPr>
          <w:rFonts w:ascii="Arial" w:hAnsi="Arial" w:cs="Arial"/>
          <w:sz w:val="24"/>
          <w:szCs w:val="24"/>
        </w:rPr>
        <w:fldChar w:fldCharType="begin"/>
      </w:r>
      <w:r w:rsidR="005B4F59">
        <w:rPr>
          <w:rFonts w:ascii="Arial" w:hAnsi="Arial" w:cs="Arial"/>
          <w:sz w:val="24"/>
          <w:szCs w:val="24"/>
        </w:rPr>
        <w:instrText xml:space="preserve"> ADDIN ZOTERO_ITEM CSL_CITATION {"citationID":"d7v16L84","properties":{"formattedCitation":"\\super 57\\nosupersub{}","plainCitation":"57","noteIndex":0},"citationItems":[{"id":29,"uris":["http://zotero.org/users/6508478/items/CB7YJJQ6"],"itemData":{"id":29,"type":"article-journal","abstract":"To assess the ability of dual-energy CT (DECT) to separate intravenous contrast of bowel wall from intraluminal contrast, we scanned 16 rabbits on a clinical DECT scanner: n=3 using only iodinated intravenous contrast; and n=13 double-contrast enhanced scans using iodinated intravenous contrast and experimental enteric non-iodinated contrast agents in the bowel lumen (5 bismuth-, 4 tungsten-, and 4 tantalum-based). Representative image pairs from conventional CT images and DECT iodine density maps of small bowel (116 pairs from 232 images) were viewed by four abdominal imaging attending radiologists to independently score each comparison pair on a visual analog scale (−100 to +100%) for: 1) preference in small bowel wall visualization; and 2) preference in completeness of intraluminal enteric contrast subtraction. Median small bowel wall visualization was scored 39 and 42 percentage points (95% CI: 30–44% and 36–45%, p&lt;0.001 both) higher at double-contrast DECT than at conventional CT with enteric tungsten and tantalum contrast, respectively. Median small bowel wall visualization at double-contrast DECT was scored 29 and 35 percentage points (95% CI: 20–35% and 33–39%, p&lt;0.001 both) higher with enteric tungsten and tantalum, respectively, than with bismuth contrast. Median completeness of intraluminal enteric contrast subtraction in double-contrast DECT iodine density maps was scored 28 and 29 percentage points (95% CI: 15–31% and 28–33%, p&lt;0.001 both) higher with enteric tungsten and tantalum, respectively, than with bismuth contrast. Results suggest that in vivo double-contrast DECT with iodinated intravenous and either tantalum- or tungsten-based enteric contrast provide better visualization of small bowel than conventional CT.","container-title":"Contrast media &amp; molecular imaging","DOI":"10.1002/cmmi.1687","ISSN":"1555-4309","issue":"4","journalAbbreviation":"Contrast Media Mol Imaging","note":"PMID: 26892945\nPMCID: PMC4969129","page":"254-261","source":"PubMed Central","title":"In vivo comparison of tantalum, tungsten, and bismuth enteric contrast agents to complement intravenous iodine for double-contrast dual-energy CT of the bowel","volume":"11","author":[{"family":"Rathnayake","given":"Samira"},{"family":"Mongan","given":"John"},{"family":"Torres","given":"Andrew S."},{"family":"Colborn","given":"Robert"},{"family":"Gao","given":"Dong-Wei"},{"family":"Yeh","given":"Benjamin M"},{"family":"Fu","given":"Yanjun"}],"issued":{"date-parts":[["2016",7]]}}}],"schema":"https://github.com/citation-style-language/schema/raw/master/csl-citation.json"} </w:instrText>
      </w:r>
      <w:r w:rsidRPr="007E5497">
        <w:rPr>
          <w:rFonts w:ascii="Arial" w:hAnsi="Arial" w:cs="Arial"/>
          <w:sz w:val="24"/>
          <w:szCs w:val="24"/>
        </w:rPr>
        <w:fldChar w:fldCharType="separate"/>
      </w:r>
      <w:r w:rsidR="00766016" w:rsidRPr="00766016">
        <w:rPr>
          <w:rFonts w:ascii="Arial" w:hAnsi="Arial" w:cs="Arial"/>
          <w:sz w:val="24"/>
          <w:szCs w:val="24"/>
          <w:vertAlign w:val="superscript"/>
        </w:rPr>
        <w:t>57</w:t>
      </w:r>
      <w:r w:rsidRPr="007E5497">
        <w:rPr>
          <w:rFonts w:ascii="Arial" w:hAnsi="Arial" w:cs="Arial"/>
          <w:sz w:val="24"/>
          <w:szCs w:val="24"/>
        </w:rPr>
        <w:fldChar w:fldCharType="end"/>
      </w:r>
      <w:r w:rsidRPr="007E5497">
        <w:rPr>
          <w:rFonts w:ascii="Arial" w:hAnsi="Arial" w:cs="Arial"/>
          <w:sz w:val="24"/>
          <w:szCs w:val="24"/>
        </w:rPr>
        <w:t xml:space="preserve"> reported using concentrations around 1 mg Ta/mL, in studies where blood dilution was not a factor. Due reports from previous literature, we plan to move forward with using 5 mg Ta/mL as a low concentration and 50 mg Ta/mL as a high concentration in our novel aneurysm treatment.</w:t>
      </w:r>
    </w:p>
    <w:p w14:paraId="02627966" w14:textId="64EA91DA" w:rsidR="001A38EA" w:rsidRDefault="00BE4A38" w:rsidP="00525779">
      <w:pPr>
        <w:spacing w:after="0" w:line="480" w:lineRule="auto"/>
        <w:ind w:firstLine="720"/>
        <w:jc w:val="both"/>
        <w:rPr>
          <w:rFonts w:ascii="Arial" w:hAnsi="Arial" w:cs="Arial"/>
          <w:sz w:val="24"/>
          <w:szCs w:val="24"/>
        </w:rPr>
      </w:pPr>
      <w:r>
        <w:rPr>
          <w:rFonts w:ascii="Arial" w:hAnsi="Arial" w:cs="Arial"/>
          <w:sz w:val="24"/>
          <w:szCs w:val="24"/>
        </w:rPr>
        <w:t>These studies show that X-rays can be used to safely image the brain. Tantalum powder is an imaging agent that will make PHA visible on X-rays, thus allow non-invasive monitoring of PHA injection in aneurysms.</w:t>
      </w:r>
    </w:p>
    <w:p w14:paraId="15EA51A8" w14:textId="77777777" w:rsidR="004A6AD4" w:rsidRPr="00EB056A" w:rsidRDefault="004A6AD4" w:rsidP="000F3C2E">
      <w:pPr>
        <w:spacing w:after="0" w:line="480" w:lineRule="auto"/>
        <w:jc w:val="both"/>
        <w:rPr>
          <w:rFonts w:ascii="Arial" w:hAnsi="Arial" w:cs="Arial"/>
          <w:sz w:val="24"/>
          <w:szCs w:val="24"/>
        </w:rPr>
      </w:pPr>
    </w:p>
    <w:p w14:paraId="5F6E13AB" w14:textId="32930730" w:rsidR="00DE327E" w:rsidRDefault="00B334B6" w:rsidP="00EB056A">
      <w:pPr>
        <w:pStyle w:val="Titre2"/>
        <w:spacing w:line="480" w:lineRule="auto"/>
        <w:jc w:val="both"/>
        <w:rPr>
          <w:rFonts w:ascii="Arial" w:hAnsi="Arial" w:cs="Arial"/>
          <w:b/>
          <w:bCs/>
          <w:color w:val="auto"/>
        </w:rPr>
      </w:pPr>
      <w:bookmarkStart w:id="58" w:name="_Toc77701678"/>
      <w:bookmarkStart w:id="59" w:name="_Toc106903220"/>
      <w:r w:rsidRPr="00EB056A">
        <w:rPr>
          <w:rFonts w:ascii="Arial" w:hAnsi="Arial" w:cs="Arial"/>
          <w:b/>
          <w:bCs/>
          <w:color w:val="auto"/>
        </w:rPr>
        <w:t xml:space="preserve">2.2 </w:t>
      </w:r>
      <w:r w:rsidR="00DE327E" w:rsidRPr="00EB056A">
        <w:rPr>
          <w:rFonts w:ascii="Arial" w:hAnsi="Arial" w:cs="Arial"/>
          <w:b/>
          <w:bCs/>
          <w:color w:val="auto"/>
        </w:rPr>
        <w:t>Materials</w:t>
      </w:r>
      <w:bookmarkEnd w:id="58"/>
      <w:r w:rsidR="007E5497">
        <w:rPr>
          <w:rFonts w:ascii="Arial" w:hAnsi="Arial" w:cs="Arial"/>
          <w:b/>
          <w:bCs/>
          <w:color w:val="auto"/>
        </w:rPr>
        <w:t xml:space="preserve"> &amp; Methods</w:t>
      </w:r>
      <w:bookmarkEnd w:id="59"/>
    </w:p>
    <w:p w14:paraId="4D877D2D" w14:textId="3C3FCBCC" w:rsidR="007E5497" w:rsidRPr="00A83790" w:rsidRDefault="007E5497" w:rsidP="00834360">
      <w:pPr>
        <w:pStyle w:val="Titre3"/>
        <w:spacing w:after="240"/>
        <w:rPr>
          <w:rFonts w:ascii="Arial" w:hAnsi="Arial" w:cs="Arial"/>
          <w:b/>
          <w:bCs/>
        </w:rPr>
      </w:pPr>
      <w:bookmarkStart w:id="60" w:name="_Toc106903221"/>
      <w:r w:rsidRPr="00834360">
        <w:rPr>
          <w:rFonts w:ascii="Arial" w:hAnsi="Arial" w:cs="Arial"/>
          <w:b/>
          <w:bCs/>
          <w:color w:val="auto"/>
        </w:rPr>
        <w:t>2.2.1 Materials</w:t>
      </w:r>
      <w:bookmarkEnd w:id="60"/>
    </w:p>
    <w:p w14:paraId="26C258C4" w14:textId="1D549AA2" w:rsidR="006E2147" w:rsidRDefault="00E1105D" w:rsidP="0060219D">
      <w:pPr>
        <w:spacing w:line="480" w:lineRule="auto"/>
        <w:ind w:firstLine="720"/>
        <w:jc w:val="both"/>
      </w:pPr>
      <w:r w:rsidRPr="00EB056A">
        <w:rPr>
          <w:rFonts w:ascii="Arial" w:eastAsia="Times New Roman" w:hAnsi="Arial" w:cs="Arial"/>
          <w:sz w:val="24"/>
          <w:szCs w:val="24"/>
        </w:rPr>
        <w:t>Hyaluronic acid</w:t>
      </w:r>
      <w:r w:rsidR="00107D97">
        <w:rPr>
          <w:rFonts w:ascii="Arial" w:eastAsia="Times New Roman" w:hAnsi="Arial" w:cs="Arial"/>
          <w:sz w:val="24"/>
          <w:szCs w:val="24"/>
        </w:rPr>
        <w:t xml:space="preserve"> (HA;</w:t>
      </w:r>
      <w:r w:rsidRPr="00EB056A">
        <w:rPr>
          <w:rFonts w:ascii="Arial" w:eastAsia="Times New Roman" w:hAnsi="Arial" w:cs="Arial"/>
          <w:sz w:val="24"/>
          <w:szCs w:val="24"/>
        </w:rPr>
        <w:t xml:space="preserve"> 40 kDa) was purchased from Lifecore Biomedical, Chaska, MN, United States. N,N-</w:t>
      </w:r>
      <w:r w:rsidR="001E792D">
        <w:rPr>
          <w:rFonts w:ascii="Arial" w:eastAsia="Times New Roman" w:hAnsi="Arial" w:cs="Arial"/>
          <w:sz w:val="24"/>
          <w:szCs w:val="24"/>
        </w:rPr>
        <w:t>d</w:t>
      </w:r>
      <w:r w:rsidRPr="00EB056A">
        <w:rPr>
          <w:rFonts w:ascii="Arial" w:eastAsia="Times New Roman" w:hAnsi="Arial" w:cs="Arial"/>
          <w:sz w:val="24"/>
          <w:szCs w:val="24"/>
        </w:rPr>
        <w:t>imethylformamide (DMF</w:t>
      </w:r>
      <w:r w:rsidR="001E792D">
        <w:rPr>
          <w:rFonts w:ascii="Arial" w:eastAsia="Times New Roman" w:hAnsi="Arial" w:cs="Arial"/>
          <w:sz w:val="24"/>
          <w:szCs w:val="24"/>
        </w:rPr>
        <w:t>;</w:t>
      </w:r>
      <w:r w:rsidRPr="00EB056A">
        <w:rPr>
          <w:rFonts w:ascii="Arial" w:eastAsia="Times New Roman" w:hAnsi="Arial" w:cs="Arial"/>
          <w:sz w:val="24"/>
          <w:szCs w:val="24"/>
        </w:rPr>
        <w:t xml:space="preserve"> ≥99.8%</w:t>
      </w:r>
      <w:r w:rsidR="001E792D">
        <w:rPr>
          <w:rFonts w:ascii="Arial" w:eastAsia="Times New Roman" w:hAnsi="Arial" w:cs="Arial"/>
          <w:sz w:val="24"/>
          <w:szCs w:val="24"/>
        </w:rPr>
        <w:t>)</w:t>
      </w:r>
      <w:r w:rsidRPr="00EB056A">
        <w:rPr>
          <w:rFonts w:ascii="Arial" w:eastAsia="Times New Roman" w:hAnsi="Arial" w:cs="Arial"/>
          <w:sz w:val="24"/>
          <w:szCs w:val="24"/>
        </w:rPr>
        <w:t>, 4-(dimethylamino)</w:t>
      </w:r>
      <w:r w:rsidR="001E792D">
        <w:rPr>
          <w:rFonts w:ascii="Arial" w:eastAsia="Times New Roman" w:hAnsi="Arial" w:cs="Arial"/>
          <w:sz w:val="24"/>
          <w:szCs w:val="24"/>
        </w:rPr>
        <w:t xml:space="preserve"> </w:t>
      </w:r>
      <w:r w:rsidRPr="00EB056A">
        <w:rPr>
          <w:rFonts w:ascii="Arial" w:eastAsia="Times New Roman" w:hAnsi="Arial" w:cs="Arial"/>
          <w:sz w:val="24"/>
          <w:szCs w:val="24"/>
        </w:rPr>
        <w:t xml:space="preserve">pyridine, ≥99%, 1M </w:t>
      </w:r>
      <w:r w:rsidR="001E792D">
        <w:rPr>
          <w:rFonts w:ascii="Arial" w:eastAsia="Times New Roman" w:hAnsi="Arial" w:cs="Arial"/>
          <w:sz w:val="24"/>
          <w:szCs w:val="24"/>
        </w:rPr>
        <w:t>s</w:t>
      </w:r>
      <w:r w:rsidRPr="00EB056A">
        <w:rPr>
          <w:rFonts w:ascii="Arial" w:eastAsia="Times New Roman" w:hAnsi="Arial" w:cs="Arial"/>
          <w:sz w:val="24"/>
          <w:szCs w:val="24"/>
        </w:rPr>
        <w:t xml:space="preserve">odium </w:t>
      </w:r>
      <w:r w:rsidR="001E792D">
        <w:rPr>
          <w:rFonts w:ascii="Arial" w:eastAsia="Times New Roman" w:hAnsi="Arial" w:cs="Arial"/>
          <w:sz w:val="24"/>
          <w:szCs w:val="24"/>
        </w:rPr>
        <w:t>h</w:t>
      </w:r>
      <w:r w:rsidRPr="00EB056A">
        <w:rPr>
          <w:rFonts w:ascii="Arial" w:eastAsia="Times New Roman" w:hAnsi="Arial" w:cs="Arial"/>
          <w:sz w:val="24"/>
          <w:szCs w:val="24"/>
        </w:rPr>
        <w:t>ydroxide (NaOH</w:t>
      </w:r>
      <w:r w:rsidR="001E792D">
        <w:rPr>
          <w:rFonts w:ascii="Arial" w:eastAsia="Times New Roman" w:hAnsi="Arial" w:cs="Arial"/>
          <w:sz w:val="24"/>
          <w:szCs w:val="24"/>
        </w:rPr>
        <w:t>;</w:t>
      </w:r>
      <w:r w:rsidRPr="00EB056A">
        <w:rPr>
          <w:rFonts w:ascii="Arial" w:eastAsia="Times New Roman" w:hAnsi="Arial" w:cs="Arial"/>
          <w:sz w:val="24"/>
          <w:szCs w:val="24"/>
        </w:rPr>
        <w:t xml:space="preserve"> ≥97.0%</w:t>
      </w:r>
      <w:r w:rsidR="001E792D">
        <w:rPr>
          <w:rFonts w:ascii="Arial" w:eastAsia="Times New Roman" w:hAnsi="Arial" w:cs="Arial"/>
          <w:sz w:val="24"/>
          <w:szCs w:val="24"/>
        </w:rPr>
        <w:t>)</w:t>
      </w:r>
      <w:r w:rsidRPr="00EB056A">
        <w:rPr>
          <w:rFonts w:ascii="Arial" w:eastAsia="Times New Roman" w:hAnsi="Arial" w:cs="Arial"/>
          <w:sz w:val="24"/>
          <w:szCs w:val="24"/>
        </w:rPr>
        <w:t xml:space="preserve">, 4-pentenoic anhydride 98%, </w:t>
      </w:r>
      <w:r w:rsidR="001E792D">
        <w:rPr>
          <w:rFonts w:ascii="Arial" w:eastAsia="Times New Roman" w:hAnsi="Arial" w:cs="Arial"/>
          <w:sz w:val="24"/>
          <w:szCs w:val="24"/>
        </w:rPr>
        <w:t>s</w:t>
      </w:r>
      <w:r w:rsidRPr="00EB056A">
        <w:rPr>
          <w:rFonts w:ascii="Arial" w:eastAsia="Times New Roman" w:hAnsi="Arial" w:cs="Arial"/>
          <w:sz w:val="24"/>
          <w:szCs w:val="24"/>
        </w:rPr>
        <w:t>odium chloride (NaCl</w:t>
      </w:r>
      <w:r w:rsidR="001E792D">
        <w:rPr>
          <w:rFonts w:ascii="Arial" w:eastAsia="Times New Roman" w:hAnsi="Arial" w:cs="Arial"/>
          <w:sz w:val="24"/>
          <w:szCs w:val="24"/>
        </w:rPr>
        <w:t>;</w:t>
      </w:r>
      <w:r w:rsidRPr="00EB056A">
        <w:rPr>
          <w:rFonts w:ascii="Arial" w:eastAsia="Times New Roman" w:hAnsi="Arial" w:cs="Arial"/>
          <w:sz w:val="24"/>
          <w:szCs w:val="24"/>
        </w:rPr>
        <w:t xml:space="preserve"> ≥99%</w:t>
      </w:r>
      <w:r w:rsidR="001E792D">
        <w:rPr>
          <w:rFonts w:ascii="Arial" w:eastAsia="Times New Roman" w:hAnsi="Arial" w:cs="Arial"/>
          <w:sz w:val="24"/>
          <w:szCs w:val="24"/>
        </w:rPr>
        <w:t>)</w:t>
      </w:r>
      <w:r w:rsidRPr="00EB056A">
        <w:rPr>
          <w:rFonts w:ascii="Arial" w:eastAsia="Times New Roman" w:hAnsi="Arial" w:cs="Arial"/>
          <w:sz w:val="24"/>
          <w:szCs w:val="24"/>
        </w:rPr>
        <w:t xml:space="preserve">, </w:t>
      </w:r>
      <w:r w:rsidR="001E792D">
        <w:rPr>
          <w:rFonts w:ascii="Arial" w:eastAsia="Times New Roman" w:hAnsi="Arial" w:cs="Arial"/>
          <w:sz w:val="24"/>
          <w:szCs w:val="24"/>
        </w:rPr>
        <w:t>a</w:t>
      </w:r>
      <w:r w:rsidRPr="00EB056A">
        <w:rPr>
          <w:rFonts w:ascii="Arial" w:eastAsia="Times New Roman" w:hAnsi="Arial" w:cs="Arial"/>
          <w:sz w:val="24"/>
          <w:szCs w:val="24"/>
        </w:rPr>
        <w:t xml:space="preserve">cetone </w:t>
      </w:r>
      <w:r w:rsidR="001E792D">
        <w:rPr>
          <w:rFonts w:ascii="Arial" w:eastAsia="Times New Roman" w:hAnsi="Arial" w:cs="Arial"/>
          <w:sz w:val="24"/>
          <w:szCs w:val="24"/>
        </w:rPr>
        <w:t>(</w:t>
      </w:r>
      <w:r w:rsidRPr="00EB056A">
        <w:rPr>
          <w:rFonts w:ascii="Arial" w:eastAsia="Times New Roman" w:hAnsi="Arial" w:cs="Arial"/>
          <w:sz w:val="24"/>
          <w:szCs w:val="24"/>
        </w:rPr>
        <w:t>≥99.5%</w:t>
      </w:r>
      <w:r w:rsidR="001E792D">
        <w:rPr>
          <w:rFonts w:ascii="Arial" w:eastAsia="Times New Roman" w:hAnsi="Arial" w:cs="Arial"/>
          <w:sz w:val="24"/>
          <w:szCs w:val="24"/>
        </w:rPr>
        <w:t>)</w:t>
      </w:r>
      <w:r w:rsidR="002018D8" w:rsidRPr="00EB056A">
        <w:rPr>
          <w:rFonts w:ascii="Arial" w:eastAsia="Times New Roman" w:hAnsi="Arial" w:cs="Arial"/>
          <w:sz w:val="24"/>
          <w:szCs w:val="24"/>
        </w:rPr>
        <w:t>, 3-(</w:t>
      </w:r>
      <w:r w:rsidR="001E792D">
        <w:rPr>
          <w:rFonts w:ascii="Arial" w:eastAsia="Times New Roman" w:hAnsi="Arial" w:cs="Arial"/>
          <w:sz w:val="24"/>
          <w:szCs w:val="24"/>
        </w:rPr>
        <w:t>t</w:t>
      </w:r>
      <w:r w:rsidR="002018D8" w:rsidRPr="00EB056A">
        <w:rPr>
          <w:rFonts w:ascii="Arial" w:eastAsia="Times New Roman" w:hAnsi="Arial" w:cs="Arial"/>
          <w:sz w:val="24"/>
          <w:szCs w:val="24"/>
        </w:rPr>
        <w:t>rimethylsilyl)propionic-2,2,3,3-d4 acid sodium salt, D</w:t>
      </w:r>
      <w:r w:rsidR="002018D8" w:rsidRPr="00DB6E66">
        <w:rPr>
          <w:rFonts w:ascii="Arial" w:eastAsia="Times New Roman" w:hAnsi="Arial" w:cs="Arial"/>
          <w:sz w:val="24"/>
          <w:szCs w:val="24"/>
          <w:vertAlign w:val="subscript"/>
        </w:rPr>
        <w:t>2</w:t>
      </w:r>
      <w:r w:rsidR="002018D8" w:rsidRPr="00EB056A">
        <w:rPr>
          <w:rFonts w:ascii="Arial" w:eastAsia="Times New Roman" w:hAnsi="Arial" w:cs="Arial"/>
          <w:sz w:val="24"/>
          <w:szCs w:val="24"/>
        </w:rPr>
        <w:t>O</w:t>
      </w:r>
      <w:r w:rsidR="00550BA7" w:rsidRPr="00EB056A">
        <w:rPr>
          <w:rFonts w:ascii="Arial" w:eastAsia="Times New Roman" w:hAnsi="Arial" w:cs="Arial"/>
          <w:sz w:val="24"/>
          <w:szCs w:val="24"/>
        </w:rPr>
        <w:t xml:space="preserve">, </w:t>
      </w:r>
      <w:r w:rsidR="007871B0" w:rsidRPr="00EB056A">
        <w:rPr>
          <w:rFonts w:ascii="Arial" w:eastAsia="Times New Roman" w:hAnsi="Arial" w:cs="Arial"/>
          <w:sz w:val="24"/>
          <w:szCs w:val="24"/>
        </w:rPr>
        <w:t>t</w:t>
      </w:r>
      <w:r w:rsidR="00550BA7" w:rsidRPr="00EB056A">
        <w:rPr>
          <w:rFonts w:ascii="Arial" w:hAnsi="Arial" w:cs="Arial"/>
          <w:sz w:val="24"/>
          <w:szCs w:val="24"/>
        </w:rPr>
        <w:t>antalum powder (</w:t>
      </w:r>
      <w:r w:rsidR="00107D97">
        <w:rPr>
          <w:rFonts w:ascii="Arial" w:hAnsi="Arial" w:cs="Arial"/>
          <w:sz w:val="24"/>
          <w:szCs w:val="24"/>
        </w:rPr>
        <w:t xml:space="preserve">Ta; </w:t>
      </w:r>
      <w:r w:rsidR="00550BA7" w:rsidRPr="00EB056A">
        <w:rPr>
          <w:rFonts w:ascii="Arial" w:hAnsi="Arial" w:cs="Arial"/>
          <w:sz w:val="24"/>
          <w:szCs w:val="24"/>
        </w:rPr>
        <w:t xml:space="preserve">60 to 100 mesh), </w:t>
      </w:r>
      <w:r w:rsidR="001E792D">
        <w:rPr>
          <w:rFonts w:ascii="Arial" w:hAnsi="Arial" w:cs="Arial"/>
          <w:sz w:val="24"/>
          <w:szCs w:val="24"/>
        </w:rPr>
        <w:t>d</w:t>
      </w:r>
      <w:r w:rsidR="00550BA7" w:rsidRPr="00EB056A">
        <w:rPr>
          <w:rFonts w:ascii="Arial" w:hAnsi="Arial" w:cs="Arial"/>
          <w:sz w:val="24"/>
          <w:szCs w:val="24"/>
        </w:rPr>
        <w:t>ithiothreitol (DTT</w:t>
      </w:r>
      <w:r w:rsidR="001E792D">
        <w:rPr>
          <w:rFonts w:ascii="Arial" w:hAnsi="Arial" w:cs="Arial"/>
          <w:sz w:val="24"/>
          <w:szCs w:val="24"/>
        </w:rPr>
        <w:t>;</w:t>
      </w:r>
      <w:r w:rsidR="00550BA7" w:rsidRPr="00EB056A">
        <w:rPr>
          <w:rFonts w:ascii="Arial" w:hAnsi="Arial" w:cs="Arial"/>
          <w:sz w:val="24"/>
          <w:szCs w:val="24"/>
        </w:rPr>
        <w:t xml:space="preserve"> ≥95%), and </w:t>
      </w:r>
      <w:r w:rsidR="001E792D">
        <w:rPr>
          <w:rFonts w:ascii="Arial" w:hAnsi="Arial" w:cs="Arial"/>
          <w:sz w:val="24"/>
          <w:szCs w:val="24"/>
        </w:rPr>
        <w:t>l</w:t>
      </w:r>
      <w:r w:rsidR="00550BA7" w:rsidRPr="00EB056A">
        <w:rPr>
          <w:rFonts w:ascii="Arial" w:hAnsi="Arial" w:cs="Arial"/>
          <w:sz w:val="24"/>
          <w:szCs w:val="24"/>
        </w:rPr>
        <w:t>ithium phenyl-2,4,6 trimethylbenzoylphosphinate (LAP</w:t>
      </w:r>
      <w:r w:rsidR="001E792D">
        <w:rPr>
          <w:rFonts w:ascii="Arial" w:hAnsi="Arial" w:cs="Arial"/>
          <w:sz w:val="24"/>
          <w:szCs w:val="24"/>
        </w:rPr>
        <w:t>;</w:t>
      </w:r>
      <w:r w:rsidR="00550BA7" w:rsidRPr="00EB056A">
        <w:rPr>
          <w:rFonts w:ascii="Arial" w:hAnsi="Arial" w:cs="Arial"/>
          <w:sz w:val="24"/>
          <w:szCs w:val="24"/>
        </w:rPr>
        <w:t xml:space="preserve"> ≥95%) </w:t>
      </w:r>
      <w:r w:rsidRPr="00EB056A">
        <w:rPr>
          <w:rFonts w:ascii="Arial" w:eastAsia="Times New Roman" w:hAnsi="Arial" w:cs="Arial"/>
          <w:sz w:val="24"/>
          <w:szCs w:val="24"/>
        </w:rPr>
        <w:t xml:space="preserve">were purchased from </w:t>
      </w:r>
      <w:r w:rsidRPr="00EB056A">
        <w:rPr>
          <w:rFonts w:ascii="Arial" w:hAnsi="Arial" w:cs="Arial"/>
          <w:sz w:val="24"/>
          <w:szCs w:val="24"/>
        </w:rPr>
        <w:t>Sigma-Aldrich, Saint-Louis, MO, United States.</w:t>
      </w:r>
      <w:r w:rsidR="00C20384" w:rsidRPr="00EB056A">
        <w:rPr>
          <w:rFonts w:ascii="Arial" w:hAnsi="Arial" w:cs="Arial"/>
          <w:sz w:val="24"/>
          <w:szCs w:val="24"/>
        </w:rPr>
        <w:t xml:space="preserve"> </w:t>
      </w:r>
      <w:r w:rsidR="0041534A" w:rsidRPr="00EB056A">
        <w:rPr>
          <w:rFonts w:ascii="Arial" w:hAnsi="Arial" w:cs="Arial"/>
          <w:sz w:val="24"/>
          <w:szCs w:val="24"/>
        </w:rPr>
        <w:t>Phosphate-buffered saline (PBS, 1X)</w:t>
      </w:r>
      <w:r w:rsidR="00C019F7" w:rsidRPr="00EB056A">
        <w:rPr>
          <w:rFonts w:ascii="Arial" w:hAnsi="Arial" w:cs="Arial"/>
          <w:sz w:val="24"/>
          <w:szCs w:val="24"/>
        </w:rPr>
        <w:t>,</w:t>
      </w:r>
      <w:r w:rsidR="0041534A" w:rsidRPr="00EB056A">
        <w:rPr>
          <w:rFonts w:ascii="Arial" w:hAnsi="Arial" w:cs="Arial"/>
          <w:sz w:val="24"/>
          <w:szCs w:val="24"/>
        </w:rPr>
        <w:t xml:space="preserve"> </w:t>
      </w:r>
      <w:r w:rsidR="00380CD3">
        <w:rPr>
          <w:rFonts w:ascii="Arial" w:hAnsi="Arial" w:cs="Arial"/>
          <w:sz w:val="24"/>
          <w:szCs w:val="24"/>
        </w:rPr>
        <w:t>T</w:t>
      </w:r>
      <w:r w:rsidR="00C019F7" w:rsidRPr="00EB056A">
        <w:rPr>
          <w:rFonts w:ascii="Arial" w:hAnsi="Arial" w:cs="Arial"/>
          <w:sz w:val="24"/>
          <w:szCs w:val="24"/>
        </w:rPr>
        <w:t>ween</w:t>
      </w:r>
      <w:r w:rsidR="001E792D">
        <w:rPr>
          <w:rFonts w:ascii="Arial" w:hAnsi="Arial" w:cs="Arial"/>
          <w:sz w:val="24"/>
          <w:szCs w:val="24"/>
        </w:rPr>
        <w:t>-</w:t>
      </w:r>
      <w:r w:rsidR="00C019F7" w:rsidRPr="00EB056A">
        <w:rPr>
          <w:rFonts w:ascii="Arial" w:hAnsi="Arial" w:cs="Arial"/>
          <w:sz w:val="24"/>
          <w:szCs w:val="24"/>
        </w:rPr>
        <w:t xml:space="preserve">20 (50% </w:t>
      </w:r>
      <w:r w:rsidR="001E792D">
        <w:rPr>
          <w:rFonts w:ascii="Arial" w:hAnsi="Arial" w:cs="Arial"/>
          <w:sz w:val="24"/>
          <w:szCs w:val="24"/>
        </w:rPr>
        <w:t>s</w:t>
      </w:r>
      <w:r w:rsidR="00C019F7" w:rsidRPr="00EB056A">
        <w:rPr>
          <w:rFonts w:ascii="Arial" w:hAnsi="Arial" w:cs="Arial"/>
          <w:sz w:val="24"/>
          <w:szCs w:val="24"/>
        </w:rPr>
        <w:t xml:space="preserve">olution), and </w:t>
      </w:r>
      <w:r w:rsidR="00380CD3">
        <w:rPr>
          <w:rFonts w:ascii="Arial" w:hAnsi="Arial" w:cs="Arial"/>
          <w:sz w:val="24"/>
          <w:szCs w:val="24"/>
        </w:rPr>
        <w:t>T</w:t>
      </w:r>
      <w:r w:rsidR="00C019F7" w:rsidRPr="00EB056A">
        <w:rPr>
          <w:rFonts w:ascii="Arial" w:hAnsi="Arial" w:cs="Arial"/>
          <w:sz w:val="24"/>
          <w:szCs w:val="24"/>
        </w:rPr>
        <w:t xml:space="preserve">riton X-100 were </w:t>
      </w:r>
      <w:r w:rsidR="0041534A" w:rsidRPr="00EB056A">
        <w:rPr>
          <w:rFonts w:ascii="Arial" w:hAnsi="Arial" w:cs="Arial"/>
          <w:sz w:val="24"/>
          <w:szCs w:val="24"/>
        </w:rPr>
        <w:t xml:space="preserve">purchased from Thermo Fisher </w:t>
      </w:r>
      <w:r w:rsidR="001E792D">
        <w:rPr>
          <w:rFonts w:ascii="Arial" w:hAnsi="Arial" w:cs="Arial"/>
          <w:sz w:val="24"/>
          <w:szCs w:val="24"/>
        </w:rPr>
        <w:lastRenderedPageBreak/>
        <w:t>S</w:t>
      </w:r>
      <w:r w:rsidR="0041534A" w:rsidRPr="00EB056A">
        <w:rPr>
          <w:rFonts w:ascii="Arial" w:hAnsi="Arial" w:cs="Arial"/>
          <w:sz w:val="24"/>
          <w:szCs w:val="24"/>
        </w:rPr>
        <w:t xml:space="preserve">cientific, Waltham, MA, United States. </w:t>
      </w:r>
      <w:r w:rsidR="00107D97">
        <w:rPr>
          <w:rFonts w:ascii="Arial" w:hAnsi="Arial" w:cs="Arial"/>
          <w:sz w:val="24"/>
          <w:szCs w:val="24"/>
        </w:rPr>
        <w:t>P</w:t>
      </w:r>
      <w:r w:rsidR="001E792D" w:rsidRPr="00EB056A">
        <w:rPr>
          <w:rFonts w:ascii="Arial" w:hAnsi="Arial" w:cs="Arial"/>
          <w:sz w:val="24"/>
          <w:szCs w:val="24"/>
        </w:rPr>
        <w:t xml:space="preserve">rimary </w:t>
      </w:r>
      <w:r w:rsidR="001E792D">
        <w:rPr>
          <w:rFonts w:ascii="Arial" w:hAnsi="Arial" w:cs="Arial"/>
          <w:sz w:val="24"/>
          <w:szCs w:val="24"/>
        </w:rPr>
        <w:t>human u</w:t>
      </w:r>
      <w:r w:rsidR="001E792D" w:rsidRPr="00EB056A">
        <w:rPr>
          <w:rFonts w:ascii="Arial" w:hAnsi="Arial" w:cs="Arial"/>
          <w:sz w:val="24"/>
          <w:szCs w:val="24"/>
        </w:rPr>
        <w:t xml:space="preserve">mbilical </w:t>
      </w:r>
      <w:r w:rsidR="001E792D">
        <w:rPr>
          <w:rFonts w:ascii="Arial" w:hAnsi="Arial" w:cs="Arial"/>
          <w:sz w:val="24"/>
          <w:szCs w:val="24"/>
        </w:rPr>
        <w:t>v</w:t>
      </w:r>
      <w:r w:rsidR="001E792D" w:rsidRPr="00EB056A">
        <w:rPr>
          <w:rFonts w:ascii="Arial" w:hAnsi="Arial" w:cs="Arial"/>
          <w:sz w:val="24"/>
          <w:szCs w:val="24"/>
        </w:rPr>
        <w:t xml:space="preserve">ein </w:t>
      </w:r>
      <w:r w:rsidR="001E792D">
        <w:rPr>
          <w:rFonts w:ascii="Arial" w:hAnsi="Arial" w:cs="Arial"/>
          <w:sz w:val="24"/>
          <w:szCs w:val="24"/>
        </w:rPr>
        <w:t>e</w:t>
      </w:r>
      <w:r w:rsidR="001E792D" w:rsidRPr="00EB056A">
        <w:rPr>
          <w:rFonts w:ascii="Arial" w:hAnsi="Arial" w:cs="Arial"/>
          <w:sz w:val="24"/>
          <w:szCs w:val="24"/>
        </w:rPr>
        <w:t xml:space="preserve">ndothelial </w:t>
      </w:r>
      <w:r w:rsidR="001E792D">
        <w:rPr>
          <w:rFonts w:ascii="Arial" w:hAnsi="Arial" w:cs="Arial"/>
          <w:sz w:val="24"/>
          <w:szCs w:val="24"/>
        </w:rPr>
        <w:t>c</w:t>
      </w:r>
      <w:r w:rsidR="001E792D" w:rsidRPr="00EB056A">
        <w:rPr>
          <w:rFonts w:ascii="Arial" w:hAnsi="Arial" w:cs="Arial"/>
          <w:sz w:val="24"/>
          <w:szCs w:val="24"/>
        </w:rPr>
        <w:t>ells</w:t>
      </w:r>
      <w:r w:rsidR="001E792D">
        <w:rPr>
          <w:rFonts w:ascii="Arial" w:hAnsi="Arial" w:cs="Arial"/>
          <w:sz w:val="24"/>
          <w:szCs w:val="24"/>
        </w:rPr>
        <w:t xml:space="preserve"> </w:t>
      </w:r>
      <w:r w:rsidR="001E792D" w:rsidRPr="00EB056A">
        <w:rPr>
          <w:rFonts w:ascii="Arial" w:hAnsi="Arial" w:cs="Arial"/>
          <w:sz w:val="24"/>
          <w:szCs w:val="24"/>
        </w:rPr>
        <w:t>(HUVEC</w:t>
      </w:r>
      <w:r w:rsidR="001E792D">
        <w:rPr>
          <w:rFonts w:ascii="Arial" w:hAnsi="Arial" w:cs="Arial"/>
          <w:sz w:val="24"/>
          <w:szCs w:val="24"/>
        </w:rPr>
        <w:t>; normal</w:t>
      </w:r>
      <w:r w:rsidR="001E792D" w:rsidRPr="00EB056A">
        <w:rPr>
          <w:rFonts w:ascii="Arial" w:hAnsi="Arial" w:cs="Arial"/>
          <w:sz w:val="24"/>
          <w:szCs w:val="24"/>
        </w:rPr>
        <w:t>)</w:t>
      </w:r>
      <w:r w:rsidR="001E792D">
        <w:rPr>
          <w:rFonts w:ascii="Arial" w:hAnsi="Arial" w:cs="Arial"/>
          <w:sz w:val="24"/>
          <w:szCs w:val="24"/>
        </w:rPr>
        <w:t xml:space="preserve">; </w:t>
      </w:r>
      <w:r w:rsidR="00B941EC" w:rsidRPr="00EB056A">
        <w:rPr>
          <w:rFonts w:ascii="Arial" w:hAnsi="Arial" w:cs="Arial"/>
          <w:sz w:val="24"/>
          <w:szCs w:val="24"/>
        </w:rPr>
        <w:t>HUVEC culture medi</w:t>
      </w:r>
      <w:r w:rsidR="0060219D">
        <w:rPr>
          <w:rFonts w:ascii="Arial" w:hAnsi="Arial" w:cs="Arial"/>
          <w:sz w:val="24"/>
          <w:szCs w:val="24"/>
        </w:rPr>
        <w:t>um</w:t>
      </w:r>
      <w:r w:rsidR="00B941EC" w:rsidRPr="00EB056A">
        <w:rPr>
          <w:rFonts w:ascii="Arial" w:hAnsi="Arial" w:cs="Arial"/>
          <w:sz w:val="24"/>
          <w:szCs w:val="24"/>
        </w:rPr>
        <w:t xml:space="preserve">, </w:t>
      </w:r>
      <w:r w:rsidR="001E792D">
        <w:rPr>
          <w:rFonts w:ascii="Arial" w:hAnsi="Arial" w:cs="Arial"/>
          <w:sz w:val="24"/>
          <w:szCs w:val="24"/>
        </w:rPr>
        <w:t xml:space="preserve">and </w:t>
      </w:r>
      <w:r w:rsidR="00B941EC" w:rsidRPr="00EB056A">
        <w:rPr>
          <w:rFonts w:ascii="Arial" w:hAnsi="Arial" w:cs="Arial"/>
          <w:sz w:val="24"/>
          <w:szCs w:val="24"/>
        </w:rPr>
        <w:t>growth factors were purchased from ATCC, Manassas, VA, United States.</w:t>
      </w:r>
      <w:r w:rsidR="00C019F7" w:rsidRPr="00EB056A">
        <w:rPr>
          <w:rFonts w:ascii="Arial" w:hAnsi="Arial" w:cs="Arial"/>
          <w:sz w:val="24"/>
          <w:szCs w:val="24"/>
        </w:rPr>
        <w:t xml:space="preserve"> </w:t>
      </w:r>
      <w:r w:rsidR="00B941EC" w:rsidRPr="00EB056A">
        <w:rPr>
          <w:rFonts w:ascii="Arial" w:hAnsi="Arial" w:cs="Arial"/>
          <w:sz w:val="24"/>
          <w:szCs w:val="24"/>
        </w:rPr>
        <w:t>Calcein</w:t>
      </w:r>
      <w:r w:rsidR="001E792D">
        <w:rPr>
          <w:rFonts w:ascii="Arial" w:hAnsi="Arial" w:cs="Arial"/>
          <w:sz w:val="24"/>
          <w:szCs w:val="24"/>
        </w:rPr>
        <w:t>-</w:t>
      </w:r>
      <w:r w:rsidR="00B941EC" w:rsidRPr="00EB056A">
        <w:rPr>
          <w:rFonts w:ascii="Arial" w:hAnsi="Arial" w:cs="Arial"/>
          <w:sz w:val="24"/>
          <w:szCs w:val="24"/>
        </w:rPr>
        <w:t>AM (4 mM in DMSO)</w:t>
      </w:r>
      <w:r w:rsidR="00F30501" w:rsidRPr="00EB056A">
        <w:rPr>
          <w:rFonts w:ascii="Arial" w:hAnsi="Arial" w:cs="Arial"/>
          <w:sz w:val="24"/>
          <w:szCs w:val="24"/>
        </w:rPr>
        <w:t xml:space="preserve">, </w:t>
      </w:r>
      <w:r w:rsidR="00107D97" w:rsidRPr="00107D97">
        <w:rPr>
          <w:rFonts w:ascii="Arial" w:hAnsi="Arial" w:cs="Arial"/>
          <w:sz w:val="24"/>
          <w:szCs w:val="24"/>
        </w:rPr>
        <w:t xml:space="preserve">Ethidium </w:t>
      </w:r>
      <w:r w:rsidR="00107D97">
        <w:rPr>
          <w:rFonts w:ascii="Arial" w:hAnsi="Arial" w:cs="Arial"/>
          <w:sz w:val="24"/>
          <w:szCs w:val="24"/>
        </w:rPr>
        <w:t>h</w:t>
      </w:r>
      <w:r w:rsidR="00107D97" w:rsidRPr="00107D97">
        <w:rPr>
          <w:rFonts w:ascii="Arial" w:hAnsi="Arial" w:cs="Arial"/>
          <w:sz w:val="24"/>
          <w:szCs w:val="24"/>
        </w:rPr>
        <w:t>omodimer</w:t>
      </w:r>
      <w:r w:rsidR="00107D97">
        <w:rPr>
          <w:rFonts w:ascii="Arial" w:hAnsi="Arial" w:cs="Arial"/>
          <w:sz w:val="24"/>
          <w:szCs w:val="24"/>
        </w:rPr>
        <w:t xml:space="preserve"> </w:t>
      </w:r>
      <w:r w:rsidR="007E5497">
        <w:rPr>
          <w:rFonts w:ascii="Arial" w:hAnsi="Arial" w:cs="Arial"/>
          <w:sz w:val="24"/>
          <w:szCs w:val="24"/>
        </w:rPr>
        <w:t xml:space="preserve">III </w:t>
      </w:r>
      <w:r w:rsidR="00107D97">
        <w:rPr>
          <w:rFonts w:ascii="Arial" w:hAnsi="Arial" w:cs="Arial"/>
          <w:sz w:val="24"/>
          <w:szCs w:val="24"/>
        </w:rPr>
        <w:t>(</w:t>
      </w:r>
      <w:r w:rsidR="00B941EC" w:rsidRPr="00EB056A">
        <w:rPr>
          <w:rFonts w:ascii="Arial" w:hAnsi="Arial" w:cs="Arial"/>
          <w:sz w:val="24"/>
          <w:szCs w:val="24"/>
        </w:rPr>
        <w:t>EthD-III</w:t>
      </w:r>
      <w:r w:rsidR="00107D97">
        <w:rPr>
          <w:rFonts w:ascii="Arial" w:hAnsi="Arial" w:cs="Arial"/>
          <w:sz w:val="24"/>
          <w:szCs w:val="24"/>
        </w:rPr>
        <w:t>;</w:t>
      </w:r>
      <w:r w:rsidR="00B941EC" w:rsidRPr="00EB056A">
        <w:rPr>
          <w:rFonts w:ascii="Arial" w:hAnsi="Arial" w:cs="Arial"/>
          <w:sz w:val="24"/>
          <w:szCs w:val="24"/>
        </w:rPr>
        <w:t xml:space="preserve"> 2 mM in DMSO/H</w:t>
      </w:r>
      <w:r w:rsidR="00B941EC" w:rsidRPr="00380CD3">
        <w:rPr>
          <w:rFonts w:ascii="Arial" w:hAnsi="Arial" w:cs="Arial"/>
          <w:sz w:val="24"/>
          <w:szCs w:val="24"/>
          <w:vertAlign w:val="subscript"/>
        </w:rPr>
        <w:t>2</w:t>
      </w:r>
      <w:r w:rsidR="00B941EC" w:rsidRPr="00EB056A">
        <w:rPr>
          <w:rFonts w:ascii="Arial" w:hAnsi="Arial" w:cs="Arial"/>
          <w:sz w:val="24"/>
          <w:szCs w:val="24"/>
        </w:rPr>
        <w:t>O)</w:t>
      </w:r>
      <w:r w:rsidR="00F30501" w:rsidRPr="00EB056A">
        <w:rPr>
          <w:rFonts w:ascii="Arial" w:hAnsi="Arial" w:cs="Arial"/>
          <w:sz w:val="24"/>
          <w:szCs w:val="24"/>
        </w:rPr>
        <w:t xml:space="preserve">, and </w:t>
      </w:r>
      <w:r w:rsidR="005B4A32" w:rsidRPr="00EB056A">
        <w:rPr>
          <w:rFonts w:ascii="Arial" w:hAnsi="Arial" w:cs="Arial"/>
          <w:sz w:val="24"/>
          <w:szCs w:val="24"/>
        </w:rPr>
        <w:t>AccuGreen DNA assay kit (including dye, buffer, and DNA standards)</w:t>
      </w:r>
      <w:r w:rsidR="00B941EC" w:rsidRPr="00EB056A">
        <w:rPr>
          <w:rFonts w:ascii="Arial" w:hAnsi="Arial" w:cs="Arial"/>
          <w:sz w:val="24"/>
          <w:szCs w:val="24"/>
        </w:rPr>
        <w:t xml:space="preserve"> were purchased from Biotium, Fremont, CA, United States.</w:t>
      </w:r>
      <w:r w:rsidR="00F54C7C" w:rsidRPr="00EB056A">
        <w:rPr>
          <w:rFonts w:ascii="Arial" w:hAnsi="Arial" w:cs="Arial"/>
          <w:sz w:val="24"/>
          <w:szCs w:val="24"/>
        </w:rPr>
        <w:t xml:space="preserve"> Alamar blue dye was purchased from Bio-Rad, Hercules, CA, United States.</w:t>
      </w:r>
    </w:p>
    <w:p w14:paraId="078C8C3F" w14:textId="6CEF12F8" w:rsidR="003269FB" w:rsidRPr="00380CD3" w:rsidRDefault="001D53F7" w:rsidP="00EB056A">
      <w:pPr>
        <w:pStyle w:val="Titre3"/>
        <w:spacing w:line="480" w:lineRule="auto"/>
        <w:jc w:val="both"/>
        <w:rPr>
          <w:rFonts w:ascii="Arial" w:hAnsi="Arial" w:cs="Arial"/>
          <w:b/>
          <w:bCs/>
          <w:color w:val="000000" w:themeColor="text1"/>
        </w:rPr>
      </w:pPr>
      <w:bookmarkStart w:id="61" w:name="_Toc106903222"/>
      <w:r w:rsidRPr="00380CD3">
        <w:rPr>
          <w:rFonts w:ascii="Arial" w:hAnsi="Arial" w:cs="Arial"/>
          <w:b/>
          <w:bCs/>
          <w:color w:val="000000" w:themeColor="text1"/>
        </w:rPr>
        <w:t>2.</w:t>
      </w:r>
      <w:r w:rsidR="005011FC">
        <w:rPr>
          <w:rFonts w:ascii="Arial" w:hAnsi="Arial" w:cs="Arial"/>
          <w:b/>
          <w:bCs/>
          <w:color w:val="000000" w:themeColor="text1"/>
        </w:rPr>
        <w:t>2</w:t>
      </w:r>
      <w:r w:rsidRPr="00380CD3">
        <w:rPr>
          <w:rFonts w:ascii="Arial" w:hAnsi="Arial" w:cs="Arial"/>
          <w:b/>
          <w:bCs/>
          <w:color w:val="000000" w:themeColor="text1"/>
        </w:rPr>
        <w:t>.</w:t>
      </w:r>
      <w:r w:rsidR="005011FC">
        <w:rPr>
          <w:rFonts w:ascii="Arial" w:hAnsi="Arial" w:cs="Arial"/>
          <w:b/>
          <w:bCs/>
          <w:color w:val="000000" w:themeColor="text1"/>
        </w:rPr>
        <w:t>2</w:t>
      </w:r>
      <w:r w:rsidRPr="00380CD3">
        <w:rPr>
          <w:rFonts w:ascii="Arial" w:hAnsi="Arial" w:cs="Arial"/>
          <w:b/>
          <w:bCs/>
          <w:color w:val="000000" w:themeColor="text1"/>
        </w:rPr>
        <w:t xml:space="preserve"> </w:t>
      </w:r>
      <w:r w:rsidR="00CB443B" w:rsidRPr="00380CD3">
        <w:rPr>
          <w:rFonts w:ascii="Arial" w:hAnsi="Arial" w:cs="Arial"/>
          <w:b/>
          <w:bCs/>
          <w:color w:val="000000" w:themeColor="text1"/>
        </w:rPr>
        <w:t>PHA synthesis</w:t>
      </w:r>
      <w:bookmarkEnd w:id="61"/>
    </w:p>
    <w:p w14:paraId="392C25DE" w14:textId="79492761" w:rsidR="007E5497" w:rsidRPr="00A83790" w:rsidRDefault="000C5623" w:rsidP="00834360">
      <w:pPr>
        <w:spacing w:line="480" w:lineRule="auto"/>
        <w:ind w:firstLine="720"/>
        <w:jc w:val="both"/>
        <w:rPr>
          <w:rFonts w:ascii="Arial" w:hAnsi="Arial" w:cs="Arial"/>
          <w:b/>
          <w:bCs/>
        </w:rPr>
      </w:pPr>
      <w:bookmarkStart w:id="62" w:name="_Toc101359671"/>
      <w:bookmarkStart w:id="63" w:name="_Toc102661515"/>
      <w:bookmarkStart w:id="64" w:name="_Toc105071071"/>
      <w:bookmarkStart w:id="65" w:name="_Toc105072091"/>
      <w:bookmarkStart w:id="66" w:name="_Toc105072428"/>
      <w:r w:rsidRPr="00834360">
        <w:rPr>
          <w:rFonts w:ascii="Arial" w:hAnsi="Arial" w:cs="Arial"/>
          <w:color w:val="000000" w:themeColor="text1"/>
          <w:sz w:val="24"/>
          <w:szCs w:val="24"/>
        </w:rPr>
        <w:t>To create PHA, h</w:t>
      </w:r>
      <w:r w:rsidR="003269FB" w:rsidRPr="00834360">
        <w:rPr>
          <w:rFonts w:ascii="Arial" w:hAnsi="Arial" w:cs="Arial"/>
          <w:color w:val="000000" w:themeColor="text1"/>
          <w:sz w:val="24"/>
          <w:szCs w:val="24"/>
        </w:rPr>
        <w:t>yaluronic acid</w:t>
      </w:r>
      <w:r w:rsidR="001E792D" w:rsidRPr="00834360">
        <w:rPr>
          <w:rFonts w:ascii="Arial" w:hAnsi="Arial" w:cs="Arial"/>
          <w:color w:val="000000" w:themeColor="text1"/>
          <w:sz w:val="24"/>
          <w:szCs w:val="24"/>
        </w:rPr>
        <w:t xml:space="preserve"> (1</w:t>
      </w:r>
      <w:r w:rsidR="00770FA5" w:rsidRPr="00834360">
        <w:rPr>
          <w:rFonts w:ascii="Arial" w:hAnsi="Arial" w:cs="Arial"/>
          <w:color w:val="000000" w:themeColor="text1"/>
          <w:sz w:val="24"/>
          <w:szCs w:val="24"/>
        </w:rPr>
        <w:t xml:space="preserve"> </w:t>
      </w:r>
      <w:r w:rsidR="001E792D" w:rsidRPr="00834360">
        <w:rPr>
          <w:rFonts w:ascii="Arial" w:hAnsi="Arial" w:cs="Arial"/>
          <w:color w:val="000000" w:themeColor="text1"/>
          <w:sz w:val="24"/>
          <w:szCs w:val="24"/>
        </w:rPr>
        <w:t>g)</w:t>
      </w:r>
      <w:r w:rsidR="003269FB" w:rsidRPr="00834360">
        <w:rPr>
          <w:rFonts w:ascii="Arial" w:hAnsi="Arial" w:cs="Arial"/>
          <w:color w:val="000000" w:themeColor="text1"/>
          <w:sz w:val="24"/>
          <w:szCs w:val="24"/>
        </w:rPr>
        <w:t xml:space="preserve"> was dissolved in 200 mL of DI water at room temperature. </w:t>
      </w:r>
      <w:r w:rsidR="001E792D" w:rsidRPr="00834360">
        <w:rPr>
          <w:rFonts w:ascii="Arial" w:hAnsi="Arial" w:cs="Arial"/>
          <w:color w:val="000000" w:themeColor="text1"/>
          <w:sz w:val="24"/>
          <w:szCs w:val="24"/>
        </w:rPr>
        <w:t xml:space="preserve">DMF </w:t>
      </w:r>
      <w:r w:rsidR="003269FB" w:rsidRPr="00834360">
        <w:rPr>
          <w:rFonts w:ascii="Arial" w:hAnsi="Arial" w:cs="Arial"/>
          <w:color w:val="000000" w:themeColor="text1"/>
          <w:sz w:val="24"/>
          <w:szCs w:val="24"/>
        </w:rPr>
        <w:t>was added to the water at a 2</w:t>
      </w:r>
      <w:r w:rsidR="00B35706" w:rsidRPr="00834360">
        <w:rPr>
          <w:rFonts w:ascii="Arial" w:hAnsi="Arial" w:cs="Arial"/>
          <w:color w:val="000000" w:themeColor="text1"/>
          <w:sz w:val="24"/>
          <w:szCs w:val="24"/>
        </w:rPr>
        <w:t>:</w:t>
      </w:r>
      <w:r w:rsidR="003269FB" w:rsidRPr="00834360">
        <w:rPr>
          <w:rFonts w:ascii="Arial" w:hAnsi="Arial" w:cs="Arial"/>
          <w:color w:val="000000" w:themeColor="text1"/>
          <w:sz w:val="24"/>
          <w:szCs w:val="24"/>
        </w:rPr>
        <w:t>3 ratio</w:t>
      </w:r>
      <w:r w:rsidR="007E6939" w:rsidRPr="00834360">
        <w:rPr>
          <w:rFonts w:ascii="Arial" w:hAnsi="Arial" w:cs="Arial"/>
          <w:color w:val="000000" w:themeColor="text1"/>
          <w:sz w:val="24"/>
          <w:szCs w:val="24"/>
        </w:rPr>
        <w:t xml:space="preserve"> </w:t>
      </w:r>
      <w:r w:rsidR="00726B7C" w:rsidRPr="00834360">
        <w:rPr>
          <w:rFonts w:ascii="Arial" w:hAnsi="Arial" w:cs="Arial"/>
          <w:color w:val="000000" w:themeColor="text1"/>
          <w:sz w:val="24"/>
          <w:szCs w:val="24"/>
        </w:rPr>
        <w:t xml:space="preserve">of </w:t>
      </w:r>
      <w:r w:rsidR="007E6939" w:rsidRPr="00834360">
        <w:rPr>
          <w:rFonts w:ascii="Arial" w:hAnsi="Arial" w:cs="Arial"/>
          <w:color w:val="000000" w:themeColor="text1"/>
          <w:sz w:val="24"/>
          <w:szCs w:val="24"/>
        </w:rPr>
        <w:t>DMF:</w:t>
      </w:r>
      <w:r w:rsidR="002F4CFA" w:rsidRPr="00834360">
        <w:rPr>
          <w:rFonts w:ascii="Arial" w:hAnsi="Arial" w:cs="Arial"/>
          <w:color w:val="000000" w:themeColor="text1"/>
          <w:sz w:val="24"/>
          <w:szCs w:val="24"/>
        </w:rPr>
        <w:t xml:space="preserve">DI </w:t>
      </w:r>
      <w:r w:rsidR="007E6939" w:rsidRPr="00834360">
        <w:rPr>
          <w:rFonts w:ascii="Arial" w:hAnsi="Arial" w:cs="Arial"/>
          <w:color w:val="000000" w:themeColor="text1"/>
          <w:sz w:val="24"/>
          <w:szCs w:val="24"/>
        </w:rPr>
        <w:t>water</w:t>
      </w:r>
      <w:r w:rsidR="003269FB" w:rsidRPr="00834360">
        <w:rPr>
          <w:rFonts w:ascii="Arial" w:hAnsi="Arial" w:cs="Arial"/>
          <w:color w:val="000000" w:themeColor="text1"/>
          <w:sz w:val="24"/>
          <w:szCs w:val="24"/>
        </w:rPr>
        <w:t xml:space="preserve"> and stirred at 250 rpm until completely dissolved. Then</w:t>
      </w:r>
      <w:r w:rsidR="00E744D3" w:rsidRPr="00834360">
        <w:rPr>
          <w:rFonts w:ascii="Arial" w:hAnsi="Arial" w:cs="Arial"/>
          <w:color w:val="000000" w:themeColor="text1"/>
          <w:sz w:val="24"/>
          <w:szCs w:val="24"/>
        </w:rPr>
        <w:t>,</w:t>
      </w:r>
      <w:r w:rsidR="003269FB" w:rsidRPr="00834360">
        <w:rPr>
          <w:rFonts w:ascii="Arial" w:hAnsi="Arial" w:cs="Arial"/>
          <w:color w:val="000000" w:themeColor="text1"/>
          <w:sz w:val="24"/>
          <w:szCs w:val="24"/>
        </w:rPr>
        <w:t xml:space="preserve"> 250 mg of 4-(dimethylamino)pyridine were dissolved</w:t>
      </w:r>
      <w:r w:rsidR="00162DDF" w:rsidRPr="00834360">
        <w:rPr>
          <w:rFonts w:ascii="Arial" w:hAnsi="Arial" w:cs="Arial"/>
          <w:color w:val="000000" w:themeColor="text1"/>
          <w:sz w:val="24"/>
          <w:szCs w:val="24"/>
        </w:rPr>
        <w:t xml:space="preserve"> in the HA solution</w:t>
      </w:r>
      <w:r w:rsidR="003269FB" w:rsidRPr="00834360">
        <w:rPr>
          <w:rFonts w:ascii="Arial" w:hAnsi="Arial" w:cs="Arial"/>
          <w:color w:val="000000" w:themeColor="text1"/>
          <w:sz w:val="24"/>
          <w:szCs w:val="24"/>
        </w:rPr>
        <w:t xml:space="preserve">. </w:t>
      </w:r>
      <w:r w:rsidR="0050278A" w:rsidRPr="00834360">
        <w:rPr>
          <w:rFonts w:ascii="Arial" w:hAnsi="Arial" w:cs="Arial"/>
          <w:color w:val="000000" w:themeColor="text1"/>
          <w:sz w:val="24"/>
          <w:szCs w:val="24"/>
        </w:rPr>
        <w:t>P</w:t>
      </w:r>
      <w:r w:rsidR="003269FB" w:rsidRPr="00834360">
        <w:rPr>
          <w:rFonts w:ascii="Arial" w:hAnsi="Arial" w:cs="Arial"/>
          <w:color w:val="000000" w:themeColor="text1"/>
          <w:sz w:val="24"/>
          <w:szCs w:val="24"/>
        </w:rPr>
        <w:t>entenoic anhydride</w:t>
      </w:r>
      <w:r w:rsidR="0050278A" w:rsidRPr="00834360">
        <w:rPr>
          <w:rFonts w:ascii="Arial" w:hAnsi="Arial" w:cs="Arial"/>
          <w:color w:val="000000" w:themeColor="text1"/>
          <w:sz w:val="24"/>
          <w:szCs w:val="24"/>
        </w:rPr>
        <w:t xml:space="preserve"> (2.4 mL)</w:t>
      </w:r>
      <w:r w:rsidR="003269FB" w:rsidRPr="00834360">
        <w:rPr>
          <w:rFonts w:ascii="Arial" w:hAnsi="Arial" w:cs="Arial"/>
          <w:color w:val="000000" w:themeColor="text1"/>
          <w:sz w:val="24"/>
          <w:szCs w:val="24"/>
        </w:rPr>
        <w:t xml:space="preserve"> </w:t>
      </w:r>
      <w:r w:rsidR="0050278A" w:rsidRPr="00834360">
        <w:rPr>
          <w:rFonts w:ascii="Arial" w:hAnsi="Arial" w:cs="Arial"/>
          <w:color w:val="000000" w:themeColor="text1"/>
          <w:sz w:val="24"/>
          <w:szCs w:val="24"/>
        </w:rPr>
        <w:t xml:space="preserve">was </w:t>
      </w:r>
      <w:r w:rsidR="003269FB" w:rsidRPr="00834360">
        <w:rPr>
          <w:rFonts w:ascii="Arial" w:hAnsi="Arial" w:cs="Arial"/>
          <w:color w:val="000000" w:themeColor="text1"/>
          <w:sz w:val="24"/>
          <w:szCs w:val="24"/>
        </w:rPr>
        <w:t>added in 10 times</w:t>
      </w:r>
      <w:r w:rsidR="0050278A" w:rsidRPr="00834360">
        <w:rPr>
          <w:rFonts w:ascii="Arial" w:hAnsi="Arial" w:cs="Arial"/>
          <w:color w:val="000000" w:themeColor="text1"/>
          <w:sz w:val="24"/>
          <w:szCs w:val="24"/>
        </w:rPr>
        <w:t xml:space="preserve">. The </w:t>
      </w:r>
      <w:r w:rsidR="003269FB" w:rsidRPr="00834360">
        <w:rPr>
          <w:rFonts w:ascii="Arial" w:hAnsi="Arial" w:cs="Arial"/>
          <w:color w:val="000000" w:themeColor="text1"/>
          <w:sz w:val="24"/>
          <w:szCs w:val="24"/>
        </w:rPr>
        <w:t xml:space="preserve">pH was </w:t>
      </w:r>
      <w:r w:rsidR="0050278A" w:rsidRPr="00834360">
        <w:rPr>
          <w:rFonts w:ascii="Arial" w:hAnsi="Arial" w:cs="Arial"/>
          <w:color w:val="000000" w:themeColor="text1"/>
          <w:sz w:val="24"/>
          <w:szCs w:val="24"/>
        </w:rPr>
        <w:t xml:space="preserve">the adjusted to pH 8-9 </w:t>
      </w:r>
      <w:r w:rsidR="003269FB" w:rsidRPr="00834360">
        <w:rPr>
          <w:rFonts w:ascii="Arial" w:hAnsi="Arial" w:cs="Arial"/>
          <w:color w:val="000000" w:themeColor="text1"/>
          <w:sz w:val="24"/>
          <w:szCs w:val="24"/>
        </w:rPr>
        <w:t>by addition of 1 M NaOH</w:t>
      </w:r>
      <w:r w:rsidR="00F8646F" w:rsidRPr="00834360">
        <w:rPr>
          <w:rFonts w:ascii="Arial" w:hAnsi="Arial" w:cs="Arial"/>
          <w:color w:val="000000" w:themeColor="text1"/>
          <w:sz w:val="24"/>
          <w:szCs w:val="24"/>
        </w:rPr>
        <w:t xml:space="preserve"> and stirred overnight at room temperature</w:t>
      </w:r>
      <w:r w:rsidR="003269FB" w:rsidRPr="00834360">
        <w:rPr>
          <w:rFonts w:ascii="Arial" w:hAnsi="Arial" w:cs="Arial"/>
          <w:color w:val="000000" w:themeColor="text1"/>
          <w:sz w:val="24"/>
          <w:szCs w:val="24"/>
        </w:rPr>
        <w:t>. NaCl</w:t>
      </w:r>
      <w:r w:rsidR="007E5497" w:rsidRPr="00834360">
        <w:rPr>
          <w:rFonts w:ascii="Arial" w:hAnsi="Arial" w:cs="Arial"/>
          <w:color w:val="000000" w:themeColor="text1"/>
          <w:sz w:val="24"/>
          <w:szCs w:val="24"/>
        </w:rPr>
        <w:t xml:space="preserve"> (5 g)</w:t>
      </w:r>
      <w:r w:rsidR="003269FB" w:rsidRPr="00834360">
        <w:rPr>
          <w:rFonts w:ascii="Arial" w:hAnsi="Arial" w:cs="Arial"/>
          <w:color w:val="000000" w:themeColor="text1"/>
          <w:sz w:val="24"/>
          <w:szCs w:val="24"/>
        </w:rPr>
        <w:t xml:space="preserve"> were dissolved in the </w:t>
      </w:r>
      <w:r w:rsidR="007E5497" w:rsidRPr="00834360">
        <w:rPr>
          <w:rFonts w:ascii="Arial" w:hAnsi="Arial" w:cs="Arial"/>
          <w:color w:val="000000" w:themeColor="text1"/>
          <w:sz w:val="24"/>
          <w:szCs w:val="24"/>
        </w:rPr>
        <w:t xml:space="preserve">HA </w:t>
      </w:r>
      <w:r w:rsidR="003269FB" w:rsidRPr="00834360">
        <w:rPr>
          <w:rFonts w:ascii="Arial" w:hAnsi="Arial" w:cs="Arial"/>
          <w:color w:val="000000" w:themeColor="text1"/>
          <w:sz w:val="24"/>
          <w:szCs w:val="24"/>
        </w:rPr>
        <w:t>solution. The solution was precipitated by addition of 2</w:t>
      </w:r>
      <w:r w:rsidR="00770FA5" w:rsidRPr="00834360">
        <w:rPr>
          <w:rFonts w:ascii="Arial" w:hAnsi="Arial" w:cs="Arial"/>
          <w:color w:val="000000" w:themeColor="text1"/>
          <w:sz w:val="24"/>
          <w:szCs w:val="24"/>
        </w:rPr>
        <w:t xml:space="preserve"> </w:t>
      </w:r>
      <w:r w:rsidR="003269FB" w:rsidRPr="00834360">
        <w:rPr>
          <w:rFonts w:ascii="Arial" w:hAnsi="Arial" w:cs="Arial"/>
          <w:color w:val="000000" w:themeColor="text1"/>
          <w:sz w:val="24"/>
          <w:szCs w:val="24"/>
        </w:rPr>
        <w:t>L of acetone and centrifug</w:t>
      </w:r>
      <w:r w:rsidR="002A1D1C" w:rsidRPr="00834360">
        <w:rPr>
          <w:rFonts w:ascii="Arial" w:hAnsi="Arial" w:cs="Arial"/>
          <w:color w:val="000000" w:themeColor="text1"/>
          <w:sz w:val="24"/>
          <w:szCs w:val="24"/>
        </w:rPr>
        <w:t>ed</w:t>
      </w:r>
      <w:r w:rsidR="003269FB" w:rsidRPr="00834360">
        <w:rPr>
          <w:rFonts w:ascii="Arial" w:hAnsi="Arial" w:cs="Arial"/>
          <w:color w:val="000000" w:themeColor="text1"/>
          <w:sz w:val="24"/>
          <w:szCs w:val="24"/>
        </w:rPr>
        <w:t xml:space="preserve"> at 6,000</w:t>
      </w:r>
      <w:r w:rsidR="00770FA5" w:rsidRPr="00834360">
        <w:rPr>
          <w:rFonts w:ascii="Arial" w:hAnsi="Arial" w:cs="Arial"/>
          <w:color w:val="000000" w:themeColor="text1"/>
          <w:sz w:val="24"/>
          <w:szCs w:val="24"/>
        </w:rPr>
        <w:t xml:space="preserve"> </w:t>
      </w:r>
      <w:r w:rsidR="003269FB" w:rsidRPr="00834360">
        <w:rPr>
          <w:rFonts w:ascii="Arial" w:hAnsi="Arial" w:cs="Arial"/>
          <w:color w:val="000000" w:themeColor="text1"/>
          <w:sz w:val="24"/>
          <w:szCs w:val="24"/>
        </w:rPr>
        <w:t>g for 3 minutes</w:t>
      </w:r>
      <w:r w:rsidR="002A1D1C" w:rsidRPr="00834360">
        <w:rPr>
          <w:rFonts w:ascii="Arial" w:hAnsi="Arial" w:cs="Arial"/>
          <w:color w:val="000000" w:themeColor="text1"/>
          <w:sz w:val="24"/>
          <w:szCs w:val="24"/>
        </w:rPr>
        <w:t xml:space="preserve"> </w:t>
      </w:r>
      <w:r w:rsidR="003A4B7A" w:rsidRPr="00834360">
        <w:rPr>
          <w:rFonts w:ascii="Arial" w:hAnsi="Arial" w:cs="Arial"/>
          <w:color w:val="000000" w:themeColor="text1"/>
          <w:sz w:val="24"/>
          <w:szCs w:val="24"/>
        </w:rPr>
        <w:t xml:space="preserve">3 </w:t>
      </w:r>
      <w:r w:rsidR="002A1D1C" w:rsidRPr="00834360">
        <w:rPr>
          <w:rFonts w:ascii="Arial" w:hAnsi="Arial" w:cs="Arial"/>
          <w:color w:val="000000" w:themeColor="text1"/>
          <w:sz w:val="24"/>
          <w:szCs w:val="24"/>
        </w:rPr>
        <w:t>times</w:t>
      </w:r>
      <w:r w:rsidR="003269FB" w:rsidRPr="00834360">
        <w:rPr>
          <w:rFonts w:ascii="Arial" w:hAnsi="Arial" w:cs="Arial"/>
          <w:color w:val="000000" w:themeColor="text1"/>
          <w:sz w:val="24"/>
          <w:szCs w:val="24"/>
        </w:rPr>
        <w:t>. The pellets were dissolved in DI water and dialyzed for 2 days</w:t>
      </w:r>
      <w:r w:rsidR="00F97E8A" w:rsidRPr="00834360">
        <w:rPr>
          <w:rFonts w:ascii="Arial" w:hAnsi="Arial" w:cs="Arial"/>
          <w:color w:val="000000" w:themeColor="text1"/>
          <w:sz w:val="24"/>
          <w:szCs w:val="24"/>
        </w:rPr>
        <w:t xml:space="preserve"> </w:t>
      </w:r>
      <w:r w:rsidR="004024C7" w:rsidRPr="00834360">
        <w:rPr>
          <w:rFonts w:ascii="Arial" w:hAnsi="Arial" w:cs="Arial"/>
          <w:color w:val="000000" w:themeColor="text1"/>
          <w:sz w:val="24"/>
          <w:szCs w:val="24"/>
        </w:rPr>
        <w:t>in dialysis tubing (MWCO: 6-8 kDa, VWR, Radnor, PA)</w:t>
      </w:r>
      <w:r w:rsidR="003269FB" w:rsidRPr="00834360">
        <w:rPr>
          <w:rFonts w:ascii="Arial" w:hAnsi="Arial" w:cs="Arial"/>
          <w:color w:val="000000" w:themeColor="text1"/>
          <w:sz w:val="24"/>
          <w:szCs w:val="24"/>
        </w:rPr>
        <w:t xml:space="preserve">. </w:t>
      </w:r>
      <w:r w:rsidR="002A1D1C" w:rsidRPr="00834360">
        <w:rPr>
          <w:rFonts w:ascii="Arial" w:hAnsi="Arial" w:cs="Arial"/>
          <w:color w:val="000000" w:themeColor="text1"/>
          <w:sz w:val="24"/>
          <w:szCs w:val="24"/>
        </w:rPr>
        <w:t>T</w:t>
      </w:r>
      <w:r w:rsidR="003269FB" w:rsidRPr="00834360">
        <w:rPr>
          <w:rFonts w:ascii="Arial" w:hAnsi="Arial" w:cs="Arial"/>
          <w:color w:val="000000" w:themeColor="text1"/>
          <w:sz w:val="24"/>
          <w:szCs w:val="24"/>
        </w:rPr>
        <w:t xml:space="preserve">he pH of the solution was </w:t>
      </w:r>
      <w:r w:rsidR="002A1D1C" w:rsidRPr="00834360">
        <w:rPr>
          <w:rFonts w:ascii="Arial" w:hAnsi="Arial" w:cs="Arial"/>
          <w:color w:val="000000" w:themeColor="text1"/>
          <w:sz w:val="24"/>
          <w:szCs w:val="24"/>
        </w:rPr>
        <w:t xml:space="preserve">then </w:t>
      </w:r>
      <w:r w:rsidR="003269FB" w:rsidRPr="00834360">
        <w:rPr>
          <w:rFonts w:ascii="Arial" w:hAnsi="Arial" w:cs="Arial"/>
          <w:color w:val="000000" w:themeColor="text1"/>
          <w:sz w:val="24"/>
          <w:szCs w:val="24"/>
        </w:rPr>
        <w:t>adjusted to 7.4 with NaOH</w:t>
      </w:r>
      <w:r w:rsidR="002A1D1C" w:rsidRPr="00834360">
        <w:rPr>
          <w:rFonts w:ascii="Arial" w:hAnsi="Arial" w:cs="Arial"/>
          <w:color w:val="000000" w:themeColor="text1"/>
          <w:sz w:val="24"/>
          <w:szCs w:val="24"/>
        </w:rPr>
        <w:t xml:space="preserve">, </w:t>
      </w:r>
      <w:r w:rsidR="003269FB" w:rsidRPr="00834360">
        <w:rPr>
          <w:rFonts w:ascii="Arial" w:hAnsi="Arial" w:cs="Arial"/>
          <w:color w:val="000000" w:themeColor="text1"/>
          <w:sz w:val="24"/>
          <w:szCs w:val="24"/>
        </w:rPr>
        <w:t>lyophilized</w:t>
      </w:r>
      <w:r w:rsidR="002A1D1C" w:rsidRPr="00834360">
        <w:rPr>
          <w:rFonts w:ascii="Arial" w:hAnsi="Arial" w:cs="Arial"/>
          <w:color w:val="000000" w:themeColor="text1"/>
          <w:sz w:val="24"/>
          <w:szCs w:val="24"/>
        </w:rPr>
        <w:t xml:space="preserve"> to dryness</w:t>
      </w:r>
      <w:r w:rsidR="009F28A9" w:rsidRPr="00834360">
        <w:rPr>
          <w:rFonts w:ascii="Arial" w:hAnsi="Arial" w:cs="Arial"/>
          <w:color w:val="000000" w:themeColor="text1"/>
          <w:sz w:val="24"/>
          <w:szCs w:val="24"/>
        </w:rPr>
        <w:t xml:space="preserve">, and stored as a lyophilized powder at </w:t>
      </w:r>
      <w:r w:rsidR="00A974DB" w:rsidRPr="00834360">
        <w:rPr>
          <w:rFonts w:ascii="Arial" w:hAnsi="Arial" w:cs="Arial"/>
          <w:color w:val="000000" w:themeColor="text1"/>
          <w:sz w:val="24"/>
          <w:szCs w:val="24"/>
        </w:rPr>
        <w:t>-20</w:t>
      </w:r>
      <w:r w:rsidR="005906D6" w:rsidRPr="00834360">
        <w:rPr>
          <w:rFonts w:ascii="Arial" w:hAnsi="Arial" w:cs="Arial"/>
          <w:color w:val="000000" w:themeColor="text1"/>
          <w:sz w:val="24"/>
          <w:szCs w:val="24"/>
        </w:rPr>
        <w:t>°C</w:t>
      </w:r>
      <w:r w:rsidR="00A974DB" w:rsidRPr="00834360">
        <w:rPr>
          <w:rFonts w:ascii="Arial" w:hAnsi="Arial" w:cs="Arial"/>
          <w:color w:val="000000" w:themeColor="text1"/>
          <w:sz w:val="24"/>
          <w:szCs w:val="24"/>
        </w:rPr>
        <w:t xml:space="preserve"> </w:t>
      </w:r>
      <w:r w:rsidR="009F28A9" w:rsidRPr="00834360">
        <w:rPr>
          <w:rFonts w:ascii="Arial" w:hAnsi="Arial" w:cs="Arial"/>
          <w:color w:val="000000" w:themeColor="text1"/>
          <w:sz w:val="24"/>
          <w:szCs w:val="24"/>
        </w:rPr>
        <w:t>until use</w:t>
      </w:r>
      <w:r w:rsidR="003269FB" w:rsidRPr="00834360">
        <w:rPr>
          <w:rFonts w:ascii="Arial" w:hAnsi="Arial" w:cs="Arial"/>
          <w:color w:val="000000" w:themeColor="text1"/>
          <w:sz w:val="24"/>
          <w:szCs w:val="24"/>
        </w:rPr>
        <w:t>.</w:t>
      </w:r>
      <w:bookmarkEnd w:id="62"/>
      <w:bookmarkEnd w:id="63"/>
      <w:bookmarkEnd w:id="64"/>
      <w:bookmarkEnd w:id="65"/>
      <w:bookmarkEnd w:id="66"/>
      <w:r w:rsidR="003269FB" w:rsidRPr="00834360">
        <w:rPr>
          <w:rFonts w:ascii="Arial" w:hAnsi="Arial" w:cs="Arial"/>
          <w:color w:val="000000" w:themeColor="text1"/>
          <w:sz w:val="24"/>
          <w:szCs w:val="24"/>
        </w:rPr>
        <w:t xml:space="preserve"> </w:t>
      </w:r>
    </w:p>
    <w:p w14:paraId="3EB3FF9B" w14:textId="22905655" w:rsidR="009F0394" w:rsidRPr="00EB056A" w:rsidRDefault="00075327" w:rsidP="009F0394">
      <w:pPr>
        <w:pStyle w:val="Titre3"/>
        <w:spacing w:line="480" w:lineRule="auto"/>
        <w:jc w:val="both"/>
        <w:rPr>
          <w:rFonts w:ascii="Arial" w:hAnsi="Arial" w:cs="Arial"/>
          <w:b/>
          <w:bCs/>
          <w:color w:val="auto"/>
        </w:rPr>
      </w:pPr>
      <w:bookmarkStart w:id="67" w:name="_Toc106903223"/>
      <w:r>
        <w:rPr>
          <w:rFonts w:ascii="Arial" w:hAnsi="Arial" w:cs="Arial"/>
          <w:b/>
          <w:bCs/>
          <w:color w:val="auto"/>
        </w:rPr>
        <w:t>2.</w:t>
      </w:r>
      <w:r w:rsidR="005011FC">
        <w:rPr>
          <w:rFonts w:ascii="Arial" w:hAnsi="Arial" w:cs="Arial"/>
          <w:b/>
          <w:bCs/>
          <w:color w:val="auto"/>
        </w:rPr>
        <w:t>2.</w:t>
      </w:r>
      <w:r>
        <w:rPr>
          <w:rFonts w:ascii="Arial" w:hAnsi="Arial" w:cs="Arial"/>
          <w:b/>
          <w:bCs/>
          <w:color w:val="auto"/>
        </w:rPr>
        <w:t xml:space="preserve">3 </w:t>
      </w:r>
      <w:r w:rsidR="005011FC">
        <w:rPr>
          <w:rFonts w:ascii="Arial" w:hAnsi="Arial" w:cs="Arial"/>
          <w:b/>
          <w:bCs/>
          <w:color w:val="auto"/>
        </w:rPr>
        <w:t>PHA s</w:t>
      </w:r>
      <w:r w:rsidR="009F0394" w:rsidRPr="00EB056A">
        <w:rPr>
          <w:rFonts w:ascii="Arial" w:hAnsi="Arial" w:cs="Arial"/>
          <w:b/>
          <w:bCs/>
          <w:color w:val="auto"/>
        </w:rPr>
        <w:t>tructural analysis</w:t>
      </w:r>
      <w:bookmarkEnd w:id="67"/>
    </w:p>
    <w:p w14:paraId="6C612D96" w14:textId="0701CA98" w:rsidR="00DA6893" w:rsidRDefault="009F0394" w:rsidP="00B53083">
      <w:pPr>
        <w:spacing w:line="480" w:lineRule="auto"/>
        <w:ind w:firstLine="720"/>
        <w:jc w:val="both"/>
        <w:rPr>
          <w:rFonts w:ascii="Arial" w:hAnsi="Arial" w:cs="Arial"/>
          <w:sz w:val="24"/>
          <w:szCs w:val="24"/>
        </w:rPr>
      </w:pPr>
      <w:r w:rsidRPr="00EB056A">
        <w:rPr>
          <w:rFonts w:ascii="Arial" w:hAnsi="Arial" w:cs="Arial"/>
          <w:sz w:val="24"/>
          <w:szCs w:val="24"/>
        </w:rPr>
        <w:t>PHA was dissolved in 3 mg/mL of D</w:t>
      </w:r>
      <w:r w:rsidRPr="00DA39E1">
        <w:rPr>
          <w:rFonts w:ascii="Arial" w:hAnsi="Arial" w:cs="Arial"/>
          <w:sz w:val="24"/>
          <w:szCs w:val="24"/>
          <w:vertAlign w:val="subscript"/>
        </w:rPr>
        <w:t>2</w:t>
      </w:r>
      <w:r w:rsidRPr="00EB056A">
        <w:rPr>
          <w:rFonts w:ascii="Arial" w:hAnsi="Arial" w:cs="Arial"/>
          <w:sz w:val="24"/>
          <w:szCs w:val="24"/>
        </w:rPr>
        <w:t>O. Then 1 mg/mL of 3-(</w:t>
      </w:r>
      <w:r w:rsidR="003B7652">
        <w:rPr>
          <w:rFonts w:ascii="Arial" w:hAnsi="Arial" w:cs="Arial"/>
          <w:sz w:val="24"/>
          <w:szCs w:val="24"/>
        </w:rPr>
        <w:t>t</w:t>
      </w:r>
      <w:r w:rsidRPr="00EB056A">
        <w:rPr>
          <w:rFonts w:ascii="Arial" w:hAnsi="Arial" w:cs="Arial"/>
          <w:sz w:val="24"/>
          <w:szCs w:val="24"/>
        </w:rPr>
        <w:t xml:space="preserve">rimethylsilyl)propionic-2,2,3,3-d4 was added and the solution was put </w:t>
      </w:r>
      <w:r w:rsidRPr="00EB056A">
        <w:rPr>
          <w:rFonts w:ascii="Arial" w:hAnsi="Arial" w:cs="Arial"/>
          <w:sz w:val="24"/>
          <w:szCs w:val="24"/>
        </w:rPr>
        <w:lastRenderedPageBreak/>
        <w:t>in a glass NMR tube. The sample was then run on an NMR 500 with the software VNMRJ</w:t>
      </w:r>
      <w:r>
        <w:rPr>
          <w:rFonts w:ascii="Arial" w:hAnsi="Arial" w:cs="Arial"/>
          <w:sz w:val="24"/>
          <w:szCs w:val="24"/>
        </w:rPr>
        <w:t xml:space="preserve"> (Agilent, Santa Clara, California)</w:t>
      </w:r>
      <w:r w:rsidRPr="00EB056A">
        <w:rPr>
          <w:rFonts w:ascii="Arial" w:hAnsi="Arial" w:cs="Arial"/>
          <w:sz w:val="24"/>
          <w:szCs w:val="24"/>
        </w:rPr>
        <w:t>. The NMR was tuned and shimmed, then a proton spectrum was collected and analyzed with the software MestReNova</w:t>
      </w:r>
      <w:r>
        <w:rPr>
          <w:rFonts w:ascii="Arial" w:hAnsi="Arial" w:cs="Arial"/>
          <w:sz w:val="24"/>
          <w:szCs w:val="24"/>
        </w:rPr>
        <w:t xml:space="preserve"> (MestReLab Research, La Coruna, Spain)</w:t>
      </w:r>
      <w:r w:rsidRPr="00EB056A">
        <w:rPr>
          <w:rFonts w:ascii="Arial" w:hAnsi="Arial" w:cs="Arial"/>
          <w:sz w:val="24"/>
          <w:szCs w:val="24"/>
        </w:rPr>
        <w:t>.</w:t>
      </w:r>
      <w:r w:rsidR="008E69EA">
        <w:rPr>
          <w:rFonts w:ascii="Arial" w:hAnsi="Arial" w:cs="Arial"/>
          <w:sz w:val="24"/>
          <w:szCs w:val="24"/>
        </w:rPr>
        <w:t xml:space="preserve"> The concentration mmol of pentenoate</w:t>
      </w:r>
      <w:r w:rsidR="000C2B46">
        <w:rPr>
          <w:rFonts w:ascii="Arial" w:hAnsi="Arial" w:cs="Arial"/>
          <w:sz w:val="24"/>
          <w:szCs w:val="24"/>
        </w:rPr>
        <w:t xml:space="preserve"> </w:t>
      </w:r>
      <w:r w:rsidR="005011FC">
        <w:rPr>
          <w:rFonts w:ascii="Arial" w:hAnsi="Arial" w:cs="Arial"/>
          <w:sz w:val="24"/>
          <w:szCs w:val="24"/>
        </w:rPr>
        <w:t xml:space="preserve">per gram of PHA </w:t>
      </w:r>
      <w:r w:rsidR="000C2B46">
        <w:rPr>
          <w:rFonts w:ascii="Arial" w:hAnsi="Arial" w:cs="Arial"/>
          <w:sz w:val="24"/>
          <w:szCs w:val="24"/>
        </w:rPr>
        <w:t xml:space="preserve">was calculated </w:t>
      </w:r>
      <w:r w:rsidR="00BB3C76">
        <w:rPr>
          <w:rFonts w:ascii="Arial" w:hAnsi="Arial" w:cs="Arial"/>
          <w:sz w:val="24"/>
          <w:szCs w:val="24"/>
        </w:rPr>
        <w:t xml:space="preserve">with </w:t>
      </w:r>
      <w:r w:rsidR="000C2B46">
        <w:rPr>
          <w:rFonts w:ascii="Arial" w:hAnsi="Arial" w:cs="Arial"/>
          <w:sz w:val="24"/>
          <w:szCs w:val="24"/>
        </w:rPr>
        <w:t>the following equation:</w:t>
      </w:r>
    </w:p>
    <w:p w14:paraId="0B3AA0A3" w14:textId="77777777" w:rsidR="00DA6893" w:rsidRDefault="00DA6893" w:rsidP="00834360">
      <w:pPr>
        <w:spacing w:line="480" w:lineRule="auto"/>
        <w:jc w:val="both"/>
        <w:rPr>
          <w:rFonts w:ascii="Arial" w:eastAsiaTheme="minorEastAsia" w:hAnsi="Arial" w:cs="Arial"/>
          <w:sz w:val="24"/>
          <w:szCs w:val="24"/>
        </w:rPr>
      </w:pPr>
      <w:r>
        <w:rPr>
          <w:noProof/>
        </w:rPr>
        <w:drawing>
          <wp:inline distT="0" distB="0" distL="0" distR="0" wp14:anchorId="4BFD5FCB" wp14:editId="5250C510">
            <wp:extent cx="3819525" cy="5143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819525" cy="514350"/>
                    </a:xfrm>
                    <a:prstGeom prst="rect">
                      <a:avLst/>
                    </a:prstGeom>
                  </pic:spPr>
                </pic:pic>
              </a:graphicData>
            </a:graphic>
          </wp:inline>
        </w:drawing>
      </w:r>
      <w:r w:rsidR="000C2B46">
        <w:rPr>
          <w:rFonts w:ascii="Arial" w:eastAsiaTheme="minorEastAsia" w:hAnsi="Arial" w:cs="Arial"/>
          <w:sz w:val="24"/>
          <w:szCs w:val="24"/>
        </w:rPr>
        <w:t>.</w:t>
      </w:r>
    </w:p>
    <w:p w14:paraId="57734FF1" w14:textId="25F8F3ED" w:rsidR="00B35706" w:rsidRPr="00EB056A" w:rsidRDefault="00EA3B2D" w:rsidP="001A5022">
      <w:pPr>
        <w:spacing w:line="480" w:lineRule="auto"/>
        <w:jc w:val="both"/>
        <w:rPr>
          <w:rFonts w:ascii="Arial" w:hAnsi="Arial" w:cs="Arial"/>
          <w:sz w:val="24"/>
          <w:szCs w:val="24"/>
        </w:rPr>
      </w:pPr>
      <w:r>
        <w:rPr>
          <w:rFonts w:ascii="Arial" w:eastAsiaTheme="minorEastAsia" w:hAnsi="Arial" w:cs="Arial"/>
          <w:sz w:val="24"/>
          <w:szCs w:val="24"/>
        </w:rPr>
        <w:t>The co</w:t>
      </w:r>
      <w:r w:rsidR="007963D2">
        <w:rPr>
          <w:rFonts w:ascii="Arial" w:eastAsiaTheme="minorEastAsia" w:hAnsi="Arial" w:cs="Arial"/>
          <w:sz w:val="24"/>
          <w:szCs w:val="24"/>
        </w:rPr>
        <w:t>ncentration of mmol of pentenoate per gram of PHA is the integral of pentenoate divided</w:t>
      </w:r>
      <w:r w:rsidR="00B70047">
        <w:rPr>
          <w:rFonts w:ascii="Arial" w:eastAsiaTheme="minorEastAsia" w:hAnsi="Arial" w:cs="Arial"/>
          <w:sz w:val="24"/>
          <w:szCs w:val="24"/>
        </w:rPr>
        <w:t xml:space="preserve"> by the quantity of PHA in the sample tested, to obtain the </w:t>
      </w:r>
      <w:r w:rsidR="00842E21">
        <w:rPr>
          <w:rFonts w:ascii="Arial" w:eastAsiaTheme="minorEastAsia" w:hAnsi="Arial" w:cs="Arial"/>
          <w:sz w:val="24"/>
          <w:szCs w:val="24"/>
        </w:rPr>
        <w:t xml:space="preserve">number of </w:t>
      </w:r>
      <w:r w:rsidR="00294636">
        <w:rPr>
          <w:rFonts w:ascii="Arial" w:eastAsiaTheme="minorEastAsia" w:hAnsi="Arial" w:cs="Arial"/>
          <w:sz w:val="24"/>
          <w:szCs w:val="24"/>
        </w:rPr>
        <w:t>alkene chemical groups</w:t>
      </w:r>
      <w:r w:rsidR="007E3EB9">
        <w:rPr>
          <w:rFonts w:ascii="Arial" w:eastAsiaTheme="minorEastAsia" w:hAnsi="Arial" w:cs="Arial"/>
          <w:sz w:val="24"/>
          <w:szCs w:val="24"/>
        </w:rPr>
        <w:t xml:space="preserve">, standardized by the </w:t>
      </w:r>
      <w:r w:rsidR="003505A9">
        <w:rPr>
          <w:rFonts w:ascii="Arial" w:eastAsiaTheme="minorEastAsia" w:hAnsi="Arial" w:cs="Arial"/>
          <w:sz w:val="24"/>
          <w:szCs w:val="24"/>
        </w:rPr>
        <w:t>quantity of TMSP over the integral of TMSP.</w:t>
      </w:r>
    </w:p>
    <w:p w14:paraId="6F2A090A" w14:textId="2AB1707F" w:rsidR="002573AF" w:rsidRPr="00EB056A" w:rsidRDefault="001D53F7" w:rsidP="00EB056A">
      <w:pPr>
        <w:pStyle w:val="Titre3"/>
        <w:spacing w:line="480" w:lineRule="auto"/>
        <w:jc w:val="both"/>
        <w:rPr>
          <w:rFonts w:ascii="Arial" w:hAnsi="Arial" w:cs="Arial"/>
          <w:b/>
          <w:bCs/>
          <w:color w:val="auto"/>
        </w:rPr>
      </w:pPr>
      <w:bookmarkStart w:id="68" w:name="_Toc106903224"/>
      <w:r>
        <w:rPr>
          <w:rFonts w:ascii="Arial" w:hAnsi="Arial" w:cs="Arial"/>
          <w:b/>
          <w:bCs/>
          <w:color w:val="auto"/>
        </w:rPr>
        <w:t>2.</w:t>
      </w:r>
      <w:r w:rsidR="005011FC">
        <w:rPr>
          <w:rFonts w:ascii="Arial" w:hAnsi="Arial" w:cs="Arial"/>
          <w:b/>
          <w:bCs/>
          <w:color w:val="auto"/>
        </w:rPr>
        <w:t>2</w:t>
      </w:r>
      <w:r>
        <w:rPr>
          <w:rFonts w:ascii="Arial" w:hAnsi="Arial" w:cs="Arial"/>
          <w:b/>
          <w:bCs/>
          <w:color w:val="auto"/>
        </w:rPr>
        <w:t>.</w:t>
      </w:r>
      <w:r w:rsidR="005011FC">
        <w:rPr>
          <w:rFonts w:ascii="Arial" w:hAnsi="Arial" w:cs="Arial"/>
          <w:b/>
          <w:bCs/>
          <w:color w:val="auto"/>
        </w:rPr>
        <w:t>4</w:t>
      </w:r>
      <w:r>
        <w:rPr>
          <w:rFonts w:ascii="Arial" w:hAnsi="Arial" w:cs="Arial"/>
          <w:b/>
          <w:bCs/>
          <w:color w:val="auto"/>
        </w:rPr>
        <w:t xml:space="preserve"> </w:t>
      </w:r>
      <w:r w:rsidR="005C1D56" w:rsidRPr="00EB056A">
        <w:rPr>
          <w:rFonts w:ascii="Arial" w:hAnsi="Arial" w:cs="Arial"/>
          <w:b/>
          <w:bCs/>
          <w:color w:val="auto"/>
        </w:rPr>
        <w:t xml:space="preserve">PHA </w:t>
      </w:r>
      <w:r w:rsidR="00E172C7">
        <w:rPr>
          <w:rFonts w:ascii="Arial" w:hAnsi="Arial" w:cs="Arial"/>
          <w:b/>
          <w:bCs/>
          <w:color w:val="auto"/>
        </w:rPr>
        <w:t>hydro</w:t>
      </w:r>
      <w:r w:rsidR="005C1D56" w:rsidRPr="00EB056A">
        <w:rPr>
          <w:rFonts w:ascii="Arial" w:hAnsi="Arial" w:cs="Arial"/>
          <w:b/>
          <w:bCs/>
          <w:color w:val="auto"/>
        </w:rPr>
        <w:t>gels formation</w:t>
      </w:r>
      <w:bookmarkEnd w:id="68"/>
    </w:p>
    <w:p w14:paraId="144D9093" w14:textId="7384C175" w:rsidR="005C1D56" w:rsidRDefault="00A40AB2" w:rsidP="00B35706">
      <w:pPr>
        <w:spacing w:line="480" w:lineRule="auto"/>
        <w:ind w:firstLine="720"/>
        <w:jc w:val="both"/>
        <w:rPr>
          <w:rFonts w:ascii="Arial" w:hAnsi="Arial" w:cs="Arial"/>
          <w:sz w:val="24"/>
          <w:szCs w:val="24"/>
        </w:rPr>
      </w:pPr>
      <w:r w:rsidRPr="00EB056A">
        <w:rPr>
          <w:rFonts w:ascii="Arial" w:hAnsi="Arial" w:cs="Arial"/>
          <w:sz w:val="24"/>
          <w:szCs w:val="24"/>
        </w:rPr>
        <w:t>Lyophilized PHA was dissolved in PBS overnight at 4°C, to make 5</w:t>
      </w:r>
      <w:r w:rsidR="00644157">
        <w:rPr>
          <w:rFonts w:ascii="Arial" w:hAnsi="Arial" w:cs="Arial"/>
          <w:sz w:val="24"/>
          <w:szCs w:val="24"/>
        </w:rPr>
        <w:t xml:space="preserve"> </w:t>
      </w:r>
      <w:r w:rsidR="001B11D0">
        <w:rPr>
          <w:rFonts w:ascii="Arial" w:hAnsi="Arial" w:cs="Arial"/>
          <w:sz w:val="24"/>
          <w:szCs w:val="24"/>
        </w:rPr>
        <w:t>wt%</w:t>
      </w:r>
      <w:r w:rsidRPr="00EB056A">
        <w:rPr>
          <w:rFonts w:ascii="Arial" w:hAnsi="Arial" w:cs="Arial"/>
          <w:sz w:val="24"/>
          <w:szCs w:val="24"/>
        </w:rPr>
        <w:t>, 7.5</w:t>
      </w:r>
      <w:r w:rsidR="00644157">
        <w:rPr>
          <w:rFonts w:ascii="Arial" w:hAnsi="Arial" w:cs="Arial"/>
          <w:sz w:val="24"/>
          <w:szCs w:val="24"/>
        </w:rPr>
        <w:t xml:space="preserve"> </w:t>
      </w:r>
      <w:r w:rsidR="001B11D0">
        <w:rPr>
          <w:rFonts w:ascii="Arial" w:hAnsi="Arial" w:cs="Arial"/>
          <w:sz w:val="24"/>
          <w:szCs w:val="24"/>
        </w:rPr>
        <w:t>wt%</w:t>
      </w:r>
      <w:r w:rsidRPr="00EB056A">
        <w:rPr>
          <w:rFonts w:ascii="Arial" w:hAnsi="Arial" w:cs="Arial"/>
          <w:sz w:val="24"/>
          <w:szCs w:val="24"/>
        </w:rPr>
        <w:t xml:space="preserve"> and 10</w:t>
      </w:r>
      <w:r w:rsidR="00644157">
        <w:rPr>
          <w:rFonts w:ascii="Arial" w:hAnsi="Arial" w:cs="Arial"/>
          <w:sz w:val="24"/>
          <w:szCs w:val="24"/>
        </w:rPr>
        <w:t xml:space="preserve"> </w:t>
      </w:r>
      <w:r w:rsidR="00836F3D">
        <w:rPr>
          <w:rFonts w:ascii="Arial" w:hAnsi="Arial" w:cs="Arial"/>
          <w:sz w:val="24"/>
          <w:szCs w:val="24"/>
        </w:rPr>
        <w:t>wt%</w:t>
      </w:r>
      <w:r w:rsidR="003B7652">
        <w:rPr>
          <w:rFonts w:ascii="Arial" w:hAnsi="Arial" w:cs="Arial"/>
          <w:sz w:val="24"/>
          <w:szCs w:val="24"/>
        </w:rPr>
        <w:t xml:space="preserve"> </w:t>
      </w:r>
      <w:r w:rsidR="003B7652" w:rsidRPr="00EB056A">
        <w:rPr>
          <w:rFonts w:ascii="Arial" w:hAnsi="Arial" w:cs="Arial"/>
          <w:sz w:val="24"/>
          <w:szCs w:val="24"/>
        </w:rPr>
        <w:t>PHA solutions</w:t>
      </w:r>
      <w:r w:rsidRPr="00EB056A">
        <w:rPr>
          <w:rFonts w:ascii="Arial" w:hAnsi="Arial" w:cs="Arial"/>
          <w:sz w:val="24"/>
          <w:szCs w:val="24"/>
        </w:rPr>
        <w:t>. Meanwhile,</w:t>
      </w:r>
      <w:r w:rsidR="009F28A9">
        <w:rPr>
          <w:rFonts w:ascii="Arial" w:hAnsi="Arial" w:cs="Arial"/>
          <w:sz w:val="24"/>
          <w:szCs w:val="24"/>
        </w:rPr>
        <w:t xml:space="preserve"> a solution of</w:t>
      </w:r>
      <w:r w:rsidRPr="00EB056A">
        <w:rPr>
          <w:rFonts w:ascii="Arial" w:hAnsi="Arial" w:cs="Arial"/>
          <w:sz w:val="24"/>
          <w:szCs w:val="24"/>
        </w:rPr>
        <w:t xml:space="preserve"> 1.3 mg/mL LAP and 2 mg/mL DTT</w:t>
      </w:r>
      <w:r w:rsidR="009F28A9">
        <w:rPr>
          <w:rFonts w:ascii="Arial" w:hAnsi="Arial" w:cs="Arial"/>
          <w:sz w:val="24"/>
          <w:szCs w:val="24"/>
        </w:rPr>
        <w:t>,</w:t>
      </w:r>
      <w:r w:rsidRPr="00EB056A">
        <w:rPr>
          <w:rFonts w:ascii="Arial" w:hAnsi="Arial" w:cs="Arial"/>
          <w:sz w:val="24"/>
          <w:szCs w:val="24"/>
        </w:rPr>
        <w:t xml:space="preserve"> dissolved in </w:t>
      </w:r>
      <w:r w:rsidR="009F28A9">
        <w:rPr>
          <w:rFonts w:ascii="Arial" w:hAnsi="Arial" w:cs="Arial"/>
          <w:sz w:val="24"/>
          <w:szCs w:val="24"/>
        </w:rPr>
        <w:t>1</w:t>
      </w:r>
      <w:r w:rsidR="00770FA5">
        <w:rPr>
          <w:rFonts w:ascii="Arial" w:hAnsi="Arial" w:cs="Arial"/>
          <w:sz w:val="24"/>
          <w:szCs w:val="24"/>
        </w:rPr>
        <w:t>X</w:t>
      </w:r>
      <w:r w:rsidR="009F28A9">
        <w:rPr>
          <w:rFonts w:ascii="Arial" w:hAnsi="Arial" w:cs="Arial"/>
          <w:sz w:val="24"/>
          <w:szCs w:val="24"/>
        </w:rPr>
        <w:t xml:space="preserve"> </w:t>
      </w:r>
      <w:r w:rsidRPr="00EB056A">
        <w:rPr>
          <w:rFonts w:ascii="Arial" w:hAnsi="Arial" w:cs="Arial"/>
          <w:sz w:val="24"/>
          <w:szCs w:val="24"/>
        </w:rPr>
        <w:t>PBS</w:t>
      </w:r>
      <w:r w:rsidR="009F28A9">
        <w:rPr>
          <w:rFonts w:ascii="Arial" w:hAnsi="Arial" w:cs="Arial"/>
          <w:sz w:val="24"/>
          <w:szCs w:val="24"/>
        </w:rPr>
        <w:t xml:space="preserve">, was made and </w:t>
      </w:r>
      <w:r w:rsidRPr="00EB056A">
        <w:rPr>
          <w:rFonts w:ascii="Arial" w:hAnsi="Arial" w:cs="Arial"/>
          <w:sz w:val="24"/>
          <w:szCs w:val="24"/>
        </w:rPr>
        <w:t xml:space="preserve">shielded from light. </w:t>
      </w:r>
      <w:r w:rsidR="005011FC">
        <w:rPr>
          <w:rFonts w:ascii="Arial" w:hAnsi="Arial" w:cs="Arial"/>
          <w:sz w:val="24"/>
          <w:szCs w:val="24"/>
        </w:rPr>
        <w:t xml:space="preserve">The </w:t>
      </w:r>
      <w:r w:rsidRPr="00EB056A">
        <w:rPr>
          <w:rFonts w:ascii="Arial" w:hAnsi="Arial" w:cs="Arial"/>
          <w:sz w:val="24"/>
          <w:szCs w:val="24"/>
        </w:rPr>
        <w:t xml:space="preserve">PHA and LAP/DTT solutions were </w:t>
      </w:r>
      <w:r w:rsidR="009F28A9">
        <w:rPr>
          <w:rFonts w:ascii="Arial" w:hAnsi="Arial" w:cs="Arial"/>
          <w:sz w:val="24"/>
          <w:szCs w:val="24"/>
        </w:rPr>
        <w:t xml:space="preserve">then </w:t>
      </w:r>
      <w:r w:rsidRPr="00EB056A">
        <w:rPr>
          <w:rFonts w:ascii="Arial" w:hAnsi="Arial" w:cs="Arial"/>
          <w:sz w:val="24"/>
          <w:szCs w:val="24"/>
        </w:rPr>
        <w:t>combined</w:t>
      </w:r>
      <w:r w:rsidR="003B7652">
        <w:rPr>
          <w:rFonts w:ascii="Arial" w:hAnsi="Arial" w:cs="Arial"/>
          <w:sz w:val="24"/>
          <w:szCs w:val="24"/>
        </w:rPr>
        <w:t xml:space="preserve"> 1:1</w:t>
      </w:r>
      <w:r w:rsidR="009F28A9">
        <w:rPr>
          <w:rFonts w:ascii="Arial" w:hAnsi="Arial" w:cs="Arial"/>
          <w:sz w:val="24"/>
          <w:szCs w:val="24"/>
        </w:rPr>
        <w:t xml:space="preserve"> to create </w:t>
      </w:r>
      <w:r w:rsidR="009F28A9" w:rsidRPr="00EB056A">
        <w:rPr>
          <w:rFonts w:ascii="Arial" w:hAnsi="Arial" w:cs="Arial"/>
          <w:sz w:val="24"/>
          <w:szCs w:val="24"/>
        </w:rPr>
        <w:t>5</w:t>
      </w:r>
      <w:r w:rsidR="00AD2A46">
        <w:rPr>
          <w:rFonts w:ascii="Arial" w:hAnsi="Arial" w:cs="Arial"/>
          <w:sz w:val="24"/>
          <w:szCs w:val="24"/>
        </w:rPr>
        <w:t xml:space="preserve"> </w:t>
      </w:r>
      <w:r w:rsidR="009F28A9">
        <w:rPr>
          <w:rFonts w:ascii="Arial" w:hAnsi="Arial" w:cs="Arial"/>
          <w:sz w:val="24"/>
          <w:szCs w:val="24"/>
        </w:rPr>
        <w:t>wt%</w:t>
      </w:r>
      <w:r w:rsidR="009F28A9" w:rsidRPr="00EB056A">
        <w:rPr>
          <w:rFonts w:ascii="Arial" w:hAnsi="Arial" w:cs="Arial"/>
          <w:sz w:val="24"/>
          <w:szCs w:val="24"/>
        </w:rPr>
        <w:t>, 7.5</w:t>
      </w:r>
      <w:r w:rsidR="00AD2A46">
        <w:rPr>
          <w:rFonts w:ascii="Arial" w:hAnsi="Arial" w:cs="Arial"/>
          <w:sz w:val="24"/>
          <w:szCs w:val="24"/>
        </w:rPr>
        <w:t xml:space="preserve"> </w:t>
      </w:r>
      <w:r w:rsidR="009F28A9">
        <w:rPr>
          <w:rFonts w:ascii="Arial" w:hAnsi="Arial" w:cs="Arial"/>
          <w:sz w:val="24"/>
          <w:szCs w:val="24"/>
        </w:rPr>
        <w:t>wt%</w:t>
      </w:r>
      <w:r w:rsidR="003B7652">
        <w:rPr>
          <w:rFonts w:ascii="Arial" w:hAnsi="Arial" w:cs="Arial"/>
          <w:sz w:val="24"/>
          <w:szCs w:val="24"/>
        </w:rPr>
        <w:t>,</w:t>
      </w:r>
      <w:r w:rsidR="009F28A9" w:rsidRPr="00EB056A">
        <w:rPr>
          <w:rFonts w:ascii="Arial" w:hAnsi="Arial" w:cs="Arial"/>
          <w:sz w:val="24"/>
          <w:szCs w:val="24"/>
        </w:rPr>
        <w:t xml:space="preserve"> and 10</w:t>
      </w:r>
      <w:r w:rsidR="00AD2A46">
        <w:rPr>
          <w:rFonts w:ascii="Arial" w:hAnsi="Arial" w:cs="Arial"/>
          <w:sz w:val="24"/>
          <w:szCs w:val="24"/>
        </w:rPr>
        <w:t xml:space="preserve"> </w:t>
      </w:r>
      <w:r w:rsidR="009F28A9">
        <w:rPr>
          <w:rFonts w:ascii="Arial" w:hAnsi="Arial" w:cs="Arial"/>
          <w:sz w:val="24"/>
          <w:szCs w:val="24"/>
        </w:rPr>
        <w:t xml:space="preserve">wt% </w:t>
      </w:r>
      <w:r w:rsidR="000C5623">
        <w:rPr>
          <w:rFonts w:ascii="Arial" w:hAnsi="Arial" w:cs="Arial"/>
          <w:sz w:val="24"/>
          <w:szCs w:val="24"/>
        </w:rPr>
        <w:t xml:space="preserve">PHA </w:t>
      </w:r>
      <w:r w:rsidR="009F28A9">
        <w:rPr>
          <w:rFonts w:ascii="Arial" w:hAnsi="Arial" w:cs="Arial"/>
          <w:sz w:val="24"/>
          <w:szCs w:val="24"/>
        </w:rPr>
        <w:t>solutions</w:t>
      </w:r>
      <w:r w:rsidRPr="00EB056A">
        <w:rPr>
          <w:rFonts w:ascii="Arial" w:hAnsi="Arial" w:cs="Arial"/>
          <w:sz w:val="24"/>
          <w:szCs w:val="24"/>
        </w:rPr>
        <w:t xml:space="preserve">. </w:t>
      </w:r>
      <w:r w:rsidR="000C5623">
        <w:rPr>
          <w:rFonts w:ascii="Arial" w:hAnsi="Arial" w:cs="Arial"/>
          <w:sz w:val="24"/>
          <w:szCs w:val="24"/>
        </w:rPr>
        <w:t>For hydrogels containing t</w:t>
      </w:r>
      <w:r w:rsidR="000F1B18" w:rsidRPr="00EB056A">
        <w:rPr>
          <w:rFonts w:ascii="Arial" w:hAnsi="Arial" w:cs="Arial"/>
          <w:sz w:val="24"/>
          <w:szCs w:val="24"/>
        </w:rPr>
        <w:t>antalum</w:t>
      </w:r>
      <w:r w:rsidR="000F1B18">
        <w:rPr>
          <w:rFonts w:ascii="Arial" w:hAnsi="Arial" w:cs="Arial"/>
          <w:sz w:val="24"/>
          <w:szCs w:val="24"/>
        </w:rPr>
        <w:t xml:space="preserve"> (</w:t>
      </w:r>
      <w:r w:rsidR="005011FC">
        <w:rPr>
          <w:rFonts w:ascii="Arial" w:hAnsi="Arial" w:cs="Arial"/>
          <w:sz w:val="24"/>
          <w:szCs w:val="24"/>
        </w:rPr>
        <w:t>Ta</w:t>
      </w:r>
      <w:r w:rsidR="000F1B18">
        <w:rPr>
          <w:rFonts w:ascii="Arial" w:hAnsi="Arial" w:cs="Arial"/>
          <w:sz w:val="24"/>
          <w:szCs w:val="24"/>
        </w:rPr>
        <w:t>)</w:t>
      </w:r>
      <w:r w:rsidR="000C5623">
        <w:rPr>
          <w:rFonts w:ascii="Arial" w:hAnsi="Arial" w:cs="Arial"/>
          <w:sz w:val="24"/>
          <w:szCs w:val="24"/>
        </w:rPr>
        <w:t>, Ta</w:t>
      </w:r>
      <w:r w:rsidR="000F1B18" w:rsidRPr="00EB056A">
        <w:rPr>
          <w:rFonts w:ascii="Arial" w:hAnsi="Arial" w:cs="Arial"/>
          <w:sz w:val="24"/>
          <w:szCs w:val="24"/>
        </w:rPr>
        <w:t xml:space="preserve"> powder </w:t>
      </w:r>
      <w:r w:rsidR="000F1B18">
        <w:rPr>
          <w:rFonts w:ascii="Arial" w:hAnsi="Arial" w:cs="Arial"/>
          <w:sz w:val="24"/>
          <w:szCs w:val="24"/>
        </w:rPr>
        <w:t>was</w:t>
      </w:r>
      <w:r w:rsidR="000F1B18" w:rsidRPr="00EB056A">
        <w:rPr>
          <w:rFonts w:ascii="Arial" w:hAnsi="Arial" w:cs="Arial"/>
          <w:sz w:val="24"/>
          <w:szCs w:val="24"/>
        </w:rPr>
        <w:t xml:space="preserve"> added </w:t>
      </w:r>
      <w:r w:rsidR="00A21DEE">
        <w:rPr>
          <w:rFonts w:ascii="Arial" w:hAnsi="Arial" w:cs="Arial"/>
          <w:sz w:val="24"/>
          <w:szCs w:val="24"/>
        </w:rPr>
        <w:t>to</w:t>
      </w:r>
      <w:r w:rsidR="00BE6683">
        <w:rPr>
          <w:rFonts w:ascii="Arial" w:hAnsi="Arial" w:cs="Arial"/>
          <w:sz w:val="24"/>
          <w:szCs w:val="24"/>
        </w:rPr>
        <w:t xml:space="preserve"> the PHA</w:t>
      </w:r>
      <w:r w:rsidR="005011FC">
        <w:rPr>
          <w:rFonts w:ascii="Arial" w:hAnsi="Arial" w:cs="Arial"/>
          <w:sz w:val="24"/>
          <w:szCs w:val="24"/>
        </w:rPr>
        <w:t>/LAP/DTT</w:t>
      </w:r>
      <w:r w:rsidR="00BE6683">
        <w:rPr>
          <w:rFonts w:ascii="Arial" w:hAnsi="Arial" w:cs="Arial"/>
          <w:sz w:val="24"/>
          <w:szCs w:val="24"/>
        </w:rPr>
        <w:t xml:space="preserve"> solution </w:t>
      </w:r>
      <w:r w:rsidR="000F1B18" w:rsidRPr="00EB056A">
        <w:rPr>
          <w:rFonts w:ascii="Arial" w:hAnsi="Arial" w:cs="Arial"/>
          <w:sz w:val="24"/>
          <w:szCs w:val="24"/>
        </w:rPr>
        <w:t xml:space="preserve">to </w:t>
      </w:r>
      <w:r w:rsidR="000F1B18">
        <w:rPr>
          <w:rFonts w:ascii="Arial" w:hAnsi="Arial" w:cs="Arial"/>
          <w:sz w:val="24"/>
          <w:szCs w:val="24"/>
        </w:rPr>
        <w:t xml:space="preserve">form solutions of 50 mg of TA per mL of </w:t>
      </w:r>
      <w:r w:rsidR="000F1B18" w:rsidRPr="00EB056A">
        <w:rPr>
          <w:rFonts w:ascii="Arial" w:hAnsi="Arial" w:cs="Arial"/>
          <w:sz w:val="24"/>
          <w:szCs w:val="24"/>
        </w:rPr>
        <w:t>PHA</w:t>
      </w:r>
      <w:r w:rsidR="000F1B18">
        <w:rPr>
          <w:rFonts w:ascii="Arial" w:hAnsi="Arial" w:cs="Arial"/>
          <w:sz w:val="24"/>
          <w:szCs w:val="24"/>
        </w:rPr>
        <w:t xml:space="preserve">. </w:t>
      </w:r>
      <w:r w:rsidR="009F28A9">
        <w:rPr>
          <w:rFonts w:ascii="Arial" w:hAnsi="Arial" w:cs="Arial"/>
          <w:sz w:val="24"/>
          <w:szCs w:val="24"/>
        </w:rPr>
        <w:t>S</w:t>
      </w:r>
      <w:r w:rsidRPr="00EB056A">
        <w:rPr>
          <w:rFonts w:ascii="Arial" w:hAnsi="Arial" w:cs="Arial"/>
          <w:sz w:val="24"/>
          <w:szCs w:val="24"/>
        </w:rPr>
        <w:t>olution</w:t>
      </w:r>
      <w:r w:rsidR="004C4C0F">
        <w:rPr>
          <w:rFonts w:ascii="Arial" w:hAnsi="Arial" w:cs="Arial"/>
          <w:sz w:val="24"/>
          <w:szCs w:val="24"/>
        </w:rPr>
        <w:t>s</w:t>
      </w:r>
      <w:r w:rsidRPr="00EB056A">
        <w:rPr>
          <w:rFonts w:ascii="Arial" w:hAnsi="Arial" w:cs="Arial"/>
          <w:sz w:val="24"/>
          <w:szCs w:val="24"/>
        </w:rPr>
        <w:t xml:space="preserve"> were pipetted into a 1</w:t>
      </w:r>
      <w:r w:rsidR="000C5623">
        <w:rPr>
          <w:rFonts w:ascii="Arial" w:hAnsi="Arial" w:cs="Arial"/>
          <w:sz w:val="24"/>
          <w:szCs w:val="24"/>
        </w:rPr>
        <w:t xml:space="preserve"> </w:t>
      </w:r>
      <w:r w:rsidRPr="00EB056A">
        <w:rPr>
          <w:rFonts w:ascii="Arial" w:hAnsi="Arial" w:cs="Arial"/>
          <w:sz w:val="24"/>
          <w:szCs w:val="24"/>
        </w:rPr>
        <w:t xml:space="preserve">mm thick rubber mold </w:t>
      </w:r>
      <w:r w:rsidR="000C5623">
        <w:rPr>
          <w:rFonts w:ascii="Arial" w:hAnsi="Arial" w:cs="Arial"/>
          <w:sz w:val="24"/>
          <w:szCs w:val="24"/>
        </w:rPr>
        <w:t>san</w:t>
      </w:r>
      <w:r w:rsidR="000C5623" w:rsidRPr="00EB056A">
        <w:rPr>
          <w:rFonts w:ascii="Arial" w:hAnsi="Arial" w:cs="Arial"/>
          <w:sz w:val="24"/>
          <w:szCs w:val="24"/>
        </w:rPr>
        <w:t>d</w:t>
      </w:r>
      <w:r w:rsidR="000C5623">
        <w:rPr>
          <w:rFonts w:ascii="Arial" w:hAnsi="Arial" w:cs="Arial"/>
          <w:sz w:val="24"/>
          <w:szCs w:val="24"/>
        </w:rPr>
        <w:t>wiched</w:t>
      </w:r>
      <w:r w:rsidR="000C5623" w:rsidRPr="00EB056A">
        <w:rPr>
          <w:rFonts w:ascii="Arial" w:hAnsi="Arial" w:cs="Arial"/>
          <w:sz w:val="24"/>
          <w:szCs w:val="24"/>
        </w:rPr>
        <w:t xml:space="preserve"> </w:t>
      </w:r>
      <w:r w:rsidRPr="00EB056A">
        <w:rPr>
          <w:rFonts w:ascii="Arial" w:hAnsi="Arial" w:cs="Arial"/>
          <w:sz w:val="24"/>
          <w:szCs w:val="24"/>
        </w:rPr>
        <w:t xml:space="preserve">between 2 glass </w:t>
      </w:r>
      <w:r w:rsidR="00C56A91" w:rsidRPr="00EB056A">
        <w:rPr>
          <w:rFonts w:ascii="Arial" w:hAnsi="Arial" w:cs="Arial"/>
          <w:sz w:val="24"/>
          <w:szCs w:val="24"/>
        </w:rPr>
        <w:t>slides and</w:t>
      </w:r>
      <w:r w:rsidRPr="00EB056A">
        <w:rPr>
          <w:rFonts w:ascii="Arial" w:hAnsi="Arial" w:cs="Arial"/>
          <w:sz w:val="24"/>
          <w:szCs w:val="24"/>
        </w:rPr>
        <w:t xml:space="preserve"> placed under a 365 nm UV light at 9 mW/cm</w:t>
      </w:r>
      <w:r w:rsidRPr="00C42A73">
        <w:rPr>
          <w:rFonts w:ascii="Arial" w:hAnsi="Arial" w:cs="Arial"/>
          <w:sz w:val="24"/>
          <w:szCs w:val="24"/>
          <w:vertAlign w:val="superscript"/>
        </w:rPr>
        <w:t>2</w:t>
      </w:r>
      <w:r w:rsidRPr="00EB056A">
        <w:rPr>
          <w:rFonts w:ascii="Arial" w:hAnsi="Arial" w:cs="Arial"/>
          <w:sz w:val="24"/>
          <w:szCs w:val="24"/>
        </w:rPr>
        <w:t xml:space="preserve"> for 2 minutes to form </w:t>
      </w:r>
      <w:r w:rsidR="00E172C7">
        <w:rPr>
          <w:rFonts w:ascii="Arial" w:hAnsi="Arial" w:cs="Arial"/>
          <w:sz w:val="24"/>
          <w:szCs w:val="24"/>
        </w:rPr>
        <w:t>hydro</w:t>
      </w:r>
      <w:r w:rsidRPr="00EB056A">
        <w:rPr>
          <w:rFonts w:ascii="Arial" w:hAnsi="Arial" w:cs="Arial"/>
          <w:sz w:val="24"/>
          <w:szCs w:val="24"/>
        </w:rPr>
        <w:t>gels.</w:t>
      </w:r>
    </w:p>
    <w:p w14:paraId="26AF5630" w14:textId="33CC4859" w:rsidR="009B4AE3" w:rsidRPr="00CB3A92" w:rsidRDefault="001F2999" w:rsidP="00834360">
      <w:pPr>
        <w:pStyle w:val="Titre3"/>
        <w:spacing w:after="240"/>
        <w:rPr>
          <w:rFonts w:ascii="Arial" w:hAnsi="Arial" w:cs="Arial"/>
          <w:b/>
          <w:bCs/>
          <w:color w:val="auto"/>
        </w:rPr>
      </w:pPr>
      <w:bookmarkStart w:id="69" w:name="_Toc106903225"/>
      <w:r w:rsidRPr="00CB3A92">
        <w:rPr>
          <w:rFonts w:ascii="Arial" w:hAnsi="Arial" w:cs="Arial"/>
          <w:b/>
          <w:bCs/>
          <w:color w:val="auto"/>
        </w:rPr>
        <w:lastRenderedPageBreak/>
        <w:t>2.2.</w:t>
      </w:r>
      <w:r w:rsidR="00650426" w:rsidRPr="00CB3A92">
        <w:rPr>
          <w:rFonts w:ascii="Arial" w:hAnsi="Arial" w:cs="Arial"/>
          <w:b/>
          <w:bCs/>
          <w:color w:val="auto"/>
        </w:rPr>
        <w:t>5</w:t>
      </w:r>
      <w:r w:rsidRPr="00CB3A92">
        <w:rPr>
          <w:rFonts w:ascii="Arial" w:hAnsi="Arial" w:cs="Arial"/>
          <w:b/>
          <w:bCs/>
          <w:color w:val="auto"/>
        </w:rPr>
        <w:t xml:space="preserve"> Viscosity and flow</w:t>
      </w:r>
      <w:bookmarkEnd w:id="69"/>
    </w:p>
    <w:p w14:paraId="399BA6FF" w14:textId="70224F65" w:rsidR="004A6AD4" w:rsidRPr="00831567" w:rsidRDefault="009B4AE3" w:rsidP="00525779">
      <w:pPr>
        <w:spacing w:line="480" w:lineRule="auto"/>
        <w:ind w:firstLine="720"/>
        <w:jc w:val="both"/>
        <w:rPr>
          <w:sz w:val="24"/>
          <w:szCs w:val="24"/>
        </w:rPr>
      </w:pPr>
      <w:r w:rsidRPr="00831567">
        <w:rPr>
          <w:rFonts w:ascii="Arial" w:hAnsi="Arial" w:cs="Arial"/>
          <w:sz w:val="24"/>
          <w:szCs w:val="24"/>
        </w:rPr>
        <w:t>Liquid PHA solutions (5</w:t>
      </w:r>
      <w:r w:rsidR="00AD2A46">
        <w:rPr>
          <w:rFonts w:ascii="Arial" w:hAnsi="Arial" w:cs="Arial"/>
          <w:sz w:val="24"/>
          <w:szCs w:val="24"/>
        </w:rPr>
        <w:t xml:space="preserve"> </w:t>
      </w:r>
      <w:r w:rsidRPr="00831567">
        <w:rPr>
          <w:rFonts w:ascii="Arial" w:hAnsi="Arial" w:cs="Arial"/>
          <w:sz w:val="24"/>
          <w:szCs w:val="24"/>
        </w:rPr>
        <w:t>wt%, 7.5</w:t>
      </w:r>
      <w:r w:rsidR="00AD2A46">
        <w:rPr>
          <w:rFonts w:ascii="Arial" w:hAnsi="Arial" w:cs="Arial"/>
          <w:sz w:val="24"/>
          <w:szCs w:val="24"/>
        </w:rPr>
        <w:t xml:space="preserve"> </w:t>
      </w:r>
      <w:r w:rsidRPr="00831567">
        <w:rPr>
          <w:rFonts w:ascii="Arial" w:hAnsi="Arial" w:cs="Arial"/>
          <w:sz w:val="24"/>
          <w:szCs w:val="24"/>
        </w:rPr>
        <w:t>wt%, and 10</w:t>
      </w:r>
      <w:r w:rsidR="00AD2A46">
        <w:rPr>
          <w:rFonts w:ascii="Arial" w:hAnsi="Arial" w:cs="Arial"/>
          <w:sz w:val="24"/>
          <w:szCs w:val="24"/>
        </w:rPr>
        <w:t xml:space="preserve"> </w:t>
      </w:r>
      <w:r w:rsidRPr="00831567">
        <w:rPr>
          <w:rFonts w:ascii="Arial" w:hAnsi="Arial" w:cs="Arial"/>
          <w:sz w:val="24"/>
          <w:szCs w:val="24"/>
        </w:rPr>
        <w:t xml:space="preserve">wt%) were fabricated </w:t>
      </w:r>
      <w:r w:rsidR="00A334C6" w:rsidRPr="00831567">
        <w:rPr>
          <w:rFonts w:ascii="Arial" w:hAnsi="Arial" w:cs="Arial"/>
          <w:sz w:val="24"/>
          <w:szCs w:val="24"/>
        </w:rPr>
        <w:t>with the same protocol as</w:t>
      </w:r>
      <w:r w:rsidRPr="00831567">
        <w:rPr>
          <w:rFonts w:ascii="Arial" w:hAnsi="Arial" w:cs="Arial"/>
          <w:sz w:val="24"/>
          <w:szCs w:val="24"/>
        </w:rPr>
        <w:t xml:space="preserve"> </w:t>
      </w:r>
      <w:r w:rsidR="00A334C6" w:rsidRPr="00831567">
        <w:rPr>
          <w:rFonts w:ascii="Arial" w:hAnsi="Arial" w:cs="Arial"/>
          <w:sz w:val="24"/>
          <w:szCs w:val="24"/>
        </w:rPr>
        <w:t>PHA hydrogels but were not crosslinked. Viscosity was determined with a 40 mm cone with a 2° angle on a Discovery Hybrid Rheometer-2 (TA Instruments, New Castle, Delaware).</w:t>
      </w:r>
      <w:r w:rsidR="00E644A3" w:rsidRPr="00831567">
        <w:rPr>
          <w:rFonts w:ascii="Arial" w:hAnsi="Arial" w:cs="Arial"/>
          <w:sz w:val="24"/>
          <w:szCs w:val="24"/>
        </w:rPr>
        <w:t xml:space="preserve"> Flow was evaluated by pushing liquid PHA solutions (5</w:t>
      </w:r>
      <w:r w:rsidR="00AD2A46">
        <w:rPr>
          <w:rFonts w:ascii="Arial" w:hAnsi="Arial" w:cs="Arial"/>
          <w:sz w:val="24"/>
          <w:szCs w:val="24"/>
        </w:rPr>
        <w:t xml:space="preserve"> </w:t>
      </w:r>
      <w:r w:rsidR="00E644A3" w:rsidRPr="00831567">
        <w:rPr>
          <w:rFonts w:ascii="Arial" w:hAnsi="Arial" w:cs="Arial"/>
          <w:sz w:val="24"/>
          <w:szCs w:val="24"/>
        </w:rPr>
        <w:t>wt%, 7.5</w:t>
      </w:r>
      <w:r w:rsidR="00AD2A46">
        <w:rPr>
          <w:rFonts w:ascii="Arial" w:hAnsi="Arial" w:cs="Arial"/>
          <w:sz w:val="24"/>
          <w:szCs w:val="24"/>
        </w:rPr>
        <w:t xml:space="preserve"> </w:t>
      </w:r>
      <w:r w:rsidR="00E644A3" w:rsidRPr="00831567">
        <w:rPr>
          <w:rFonts w:ascii="Arial" w:hAnsi="Arial" w:cs="Arial"/>
          <w:sz w:val="24"/>
          <w:szCs w:val="24"/>
        </w:rPr>
        <w:t>wt%, and 10</w:t>
      </w:r>
      <w:r w:rsidR="00AD2A46">
        <w:rPr>
          <w:rFonts w:ascii="Arial" w:hAnsi="Arial" w:cs="Arial"/>
          <w:sz w:val="24"/>
          <w:szCs w:val="24"/>
        </w:rPr>
        <w:t xml:space="preserve"> </w:t>
      </w:r>
      <w:r w:rsidR="00E644A3" w:rsidRPr="00831567">
        <w:rPr>
          <w:rFonts w:ascii="Arial" w:hAnsi="Arial" w:cs="Arial"/>
          <w:sz w:val="24"/>
          <w:szCs w:val="24"/>
        </w:rPr>
        <w:t>wt%) through a 1 mm diameter catheter, and qualitatively classifying them between “flow” and “no flow”.</w:t>
      </w:r>
    </w:p>
    <w:p w14:paraId="6338874C" w14:textId="2BC0B12A" w:rsidR="003D3EE0" w:rsidRPr="00EB056A" w:rsidRDefault="001D53F7" w:rsidP="00EB056A">
      <w:pPr>
        <w:pStyle w:val="Titre3"/>
        <w:spacing w:line="480" w:lineRule="auto"/>
        <w:jc w:val="both"/>
        <w:rPr>
          <w:rFonts w:ascii="Arial" w:hAnsi="Arial" w:cs="Arial"/>
          <w:b/>
          <w:bCs/>
          <w:color w:val="auto"/>
        </w:rPr>
      </w:pPr>
      <w:bookmarkStart w:id="70" w:name="_Toc106903226"/>
      <w:r>
        <w:rPr>
          <w:rFonts w:ascii="Arial" w:hAnsi="Arial" w:cs="Arial"/>
          <w:b/>
          <w:bCs/>
          <w:color w:val="auto"/>
        </w:rPr>
        <w:t>2.</w:t>
      </w:r>
      <w:r w:rsidR="005011FC">
        <w:rPr>
          <w:rFonts w:ascii="Arial" w:hAnsi="Arial" w:cs="Arial"/>
          <w:b/>
          <w:bCs/>
          <w:color w:val="auto"/>
        </w:rPr>
        <w:t>2</w:t>
      </w:r>
      <w:r>
        <w:rPr>
          <w:rFonts w:ascii="Arial" w:hAnsi="Arial" w:cs="Arial"/>
          <w:b/>
          <w:bCs/>
          <w:color w:val="auto"/>
        </w:rPr>
        <w:t>.</w:t>
      </w:r>
      <w:r w:rsidR="00650426">
        <w:rPr>
          <w:rFonts w:ascii="Arial" w:hAnsi="Arial" w:cs="Arial"/>
          <w:b/>
          <w:bCs/>
          <w:color w:val="auto"/>
        </w:rPr>
        <w:t xml:space="preserve">6 </w:t>
      </w:r>
      <w:r w:rsidR="005011FC">
        <w:rPr>
          <w:rFonts w:ascii="Arial" w:hAnsi="Arial" w:cs="Arial"/>
          <w:b/>
          <w:bCs/>
          <w:color w:val="auto"/>
        </w:rPr>
        <w:t>Mechanical</w:t>
      </w:r>
      <w:r w:rsidR="005011FC" w:rsidRPr="00EB056A">
        <w:rPr>
          <w:rFonts w:ascii="Arial" w:hAnsi="Arial" w:cs="Arial"/>
          <w:b/>
          <w:bCs/>
          <w:color w:val="auto"/>
        </w:rPr>
        <w:t xml:space="preserve"> </w:t>
      </w:r>
      <w:r w:rsidR="003D3EE0" w:rsidRPr="00EB056A">
        <w:rPr>
          <w:rFonts w:ascii="Arial" w:hAnsi="Arial" w:cs="Arial"/>
          <w:b/>
          <w:bCs/>
          <w:color w:val="auto"/>
        </w:rPr>
        <w:t>test</w:t>
      </w:r>
      <w:r w:rsidR="00904C78" w:rsidRPr="00EB056A">
        <w:rPr>
          <w:rFonts w:ascii="Arial" w:hAnsi="Arial" w:cs="Arial"/>
          <w:b/>
          <w:bCs/>
          <w:color w:val="auto"/>
        </w:rPr>
        <w:t>ing</w:t>
      </w:r>
      <w:bookmarkEnd w:id="70"/>
    </w:p>
    <w:p w14:paraId="1329C77B" w14:textId="0F474DC0" w:rsidR="006E2147" w:rsidRDefault="00904C78" w:rsidP="00490CEE">
      <w:pPr>
        <w:spacing w:line="480" w:lineRule="auto"/>
        <w:ind w:firstLine="720"/>
        <w:jc w:val="both"/>
      </w:pPr>
      <w:bookmarkStart w:id="71" w:name="_Toc102661519"/>
      <w:r w:rsidRPr="00EB056A">
        <w:rPr>
          <w:rFonts w:ascii="Arial" w:hAnsi="Arial" w:cs="Arial"/>
          <w:sz w:val="24"/>
          <w:szCs w:val="24"/>
        </w:rPr>
        <w:t xml:space="preserve">PHA </w:t>
      </w:r>
      <w:r w:rsidR="00770FA5">
        <w:rPr>
          <w:rFonts w:ascii="Arial" w:hAnsi="Arial" w:cs="Arial"/>
          <w:sz w:val="24"/>
          <w:szCs w:val="24"/>
        </w:rPr>
        <w:t>hydro</w:t>
      </w:r>
      <w:r w:rsidRPr="00EB056A">
        <w:rPr>
          <w:rFonts w:ascii="Arial" w:hAnsi="Arial" w:cs="Arial"/>
          <w:sz w:val="24"/>
          <w:szCs w:val="24"/>
        </w:rPr>
        <w:t>gels</w:t>
      </w:r>
      <w:r w:rsidR="003B7652">
        <w:rPr>
          <w:rFonts w:ascii="Arial" w:hAnsi="Arial" w:cs="Arial"/>
          <w:sz w:val="24"/>
          <w:szCs w:val="24"/>
        </w:rPr>
        <w:t xml:space="preserve"> (</w:t>
      </w:r>
      <w:r w:rsidR="003B7652" w:rsidRPr="00EB056A">
        <w:rPr>
          <w:rFonts w:ascii="Arial" w:hAnsi="Arial" w:cs="Arial"/>
          <w:sz w:val="24"/>
          <w:szCs w:val="24"/>
        </w:rPr>
        <w:t>5</w:t>
      </w:r>
      <w:r w:rsidR="00164EE0">
        <w:rPr>
          <w:rFonts w:ascii="Arial" w:hAnsi="Arial" w:cs="Arial"/>
          <w:sz w:val="24"/>
          <w:szCs w:val="24"/>
        </w:rPr>
        <w:t xml:space="preserve"> </w:t>
      </w:r>
      <w:r w:rsidR="003B7652">
        <w:rPr>
          <w:rFonts w:ascii="Arial" w:hAnsi="Arial" w:cs="Arial"/>
          <w:sz w:val="24"/>
          <w:szCs w:val="24"/>
        </w:rPr>
        <w:t>wt%</w:t>
      </w:r>
      <w:r w:rsidR="003B7652" w:rsidRPr="00EB056A">
        <w:rPr>
          <w:rFonts w:ascii="Arial" w:hAnsi="Arial" w:cs="Arial"/>
          <w:sz w:val="24"/>
          <w:szCs w:val="24"/>
        </w:rPr>
        <w:t>, 7.5</w:t>
      </w:r>
      <w:r w:rsidR="00164EE0">
        <w:rPr>
          <w:rFonts w:ascii="Arial" w:hAnsi="Arial" w:cs="Arial"/>
          <w:sz w:val="24"/>
          <w:szCs w:val="24"/>
        </w:rPr>
        <w:t xml:space="preserve"> </w:t>
      </w:r>
      <w:r w:rsidR="003B7652">
        <w:rPr>
          <w:rFonts w:ascii="Arial" w:hAnsi="Arial" w:cs="Arial"/>
          <w:sz w:val="24"/>
          <w:szCs w:val="24"/>
        </w:rPr>
        <w:t>wt%,</w:t>
      </w:r>
      <w:r w:rsidR="003B7652" w:rsidRPr="00EB056A">
        <w:rPr>
          <w:rFonts w:ascii="Arial" w:hAnsi="Arial" w:cs="Arial"/>
          <w:sz w:val="24"/>
          <w:szCs w:val="24"/>
        </w:rPr>
        <w:t xml:space="preserve"> and 10</w:t>
      </w:r>
      <w:r w:rsidR="00164EE0">
        <w:rPr>
          <w:rFonts w:ascii="Arial" w:hAnsi="Arial" w:cs="Arial"/>
          <w:sz w:val="24"/>
          <w:szCs w:val="24"/>
        </w:rPr>
        <w:t xml:space="preserve"> </w:t>
      </w:r>
      <w:r w:rsidR="003B7652">
        <w:rPr>
          <w:rFonts w:ascii="Arial" w:hAnsi="Arial" w:cs="Arial"/>
          <w:sz w:val="24"/>
          <w:szCs w:val="24"/>
        </w:rPr>
        <w:t>wt%)</w:t>
      </w:r>
      <w:r w:rsidR="00770FA5">
        <w:rPr>
          <w:rFonts w:ascii="Arial" w:hAnsi="Arial" w:cs="Arial"/>
          <w:sz w:val="24"/>
          <w:szCs w:val="24"/>
        </w:rPr>
        <w:t xml:space="preserve"> were fabricated</w:t>
      </w:r>
      <w:r w:rsidRPr="00EB056A">
        <w:rPr>
          <w:rFonts w:ascii="Arial" w:hAnsi="Arial" w:cs="Arial"/>
          <w:sz w:val="24"/>
          <w:szCs w:val="24"/>
        </w:rPr>
        <w:t xml:space="preserve"> as described previously</w:t>
      </w:r>
      <w:r w:rsidR="00E47F10">
        <w:rPr>
          <w:rFonts w:ascii="Arial" w:hAnsi="Arial" w:cs="Arial"/>
          <w:sz w:val="24"/>
          <w:szCs w:val="24"/>
        </w:rPr>
        <w:t xml:space="preserve"> and punched out into </w:t>
      </w:r>
      <w:r w:rsidR="00055E95">
        <w:rPr>
          <w:rFonts w:ascii="Arial" w:hAnsi="Arial" w:cs="Arial"/>
          <w:sz w:val="24"/>
          <w:szCs w:val="24"/>
        </w:rPr>
        <w:t xml:space="preserve">6 mm of diameter </w:t>
      </w:r>
      <w:r w:rsidR="00E47F10">
        <w:rPr>
          <w:rFonts w:ascii="Arial" w:hAnsi="Arial" w:cs="Arial"/>
          <w:sz w:val="24"/>
          <w:szCs w:val="24"/>
        </w:rPr>
        <w:t>circles</w:t>
      </w:r>
      <w:r w:rsidR="00055E95">
        <w:rPr>
          <w:rFonts w:ascii="Arial" w:hAnsi="Arial" w:cs="Arial"/>
          <w:sz w:val="24"/>
          <w:szCs w:val="24"/>
        </w:rPr>
        <w:t xml:space="preserve"> with </w:t>
      </w:r>
      <w:r w:rsidR="00DB0779">
        <w:rPr>
          <w:rFonts w:ascii="Arial" w:hAnsi="Arial" w:cs="Arial"/>
          <w:sz w:val="24"/>
          <w:szCs w:val="24"/>
        </w:rPr>
        <w:t>a biopsy</w:t>
      </w:r>
      <w:r w:rsidR="00055E95">
        <w:rPr>
          <w:rFonts w:ascii="Arial" w:hAnsi="Arial" w:cs="Arial"/>
          <w:sz w:val="24"/>
          <w:szCs w:val="24"/>
        </w:rPr>
        <w:t xml:space="preserve"> punch</w:t>
      </w:r>
      <w:r w:rsidRPr="00EB056A">
        <w:rPr>
          <w:rFonts w:ascii="Arial" w:hAnsi="Arial" w:cs="Arial"/>
          <w:sz w:val="24"/>
          <w:szCs w:val="24"/>
        </w:rPr>
        <w:t>.</w:t>
      </w:r>
      <w:r w:rsidR="003B7652">
        <w:rPr>
          <w:rFonts w:ascii="Arial" w:hAnsi="Arial" w:cs="Arial"/>
          <w:sz w:val="24"/>
          <w:szCs w:val="24"/>
        </w:rPr>
        <w:t xml:space="preserve"> </w:t>
      </w:r>
      <w:r w:rsidR="008F7378">
        <w:rPr>
          <w:rFonts w:ascii="Arial" w:hAnsi="Arial" w:cs="Arial"/>
          <w:sz w:val="24"/>
          <w:szCs w:val="24"/>
        </w:rPr>
        <w:t>Hydrogels</w:t>
      </w:r>
      <w:r w:rsidR="008F7378" w:rsidRPr="00EB056A">
        <w:rPr>
          <w:rFonts w:ascii="Arial" w:hAnsi="Arial" w:cs="Arial"/>
          <w:sz w:val="24"/>
          <w:szCs w:val="24"/>
        </w:rPr>
        <w:t xml:space="preserve"> </w:t>
      </w:r>
      <w:r w:rsidRPr="00EB056A">
        <w:rPr>
          <w:rFonts w:ascii="Arial" w:hAnsi="Arial" w:cs="Arial"/>
          <w:sz w:val="24"/>
          <w:szCs w:val="24"/>
        </w:rPr>
        <w:t xml:space="preserve">were soaked in </w:t>
      </w:r>
      <w:r w:rsidR="00770FA5">
        <w:rPr>
          <w:rFonts w:ascii="Arial" w:hAnsi="Arial" w:cs="Arial"/>
          <w:sz w:val="24"/>
          <w:szCs w:val="24"/>
        </w:rPr>
        <w:t xml:space="preserve">1X </w:t>
      </w:r>
      <w:r w:rsidRPr="00EB056A">
        <w:rPr>
          <w:rFonts w:ascii="Arial" w:hAnsi="Arial" w:cs="Arial"/>
          <w:sz w:val="24"/>
          <w:szCs w:val="24"/>
        </w:rPr>
        <w:t xml:space="preserve">PBS at 37°C overnight. </w:t>
      </w:r>
      <w:r w:rsidR="008F7378">
        <w:rPr>
          <w:rFonts w:ascii="Arial" w:hAnsi="Arial" w:cs="Arial"/>
          <w:sz w:val="24"/>
          <w:szCs w:val="24"/>
        </w:rPr>
        <w:t>Swollen hydrogels d</w:t>
      </w:r>
      <w:r w:rsidRPr="00EB056A">
        <w:rPr>
          <w:rFonts w:ascii="Arial" w:hAnsi="Arial" w:cs="Arial"/>
          <w:sz w:val="24"/>
          <w:szCs w:val="24"/>
        </w:rPr>
        <w:t xml:space="preserve">iameters were measured </w:t>
      </w:r>
      <w:r w:rsidR="008F7378">
        <w:rPr>
          <w:rFonts w:ascii="Arial" w:hAnsi="Arial" w:cs="Arial"/>
          <w:sz w:val="24"/>
          <w:szCs w:val="24"/>
        </w:rPr>
        <w:t>via</w:t>
      </w:r>
      <w:r w:rsidR="008F7378" w:rsidRPr="00EB056A">
        <w:rPr>
          <w:rFonts w:ascii="Arial" w:hAnsi="Arial" w:cs="Arial"/>
          <w:sz w:val="24"/>
          <w:szCs w:val="24"/>
        </w:rPr>
        <w:t xml:space="preserve"> </w:t>
      </w:r>
      <w:r w:rsidRPr="00EB056A">
        <w:rPr>
          <w:rFonts w:ascii="Arial" w:hAnsi="Arial" w:cs="Arial"/>
          <w:sz w:val="24"/>
          <w:szCs w:val="24"/>
        </w:rPr>
        <w:t>a micrometer. Compressive elastic moduli were determined with 8 mm parallel plates on a Discovery Hybrid Rheometer-2 (TA Instruments, New Castle, Delaware) using a strain rate of 5 μm/s (~0.25% strain/s) until 20% strain</w:t>
      </w:r>
      <w:r w:rsidR="006E2147">
        <w:rPr>
          <w:rFonts w:ascii="Arial" w:hAnsi="Arial" w:cs="Arial"/>
          <w:sz w:val="24"/>
          <w:szCs w:val="24"/>
        </w:rPr>
        <w:t xml:space="preserve"> and</w:t>
      </w:r>
      <w:r w:rsidRPr="00EB056A">
        <w:rPr>
          <w:rFonts w:ascii="Arial" w:hAnsi="Arial" w:cs="Arial"/>
          <w:sz w:val="24"/>
          <w:szCs w:val="24"/>
        </w:rPr>
        <w:t xml:space="preserve"> at 25°C, as described by K</w:t>
      </w:r>
      <w:r w:rsidR="001C110E">
        <w:rPr>
          <w:rFonts w:ascii="Arial" w:hAnsi="Arial" w:cs="Arial"/>
          <w:sz w:val="24"/>
          <w:szCs w:val="24"/>
        </w:rPr>
        <w:t>i</w:t>
      </w:r>
      <w:r w:rsidRPr="00EB056A">
        <w:rPr>
          <w:rFonts w:ascii="Arial" w:hAnsi="Arial" w:cs="Arial"/>
          <w:sz w:val="24"/>
          <w:szCs w:val="24"/>
        </w:rPr>
        <w:t xml:space="preserve">yotake </w:t>
      </w:r>
      <w:r w:rsidRPr="00525779">
        <w:rPr>
          <w:rFonts w:ascii="Arial" w:hAnsi="Arial" w:cs="Arial"/>
          <w:i/>
          <w:iCs/>
          <w:sz w:val="24"/>
          <w:szCs w:val="24"/>
        </w:rPr>
        <w:t>et al</w:t>
      </w:r>
      <w:r w:rsidR="001C110E">
        <w:rPr>
          <w:rFonts w:ascii="Arial" w:hAnsi="Arial" w:cs="Arial"/>
          <w:sz w:val="24"/>
          <w:szCs w:val="24"/>
        </w:rPr>
        <w:t>.</w:t>
      </w:r>
      <w:r w:rsidR="006335BC" w:rsidRPr="00EB056A">
        <w:rPr>
          <w:rFonts w:ascii="Arial" w:hAnsi="Arial" w:cs="Arial"/>
          <w:sz w:val="24"/>
          <w:szCs w:val="24"/>
        </w:rPr>
        <w:fldChar w:fldCharType="begin"/>
      </w:r>
      <w:r w:rsidR="005B4F59">
        <w:rPr>
          <w:rFonts w:ascii="Arial" w:hAnsi="Arial" w:cs="Arial"/>
          <w:sz w:val="24"/>
          <w:szCs w:val="24"/>
        </w:rPr>
        <w:instrText xml:space="preserve"> ADDIN ZOTERO_ITEM CSL_CITATION {"citationID":"tWRak0p8","properties":{"formattedCitation":"\\super 61\\nosupersub{}","plainCitation":"61","noteIndex":0},"citationItems":[{"id":679,"uris":["http://zotero.org/users/6508478/items/V72YLJE4"],"itemData":{"id":679,"type":"webpage","title":"Conductive and injectable hyaluronic acid/gelatin/gold nanorod hydrogels for enhanced surgical translation and bioprinting - Kiyotake - 2022 - Journal of Biomedical Materials Research Part A - Wiley Online Library","URL":"https://onlinelibrary.wiley.com/doi/abs/10.1002/jbm.a.37294","accessed":{"date-parts":[["2022",2,16]]}}}],"schema":"https://github.com/citation-style-language/schema/raw/master/csl-citation.json"} </w:instrText>
      </w:r>
      <w:r w:rsidR="006335BC" w:rsidRPr="00EB056A">
        <w:rPr>
          <w:rFonts w:ascii="Arial" w:hAnsi="Arial" w:cs="Arial"/>
          <w:sz w:val="24"/>
          <w:szCs w:val="24"/>
        </w:rPr>
        <w:fldChar w:fldCharType="separate"/>
      </w:r>
      <w:r w:rsidR="00766016" w:rsidRPr="00766016">
        <w:rPr>
          <w:rFonts w:ascii="Arial" w:hAnsi="Arial" w:cs="Arial"/>
          <w:sz w:val="24"/>
          <w:szCs w:val="24"/>
          <w:vertAlign w:val="superscript"/>
        </w:rPr>
        <w:t>61</w:t>
      </w:r>
      <w:r w:rsidR="006335BC" w:rsidRPr="00EB056A">
        <w:rPr>
          <w:rFonts w:ascii="Arial" w:hAnsi="Arial" w:cs="Arial"/>
          <w:sz w:val="24"/>
          <w:szCs w:val="24"/>
        </w:rPr>
        <w:fldChar w:fldCharType="end"/>
      </w:r>
      <w:r w:rsidRPr="00EB056A">
        <w:rPr>
          <w:rFonts w:ascii="Arial" w:hAnsi="Arial" w:cs="Arial"/>
          <w:sz w:val="24"/>
          <w:szCs w:val="24"/>
        </w:rPr>
        <w:t xml:space="preserve"> Before each measure, a 0.1 N axial force was applied to </w:t>
      </w:r>
      <w:r w:rsidR="00DB0779">
        <w:rPr>
          <w:rFonts w:ascii="Arial" w:hAnsi="Arial" w:cs="Arial"/>
          <w:sz w:val="24"/>
          <w:szCs w:val="24"/>
        </w:rPr>
        <w:t>ensure</w:t>
      </w:r>
      <w:r w:rsidRPr="00EB056A">
        <w:rPr>
          <w:rFonts w:ascii="Arial" w:hAnsi="Arial" w:cs="Arial"/>
          <w:sz w:val="24"/>
          <w:szCs w:val="24"/>
        </w:rPr>
        <w:t xml:space="preserve"> the hydrogel and instrument were in contact. The compressive elastic moduli were calculated for </w:t>
      </w:r>
      <w:r w:rsidR="00DB0779">
        <w:rPr>
          <w:rFonts w:ascii="Arial" w:hAnsi="Arial" w:cs="Arial"/>
          <w:sz w:val="24"/>
          <w:szCs w:val="24"/>
        </w:rPr>
        <w:t>the</w:t>
      </w:r>
      <w:r w:rsidRPr="00EB056A">
        <w:rPr>
          <w:rFonts w:ascii="Arial" w:hAnsi="Arial" w:cs="Arial"/>
          <w:sz w:val="24"/>
          <w:szCs w:val="24"/>
        </w:rPr>
        <w:t xml:space="preserve"> portion of the slope where strain rates were 10 to 20%. </w:t>
      </w:r>
    </w:p>
    <w:p w14:paraId="0BCAEFAB" w14:textId="5B7F2D31" w:rsidR="00DB0779" w:rsidRPr="003B7652" w:rsidRDefault="00DB0779" w:rsidP="003B7652">
      <w:pPr>
        <w:pStyle w:val="Titre3"/>
        <w:spacing w:line="480" w:lineRule="auto"/>
        <w:jc w:val="both"/>
        <w:rPr>
          <w:rFonts w:ascii="Arial" w:hAnsi="Arial" w:cs="Arial"/>
          <w:b/>
          <w:bCs/>
          <w:color w:val="auto"/>
        </w:rPr>
      </w:pPr>
      <w:bookmarkStart w:id="72" w:name="_Toc106903227"/>
      <w:r>
        <w:rPr>
          <w:rFonts w:ascii="Arial" w:hAnsi="Arial" w:cs="Arial"/>
          <w:b/>
          <w:bCs/>
          <w:color w:val="auto"/>
        </w:rPr>
        <w:t>2.</w:t>
      </w:r>
      <w:r w:rsidR="006E2147">
        <w:rPr>
          <w:rFonts w:ascii="Arial" w:hAnsi="Arial" w:cs="Arial"/>
          <w:b/>
          <w:bCs/>
          <w:color w:val="auto"/>
        </w:rPr>
        <w:t>2</w:t>
      </w:r>
      <w:r>
        <w:rPr>
          <w:rFonts w:ascii="Arial" w:hAnsi="Arial" w:cs="Arial"/>
          <w:b/>
          <w:bCs/>
          <w:color w:val="auto"/>
        </w:rPr>
        <w:t>.</w:t>
      </w:r>
      <w:r w:rsidR="00650426">
        <w:rPr>
          <w:rFonts w:ascii="Arial" w:hAnsi="Arial" w:cs="Arial"/>
          <w:b/>
          <w:bCs/>
          <w:color w:val="auto"/>
        </w:rPr>
        <w:t xml:space="preserve">7 </w:t>
      </w:r>
      <w:r>
        <w:rPr>
          <w:rFonts w:ascii="Arial" w:hAnsi="Arial" w:cs="Arial"/>
          <w:b/>
          <w:bCs/>
          <w:color w:val="auto"/>
        </w:rPr>
        <w:t>Swelling capacity</w:t>
      </w:r>
      <w:bookmarkEnd w:id="72"/>
    </w:p>
    <w:p w14:paraId="35C2481E" w14:textId="1B95869F" w:rsidR="003F221F" w:rsidRDefault="00DB0779" w:rsidP="00834360">
      <w:pPr>
        <w:spacing w:line="480" w:lineRule="auto"/>
        <w:ind w:firstLine="720"/>
        <w:jc w:val="both"/>
        <w:rPr>
          <w:rFonts w:ascii="Arial" w:hAnsi="Arial" w:cs="Arial"/>
          <w:sz w:val="24"/>
          <w:szCs w:val="24"/>
        </w:rPr>
      </w:pPr>
      <w:r w:rsidRPr="00EB056A">
        <w:rPr>
          <w:rFonts w:ascii="Arial" w:hAnsi="Arial" w:cs="Arial"/>
          <w:sz w:val="24"/>
          <w:szCs w:val="24"/>
        </w:rPr>
        <w:t xml:space="preserve">PHA </w:t>
      </w:r>
      <w:r>
        <w:rPr>
          <w:rFonts w:ascii="Arial" w:hAnsi="Arial" w:cs="Arial"/>
          <w:sz w:val="24"/>
          <w:szCs w:val="24"/>
        </w:rPr>
        <w:t>hydro</w:t>
      </w:r>
      <w:r w:rsidRPr="00EB056A">
        <w:rPr>
          <w:rFonts w:ascii="Arial" w:hAnsi="Arial" w:cs="Arial"/>
          <w:sz w:val="24"/>
          <w:szCs w:val="24"/>
        </w:rPr>
        <w:t>gels</w:t>
      </w:r>
      <w:r>
        <w:rPr>
          <w:rFonts w:ascii="Arial" w:hAnsi="Arial" w:cs="Arial"/>
          <w:sz w:val="24"/>
          <w:szCs w:val="24"/>
        </w:rPr>
        <w:t xml:space="preserve"> were fabricated</w:t>
      </w:r>
      <w:r w:rsidRPr="00EB056A">
        <w:rPr>
          <w:rFonts w:ascii="Arial" w:hAnsi="Arial" w:cs="Arial"/>
          <w:sz w:val="24"/>
          <w:szCs w:val="24"/>
        </w:rPr>
        <w:t xml:space="preserve"> as described previously</w:t>
      </w:r>
      <w:r>
        <w:rPr>
          <w:rFonts w:ascii="Arial" w:hAnsi="Arial" w:cs="Arial"/>
          <w:sz w:val="24"/>
          <w:szCs w:val="24"/>
        </w:rPr>
        <w:t xml:space="preserve"> and punched out into 6 mm of diameter circles with a biopsy punch</w:t>
      </w:r>
      <w:r w:rsidRPr="00EB056A">
        <w:rPr>
          <w:rFonts w:ascii="Arial" w:hAnsi="Arial" w:cs="Arial"/>
          <w:sz w:val="24"/>
          <w:szCs w:val="24"/>
        </w:rPr>
        <w:t xml:space="preserve">. Fabricated weights were </w:t>
      </w:r>
      <w:r>
        <w:rPr>
          <w:rFonts w:ascii="Arial" w:hAnsi="Arial" w:cs="Arial"/>
          <w:sz w:val="24"/>
          <w:szCs w:val="24"/>
        </w:rPr>
        <w:t xml:space="preserve">then </w:t>
      </w:r>
      <w:r w:rsidRPr="00EB056A">
        <w:rPr>
          <w:rFonts w:ascii="Arial" w:hAnsi="Arial" w:cs="Arial"/>
          <w:sz w:val="24"/>
          <w:szCs w:val="24"/>
        </w:rPr>
        <w:t xml:space="preserve">recorded. </w:t>
      </w:r>
      <w:r>
        <w:rPr>
          <w:rFonts w:ascii="Arial" w:hAnsi="Arial" w:cs="Arial"/>
          <w:sz w:val="24"/>
          <w:szCs w:val="24"/>
        </w:rPr>
        <w:t>Hydrogels</w:t>
      </w:r>
      <w:r w:rsidRPr="00EB056A">
        <w:rPr>
          <w:rFonts w:ascii="Arial" w:hAnsi="Arial" w:cs="Arial"/>
          <w:sz w:val="24"/>
          <w:szCs w:val="24"/>
        </w:rPr>
        <w:t xml:space="preserve"> were soaked in </w:t>
      </w:r>
      <w:r>
        <w:rPr>
          <w:rFonts w:ascii="Arial" w:hAnsi="Arial" w:cs="Arial"/>
          <w:sz w:val="24"/>
          <w:szCs w:val="24"/>
        </w:rPr>
        <w:t xml:space="preserve">1X </w:t>
      </w:r>
      <w:r w:rsidRPr="00EB056A">
        <w:rPr>
          <w:rFonts w:ascii="Arial" w:hAnsi="Arial" w:cs="Arial"/>
          <w:sz w:val="24"/>
          <w:szCs w:val="24"/>
        </w:rPr>
        <w:t>PBS at 37°C overnight and then the</w:t>
      </w:r>
      <w:r>
        <w:rPr>
          <w:rFonts w:ascii="Arial" w:hAnsi="Arial" w:cs="Arial"/>
          <w:sz w:val="24"/>
          <w:szCs w:val="24"/>
        </w:rPr>
        <w:t xml:space="preserve"> swollen</w:t>
      </w:r>
      <w:r w:rsidRPr="00EB056A">
        <w:rPr>
          <w:rFonts w:ascii="Arial" w:hAnsi="Arial" w:cs="Arial"/>
          <w:sz w:val="24"/>
          <w:szCs w:val="24"/>
        </w:rPr>
        <w:t xml:space="preserve"> weights</w:t>
      </w:r>
      <w:r>
        <w:rPr>
          <w:rFonts w:ascii="Arial" w:hAnsi="Arial" w:cs="Arial"/>
          <w:sz w:val="24"/>
          <w:szCs w:val="24"/>
        </w:rPr>
        <w:t xml:space="preserve"> of the hydrogels</w:t>
      </w:r>
      <w:r w:rsidRPr="00EB056A">
        <w:rPr>
          <w:rFonts w:ascii="Arial" w:hAnsi="Arial" w:cs="Arial"/>
          <w:sz w:val="24"/>
          <w:szCs w:val="24"/>
        </w:rPr>
        <w:t xml:space="preserve"> </w:t>
      </w:r>
      <w:r w:rsidRPr="00EB056A">
        <w:rPr>
          <w:rFonts w:ascii="Arial" w:hAnsi="Arial" w:cs="Arial"/>
          <w:sz w:val="24"/>
          <w:szCs w:val="24"/>
        </w:rPr>
        <w:lastRenderedPageBreak/>
        <w:t>were recorded.</w:t>
      </w:r>
      <w:r>
        <w:rPr>
          <w:rFonts w:ascii="Arial" w:hAnsi="Arial" w:cs="Arial"/>
          <w:sz w:val="24"/>
          <w:szCs w:val="24"/>
        </w:rPr>
        <w:t xml:space="preserve"> </w:t>
      </w:r>
      <w:r w:rsidR="008F7378">
        <w:rPr>
          <w:rFonts w:ascii="Arial" w:hAnsi="Arial" w:cs="Arial"/>
          <w:sz w:val="24"/>
          <w:szCs w:val="24"/>
        </w:rPr>
        <w:t>Hydrogels</w:t>
      </w:r>
      <w:r w:rsidR="008F7378" w:rsidRPr="00EB056A">
        <w:rPr>
          <w:rFonts w:ascii="Arial" w:hAnsi="Arial" w:cs="Arial"/>
          <w:sz w:val="24"/>
          <w:szCs w:val="24"/>
        </w:rPr>
        <w:t xml:space="preserve"> </w:t>
      </w:r>
      <w:r w:rsidR="00904C78" w:rsidRPr="00EB056A">
        <w:rPr>
          <w:rFonts w:ascii="Arial" w:hAnsi="Arial" w:cs="Arial"/>
          <w:sz w:val="24"/>
          <w:szCs w:val="24"/>
        </w:rPr>
        <w:t>were frozen at -20°C for 30 minutes, lyophilized overnight</w:t>
      </w:r>
      <w:r w:rsidR="008F7378">
        <w:rPr>
          <w:rFonts w:ascii="Arial" w:hAnsi="Arial" w:cs="Arial"/>
          <w:sz w:val="24"/>
          <w:szCs w:val="24"/>
        </w:rPr>
        <w:t>, and</w:t>
      </w:r>
      <w:r w:rsidR="00904C78" w:rsidRPr="00EB056A">
        <w:rPr>
          <w:rFonts w:ascii="Arial" w:hAnsi="Arial" w:cs="Arial"/>
          <w:sz w:val="24"/>
          <w:szCs w:val="24"/>
        </w:rPr>
        <w:t xml:space="preserve"> </w:t>
      </w:r>
      <w:r w:rsidR="008F7378">
        <w:rPr>
          <w:rFonts w:ascii="Arial" w:hAnsi="Arial" w:cs="Arial"/>
          <w:sz w:val="24"/>
          <w:szCs w:val="24"/>
        </w:rPr>
        <w:t>d</w:t>
      </w:r>
      <w:r w:rsidR="00904C78" w:rsidRPr="00EB056A">
        <w:rPr>
          <w:rFonts w:ascii="Arial" w:hAnsi="Arial" w:cs="Arial"/>
          <w:sz w:val="24"/>
          <w:szCs w:val="24"/>
        </w:rPr>
        <w:t>ry weights were recorded.</w:t>
      </w:r>
      <w:r w:rsidR="000C041F">
        <w:rPr>
          <w:rFonts w:ascii="Arial" w:hAnsi="Arial" w:cs="Arial"/>
          <w:sz w:val="24"/>
          <w:szCs w:val="24"/>
        </w:rPr>
        <w:t xml:space="preserve"> The </w:t>
      </w:r>
      <w:r w:rsidR="00EE78A1">
        <w:rPr>
          <w:rFonts w:ascii="Arial" w:hAnsi="Arial" w:cs="Arial"/>
          <w:sz w:val="24"/>
          <w:szCs w:val="24"/>
        </w:rPr>
        <w:t xml:space="preserve">swelling capacity was estimated with </w:t>
      </w:r>
      <w:r w:rsidR="00AA704C">
        <w:rPr>
          <w:rFonts w:ascii="Arial" w:hAnsi="Arial" w:cs="Arial"/>
          <w:sz w:val="24"/>
          <w:szCs w:val="24"/>
        </w:rPr>
        <w:t>two</w:t>
      </w:r>
      <w:r w:rsidR="00EE78A1">
        <w:rPr>
          <w:rFonts w:ascii="Arial" w:hAnsi="Arial" w:cs="Arial"/>
          <w:sz w:val="24"/>
          <w:szCs w:val="24"/>
        </w:rPr>
        <w:t xml:space="preserve"> different parameters:</w:t>
      </w:r>
    </w:p>
    <w:p w14:paraId="5C6AA0E2" w14:textId="30471147" w:rsidR="00F62F56" w:rsidRDefault="00A254F1" w:rsidP="003B7652">
      <w:pPr>
        <w:spacing w:line="480" w:lineRule="auto"/>
        <w:ind w:firstLine="720"/>
        <w:rPr>
          <w:noProof/>
        </w:rPr>
      </w:pPr>
      <w:r w:rsidRPr="00A254F1">
        <w:rPr>
          <w:noProof/>
        </w:rPr>
        <w:t xml:space="preserve"> </w:t>
      </w:r>
      <w:r w:rsidR="00F62F56">
        <w:rPr>
          <w:noProof/>
        </w:rPr>
        <w:drawing>
          <wp:inline distT="0" distB="0" distL="0" distR="0" wp14:anchorId="5624E3A2" wp14:editId="5B1A97B3">
            <wp:extent cx="2413453" cy="728197"/>
            <wp:effectExtent l="0" t="0" r="6350" b="0"/>
            <wp:docPr id="41" name="Picture 4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Table&#10;&#10;Description automatically generated"/>
                    <pic:cNvPicPr/>
                  </pic:nvPicPr>
                  <pic:blipFill>
                    <a:blip r:embed="rId19"/>
                    <a:stretch>
                      <a:fillRect/>
                    </a:stretch>
                  </pic:blipFill>
                  <pic:spPr>
                    <a:xfrm>
                      <a:off x="0" y="0"/>
                      <a:ext cx="2438741" cy="735827"/>
                    </a:xfrm>
                    <a:prstGeom prst="rect">
                      <a:avLst/>
                    </a:prstGeom>
                  </pic:spPr>
                </pic:pic>
              </a:graphicData>
            </a:graphic>
          </wp:inline>
        </w:drawing>
      </w:r>
    </w:p>
    <w:p w14:paraId="3C233A1E" w14:textId="5C949FEB" w:rsidR="00573352" w:rsidRPr="005219E1" w:rsidRDefault="00573352" w:rsidP="003B7652">
      <w:pPr>
        <w:spacing w:line="480" w:lineRule="auto"/>
        <w:ind w:firstLine="720"/>
        <w:rPr>
          <w:rFonts w:ascii="Arial" w:hAnsi="Arial" w:cs="Arial"/>
          <w:color w:val="FFFFFF" w:themeColor="background1"/>
          <w:sz w:val="24"/>
          <w:szCs w:val="24"/>
        </w:rPr>
      </w:pPr>
      <w:r>
        <w:rPr>
          <w:noProof/>
        </w:rPr>
        <w:drawing>
          <wp:inline distT="0" distB="0" distL="0" distR="0" wp14:anchorId="4CC7F15B" wp14:editId="56F0DACA">
            <wp:extent cx="2491581" cy="695325"/>
            <wp:effectExtent l="0" t="0" r="4445" b="0"/>
            <wp:docPr id="27" name="Picture 27"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picture containing table&#10;&#10;Description automatically generated"/>
                    <pic:cNvPicPr/>
                  </pic:nvPicPr>
                  <pic:blipFill>
                    <a:blip r:embed="rId20"/>
                    <a:stretch>
                      <a:fillRect/>
                    </a:stretch>
                  </pic:blipFill>
                  <pic:spPr>
                    <a:xfrm>
                      <a:off x="0" y="0"/>
                      <a:ext cx="2498278" cy="697194"/>
                    </a:xfrm>
                    <a:prstGeom prst="rect">
                      <a:avLst/>
                    </a:prstGeom>
                  </pic:spPr>
                </pic:pic>
              </a:graphicData>
            </a:graphic>
          </wp:inline>
        </w:drawing>
      </w:r>
    </w:p>
    <w:bookmarkEnd w:id="71"/>
    <w:p w14:paraId="2E509FB5" w14:textId="457B0F5E" w:rsidR="002077D7" w:rsidRPr="008323CE" w:rsidRDefault="002077D7" w:rsidP="00573352">
      <w:pPr>
        <w:spacing w:line="480" w:lineRule="auto"/>
        <w:rPr>
          <w:rFonts w:ascii="Arial" w:hAnsi="Arial" w:cs="Arial"/>
          <w:b/>
          <w:bCs/>
          <w:sz w:val="24"/>
          <w:szCs w:val="24"/>
        </w:rPr>
      </w:pPr>
      <w:r w:rsidRPr="008323CE">
        <w:rPr>
          <w:rFonts w:ascii="Arial" w:hAnsi="Arial" w:cs="Arial"/>
          <w:noProof/>
          <w:sz w:val="24"/>
          <w:szCs w:val="24"/>
        </w:rPr>
        <w:t>Abso</w:t>
      </w:r>
      <w:r w:rsidR="008323CE" w:rsidRPr="008323CE">
        <w:rPr>
          <w:rFonts w:ascii="Arial" w:hAnsi="Arial" w:cs="Arial"/>
          <w:noProof/>
          <w:sz w:val="24"/>
          <w:szCs w:val="24"/>
        </w:rPr>
        <w:t>r</w:t>
      </w:r>
      <w:r w:rsidRPr="008323CE">
        <w:rPr>
          <w:rFonts w:ascii="Arial" w:hAnsi="Arial" w:cs="Arial"/>
          <w:noProof/>
          <w:sz w:val="24"/>
          <w:szCs w:val="24"/>
        </w:rPr>
        <w:t>ption and swelling ratio both indicate how much fluid PHA can absorb, though the swelling ratio gives a supplementary inform</w:t>
      </w:r>
      <w:r w:rsidR="001C110E">
        <w:rPr>
          <w:rFonts w:ascii="Arial" w:hAnsi="Arial" w:cs="Arial"/>
          <w:noProof/>
          <w:sz w:val="24"/>
          <w:szCs w:val="24"/>
        </w:rPr>
        <w:t>a</w:t>
      </w:r>
      <w:r w:rsidRPr="008323CE">
        <w:rPr>
          <w:rFonts w:ascii="Arial" w:hAnsi="Arial" w:cs="Arial"/>
          <w:noProof/>
          <w:sz w:val="24"/>
          <w:szCs w:val="24"/>
        </w:rPr>
        <w:t xml:space="preserve">tion on the </w:t>
      </w:r>
      <w:r w:rsidR="008323CE" w:rsidRPr="008323CE">
        <w:rPr>
          <w:rFonts w:ascii="Arial" w:hAnsi="Arial" w:cs="Arial"/>
          <w:noProof/>
          <w:sz w:val="24"/>
          <w:szCs w:val="24"/>
        </w:rPr>
        <w:t xml:space="preserve">absolute </w:t>
      </w:r>
      <w:r w:rsidRPr="008323CE">
        <w:rPr>
          <w:rFonts w:ascii="Arial" w:hAnsi="Arial" w:cs="Arial"/>
          <w:noProof/>
          <w:sz w:val="24"/>
          <w:szCs w:val="24"/>
        </w:rPr>
        <w:t>fluid intake</w:t>
      </w:r>
      <w:r w:rsidR="008323CE" w:rsidRPr="008323CE">
        <w:rPr>
          <w:rFonts w:ascii="Arial" w:hAnsi="Arial" w:cs="Arial"/>
          <w:noProof/>
          <w:sz w:val="24"/>
          <w:szCs w:val="24"/>
        </w:rPr>
        <w:t xml:space="preserve"> of PHA from its dry for to its hydrogel form.</w:t>
      </w:r>
      <w:r w:rsidRPr="008323CE">
        <w:rPr>
          <w:rFonts w:ascii="Arial" w:hAnsi="Arial" w:cs="Arial"/>
          <w:noProof/>
          <w:sz w:val="24"/>
          <w:szCs w:val="24"/>
        </w:rPr>
        <w:t xml:space="preserve">  </w:t>
      </w:r>
    </w:p>
    <w:p w14:paraId="2BCE5A3B" w14:textId="280BBB99" w:rsidR="006E2147" w:rsidRDefault="006E2147" w:rsidP="006E2147">
      <w:pPr>
        <w:pStyle w:val="Titre3"/>
        <w:spacing w:line="480" w:lineRule="auto"/>
        <w:rPr>
          <w:rFonts w:ascii="Arial" w:hAnsi="Arial" w:cs="Arial"/>
          <w:b/>
          <w:bCs/>
          <w:color w:val="auto"/>
        </w:rPr>
      </w:pPr>
      <w:bookmarkStart w:id="73" w:name="_Toc106903228"/>
      <w:r w:rsidRPr="004052E9">
        <w:rPr>
          <w:rFonts w:ascii="Arial" w:hAnsi="Arial" w:cs="Arial"/>
          <w:b/>
          <w:bCs/>
          <w:color w:val="auto"/>
        </w:rPr>
        <w:t>2.</w:t>
      </w:r>
      <w:r>
        <w:rPr>
          <w:rFonts w:ascii="Arial" w:hAnsi="Arial" w:cs="Arial"/>
          <w:b/>
          <w:bCs/>
          <w:color w:val="auto"/>
        </w:rPr>
        <w:t>2</w:t>
      </w:r>
      <w:r w:rsidRPr="004052E9">
        <w:rPr>
          <w:rFonts w:ascii="Arial" w:hAnsi="Arial" w:cs="Arial"/>
          <w:b/>
          <w:bCs/>
          <w:color w:val="auto"/>
        </w:rPr>
        <w:t>.</w:t>
      </w:r>
      <w:r w:rsidR="00650426">
        <w:rPr>
          <w:rFonts w:ascii="Arial" w:hAnsi="Arial" w:cs="Arial"/>
          <w:b/>
          <w:bCs/>
          <w:color w:val="auto"/>
        </w:rPr>
        <w:t>8</w:t>
      </w:r>
      <w:r w:rsidR="00650426" w:rsidRPr="004052E9">
        <w:rPr>
          <w:rFonts w:ascii="Arial" w:hAnsi="Arial" w:cs="Arial"/>
          <w:b/>
          <w:bCs/>
          <w:color w:val="auto"/>
        </w:rPr>
        <w:t xml:space="preserve"> </w:t>
      </w:r>
      <w:r>
        <w:rPr>
          <w:rFonts w:ascii="Arial" w:hAnsi="Arial" w:cs="Arial"/>
          <w:b/>
          <w:bCs/>
          <w:color w:val="auto"/>
        </w:rPr>
        <w:t>T</w:t>
      </w:r>
      <w:r w:rsidRPr="004052E9">
        <w:rPr>
          <w:rFonts w:ascii="Arial" w:hAnsi="Arial" w:cs="Arial"/>
          <w:b/>
          <w:bCs/>
          <w:color w:val="auto"/>
        </w:rPr>
        <w:t>antalum visibility</w:t>
      </w:r>
      <w:r>
        <w:rPr>
          <w:rFonts w:ascii="Arial" w:hAnsi="Arial" w:cs="Arial"/>
          <w:b/>
          <w:bCs/>
          <w:color w:val="auto"/>
        </w:rPr>
        <w:t xml:space="preserve"> in hydrogels</w:t>
      </w:r>
      <w:bookmarkEnd w:id="73"/>
    </w:p>
    <w:p w14:paraId="6B5F7A30" w14:textId="48B4D558" w:rsidR="003F4B7F" w:rsidRDefault="006E2147" w:rsidP="00834360">
      <w:pPr>
        <w:spacing w:line="480" w:lineRule="auto"/>
        <w:ind w:firstLine="720"/>
        <w:jc w:val="both"/>
        <w:rPr>
          <w:rFonts w:ascii="Arial" w:hAnsi="Arial" w:cs="Arial"/>
          <w:sz w:val="24"/>
          <w:szCs w:val="24"/>
        </w:rPr>
      </w:pPr>
      <w:r>
        <w:rPr>
          <w:rFonts w:ascii="Arial" w:hAnsi="Arial" w:cs="Arial"/>
          <w:sz w:val="24"/>
          <w:szCs w:val="24"/>
        </w:rPr>
        <w:t xml:space="preserve">To assess tantalum visibility </w:t>
      </w:r>
      <w:r w:rsidR="005D4506">
        <w:rPr>
          <w:rFonts w:ascii="Arial" w:hAnsi="Arial" w:cs="Arial"/>
          <w:sz w:val="24"/>
          <w:szCs w:val="24"/>
        </w:rPr>
        <w:t>with</w:t>
      </w:r>
      <w:r>
        <w:rPr>
          <w:rFonts w:ascii="Arial" w:hAnsi="Arial" w:cs="Arial"/>
          <w:sz w:val="24"/>
          <w:szCs w:val="24"/>
        </w:rPr>
        <w:t>in the hydrogels, dental X-rays of 10</w:t>
      </w:r>
      <w:r w:rsidR="00164EE0">
        <w:rPr>
          <w:rFonts w:ascii="Arial" w:hAnsi="Arial" w:cs="Arial"/>
          <w:sz w:val="24"/>
          <w:szCs w:val="24"/>
        </w:rPr>
        <w:t xml:space="preserve"> </w:t>
      </w:r>
      <w:r w:rsidR="005D4506">
        <w:rPr>
          <w:rFonts w:ascii="Arial" w:hAnsi="Arial" w:cs="Arial"/>
          <w:sz w:val="24"/>
          <w:szCs w:val="24"/>
        </w:rPr>
        <w:t>wt</w:t>
      </w:r>
      <w:r>
        <w:rPr>
          <w:rFonts w:ascii="Arial" w:hAnsi="Arial" w:cs="Arial"/>
          <w:sz w:val="24"/>
          <w:szCs w:val="24"/>
        </w:rPr>
        <w:t xml:space="preserve">% PHA hydrogels with and without 50 mg/mL of tantalum were </w:t>
      </w:r>
      <w:r w:rsidR="005D4506">
        <w:rPr>
          <w:rFonts w:ascii="Arial" w:hAnsi="Arial" w:cs="Arial"/>
          <w:sz w:val="24"/>
          <w:szCs w:val="24"/>
        </w:rPr>
        <w:t xml:space="preserve">taken </w:t>
      </w:r>
      <w:r>
        <w:rPr>
          <w:rFonts w:ascii="Arial" w:hAnsi="Arial" w:cs="Arial"/>
          <w:sz w:val="24"/>
          <w:szCs w:val="24"/>
        </w:rPr>
        <w:t>with a Pro X dental X-ray unit (Planmeca, Finland). Images with hydrogels only</w:t>
      </w:r>
      <w:r w:rsidR="005D4506">
        <w:rPr>
          <w:rFonts w:ascii="Arial" w:hAnsi="Arial" w:cs="Arial"/>
          <w:sz w:val="24"/>
          <w:szCs w:val="24"/>
        </w:rPr>
        <w:t xml:space="preserve">, as well as </w:t>
      </w:r>
      <w:r>
        <w:rPr>
          <w:rFonts w:ascii="Arial" w:hAnsi="Arial" w:cs="Arial"/>
          <w:sz w:val="24"/>
          <w:szCs w:val="24"/>
        </w:rPr>
        <w:t>hydrogels covered by 47</w:t>
      </w:r>
      <w:r w:rsidR="005D4506">
        <w:rPr>
          <w:rFonts w:ascii="Arial" w:hAnsi="Arial" w:cs="Arial"/>
          <w:sz w:val="24"/>
          <w:szCs w:val="24"/>
        </w:rPr>
        <w:t xml:space="preserve"> </w:t>
      </w:r>
      <w:r>
        <w:rPr>
          <w:rFonts w:ascii="Arial" w:hAnsi="Arial" w:cs="Arial"/>
          <w:sz w:val="24"/>
          <w:szCs w:val="24"/>
        </w:rPr>
        <w:t>mm high ballistic gels</w:t>
      </w:r>
      <w:r w:rsidR="005D4506">
        <w:rPr>
          <w:rFonts w:ascii="Arial" w:hAnsi="Arial" w:cs="Arial"/>
          <w:sz w:val="24"/>
          <w:szCs w:val="24"/>
        </w:rPr>
        <w:t xml:space="preserve"> (to simulate brain tissue) or hydrogels covered by 47 mm high ballistic gels </w:t>
      </w:r>
      <w:r>
        <w:rPr>
          <w:rFonts w:ascii="Arial" w:hAnsi="Arial" w:cs="Arial"/>
          <w:sz w:val="24"/>
          <w:szCs w:val="24"/>
        </w:rPr>
        <w:t>and 4.8 mm thick PLA covers</w:t>
      </w:r>
      <w:r w:rsidR="005D4506">
        <w:rPr>
          <w:rFonts w:ascii="Arial" w:hAnsi="Arial" w:cs="Arial"/>
          <w:sz w:val="24"/>
          <w:szCs w:val="24"/>
        </w:rPr>
        <w:t xml:space="preserve"> (to simulate both brain tissue and skull),</w:t>
      </w:r>
      <w:r>
        <w:rPr>
          <w:rFonts w:ascii="Arial" w:hAnsi="Arial" w:cs="Arial"/>
          <w:sz w:val="24"/>
          <w:szCs w:val="24"/>
        </w:rPr>
        <w:t xml:space="preserve"> were taken with an exposure time of 0.080 seconds, at 7 kV and 8 mA. </w:t>
      </w:r>
      <w:r w:rsidR="00B51C9B">
        <w:rPr>
          <w:rFonts w:ascii="Arial" w:hAnsi="Arial" w:cs="Arial"/>
          <w:sz w:val="24"/>
          <w:szCs w:val="24"/>
        </w:rPr>
        <w:t>The intensity of tantalum particles in hydrogels was quantify with ImageJ by analyzing the intensity of hydrogels</w:t>
      </w:r>
      <w:r w:rsidR="003F4B7F">
        <w:rPr>
          <w:rFonts w:ascii="Arial" w:hAnsi="Arial" w:cs="Arial"/>
          <w:sz w:val="24"/>
          <w:szCs w:val="24"/>
        </w:rPr>
        <w:t xml:space="preserve"> per mm</w:t>
      </w:r>
      <w:r w:rsidR="00B51C9B" w:rsidRPr="00834360">
        <w:rPr>
          <w:rFonts w:ascii="Arial" w:hAnsi="Arial" w:cs="Arial"/>
          <w:sz w:val="24"/>
          <w:szCs w:val="24"/>
          <w:vertAlign w:val="superscript"/>
        </w:rPr>
        <w:t>2</w:t>
      </w:r>
      <w:r w:rsidR="003F4B7F">
        <w:rPr>
          <w:rFonts w:ascii="Arial" w:hAnsi="Arial" w:cs="Arial"/>
          <w:sz w:val="24"/>
          <w:szCs w:val="24"/>
        </w:rPr>
        <w:t xml:space="preserve"> with the following formula:</w:t>
      </w:r>
    </w:p>
    <w:p w14:paraId="3E70308E" w14:textId="27CF69BB" w:rsidR="006E2147" w:rsidRPr="00834360" w:rsidRDefault="00D4763B" w:rsidP="00915C81">
      <w:pPr>
        <w:spacing w:line="480" w:lineRule="auto"/>
        <w:ind w:firstLine="720"/>
        <w:rPr>
          <w:sz w:val="28"/>
          <w:szCs w:val="28"/>
        </w:rPr>
      </w:pPr>
      <w:bookmarkStart w:id="74" w:name="_GoBack"/>
      <w:r>
        <w:rPr>
          <w:noProof/>
        </w:rPr>
        <w:drawing>
          <wp:anchor distT="0" distB="0" distL="114300" distR="114300" simplePos="0" relativeHeight="251803648" behindDoc="1" locked="0" layoutInCell="1" allowOverlap="1" wp14:anchorId="5B18006D" wp14:editId="42D5391A">
            <wp:simplePos x="0" y="0"/>
            <wp:positionH relativeFrom="column">
              <wp:posOffset>0</wp:posOffset>
            </wp:positionH>
            <wp:positionV relativeFrom="paragraph">
              <wp:posOffset>0</wp:posOffset>
            </wp:positionV>
            <wp:extent cx="4817110" cy="526415"/>
            <wp:effectExtent l="0" t="0" r="2540" b="6985"/>
            <wp:wrapNone/>
            <wp:docPr id="53" name="Imag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4817110" cy="526415"/>
                    </a:xfrm>
                    <a:prstGeom prst="rect">
                      <a:avLst/>
                    </a:prstGeom>
                  </pic:spPr>
                </pic:pic>
              </a:graphicData>
            </a:graphic>
          </wp:anchor>
        </w:drawing>
      </w:r>
      <w:bookmarkEnd w:id="74"/>
    </w:p>
    <w:p w14:paraId="4A246ED2" w14:textId="20001FE9" w:rsidR="00C231F4" w:rsidRPr="003B7652" w:rsidRDefault="00DF6CD6" w:rsidP="00834360">
      <w:pPr>
        <w:pStyle w:val="Titre3"/>
        <w:spacing w:after="240"/>
      </w:pPr>
      <w:bookmarkStart w:id="75" w:name="_Toc106903229"/>
      <w:r w:rsidRPr="003B7652">
        <w:rPr>
          <w:rFonts w:ascii="Arial" w:hAnsi="Arial" w:cs="Arial"/>
          <w:b/>
          <w:bCs/>
          <w:color w:val="auto"/>
        </w:rPr>
        <w:lastRenderedPageBreak/>
        <w:t>2.</w:t>
      </w:r>
      <w:r w:rsidR="006E2147">
        <w:rPr>
          <w:rFonts w:ascii="Arial" w:hAnsi="Arial" w:cs="Arial"/>
          <w:b/>
          <w:bCs/>
          <w:color w:val="auto"/>
        </w:rPr>
        <w:t>2</w:t>
      </w:r>
      <w:r w:rsidRPr="003B7652">
        <w:rPr>
          <w:rFonts w:ascii="Arial" w:hAnsi="Arial" w:cs="Arial"/>
          <w:b/>
          <w:bCs/>
          <w:color w:val="auto"/>
        </w:rPr>
        <w:t>.</w:t>
      </w:r>
      <w:r w:rsidR="00650426">
        <w:rPr>
          <w:rFonts w:ascii="Arial" w:hAnsi="Arial" w:cs="Arial"/>
          <w:b/>
          <w:bCs/>
          <w:color w:val="auto"/>
        </w:rPr>
        <w:t>9</w:t>
      </w:r>
      <w:r w:rsidRPr="003B7652">
        <w:rPr>
          <w:rFonts w:ascii="Arial" w:hAnsi="Arial" w:cs="Arial"/>
          <w:b/>
          <w:bCs/>
          <w:color w:val="auto"/>
        </w:rPr>
        <w:t xml:space="preserve"> </w:t>
      </w:r>
      <w:r w:rsidR="000D7D69" w:rsidRPr="003B7652">
        <w:rPr>
          <w:rFonts w:ascii="Arial" w:hAnsi="Arial" w:cs="Arial"/>
          <w:b/>
          <w:bCs/>
          <w:color w:val="auto"/>
        </w:rPr>
        <w:t>Cell upkeep</w:t>
      </w:r>
      <w:bookmarkEnd w:id="75"/>
    </w:p>
    <w:p w14:paraId="1709D4A4" w14:textId="3D7E7C0B" w:rsidR="00DB0779" w:rsidRDefault="00095FA3" w:rsidP="002D4495">
      <w:pPr>
        <w:spacing w:line="480" w:lineRule="auto"/>
        <w:ind w:firstLine="720"/>
        <w:jc w:val="both"/>
      </w:pPr>
      <w:r>
        <w:rPr>
          <w:rFonts w:ascii="Arial" w:hAnsi="Arial" w:cs="Arial"/>
          <w:sz w:val="24"/>
          <w:szCs w:val="24"/>
        </w:rPr>
        <w:t>Human</w:t>
      </w:r>
      <w:r w:rsidR="00975933">
        <w:rPr>
          <w:rFonts w:ascii="Arial" w:hAnsi="Arial" w:cs="Arial"/>
          <w:sz w:val="24"/>
          <w:szCs w:val="24"/>
        </w:rPr>
        <w:t xml:space="preserve"> </w:t>
      </w:r>
      <w:r w:rsidR="00DB0779">
        <w:rPr>
          <w:rFonts w:ascii="Arial" w:hAnsi="Arial" w:cs="Arial"/>
          <w:sz w:val="24"/>
          <w:szCs w:val="24"/>
        </w:rPr>
        <w:t>u</w:t>
      </w:r>
      <w:r w:rsidR="00975933" w:rsidRPr="00975933">
        <w:rPr>
          <w:rFonts w:ascii="Arial" w:hAnsi="Arial" w:cs="Arial"/>
          <w:sz w:val="24"/>
          <w:szCs w:val="24"/>
        </w:rPr>
        <w:t xml:space="preserve">mbilical </w:t>
      </w:r>
      <w:r w:rsidR="00DB0779">
        <w:rPr>
          <w:rFonts w:ascii="Arial" w:hAnsi="Arial" w:cs="Arial"/>
          <w:sz w:val="24"/>
          <w:szCs w:val="24"/>
        </w:rPr>
        <w:t>v</w:t>
      </w:r>
      <w:r w:rsidR="00975933" w:rsidRPr="00975933">
        <w:rPr>
          <w:rFonts w:ascii="Arial" w:hAnsi="Arial" w:cs="Arial"/>
          <w:sz w:val="24"/>
          <w:szCs w:val="24"/>
        </w:rPr>
        <w:t xml:space="preserve">ein </w:t>
      </w:r>
      <w:r w:rsidR="00DB0779">
        <w:rPr>
          <w:rFonts w:ascii="Arial" w:hAnsi="Arial" w:cs="Arial"/>
          <w:sz w:val="24"/>
          <w:szCs w:val="24"/>
        </w:rPr>
        <w:t>e</w:t>
      </w:r>
      <w:r w:rsidR="00975933" w:rsidRPr="00975933">
        <w:rPr>
          <w:rFonts w:ascii="Arial" w:hAnsi="Arial" w:cs="Arial"/>
          <w:sz w:val="24"/>
          <w:szCs w:val="24"/>
        </w:rPr>
        <w:t xml:space="preserve">ndothelial </w:t>
      </w:r>
      <w:r w:rsidR="00DB0779">
        <w:rPr>
          <w:rFonts w:ascii="Arial" w:hAnsi="Arial" w:cs="Arial"/>
          <w:sz w:val="24"/>
          <w:szCs w:val="24"/>
        </w:rPr>
        <w:t>c</w:t>
      </w:r>
      <w:r w:rsidR="00975933" w:rsidRPr="00975933">
        <w:rPr>
          <w:rFonts w:ascii="Arial" w:hAnsi="Arial" w:cs="Arial"/>
          <w:sz w:val="24"/>
          <w:szCs w:val="24"/>
        </w:rPr>
        <w:t>ells</w:t>
      </w:r>
      <w:r w:rsidR="00975933">
        <w:rPr>
          <w:rFonts w:ascii="Arial" w:hAnsi="Arial" w:cs="Arial"/>
          <w:sz w:val="24"/>
          <w:szCs w:val="24"/>
        </w:rPr>
        <w:t xml:space="preserve"> (HUVEC) were</w:t>
      </w:r>
      <w:r w:rsidR="000263E9">
        <w:rPr>
          <w:rFonts w:ascii="Arial" w:hAnsi="Arial" w:cs="Arial"/>
          <w:sz w:val="24"/>
          <w:szCs w:val="24"/>
        </w:rPr>
        <w:t xml:space="preserve"> </w:t>
      </w:r>
      <w:r w:rsidR="00475516">
        <w:rPr>
          <w:rFonts w:ascii="Arial" w:hAnsi="Arial" w:cs="Arial"/>
          <w:sz w:val="24"/>
          <w:szCs w:val="24"/>
        </w:rPr>
        <w:t>cultivated in</w:t>
      </w:r>
      <w:r w:rsidR="009A7FFE">
        <w:rPr>
          <w:rFonts w:ascii="Arial" w:hAnsi="Arial" w:cs="Arial"/>
          <w:sz w:val="24"/>
          <w:szCs w:val="24"/>
        </w:rPr>
        <w:t xml:space="preserve"> vascular cell basal medium with </w:t>
      </w:r>
      <w:r w:rsidR="00C30428">
        <w:rPr>
          <w:rFonts w:ascii="Arial" w:hAnsi="Arial" w:cs="Arial"/>
          <w:sz w:val="24"/>
          <w:szCs w:val="24"/>
        </w:rPr>
        <w:t>the following endothelial growth factors</w:t>
      </w:r>
      <w:r w:rsidR="0014729C">
        <w:rPr>
          <w:rFonts w:ascii="Arial" w:hAnsi="Arial" w:cs="Arial"/>
          <w:sz w:val="24"/>
          <w:szCs w:val="24"/>
        </w:rPr>
        <w:t xml:space="preserve"> (</w:t>
      </w:r>
      <w:r w:rsidR="0014729C" w:rsidRPr="00EB056A">
        <w:rPr>
          <w:rFonts w:ascii="Arial" w:hAnsi="Arial" w:cs="Arial"/>
          <w:sz w:val="24"/>
          <w:szCs w:val="24"/>
        </w:rPr>
        <w:t>ATCC, Manassas, VA</w:t>
      </w:r>
      <w:r w:rsidR="0014729C">
        <w:rPr>
          <w:rFonts w:ascii="Arial" w:hAnsi="Arial" w:cs="Arial"/>
          <w:sz w:val="24"/>
          <w:szCs w:val="24"/>
        </w:rPr>
        <w:t>)</w:t>
      </w:r>
      <w:r w:rsidR="00C30428">
        <w:rPr>
          <w:rFonts w:ascii="Arial" w:hAnsi="Arial" w:cs="Arial"/>
          <w:sz w:val="24"/>
          <w:szCs w:val="24"/>
        </w:rPr>
        <w:t xml:space="preserve">: </w:t>
      </w:r>
      <w:r w:rsidR="001A2E4F" w:rsidRPr="0090002B">
        <w:rPr>
          <w:rFonts w:ascii="Arial" w:hAnsi="Arial" w:cs="Arial"/>
          <w:sz w:val="24"/>
          <w:szCs w:val="24"/>
        </w:rPr>
        <w:t xml:space="preserve">5 ng/mL </w:t>
      </w:r>
      <w:r w:rsidR="001A2E4F">
        <w:rPr>
          <w:rFonts w:ascii="Arial" w:hAnsi="Arial" w:cs="Arial"/>
          <w:sz w:val="24"/>
          <w:szCs w:val="24"/>
        </w:rPr>
        <w:t xml:space="preserve">of </w:t>
      </w:r>
      <w:r w:rsidR="0090002B" w:rsidRPr="0090002B">
        <w:rPr>
          <w:rFonts w:ascii="Arial" w:hAnsi="Arial" w:cs="Arial"/>
          <w:sz w:val="24"/>
          <w:szCs w:val="24"/>
        </w:rPr>
        <w:t>rhVEGF</w:t>
      </w:r>
      <w:r w:rsidR="001A2E4F">
        <w:rPr>
          <w:rFonts w:ascii="Arial" w:hAnsi="Arial" w:cs="Arial"/>
          <w:sz w:val="24"/>
          <w:szCs w:val="24"/>
        </w:rPr>
        <w:t xml:space="preserve">, </w:t>
      </w:r>
      <w:r w:rsidR="001A2E4F" w:rsidRPr="0090002B">
        <w:rPr>
          <w:rFonts w:ascii="Arial" w:hAnsi="Arial" w:cs="Arial"/>
          <w:sz w:val="24"/>
          <w:szCs w:val="24"/>
        </w:rPr>
        <w:t>5 ng/mL</w:t>
      </w:r>
      <w:r w:rsidR="001A2E4F">
        <w:rPr>
          <w:rFonts w:ascii="Arial" w:hAnsi="Arial" w:cs="Arial"/>
          <w:sz w:val="24"/>
          <w:szCs w:val="24"/>
        </w:rPr>
        <w:t xml:space="preserve"> of </w:t>
      </w:r>
      <w:r w:rsidR="0090002B" w:rsidRPr="0090002B">
        <w:rPr>
          <w:rFonts w:ascii="Arial" w:hAnsi="Arial" w:cs="Arial"/>
          <w:sz w:val="24"/>
          <w:szCs w:val="24"/>
        </w:rPr>
        <w:t>rhEGF</w:t>
      </w:r>
      <w:r w:rsidR="001A2E4F">
        <w:rPr>
          <w:rFonts w:ascii="Arial" w:hAnsi="Arial" w:cs="Arial"/>
          <w:sz w:val="24"/>
          <w:szCs w:val="24"/>
        </w:rPr>
        <w:t xml:space="preserve">, </w:t>
      </w:r>
      <w:r w:rsidR="001A2E4F" w:rsidRPr="0090002B">
        <w:rPr>
          <w:rFonts w:ascii="Arial" w:hAnsi="Arial" w:cs="Arial"/>
          <w:sz w:val="24"/>
          <w:szCs w:val="24"/>
        </w:rPr>
        <w:t>5 ng/mL</w:t>
      </w:r>
      <w:r w:rsidR="001A2E4F">
        <w:rPr>
          <w:rFonts w:ascii="Arial" w:hAnsi="Arial" w:cs="Arial"/>
          <w:sz w:val="24"/>
          <w:szCs w:val="24"/>
        </w:rPr>
        <w:t xml:space="preserve"> of </w:t>
      </w:r>
      <w:r w:rsidR="0090002B" w:rsidRPr="0090002B">
        <w:rPr>
          <w:rFonts w:ascii="Arial" w:hAnsi="Arial" w:cs="Arial"/>
          <w:sz w:val="24"/>
          <w:szCs w:val="24"/>
        </w:rPr>
        <w:t>rhFGF basic: 5 ng/mL</w:t>
      </w:r>
      <w:r w:rsidR="001A2E4F">
        <w:rPr>
          <w:rFonts w:ascii="Arial" w:hAnsi="Arial" w:cs="Arial"/>
          <w:sz w:val="24"/>
          <w:szCs w:val="24"/>
        </w:rPr>
        <w:t>, 1</w:t>
      </w:r>
      <w:r w:rsidR="001A2E4F" w:rsidRPr="0090002B">
        <w:rPr>
          <w:rFonts w:ascii="Arial" w:hAnsi="Arial" w:cs="Arial"/>
          <w:sz w:val="24"/>
          <w:szCs w:val="24"/>
        </w:rPr>
        <w:t>5 ng/mL</w:t>
      </w:r>
      <w:r w:rsidR="001A2E4F">
        <w:rPr>
          <w:rFonts w:ascii="Arial" w:hAnsi="Arial" w:cs="Arial"/>
          <w:sz w:val="24"/>
          <w:szCs w:val="24"/>
        </w:rPr>
        <w:t xml:space="preserve"> of</w:t>
      </w:r>
      <w:r w:rsidR="001A2E4F" w:rsidRPr="0090002B">
        <w:rPr>
          <w:rFonts w:ascii="Arial" w:hAnsi="Arial" w:cs="Arial"/>
          <w:sz w:val="24"/>
          <w:szCs w:val="24"/>
        </w:rPr>
        <w:t xml:space="preserve"> </w:t>
      </w:r>
      <w:r w:rsidR="0090002B" w:rsidRPr="0090002B">
        <w:rPr>
          <w:rFonts w:ascii="Arial" w:hAnsi="Arial" w:cs="Arial"/>
          <w:sz w:val="24"/>
          <w:szCs w:val="24"/>
        </w:rPr>
        <w:t>rhIGF-1</w:t>
      </w:r>
      <w:r w:rsidR="001A2E4F">
        <w:rPr>
          <w:rFonts w:ascii="Arial" w:hAnsi="Arial" w:cs="Arial"/>
          <w:sz w:val="24"/>
          <w:szCs w:val="24"/>
        </w:rPr>
        <w:t>,</w:t>
      </w:r>
      <w:r w:rsidR="000575EC">
        <w:rPr>
          <w:rFonts w:ascii="Arial" w:hAnsi="Arial" w:cs="Arial"/>
          <w:sz w:val="24"/>
          <w:szCs w:val="24"/>
        </w:rPr>
        <w:t xml:space="preserve"> 10 mM of </w:t>
      </w:r>
      <w:r w:rsidR="0090002B" w:rsidRPr="0090002B">
        <w:rPr>
          <w:rFonts w:ascii="Arial" w:hAnsi="Arial" w:cs="Arial"/>
          <w:sz w:val="24"/>
          <w:szCs w:val="24"/>
        </w:rPr>
        <w:t>L-glutamine</w:t>
      </w:r>
      <w:r w:rsidR="000575EC">
        <w:rPr>
          <w:rFonts w:ascii="Arial" w:hAnsi="Arial" w:cs="Arial"/>
          <w:sz w:val="24"/>
          <w:szCs w:val="24"/>
        </w:rPr>
        <w:t xml:space="preserve">, </w:t>
      </w:r>
      <w:r w:rsidR="000575EC" w:rsidRPr="0090002B">
        <w:rPr>
          <w:rFonts w:ascii="Arial" w:hAnsi="Arial" w:cs="Arial"/>
          <w:sz w:val="24"/>
          <w:szCs w:val="24"/>
        </w:rPr>
        <w:t>0.75 Units/mL</w:t>
      </w:r>
      <w:r w:rsidR="000575EC">
        <w:rPr>
          <w:rFonts w:ascii="Arial" w:hAnsi="Arial" w:cs="Arial"/>
          <w:sz w:val="24"/>
          <w:szCs w:val="24"/>
        </w:rPr>
        <w:t xml:space="preserve"> of </w:t>
      </w:r>
      <w:r w:rsidR="006E2147">
        <w:rPr>
          <w:rFonts w:ascii="Arial" w:hAnsi="Arial" w:cs="Arial"/>
          <w:sz w:val="24"/>
          <w:szCs w:val="24"/>
        </w:rPr>
        <w:t>h</w:t>
      </w:r>
      <w:r w:rsidR="0090002B" w:rsidRPr="0090002B">
        <w:rPr>
          <w:rFonts w:ascii="Arial" w:hAnsi="Arial" w:cs="Arial"/>
          <w:sz w:val="24"/>
          <w:szCs w:val="24"/>
        </w:rPr>
        <w:t>eparin sulfate</w:t>
      </w:r>
      <w:r w:rsidR="000575EC">
        <w:rPr>
          <w:rFonts w:ascii="Arial" w:hAnsi="Arial" w:cs="Arial"/>
          <w:sz w:val="24"/>
          <w:szCs w:val="24"/>
        </w:rPr>
        <w:t>,</w:t>
      </w:r>
      <w:r w:rsidR="00183C09">
        <w:rPr>
          <w:rFonts w:ascii="Arial" w:hAnsi="Arial" w:cs="Arial"/>
          <w:sz w:val="24"/>
          <w:szCs w:val="24"/>
        </w:rPr>
        <w:t xml:space="preserve"> </w:t>
      </w:r>
      <w:r w:rsidR="00183C09" w:rsidRPr="0090002B">
        <w:rPr>
          <w:rFonts w:ascii="Arial" w:hAnsi="Arial" w:cs="Arial"/>
          <w:sz w:val="24"/>
          <w:szCs w:val="24"/>
        </w:rPr>
        <w:t>1 µg/mL</w:t>
      </w:r>
      <w:r w:rsidR="00183C09">
        <w:rPr>
          <w:rFonts w:ascii="Arial" w:hAnsi="Arial" w:cs="Arial"/>
          <w:sz w:val="24"/>
          <w:szCs w:val="24"/>
        </w:rPr>
        <w:t xml:space="preserve"> of </w:t>
      </w:r>
      <w:r w:rsidR="005D4506">
        <w:rPr>
          <w:rFonts w:ascii="Arial" w:hAnsi="Arial" w:cs="Arial"/>
          <w:sz w:val="24"/>
          <w:szCs w:val="24"/>
        </w:rPr>
        <w:t>h</w:t>
      </w:r>
      <w:r w:rsidR="0090002B" w:rsidRPr="0090002B">
        <w:rPr>
          <w:rFonts w:ascii="Arial" w:hAnsi="Arial" w:cs="Arial"/>
          <w:sz w:val="24"/>
          <w:szCs w:val="24"/>
        </w:rPr>
        <w:t>ydrocortisone</w:t>
      </w:r>
      <w:r w:rsidR="00183C09">
        <w:rPr>
          <w:rFonts w:ascii="Arial" w:hAnsi="Arial" w:cs="Arial"/>
          <w:sz w:val="24"/>
          <w:szCs w:val="24"/>
        </w:rPr>
        <w:t xml:space="preserve">, </w:t>
      </w:r>
      <w:r w:rsidR="00183C09" w:rsidRPr="0090002B">
        <w:rPr>
          <w:rFonts w:ascii="Arial" w:hAnsi="Arial" w:cs="Arial"/>
          <w:sz w:val="24"/>
          <w:szCs w:val="24"/>
        </w:rPr>
        <w:t>50 µg/mL</w:t>
      </w:r>
      <w:r w:rsidR="00183C09">
        <w:rPr>
          <w:rFonts w:ascii="Arial" w:hAnsi="Arial" w:cs="Arial"/>
          <w:sz w:val="24"/>
          <w:szCs w:val="24"/>
        </w:rPr>
        <w:t xml:space="preserve"> of </w:t>
      </w:r>
      <w:r w:rsidR="005D4506">
        <w:rPr>
          <w:rFonts w:ascii="Arial" w:hAnsi="Arial" w:cs="Arial"/>
          <w:sz w:val="24"/>
          <w:szCs w:val="24"/>
        </w:rPr>
        <w:t>a</w:t>
      </w:r>
      <w:r w:rsidR="0090002B" w:rsidRPr="0090002B">
        <w:rPr>
          <w:rFonts w:ascii="Arial" w:hAnsi="Arial" w:cs="Arial"/>
          <w:sz w:val="24"/>
          <w:szCs w:val="24"/>
        </w:rPr>
        <w:t>scorbic acid</w:t>
      </w:r>
      <w:r w:rsidR="00183C09">
        <w:rPr>
          <w:rFonts w:ascii="Arial" w:hAnsi="Arial" w:cs="Arial"/>
          <w:sz w:val="24"/>
          <w:szCs w:val="24"/>
        </w:rPr>
        <w:t xml:space="preserve">, </w:t>
      </w:r>
      <w:r w:rsidR="009848CB">
        <w:rPr>
          <w:rFonts w:ascii="Arial" w:hAnsi="Arial" w:cs="Arial"/>
          <w:sz w:val="24"/>
          <w:szCs w:val="24"/>
        </w:rPr>
        <w:t xml:space="preserve">and </w:t>
      </w:r>
      <w:r w:rsidR="00183C09">
        <w:rPr>
          <w:rFonts w:ascii="Arial" w:hAnsi="Arial" w:cs="Arial"/>
          <w:sz w:val="24"/>
          <w:szCs w:val="24"/>
        </w:rPr>
        <w:t>2</w:t>
      </w:r>
      <w:r w:rsidR="009848CB">
        <w:rPr>
          <w:rFonts w:ascii="Arial" w:hAnsi="Arial" w:cs="Arial"/>
          <w:sz w:val="24"/>
          <w:szCs w:val="24"/>
        </w:rPr>
        <w:t xml:space="preserve">% </w:t>
      </w:r>
      <w:r w:rsidR="005D4506">
        <w:rPr>
          <w:rFonts w:ascii="Arial" w:hAnsi="Arial" w:cs="Arial"/>
          <w:sz w:val="24"/>
          <w:szCs w:val="24"/>
        </w:rPr>
        <w:t>f</w:t>
      </w:r>
      <w:r w:rsidR="0090002B" w:rsidRPr="0090002B">
        <w:rPr>
          <w:rFonts w:ascii="Arial" w:hAnsi="Arial" w:cs="Arial"/>
          <w:sz w:val="24"/>
          <w:szCs w:val="24"/>
        </w:rPr>
        <w:t>etal bovine serum</w:t>
      </w:r>
      <w:r w:rsidR="009848CB">
        <w:rPr>
          <w:rFonts w:ascii="Arial" w:hAnsi="Arial" w:cs="Arial"/>
          <w:sz w:val="24"/>
          <w:szCs w:val="24"/>
        </w:rPr>
        <w:t>.</w:t>
      </w:r>
      <w:r w:rsidR="004F1BD5">
        <w:rPr>
          <w:rFonts w:ascii="Arial" w:hAnsi="Arial" w:cs="Arial"/>
          <w:sz w:val="24"/>
          <w:szCs w:val="24"/>
        </w:rPr>
        <w:t xml:space="preserve"> The cells were </w:t>
      </w:r>
      <w:r w:rsidR="005D4506">
        <w:rPr>
          <w:rFonts w:ascii="Arial" w:hAnsi="Arial" w:cs="Arial"/>
          <w:sz w:val="24"/>
          <w:szCs w:val="24"/>
        </w:rPr>
        <w:t xml:space="preserve">maintained </w:t>
      </w:r>
      <w:r w:rsidR="00F25FD9">
        <w:rPr>
          <w:rFonts w:ascii="Arial" w:hAnsi="Arial" w:cs="Arial"/>
          <w:sz w:val="24"/>
          <w:szCs w:val="24"/>
        </w:rPr>
        <w:t>at 37°C with 5% of CO</w:t>
      </w:r>
      <w:r w:rsidR="00F25FD9" w:rsidRPr="003B7652">
        <w:rPr>
          <w:rFonts w:ascii="Arial" w:hAnsi="Arial" w:cs="Arial"/>
          <w:sz w:val="24"/>
          <w:szCs w:val="24"/>
          <w:vertAlign w:val="subscript"/>
        </w:rPr>
        <w:t>2</w:t>
      </w:r>
      <w:r w:rsidR="005D4506" w:rsidRPr="005D4506">
        <w:rPr>
          <w:rFonts w:ascii="Arial" w:hAnsi="Arial" w:cs="Arial"/>
          <w:sz w:val="24"/>
          <w:szCs w:val="24"/>
        </w:rPr>
        <w:t xml:space="preserve"> </w:t>
      </w:r>
      <w:r w:rsidR="005D4506">
        <w:rPr>
          <w:rFonts w:ascii="Arial" w:hAnsi="Arial" w:cs="Arial"/>
          <w:sz w:val="24"/>
          <w:szCs w:val="24"/>
        </w:rPr>
        <w:t>and 95% humidity</w:t>
      </w:r>
      <w:r w:rsidR="00F25FD9">
        <w:rPr>
          <w:rFonts w:ascii="Arial" w:hAnsi="Arial" w:cs="Arial"/>
          <w:sz w:val="24"/>
          <w:szCs w:val="24"/>
        </w:rPr>
        <w:t>.</w:t>
      </w:r>
      <w:r w:rsidR="004058EC">
        <w:rPr>
          <w:rFonts w:ascii="Arial" w:hAnsi="Arial" w:cs="Arial"/>
          <w:sz w:val="24"/>
          <w:szCs w:val="24"/>
        </w:rPr>
        <w:t xml:space="preserve"> For all assays, cells were used between passages </w:t>
      </w:r>
      <w:r w:rsidR="003F4B7F">
        <w:rPr>
          <w:rFonts w:ascii="Arial" w:hAnsi="Arial" w:cs="Arial"/>
          <w:sz w:val="24"/>
          <w:szCs w:val="24"/>
        </w:rPr>
        <w:t>7 and 9.</w:t>
      </w:r>
    </w:p>
    <w:p w14:paraId="58F877BF" w14:textId="31CB5A0C" w:rsidR="00892F9C" w:rsidRPr="00EB056A" w:rsidRDefault="001D53F7" w:rsidP="00EB056A">
      <w:pPr>
        <w:pStyle w:val="Titre3"/>
        <w:spacing w:line="480" w:lineRule="auto"/>
        <w:jc w:val="both"/>
        <w:rPr>
          <w:rFonts w:ascii="Arial" w:hAnsi="Arial" w:cs="Arial"/>
          <w:b/>
          <w:bCs/>
          <w:color w:val="auto"/>
        </w:rPr>
      </w:pPr>
      <w:bookmarkStart w:id="76" w:name="_Toc106903230"/>
      <w:r>
        <w:rPr>
          <w:rFonts w:ascii="Arial" w:hAnsi="Arial" w:cs="Arial"/>
          <w:b/>
          <w:bCs/>
          <w:color w:val="auto"/>
        </w:rPr>
        <w:t>2.</w:t>
      </w:r>
      <w:r w:rsidR="006E2147">
        <w:rPr>
          <w:rFonts w:ascii="Arial" w:hAnsi="Arial" w:cs="Arial"/>
          <w:b/>
          <w:bCs/>
          <w:color w:val="auto"/>
        </w:rPr>
        <w:t>2</w:t>
      </w:r>
      <w:r>
        <w:rPr>
          <w:rFonts w:ascii="Arial" w:hAnsi="Arial" w:cs="Arial"/>
          <w:b/>
          <w:bCs/>
          <w:color w:val="auto"/>
        </w:rPr>
        <w:t>.</w:t>
      </w:r>
      <w:r w:rsidR="003E7A6B">
        <w:rPr>
          <w:rFonts w:ascii="Arial" w:hAnsi="Arial" w:cs="Arial"/>
          <w:b/>
          <w:bCs/>
          <w:color w:val="auto"/>
        </w:rPr>
        <w:t xml:space="preserve">10 </w:t>
      </w:r>
      <w:r w:rsidR="009D4938">
        <w:rPr>
          <w:rFonts w:ascii="Arial" w:hAnsi="Arial" w:cs="Arial"/>
          <w:b/>
          <w:bCs/>
          <w:color w:val="auto"/>
        </w:rPr>
        <w:t xml:space="preserve">Cell </w:t>
      </w:r>
      <w:r w:rsidR="00892F9C" w:rsidRPr="00EB056A">
        <w:rPr>
          <w:rFonts w:ascii="Arial" w:hAnsi="Arial" w:cs="Arial"/>
          <w:b/>
          <w:bCs/>
          <w:color w:val="auto"/>
        </w:rPr>
        <w:t>assay</w:t>
      </w:r>
      <w:r w:rsidR="009D4938">
        <w:rPr>
          <w:rFonts w:ascii="Arial" w:hAnsi="Arial" w:cs="Arial"/>
          <w:b/>
          <w:bCs/>
          <w:color w:val="auto"/>
        </w:rPr>
        <w:t>s</w:t>
      </w:r>
      <w:bookmarkEnd w:id="76"/>
    </w:p>
    <w:p w14:paraId="5B50ADCB" w14:textId="4980C89B" w:rsidR="008C18A9" w:rsidRDefault="005D4506" w:rsidP="00BF388F">
      <w:pPr>
        <w:spacing w:after="0" w:line="480" w:lineRule="auto"/>
        <w:ind w:firstLine="720"/>
        <w:jc w:val="both"/>
        <w:rPr>
          <w:rFonts w:ascii="Arial" w:hAnsi="Arial" w:cs="Arial"/>
          <w:sz w:val="24"/>
          <w:szCs w:val="24"/>
        </w:rPr>
      </w:pPr>
      <w:r>
        <w:rPr>
          <w:rFonts w:ascii="Arial" w:hAnsi="Arial" w:cs="Arial"/>
          <w:sz w:val="24"/>
          <w:szCs w:val="24"/>
        </w:rPr>
        <w:t>To create hydrogels for cell culture assays, l</w:t>
      </w:r>
      <w:r w:rsidR="00892F9C" w:rsidRPr="00EB056A">
        <w:rPr>
          <w:rFonts w:ascii="Arial" w:hAnsi="Arial" w:cs="Arial"/>
          <w:sz w:val="24"/>
          <w:szCs w:val="24"/>
        </w:rPr>
        <w:t>yophilized PHA was sterilized with ethylene oxide gas for a 12-hour cycle (AN74i, Anderson Anprolene, Haw River, NC)</w:t>
      </w:r>
      <w:r>
        <w:rPr>
          <w:rFonts w:ascii="Arial" w:hAnsi="Arial" w:cs="Arial"/>
          <w:sz w:val="24"/>
          <w:szCs w:val="24"/>
        </w:rPr>
        <w:t xml:space="preserve"> prior to solubilization</w:t>
      </w:r>
      <w:r w:rsidR="00892F9C" w:rsidRPr="00EB056A">
        <w:rPr>
          <w:rFonts w:ascii="Arial" w:hAnsi="Arial" w:cs="Arial"/>
          <w:sz w:val="24"/>
          <w:szCs w:val="24"/>
        </w:rPr>
        <w:t>.</w:t>
      </w:r>
      <w:r w:rsidR="00AA7E1A">
        <w:rPr>
          <w:rFonts w:ascii="Arial" w:hAnsi="Arial" w:cs="Arial"/>
          <w:sz w:val="24"/>
          <w:szCs w:val="24"/>
        </w:rPr>
        <w:t xml:space="preserve"> LAP and DTT</w:t>
      </w:r>
      <w:r w:rsidR="002B50C8">
        <w:rPr>
          <w:rFonts w:ascii="Arial" w:hAnsi="Arial" w:cs="Arial"/>
          <w:sz w:val="24"/>
          <w:szCs w:val="24"/>
        </w:rPr>
        <w:t xml:space="preserve"> were sterile filtered.</w:t>
      </w:r>
      <w:r w:rsidR="00892F9C" w:rsidRPr="00EB056A">
        <w:rPr>
          <w:rFonts w:ascii="Arial" w:hAnsi="Arial" w:cs="Arial"/>
          <w:sz w:val="24"/>
          <w:szCs w:val="24"/>
        </w:rPr>
        <w:t xml:space="preserve"> </w:t>
      </w:r>
      <w:r w:rsidR="002A6DF5">
        <w:rPr>
          <w:rFonts w:ascii="Arial" w:hAnsi="Arial" w:cs="Arial"/>
          <w:sz w:val="24"/>
          <w:szCs w:val="24"/>
        </w:rPr>
        <w:t xml:space="preserve">Tantalum powder was sterilized in a sterilizer at °C for minutes. </w:t>
      </w:r>
      <w:r w:rsidR="00892F9C" w:rsidRPr="00EB056A">
        <w:rPr>
          <w:rFonts w:ascii="Arial" w:hAnsi="Arial" w:cs="Arial"/>
          <w:sz w:val="24"/>
          <w:szCs w:val="24"/>
        </w:rPr>
        <w:t>Under a biosafety cabinet, the</w:t>
      </w:r>
      <w:r w:rsidR="00002F0C">
        <w:rPr>
          <w:rFonts w:ascii="Arial" w:hAnsi="Arial" w:cs="Arial"/>
          <w:sz w:val="24"/>
          <w:szCs w:val="24"/>
        </w:rPr>
        <w:t xml:space="preserve"> sterilized</w:t>
      </w:r>
      <w:r w:rsidR="00892F9C" w:rsidRPr="00EB056A">
        <w:rPr>
          <w:rFonts w:ascii="Arial" w:hAnsi="Arial" w:cs="Arial"/>
          <w:sz w:val="24"/>
          <w:szCs w:val="24"/>
        </w:rPr>
        <w:t xml:space="preserve"> PHA</w:t>
      </w:r>
      <w:r w:rsidR="008C18A9">
        <w:rPr>
          <w:rFonts w:ascii="Arial" w:hAnsi="Arial" w:cs="Arial"/>
          <w:sz w:val="24"/>
          <w:szCs w:val="24"/>
        </w:rPr>
        <w:t>, LAP, DTT, and TA</w:t>
      </w:r>
      <w:r w:rsidR="00892F9C" w:rsidRPr="00EB056A">
        <w:rPr>
          <w:rFonts w:ascii="Arial" w:hAnsi="Arial" w:cs="Arial"/>
          <w:sz w:val="24"/>
          <w:szCs w:val="24"/>
        </w:rPr>
        <w:t xml:space="preserve"> was crosslinked to form </w:t>
      </w:r>
      <w:r w:rsidR="008C18A9">
        <w:rPr>
          <w:rFonts w:ascii="Arial" w:hAnsi="Arial" w:cs="Arial"/>
          <w:sz w:val="24"/>
          <w:szCs w:val="24"/>
        </w:rPr>
        <w:t>5</w:t>
      </w:r>
      <w:r w:rsidR="00164EE0">
        <w:rPr>
          <w:rFonts w:ascii="Arial" w:hAnsi="Arial" w:cs="Arial"/>
          <w:sz w:val="24"/>
          <w:szCs w:val="24"/>
        </w:rPr>
        <w:t xml:space="preserve"> </w:t>
      </w:r>
      <w:r w:rsidR="008C18A9">
        <w:rPr>
          <w:rFonts w:ascii="Arial" w:hAnsi="Arial" w:cs="Arial"/>
          <w:sz w:val="24"/>
          <w:szCs w:val="24"/>
        </w:rPr>
        <w:t>wt%, 7.5</w:t>
      </w:r>
      <w:r w:rsidR="00164EE0">
        <w:rPr>
          <w:rFonts w:ascii="Arial" w:hAnsi="Arial" w:cs="Arial"/>
          <w:sz w:val="24"/>
          <w:szCs w:val="24"/>
        </w:rPr>
        <w:t xml:space="preserve"> </w:t>
      </w:r>
      <w:r w:rsidR="008C18A9">
        <w:rPr>
          <w:rFonts w:ascii="Arial" w:hAnsi="Arial" w:cs="Arial"/>
          <w:sz w:val="24"/>
          <w:szCs w:val="24"/>
        </w:rPr>
        <w:t>wt%, and 10</w:t>
      </w:r>
      <w:r w:rsidR="00164EE0">
        <w:rPr>
          <w:rFonts w:ascii="Arial" w:hAnsi="Arial" w:cs="Arial"/>
          <w:sz w:val="24"/>
          <w:szCs w:val="24"/>
        </w:rPr>
        <w:t xml:space="preserve"> </w:t>
      </w:r>
      <w:r w:rsidR="008C18A9">
        <w:rPr>
          <w:rFonts w:ascii="Arial" w:hAnsi="Arial" w:cs="Arial"/>
          <w:sz w:val="24"/>
          <w:szCs w:val="24"/>
        </w:rPr>
        <w:t>wt% hydro</w:t>
      </w:r>
      <w:r w:rsidR="008C18A9" w:rsidRPr="00EB056A">
        <w:rPr>
          <w:rFonts w:ascii="Arial" w:hAnsi="Arial" w:cs="Arial"/>
          <w:sz w:val="24"/>
          <w:szCs w:val="24"/>
        </w:rPr>
        <w:t xml:space="preserve">gels </w:t>
      </w:r>
      <w:r w:rsidR="008C18A9">
        <w:rPr>
          <w:rFonts w:ascii="Arial" w:hAnsi="Arial" w:cs="Arial"/>
          <w:sz w:val="24"/>
          <w:szCs w:val="24"/>
        </w:rPr>
        <w:t>with and without 50 mg/mL of tantalum</w:t>
      </w:r>
      <w:r w:rsidR="00892F9C" w:rsidRPr="00EB056A">
        <w:rPr>
          <w:rFonts w:ascii="Arial" w:hAnsi="Arial" w:cs="Arial"/>
          <w:sz w:val="24"/>
          <w:szCs w:val="24"/>
        </w:rPr>
        <w:t xml:space="preserve">, as described </w:t>
      </w:r>
      <w:r w:rsidR="00002F0C">
        <w:rPr>
          <w:rFonts w:ascii="Arial" w:hAnsi="Arial" w:cs="Arial"/>
          <w:sz w:val="24"/>
          <w:szCs w:val="24"/>
        </w:rPr>
        <w:t>previously</w:t>
      </w:r>
      <w:r w:rsidR="00892F9C" w:rsidRPr="00EB056A">
        <w:rPr>
          <w:rFonts w:ascii="Arial" w:hAnsi="Arial" w:cs="Arial"/>
          <w:sz w:val="24"/>
          <w:szCs w:val="24"/>
        </w:rPr>
        <w:t xml:space="preserve">. </w:t>
      </w:r>
      <w:r w:rsidR="008C18A9">
        <w:rPr>
          <w:rFonts w:ascii="Arial" w:hAnsi="Arial" w:cs="Arial"/>
          <w:sz w:val="24"/>
          <w:szCs w:val="24"/>
        </w:rPr>
        <w:t>Hydrogels</w:t>
      </w:r>
      <w:r w:rsidR="008C18A9" w:rsidRPr="00EB056A">
        <w:rPr>
          <w:rFonts w:ascii="Arial" w:hAnsi="Arial" w:cs="Arial"/>
          <w:sz w:val="24"/>
          <w:szCs w:val="24"/>
        </w:rPr>
        <w:t xml:space="preserve"> </w:t>
      </w:r>
      <w:r w:rsidR="00002F0C">
        <w:rPr>
          <w:rFonts w:ascii="Arial" w:hAnsi="Arial" w:cs="Arial"/>
          <w:sz w:val="24"/>
          <w:szCs w:val="24"/>
        </w:rPr>
        <w:t>were</w:t>
      </w:r>
      <w:r w:rsidR="00892F9C" w:rsidRPr="00EB056A">
        <w:rPr>
          <w:rFonts w:ascii="Arial" w:hAnsi="Arial" w:cs="Arial"/>
          <w:sz w:val="24"/>
          <w:szCs w:val="24"/>
        </w:rPr>
        <w:t xml:space="preserve"> soaked in sterile HUVEC culture medi</w:t>
      </w:r>
      <w:r w:rsidR="0060219D">
        <w:rPr>
          <w:rFonts w:ascii="Arial" w:hAnsi="Arial" w:cs="Arial"/>
          <w:sz w:val="24"/>
          <w:szCs w:val="24"/>
        </w:rPr>
        <w:t>um</w:t>
      </w:r>
      <w:r w:rsidR="00892F9C" w:rsidRPr="00EB056A">
        <w:rPr>
          <w:rFonts w:ascii="Arial" w:hAnsi="Arial" w:cs="Arial"/>
          <w:sz w:val="24"/>
          <w:szCs w:val="24"/>
        </w:rPr>
        <w:t xml:space="preserve"> overnight. Meanwhile, </w:t>
      </w:r>
      <w:r w:rsidR="00002F0C">
        <w:rPr>
          <w:rFonts w:ascii="Arial" w:hAnsi="Arial" w:cs="Arial"/>
          <w:sz w:val="24"/>
          <w:szCs w:val="24"/>
        </w:rPr>
        <w:t>HUVECs</w:t>
      </w:r>
      <w:r w:rsidR="00892F9C" w:rsidRPr="00EB056A">
        <w:rPr>
          <w:rFonts w:ascii="Arial" w:hAnsi="Arial" w:cs="Arial"/>
          <w:sz w:val="24"/>
          <w:szCs w:val="24"/>
        </w:rPr>
        <w:t xml:space="preserve"> were seeded at the density of 30,000 cells/cm</w:t>
      </w:r>
      <w:r w:rsidR="00892F9C" w:rsidRPr="005C2B58">
        <w:rPr>
          <w:rFonts w:ascii="Arial" w:hAnsi="Arial" w:cs="Arial"/>
          <w:sz w:val="24"/>
          <w:szCs w:val="24"/>
          <w:vertAlign w:val="superscript"/>
        </w:rPr>
        <w:t>2</w:t>
      </w:r>
      <w:r w:rsidR="00892F9C" w:rsidRPr="00EB056A">
        <w:rPr>
          <w:rFonts w:ascii="Arial" w:hAnsi="Arial" w:cs="Arial"/>
          <w:sz w:val="24"/>
          <w:szCs w:val="24"/>
        </w:rPr>
        <w:t xml:space="preserve"> in 48-well plates</w:t>
      </w:r>
      <w:r w:rsidR="00002F0C">
        <w:rPr>
          <w:rFonts w:ascii="Arial" w:hAnsi="Arial" w:cs="Arial"/>
          <w:sz w:val="24"/>
          <w:szCs w:val="24"/>
        </w:rPr>
        <w:t xml:space="preserve"> and allowed to attach overnight</w:t>
      </w:r>
      <w:r w:rsidR="00892F9C" w:rsidRPr="00EB056A">
        <w:rPr>
          <w:rFonts w:ascii="Arial" w:hAnsi="Arial" w:cs="Arial"/>
          <w:sz w:val="24"/>
          <w:szCs w:val="24"/>
        </w:rPr>
        <w:t>. The next day, the medi</w:t>
      </w:r>
      <w:r w:rsidR="0060219D">
        <w:rPr>
          <w:rFonts w:ascii="Arial" w:hAnsi="Arial" w:cs="Arial"/>
          <w:sz w:val="24"/>
          <w:szCs w:val="24"/>
        </w:rPr>
        <w:t>um</w:t>
      </w:r>
      <w:r w:rsidR="00002F0C">
        <w:rPr>
          <w:rFonts w:ascii="Arial" w:hAnsi="Arial" w:cs="Arial"/>
          <w:sz w:val="24"/>
          <w:szCs w:val="24"/>
        </w:rPr>
        <w:t xml:space="preserve"> soaked</w:t>
      </w:r>
      <w:r w:rsidR="00892F9C" w:rsidRPr="00EB056A">
        <w:rPr>
          <w:rFonts w:ascii="Arial" w:hAnsi="Arial" w:cs="Arial"/>
          <w:sz w:val="24"/>
          <w:szCs w:val="24"/>
        </w:rPr>
        <w:t xml:space="preserve"> with </w:t>
      </w:r>
      <w:r w:rsidR="00002F0C">
        <w:rPr>
          <w:rFonts w:ascii="Arial" w:hAnsi="Arial" w:cs="Arial"/>
          <w:sz w:val="24"/>
          <w:szCs w:val="24"/>
        </w:rPr>
        <w:t xml:space="preserve">the </w:t>
      </w:r>
      <w:r w:rsidR="00434FF0">
        <w:rPr>
          <w:rFonts w:ascii="Arial" w:hAnsi="Arial" w:cs="Arial"/>
          <w:sz w:val="24"/>
          <w:szCs w:val="24"/>
        </w:rPr>
        <w:t>hydro</w:t>
      </w:r>
      <w:r w:rsidR="00892F9C" w:rsidRPr="00EB056A">
        <w:rPr>
          <w:rFonts w:ascii="Arial" w:hAnsi="Arial" w:cs="Arial"/>
          <w:sz w:val="24"/>
          <w:szCs w:val="24"/>
        </w:rPr>
        <w:t xml:space="preserve">gels was </w:t>
      </w:r>
      <w:r w:rsidR="00002F0C">
        <w:rPr>
          <w:rFonts w:ascii="Arial" w:hAnsi="Arial" w:cs="Arial"/>
          <w:sz w:val="24"/>
          <w:szCs w:val="24"/>
        </w:rPr>
        <w:t>pipetted</w:t>
      </w:r>
      <w:r w:rsidR="00002F0C" w:rsidRPr="00EB056A">
        <w:rPr>
          <w:rFonts w:ascii="Arial" w:hAnsi="Arial" w:cs="Arial"/>
          <w:sz w:val="24"/>
          <w:szCs w:val="24"/>
        </w:rPr>
        <w:t xml:space="preserve"> </w:t>
      </w:r>
      <w:r w:rsidR="00892F9C" w:rsidRPr="00EB056A">
        <w:rPr>
          <w:rFonts w:ascii="Arial" w:hAnsi="Arial" w:cs="Arial"/>
          <w:sz w:val="24"/>
          <w:szCs w:val="24"/>
        </w:rPr>
        <w:t>into the</w:t>
      </w:r>
      <w:r w:rsidR="00982920">
        <w:rPr>
          <w:rFonts w:ascii="Arial" w:hAnsi="Arial" w:cs="Arial"/>
          <w:sz w:val="24"/>
          <w:szCs w:val="24"/>
        </w:rPr>
        <w:t xml:space="preserve"> cell-laden</w:t>
      </w:r>
      <w:r w:rsidR="00892F9C" w:rsidRPr="00EB056A">
        <w:rPr>
          <w:rFonts w:ascii="Arial" w:hAnsi="Arial" w:cs="Arial"/>
          <w:sz w:val="24"/>
          <w:szCs w:val="24"/>
        </w:rPr>
        <w:t xml:space="preserve"> well plates. </w:t>
      </w:r>
      <w:r w:rsidR="00D5097E">
        <w:rPr>
          <w:rFonts w:ascii="Arial" w:hAnsi="Arial" w:cs="Arial"/>
          <w:sz w:val="24"/>
          <w:szCs w:val="24"/>
        </w:rPr>
        <w:t xml:space="preserve">Three </w:t>
      </w:r>
      <w:r w:rsidR="00B16C9E">
        <w:rPr>
          <w:rFonts w:ascii="Arial" w:hAnsi="Arial" w:cs="Arial"/>
          <w:sz w:val="24"/>
          <w:szCs w:val="24"/>
        </w:rPr>
        <w:t xml:space="preserve">wells were assigned to each condition. </w:t>
      </w:r>
      <w:r w:rsidR="00892F9C" w:rsidRPr="00EB056A">
        <w:rPr>
          <w:rFonts w:ascii="Arial" w:hAnsi="Arial" w:cs="Arial"/>
          <w:sz w:val="24"/>
          <w:szCs w:val="24"/>
        </w:rPr>
        <w:t xml:space="preserve">Two plates with the same conditions were made, one to perform the assay on day 1 and the other on day 3. </w:t>
      </w:r>
    </w:p>
    <w:p w14:paraId="69C064B2" w14:textId="79D368F7" w:rsidR="0029720B" w:rsidRPr="006C263F" w:rsidRDefault="006E2147" w:rsidP="005C314D">
      <w:pPr>
        <w:pStyle w:val="Titre3"/>
        <w:spacing w:line="480" w:lineRule="auto"/>
        <w:rPr>
          <w:rFonts w:ascii="Arial" w:hAnsi="Arial" w:cs="Arial"/>
          <w:b/>
          <w:bCs/>
          <w:color w:val="auto"/>
        </w:rPr>
      </w:pPr>
      <w:bookmarkStart w:id="77" w:name="_Toc106903231"/>
      <w:r>
        <w:rPr>
          <w:rFonts w:ascii="Arial" w:hAnsi="Arial" w:cs="Arial"/>
          <w:b/>
          <w:bCs/>
          <w:color w:val="auto"/>
        </w:rPr>
        <w:lastRenderedPageBreak/>
        <w:t>2.2.1</w:t>
      </w:r>
      <w:r w:rsidR="003E7A6B">
        <w:rPr>
          <w:rFonts w:ascii="Arial" w:hAnsi="Arial" w:cs="Arial"/>
          <w:b/>
          <w:bCs/>
          <w:color w:val="auto"/>
        </w:rPr>
        <w:t>1</w:t>
      </w:r>
      <w:r>
        <w:rPr>
          <w:rFonts w:ascii="Arial" w:hAnsi="Arial" w:cs="Arial"/>
          <w:b/>
          <w:bCs/>
          <w:color w:val="auto"/>
        </w:rPr>
        <w:t xml:space="preserve"> </w:t>
      </w:r>
      <w:r w:rsidR="0029720B" w:rsidRPr="006C263F">
        <w:rPr>
          <w:rFonts w:ascii="Arial" w:hAnsi="Arial" w:cs="Arial"/>
          <w:b/>
          <w:bCs/>
          <w:color w:val="auto"/>
        </w:rPr>
        <w:t>Live dead assay</w:t>
      </w:r>
      <w:bookmarkEnd w:id="77"/>
    </w:p>
    <w:p w14:paraId="67B42E35" w14:textId="08CBE189" w:rsidR="00305667" w:rsidRDefault="00187A84" w:rsidP="005C314D">
      <w:pPr>
        <w:spacing w:after="0" w:line="480" w:lineRule="auto"/>
        <w:ind w:firstLine="720"/>
        <w:jc w:val="both"/>
        <w:rPr>
          <w:rFonts w:ascii="Arial" w:hAnsi="Arial" w:cs="Arial"/>
          <w:sz w:val="24"/>
          <w:szCs w:val="24"/>
        </w:rPr>
      </w:pPr>
      <w:r>
        <w:rPr>
          <w:rFonts w:ascii="Arial" w:hAnsi="Arial" w:cs="Arial"/>
          <w:sz w:val="24"/>
          <w:szCs w:val="24"/>
        </w:rPr>
        <w:t>To assess the viability of the HUVECs</w:t>
      </w:r>
      <w:r w:rsidR="001A2167">
        <w:rPr>
          <w:rFonts w:ascii="Arial" w:hAnsi="Arial" w:cs="Arial"/>
          <w:sz w:val="24"/>
          <w:szCs w:val="24"/>
        </w:rPr>
        <w:t xml:space="preserve"> after 1 or 3 days</w:t>
      </w:r>
      <w:r>
        <w:rPr>
          <w:rFonts w:ascii="Arial" w:hAnsi="Arial" w:cs="Arial"/>
          <w:sz w:val="24"/>
          <w:szCs w:val="24"/>
        </w:rPr>
        <w:t>, a</w:t>
      </w:r>
      <w:r w:rsidR="00892F9C" w:rsidRPr="00EB056A">
        <w:rPr>
          <w:rFonts w:ascii="Arial" w:hAnsi="Arial" w:cs="Arial"/>
          <w:sz w:val="24"/>
          <w:szCs w:val="24"/>
        </w:rPr>
        <w:t xml:space="preserve"> </w:t>
      </w:r>
      <w:r>
        <w:rPr>
          <w:rFonts w:ascii="Arial" w:hAnsi="Arial" w:cs="Arial"/>
          <w:sz w:val="24"/>
          <w:szCs w:val="24"/>
        </w:rPr>
        <w:t xml:space="preserve">Live-Dead </w:t>
      </w:r>
      <w:r w:rsidR="00892F9C" w:rsidRPr="00EB056A">
        <w:rPr>
          <w:rFonts w:ascii="Arial" w:hAnsi="Arial" w:cs="Arial"/>
          <w:sz w:val="24"/>
          <w:szCs w:val="24"/>
        </w:rPr>
        <w:t>d</w:t>
      </w:r>
      <w:r>
        <w:rPr>
          <w:rFonts w:ascii="Arial" w:hAnsi="Arial" w:cs="Arial"/>
          <w:sz w:val="24"/>
          <w:szCs w:val="24"/>
        </w:rPr>
        <w:t>y</w:t>
      </w:r>
      <w:r w:rsidR="00892F9C" w:rsidRPr="00EB056A">
        <w:rPr>
          <w:rFonts w:ascii="Arial" w:hAnsi="Arial" w:cs="Arial"/>
          <w:sz w:val="24"/>
          <w:szCs w:val="24"/>
        </w:rPr>
        <w:t xml:space="preserve">e solution was prepared with a 2 µM calcein AM/4 µM EthD-III concentration in PBS. </w:t>
      </w:r>
      <w:r w:rsidR="008C18A9" w:rsidRPr="00EB056A">
        <w:rPr>
          <w:rFonts w:ascii="Arial" w:hAnsi="Arial" w:cs="Arial"/>
          <w:sz w:val="24"/>
          <w:szCs w:val="24"/>
        </w:rPr>
        <w:t>PBS</w:t>
      </w:r>
      <w:r w:rsidR="008C18A9">
        <w:rPr>
          <w:rFonts w:ascii="Arial" w:hAnsi="Arial" w:cs="Arial"/>
          <w:sz w:val="24"/>
          <w:szCs w:val="24"/>
        </w:rPr>
        <w:t xml:space="preserve"> </w:t>
      </w:r>
      <w:r w:rsidR="008C18A9" w:rsidRPr="00EB056A">
        <w:rPr>
          <w:rFonts w:ascii="Arial" w:hAnsi="Arial" w:cs="Arial"/>
          <w:sz w:val="24"/>
          <w:szCs w:val="24"/>
        </w:rPr>
        <w:t>with 0.</w:t>
      </w:r>
      <w:r w:rsidR="008C18A9">
        <w:rPr>
          <w:rFonts w:ascii="Arial" w:hAnsi="Arial" w:cs="Arial"/>
          <w:sz w:val="24"/>
          <w:szCs w:val="24"/>
        </w:rPr>
        <w:t>0</w:t>
      </w:r>
      <w:r w:rsidR="008C18A9" w:rsidRPr="00EB056A">
        <w:rPr>
          <w:rFonts w:ascii="Arial" w:hAnsi="Arial" w:cs="Arial"/>
          <w:sz w:val="24"/>
          <w:szCs w:val="24"/>
        </w:rPr>
        <w:t>5</w:t>
      </w:r>
      <w:r w:rsidR="008C18A9">
        <w:rPr>
          <w:rFonts w:ascii="Arial" w:hAnsi="Arial" w:cs="Arial"/>
          <w:sz w:val="24"/>
          <w:szCs w:val="24"/>
        </w:rPr>
        <w:t>%</w:t>
      </w:r>
      <w:r w:rsidR="008C18A9" w:rsidRPr="00EB056A">
        <w:rPr>
          <w:rFonts w:ascii="Arial" w:hAnsi="Arial" w:cs="Arial"/>
          <w:sz w:val="24"/>
          <w:szCs w:val="24"/>
        </w:rPr>
        <w:t xml:space="preserve"> of Tween and 0.</w:t>
      </w:r>
      <w:r w:rsidR="008C18A9">
        <w:rPr>
          <w:rFonts w:ascii="Arial" w:hAnsi="Arial" w:cs="Arial"/>
          <w:sz w:val="24"/>
          <w:szCs w:val="24"/>
        </w:rPr>
        <w:t>0</w:t>
      </w:r>
      <w:r w:rsidR="008C18A9" w:rsidRPr="00EB056A">
        <w:rPr>
          <w:rFonts w:ascii="Arial" w:hAnsi="Arial" w:cs="Arial"/>
          <w:sz w:val="24"/>
          <w:szCs w:val="24"/>
        </w:rPr>
        <w:t>5</w:t>
      </w:r>
      <w:r w:rsidR="008C18A9">
        <w:rPr>
          <w:rFonts w:ascii="Arial" w:hAnsi="Arial" w:cs="Arial"/>
          <w:sz w:val="24"/>
          <w:szCs w:val="24"/>
        </w:rPr>
        <w:t>%</w:t>
      </w:r>
      <w:r w:rsidR="008C18A9" w:rsidRPr="00EB056A">
        <w:rPr>
          <w:rFonts w:ascii="Arial" w:hAnsi="Arial" w:cs="Arial"/>
          <w:sz w:val="24"/>
          <w:szCs w:val="24"/>
        </w:rPr>
        <w:t xml:space="preserve"> of </w:t>
      </w:r>
      <w:r w:rsidR="008C18A9">
        <w:rPr>
          <w:rFonts w:ascii="Arial" w:hAnsi="Arial" w:cs="Arial"/>
          <w:sz w:val="24"/>
          <w:szCs w:val="24"/>
        </w:rPr>
        <w:t>T</w:t>
      </w:r>
      <w:r w:rsidR="008C18A9" w:rsidRPr="00EB056A">
        <w:rPr>
          <w:rFonts w:ascii="Arial" w:hAnsi="Arial" w:cs="Arial"/>
          <w:sz w:val="24"/>
          <w:szCs w:val="24"/>
        </w:rPr>
        <w:t>riton</w:t>
      </w:r>
      <w:r w:rsidR="008C18A9">
        <w:rPr>
          <w:rFonts w:ascii="Arial" w:hAnsi="Arial" w:cs="Arial"/>
          <w:sz w:val="24"/>
          <w:szCs w:val="24"/>
        </w:rPr>
        <w:t xml:space="preserve"> X-100 (PBSTT; </w:t>
      </w:r>
      <w:r w:rsidRPr="00EB056A">
        <w:rPr>
          <w:rFonts w:ascii="Arial" w:hAnsi="Arial" w:cs="Arial"/>
          <w:sz w:val="24"/>
          <w:szCs w:val="24"/>
        </w:rPr>
        <w:t>200 µL</w:t>
      </w:r>
      <w:r w:rsidR="008C18A9">
        <w:rPr>
          <w:rFonts w:ascii="Arial" w:hAnsi="Arial" w:cs="Arial"/>
          <w:sz w:val="24"/>
          <w:szCs w:val="24"/>
        </w:rPr>
        <w:t>/well</w:t>
      </w:r>
      <w:r>
        <w:rPr>
          <w:rFonts w:ascii="Arial" w:hAnsi="Arial" w:cs="Arial"/>
          <w:sz w:val="24"/>
          <w:szCs w:val="24"/>
        </w:rPr>
        <w:t>)</w:t>
      </w:r>
      <w:r w:rsidRPr="00EB056A">
        <w:rPr>
          <w:rFonts w:ascii="Arial" w:hAnsi="Arial" w:cs="Arial"/>
          <w:sz w:val="24"/>
          <w:szCs w:val="24"/>
        </w:rPr>
        <w:t xml:space="preserve"> was added to </w:t>
      </w:r>
      <w:r>
        <w:rPr>
          <w:rFonts w:ascii="Arial" w:hAnsi="Arial" w:cs="Arial"/>
          <w:sz w:val="24"/>
          <w:szCs w:val="24"/>
        </w:rPr>
        <w:t>two</w:t>
      </w:r>
      <w:r w:rsidRPr="00EB056A">
        <w:rPr>
          <w:rFonts w:ascii="Arial" w:hAnsi="Arial" w:cs="Arial"/>
          <w:sz w:val="24"/>
          <w:szCs w:val="24"/>
        </w:rPr>
        <w:t xml:space="preserve"> wells to make </w:t>
      </w:r>
      <w:r w:rsidR="00E609EB">
        <w:rPr>
          <w:rFonts w:ascii="Arial" w:hAnsi="Arial" w:cs="Arial"/>
          <w:sz w:val="24"/>
          <w:szCs w:val="24"/>
        </w:rPr>
        <w:t>positive</w:t>
      </w:r>
      <w:r w:rsidR="00E609EB" w:rsidRPr="00EB056A">
        <w:rPr>
          <w:rFonts w:ascii="Arial" w:hAnsi="Arial" w:cs="Arial"/>
          <w:sz w:val="24"/>
          <w:szCs w:val="24"/>
        </w:rPr>
        <w:t xml:space="preserve"> </w:t>
      </w:r>
      <w:r w:rsidRPr="00EB056A">
        <w:rPr>
          <w:rFonts w:ascii="Arial" w:hAnsi="Arial" w:cs="Arial"/>
          <w:sz w:val="24"/>
          <w:szCs w:val="24"/>
        </w:rPr>
        <w:t xml:space="preserve">controls. </w:t>
      </w:r>
      <w:r w:rsidR="008C18A9">
        <w:rPr>
          <w:rFonts w:ascii="Arial" w:hAnsi="Arial" w:cs="Arial"/>
          <w:sz w:val="24"/>
          <w:szCs w:val="24"/>
        </w:rPr>
        <w:t>C</w:t>
      </w:r>
      <w:r w:rsidR="008C18A9" w:rsidRPr="00EB056A">
        <w:rPr>
          <w:rFonts w:ascii="Arial" w:hAnsi="Arial" w:cs="Arial"/>
          <w:sz w:val="24"/>
          <w:szCs w:val="24"/>
        </w:rPr>
        <w:t xml:space="preserve">ells </w:t>
      </w:r>
      <w:r w:rsidR="008C18A9">
        <w:rPr>
          <w:rFonts w:ascii="Arial" w:hAnsi="Arial" w:cs="Arial"/>
          <w:sz w:val="24"/>
          <w:szCs w:val="24"/>
        </w:rPr>
        <w:t>cultured in</w:t>
      </w:r>
      <w:r w:rsidR="008C18A9" w:rsidRPr="00EB056A">
        <w:rPr>
          <w:rFonts w:ascii="Arial" w:hAnsi="Arial" w:cs="Arial"/>
          <w:sz w:val="24"/>
          <w:szCs w:val="24"/>
        </w:rPr>
        <w:t xml:space="preserve"> </w:t>
      </w:r>
      <w:r w:rsidRPr="00EB056A">
        <w:rPr>
          <w:rFonts w:ascii="Arial" w:hAnsi="Arial" w:cs="Arial"/>
          <w:sz w:val="24"/>
          <w:szCs w:val="24"/>
        </w:rPr>
        <w:t>medi</w:t>
      </w:r>
      <w:r w:rsidR="001C110E">
        <w:rPr>
          <w:rFonts w:ascii="Arial" w:hAnsi="Arial" w:cs="Arial"/>
          <w:sz w:val="24"/>
          <w:szCs w:val="24"/>
        </w:rPr>
        <w:t>um</w:t>
      </w:r>
      <w:r w:rsidRPr="00EB056A">
        <w:rPr>
          <w:rFonts w:ascii="Arial" w:hAnsi="Arial" w:cs="Arial"/>
          <w:sz w:val="24"/>
          <w:szCs w:val="24"/>
        </w:rPr>
        <w:t xml:space="preserve"> </w:t>
      </w:r>
      <w:r w:rsidR="008C18A9">
        <w:rPr>
          <w:rFonts w:ascii="Arial" w:hAnsi="Arial" w:cs="Arial"/>
          <w:sz w:val="24"/>
          <w:szCs w:val="24"/>
        </w:rPr>
        <w:t>only (i.e., no</w:t>
      </w:r>
      <w:r w:rsidRPr="00EB056A">
        <w:rPr>
          <w:rFonts w:ascii="Arial" w:hAnsi="Arial" w:cs="Arial"/>
          <w:sz w:val="24"/>
          <w:szCs w:val="24"/>
        </w:rPr>
        <w:t xml:space="preserve"> contact with </w:t>
      </w:r>
      <w:r w:rsidR="002C26B8">
        <w:rPr>
          <w:rFonts w:ascii="Arial" w:hAnsi="Arial" w:cs="Arial"/>
          <w:sz w:val="24"/>
          <w:szCs w:val="24"/>
        </w:rPr>
        <w:t>hydro</w:t>
      </w:r>
      <w:r w:rsidRPr="00EB056A">
        <w:rPr>
          <w:rFonts w:ascii="Arial" w:hAnsi="Arial" w:cs="Arial"/>
          <w:sz w:val="24"/>
          <w:szCs w:val="24"/>
        </w:rPr>
        <w:t>gels</w:t>
      </w:r>
      <w:r w:rsidR="008C18A9">
        <w:rPr>
          <w:rFonts w:ascii="Arial" w:hAnsi="Arial" w:cs="Arial"/>
          <w:sz w:val="24"/>
          <w:szCs w:val="24"/>
        </w:rPr>
        <w:t>)</w:t>
      </w:r>
      <w:r w:rsidRPr="00EB056A">
        <w:rPr>
          <w:rFonts w:ascii="Arial" w:hAnsi="Arial" w:cs="Arial"/>
          <w:sz w:val="24"/>
          <w:szCs w:val="24"/>
        </w:rPr>
        <w:t xml:space="preserve"> were used as </w:t>
      </w:r>
      <w:r w:rsidR="00E609EB">
        <w:rPr>
          <w:rFonts w:ascii="Arial" w:hAnsi="Arial" w:cs="Arial"/>
          <w:sz w:val="24"/>
          <w:szCs w:val="24"/>
        </w:rPr>
        <w:t>negative</w:t>
      </w:r>
      <w:r w:rsidR="00E609EB" w:rsidRPr="00EB056A">
        <w:rPr>
          <w:rFonts w:ascii="Arial" w:hAnsi="Arial" w:cs="Arial"/>
          <w:sz w:val="24"/>
          <w:szCs w:val="24"/>
        </w:rPr>
        <w:t xml:space="preserve"> </w:t>
      </w:r>
      <w:r w:rsidRPr="00EB056A">
        <w:rPr>
          <w:rFonts w:ascii="Arial" w:hAnsi="Arial" w:cs="Arial"/>
          <w:sz w:val="24"/>
          <w:szCs w:val="24"/>
        </w:rPr>
        <w:t>controls.</w:t>
      </w:r>
      <w:r>
        <w:rPr>
          <w:rFonts w:ascii="Arial" w:hAnsi="Arial" w:cs="Arial"/>
          <w:sz w:val="24"/>
          <w:szCs w:val="24"/>
        </w:rPr>
        <w:t xml:space="preserve"> </w:t>
      </w:r>
      <w:r w:rsidR="00892F9C" w:rsidRPr="00EB056A">
        <w:rPr>
          <w:rFonts w:ascii="Arial" w:hAnsi="Arial" w:cs="Arial"/>
          <w:sz w:val="24"/>
          <w:szCs w:val="24"/>
        </w:rPr>
        <w:t>Medi</w:t>
      </w:r>
      <w:r w:rsidR="0060219D">
        <w:rPr>
          <w:rFonts w:ascii="Arial" w:hAnsi="Arial" w:cs="Arial"/>
          <w:sz w:val="24"/>
          <w:szCs w:val="24"/>
        </w:rPr>
        <w:t>um</w:t>
      </w:r>
      <w:r w:rsidR="00892F9C" w:rsidRPr="00EB056A">
        <w:rPr>
          <w:rFonts w:ascii="Arial" w:hAnsi="Arial" w:cs="Arial"/>
          <w:sz w:val="24"/>
          <w:szCs w:val="24"/>
        </w:rPr>
        <w:t xml:space="preserve"> was removed from all the wells</w:t>
      </w:r>
      <w:r>
        <w:rPr>
          <w:rFonts w:ascii="Arial" w:hAnsi="Arial" w:cs="Arial"/>
          <w:sz w:val="24"/>
          <w:szCs w:val="24"/>
        </w:rPr>
        <w:t>. T</w:t>
      </w:r>
      <w:r w:rsidR="00892F9C" w:rsidRPr="00EB056A">
        <w:rPr>
          <w:rFonts w:ascii="Arial" w:hAnsi="Arial" w:cs="Arial"/>
          <w:sz w:val="24"/>
          <w:szCs w:val="24"/>
        </w:rPr>
        <w:t>o eliminate residual medi</w:t>
      </w:r>
      <w:r w:rsidR="0060219D">
        <w:rPr>
          <w:rFonts w:ascii="Arial" w:hAnsi="Arial" w:cs="Arial"/>
          <w:sz w:val="24"/>
          <w:szCs w:val="24"/>
        </w:rPr>
        <w:t>um</w:t>
      </w:r>
      <w:r>
        <w:rPr>
          <w:rFonts w:ascii="Arial" w:hAnsi="Arial" w:cs="Arial"/>
          <w:sz w:val="24"/>
          <w:szCs w:val="24"/>
        </w:rPr>
        <w:t xml:space="preserve">, </w:t>
      </w:r>
      <w:r w:rsidRPr="00EB056A">
        <w:rPr>
          <w:rFonts w:ascii="Arial" w:hAnsi="Arial" w:cs="Arial"/>
          <w:sz w:val="24"/>
          <w:szCs w:val="24"/>
        </w:rPr>
        <w:t>300 µL</w:t>
      </w:r>
      <w:r w:rsidR="005C314D">
        <w:rPr>
          <w:rFonts w:ascii="Arial" w:hAnsi="Arial" w:cs="Arial"/>
          <w:sz w:val="24"/>
          <w:szCs w:val="24"/>
        </w:rPr>
        <w:t>/well</w:t>
      </w:r>
      <w:r w:rsidRPr="00EB056A">
        <w:rPr>
          <w:rFonts w:ascii="Arial" w:hAnsi="Arial" w:cs="Arial"/>
          <w:sz w:val="24"/>
          <w:szCs w:val="24"/>
        </w:rPr>
        <w:t xml:space="preserve"> of PBS </w:t>
      </w:r>
      <w:r>
        <w:rPr>
          <w:rFonts w:ascii="Arial" w:hAnsi="Arial" w:cs="Arial"/>
          <w:sz w:val="24"/>
          <w:szCs w:val="24"/>
        </w:rPr>
        <w:t>was</w:t>
      </w:r>
      <w:r w:rsidRPr="00EB056A">
        <w:rPr>
          <w:rFonts w:ascii="Arial" w:hAnsi="Arial" w:cs="Arial"/>
          <w:sz w:val="24"/>
          <w:szCs w:val="24"/>
        </w:rPr>
        <w:t xml:space="preserve"> added</w:t>
      </w:r>
      <w:r>
        <w:rPr>
          <w:rFonts w:ascii="Arial" w:hAnsi="Arial" w:cs="Arial"/>
          <w:sz w:val="24"/>
          <w:szCs w:val="24"/>
        </w:rPr>
        <w:t xml:space="preserve"> to the wells</w:t>
      </w:r>
      <w:r w:rsidR="006F52AE">
        <w:rPr>
          <w:rFonts w:ascii="Arial" w:hAnsi="Arial" w:cs="Arial"/>
          <w:sz w:val="24"/>
          <w:szCs w:val="24"/>
        </w:rPr>
        <w:t>,</w:t>
      </w:r>
      <w:r w:rsidR="00892F9C" w:rsidRPr="00EB056A">
        <w:rPr>
          <w:rFonts w:ascii="Arial" w:hAnsi="Arial" w:cs="Arial"/>
          <w:sz w:val="24"/>
          <w:szCs w:val="24"/>
        </w:rPr>
        <w:t xml:space="preserve"> then </w:t>
      </w:r>
      <w:r>
        <w:rPr>
          <w:rFonts w:ascii="Arial" w:hAnsi="Arial" w:cs="Arial"/>
          <w:sz w:val="24"/>
          <w:szCs w:val="24"/>
        </w:rPr>
        <w:t>removed.</w:t>
      </w:r>
      <w:r w:rsidR="00892F9C" w:rsidRPr="00EB056A">
        <w:rPr>
          <w:rFonts w:ascii="Arial" w:hAnsi="Arial" w:cs="Arial"/>
          <w:sz w:val="24"/>
          <w:szCs w:val="24"/>
        </w:rPr>
        <w:t xml:space="preserve"> </w:t>
      </w:r>
      <w:r>
        <w:rPr>
          <w:rFonts w:ascii="Arial" w:hAnsi="Arial" w:cs="Arial"/>
          <w:sz w:val="24"/>
          <w:szCs w:val="24"/>
        </w:rPr>
        <w:t xml:space="preserve">Live-Dead </w:t>
      </w:r>
      <w:r w:rsidRPr="00EB056A">
        <w:rPr>
          <w:rFonts w:ascii="Arial" w:hAnsi="Arial" w:cs="Arial"/>
          <w:sz w:val="24"/>
          <w:szCs w:val="24"/>
        </w:rPr>
        <w:t>d</w:t>
      </w:r>
      <w:r>
        <w:rPr>
          <w:rFonts w:ascii="Arial" w:hAnsi="Arial" w:cs="Arial"/>
          <w:sz w:val="24"/>
          <w:szCs w:val="24"/>
        </w:rPr>
        <w:t>y</w:t>
      </w:r>
      <w:r w:rsidRPr="00EB056A">
        <w:rPr>
          <w:rFonts w:ascii="Arial" w:hAnsi="Arial" w:cs="Arial"/>
          <w:sz w:val="24"/>
          <w:szCs w:val="24"/>
        </w:rPr>
        <w:t xml:space="preserve">e </w:t>
      </w:r>
      <w:r w:rsidR="00892F9C" w:rsidRPr="00EB056A">
        <w:rPr>
          <w:rFonts w:ascii="Arial" w:hAnsi="Arial" w:cs="Arial"/>
          <w:sz w:val="24"/>
          <w:szCs w:val="24"/>
        </w:rPr>
        <w:t xml:space="preserve">solution </w:t>
      </w:r>
      <w:r>
        <w:rPr>
          <w:rFonts w:ascii="Arial" w:hAnsi="Arial" w:cs="Arial"/>
          <w:sz w:val="24"/>
          <w:szCs w:val="24"/>
        </w:rPr>
        <w:t>was</w:t>
      </w:r>
      <w:r w:rsidRPr="00EB056A">
        <w:rPr>
          <w:rFonts w:ascii="Arial" w:hAnsi="Arial" w:cs="Arial"/>
          <w:sz w:val="24"/>
          <w:szCs w:val="24"/>
        </w:rPr>
        <w:t xml:space="preserve"> </w:t>
      </w:r>
      <w:r w:rsidR="00892F9C" w:rsidRPr="00EB056A">
        <w:rPr>
          <w:rFonts w:ascii="Arial" w:hAnsi="Arial" w:cs="Arial"/>
          <w:sz w:val="24"/>
          <w:szCs w:val="24"/>
        </w:rPr>
        <w:t>added in each well</w:t>
      </w:r>
      <w:r w:rsidR="006F52AE">
        <w:rPr>
          <w:rFonts w:ascii="Arial" w:hAnsi="Arial" w:cs="Arial"/>
          <w:sz w:val="24"/>
          <w:szCs w:val="24"/>
        </w:rPr>
        <w:t>,</w:t>
      </w:r>
      <w:r w:rsidR="006F52AE" w:rsidRPr="00EB056A">
        <w:rPr>
          <w:rFonts w:ascii="Arial" w:hAnsi="Arial" w:cs="Arial"/>
          <w:sz w:val="24"/>
          <w:szCs w:val="24"/>
        </w:rPr>
        <w:t xml:space="preserve"> incubated 15 minutes at 37°C</w:t>
      </w:r>
      <w:r w:rsidR="006F52AE">
        <w:rPr>
          <w:rFonts w:ascii="Arial" w:hAnsi="Arial" w:cs="Arial"/>
          <w:sz w:val="24"/>
          <w:szCs w:val="24"/>
        </w:rPr>
        <w:t xml:space="preserve">, and replaced by </w:t>
      </w:r>
      <w:r w:rsidR="002F2072">
        <w:rPr>
          <w:rFonts w:ascii="Arial" w:hAnsi="Arial" w:cs="Arial"/>
          <w:sz w:val="24"/>
          <w:szCs w:val="24"/>
        </w:rPr>
        <w:t xml:space="preserve">300 </w:t>
      </w:r>
      <w:r w:rsidR="002F2072" w:rsidRPr="00EB056A">
        <w:rPr>
          <w:rFonts w:ascii="Arial" w:hAnsi="Arial" w:cs="Arial"/>
          <w:sz w:val="24"/>
          <w:szCs w:val="24"/>
        </w:rPr>
        <w:t>µL</w:t>
      </w:r>
      <w:r w:rsidR="005C314D">
        <w:rPr>
          <w:rFonts w:ascii="Arial" w:hAnsi="Arial" w:cs="Arial"/>
          <w:sz w:val="24"/>
          <w:szCs w:val="24"/>
        </w:rPr>
        <w:t>/well</w:t>
      </w:r>
      <w:r w:rsidR="002F2072">
        <w:rPr>
          <w:rFonts w:ascii="Arial" w:hAnsi="Arial" w:cs="Arial"/>
          <w:sz w:val="24"/>
          <w:szCs w:val="24"/>
        </w:rPr>
        <w:t xml:space="preserve"> of PBS</w:t>
      </w:r>
      <w:r w:rsidR="009D2AE0">
        <w:rPr>
          <w:rFonts w:ascii="Arial" w:hAnsi="Arial" w:cs="Arial"/>
          <w:sz w:val="24"/>
          <w:szCs w:val="24"/>
        </w:rPr>
        <w:t xml:space="preserve"> for imaging</w:t>
      </w:r>
      <w:r w:rsidR="00892F9C" w:rsidRPr="00EB056A">
        <w:rPr>
          <w:rFonts w:ascii="Arial" w:hAnsi="Arial" w:cs="Arial"/>
          <w:sz w:val="24"/>
          <w:szCs w:val="24"/>
        </w:rPr>
        <w:t xml:space="preserve">. </w:t>
      </w:r>
      <w:r w:rsidR="001A2167">
        <w:rPr>
          <w:rFonts w:ascii="Arial" w:hAnsi="Arial" w:cs="Arial"/>
          <w:sz w:val="24"/>
          <w:szCs w:val="24"/>
        </w:rPr>
        <w:t>Three</w:t>
      </w:r>
      <w:r w:rsidR="00892F9C" w:rsidRPr="00EB056A">
        <w:rPr>
          <w:rFonts w:ascii="Arial" w:hAnsi="Arial" w:cs="Arial"/>
          <w:sz w:val="24"/>
          <w:szCs w:val="24"/>
        </w:rPr>
        <w:t xml:space="preserve"> </w:t>
      </w:r>
      <w:r w:rsidR="001A2167">
        <w:rPr>
          <w:rFonts w:ascii="Arial" w:hAnsi="Arial" w:cs="Arial"/>
          <w:sz w:val="24"/>
          <w:szCs w:val="24"/>
        </w:rPr>
        <w:t>images</w:t>
      </w:r>
      <w:r w:rsidR="001A2167" w:rsidRPr="00EB056A">
        <w:rPr>
          <w:rFonts w:ascii="Arial" w:hAnsi="Arial" w:cs="Arial"/>
          <w:sz w:val="24"/>
          <w:szCs w:val="24"/>
        </w:rPr>
        <w:t xml:space="preserve"> </w:t>
      </w:r>
      <w:r w:rsidR="00892F9C" w:rsidRPr="00EB056A">
        <w:rPr>
          <w:rFonts w:ascii="Arial" w:hAnsi="Arial" w:cs="Arial"/>
          <w:sz w:val="24"/>
          <w:szCs w:val="24"/>
        </w:rPr>
        <w:t xml:space="preserve">of each well at different locations were taken with </w:t>
      </w:r>
      <w:r w:rsidR="00597746">
        <w:rPr>
          <w:rFonts w:ascii="Arial" w:hAnsi="Arial" w:cs="Arial"/>
          <w:sz w:val="24"/>
          <w:szCs w:val="24"/>
        </w:rPr>
        <w:t xml:space="preserve">the 10X objective of a </w:t>
      </w:r>
      <w:r w:rsidR="00782E97">
        <w:rPr>
          <w:rFonts w:ascii="Arial" w:hAnsi="Arial" w:cs="Arial"/>
          <w:sz w:val="24"/>
          <w:szCs w:val="24"/>
        </w:rPr>
        <w:t>Nikon eclipse TS 100</w:t>
      </w:r>
      <w:r w:rsidR="00892F9C" w:rsidRPr="00EB056A">
        <w:rPr>
          <w:rFonts w:ascii="Arial" w:hAnsi="Arial" w:cs="Arial"/>
          <w:sz w:val="24"/>
          <w:szCs w:val="24"/>
        </w:rPr>
        <w:t xml:space="preserve"> fluorescence microscope.</w:t>
      </w:r>
      <w:r w:rsidR="005C314D">
        <w:rPr>
          <w:rFonts w:ascii="Arial" w:hAnsi="Arial" w:cs="Arial"/>
          <w:sz w:val="24"/>
          <w:szCs w:val="24"/>
        </w:rPr>
        <w:t xml:space="preserve"> </w:t>
      </w:r>
      <w:r w:rsidR="008F6296">
        <w:rPr>
          <w:rFonts w:ascii="Arial" w:hAnsi="Arial" w:cs="Arial"/>
          <w:sz w:val="24"/>
          <w:szCs w:val="24"/>
        </w:rPr>
        <w:t xml:space="preserve">To assess viability, the number of live and dead cells were </w:t>
      </w:r>
      <w:r w:rsidR="00A80E97">
        <w:rPr>
          <w:rFonts w:ascii="Arial" w:hAnsi="Arial" w:cs="Arial"/>
          <w:sz w:val="24"/>
          <w:szCs w:val="24"/>
        </w:rPr>
        <w:t>determined</w:t>
      </w:r>
      <w:r w:rsidR="00305667">
        <w:rPr>
          <w:rFonts w:ascii="Arial" w:hAnsi="Arial" w:cs="Arial"/>
          <w:sz w:val="24"/>
          <w:szCs w:val="24"/>
        </w:rPr>
        <w:t xml:space="preserve"> according to the following definitions: </w:t>
      </w:r>
    </w:p>
    <w:p w14:paraId="4B5EC2A7" w14:textId="77777777" w:rsidR="00D667FF" w:rsidRDefault="00C1773B" w:rsidP="00E06BDC">
      <w:pPr>
        <w:spacing w:after="0" w:line="480" w:lineRule="auto"/>
        <w:jc w:val="both"/>
        <w:rPr>
          <w:rFonts w:ascii="Arial" w:hAnsi="Arial" w:cs="Arial"/>
          <w:sz w:val="24"/>
          <w:szCs w:val="24"/>
        </w:rPr>
      </w:pPr>
      <w:r>
        <w:rPr>
          <w:rFonts w:ascii="Arial" w:hAnsi="Arial" w:cs="Arial"/>
          <w:sz w:val="24"/>
          <w:szCs w:val="24"/>
        </w:rPr>
        <w:t xml:space="preserve">Number of live cells: number of cells </w:t>
      </w:r>
      <w:r w:rsidR="00F65032">
        <w:rPr>
          <w:rFonts w:ascii="Arial" w:hAnsi="Arial" w:cs="Arial"/>
          <w:sz w:val="24"/>
          <w:szCs w:val="24"/>
        </w:rPr>
        <w:t>stained with calcein AM</w:t>
      </w:r>
      <w:r>
        <w:rPr>
          <w:rFonts w:ascii="Arial" w:hAnsi="Arial" w:cs="Arial"/>
          <w:sz w:val="24"/>
          <w:szCs w:val="24"/>
        </w:rPr>
        <w:t>. Number of dead cells</w:t>
      </w:r>
      <w:r w:rsidR="00EA31FA">
        <w:rPr>
          <w:rFonts w:ascii="Arial" w:hAnsi="Arial" w:cs="Arial"/>
          <w:sz w:val="24"/>
          <w:szCs w:val="24"/>
        </w:rPr>
        <w:t>: number of cells</w:t>
      </w:r>
      <w:r w:rsidR="00F65032">
        <w:rPr>
          <w:rFonts w:ascii="Arial" w:hAnsi="Arial" w:cs="Arial"/>
          <w:sz w:val="24"/>
          <w:szCs w:val="24"/>
        </w:rPr>
        <w:t xml:space="preserve"> stained with EthD-III</w:t>
      </w:r>
      <w:r w:rsidR="008F6296">
        <w:rPr>
          <w:rFonts w:ascii="Arial" w:hAnsi="Arial" w:cs="Arial"/>
          <w:sz w:val="24"/>
          <w:szCs w:val="24"/>
        </w:rPr>
        <w:t>.</w:t>
      </w:r>
    </w:p>
    <w:p w14:paraId="07F39BB6" w14:textId="011DF6AF" w:rsidR="006E2147" w:rsidRPr="00404FAC" w:rsidRDefault="00D667FF" w:rsidP="00404FAC">
      <w:pPr>
        <w:spacing w:after="0" w:line="480" w:lineRule="auto"/>
        <w:jc w:val="both"/>
        <w:rPr>
          <w:rFonts w:ascii="Arial" w:hAnsi="Arial" w:cs="Arial"/>
          <w:sz w:val="24"/>
          <w:szCs w:val="24"/>
        </w:rPr>
      </w:pPr>
      <w:r>
        <w:rPr>
          <w:noProof/>
        </w:rPr>
        <w:drawing>
          <wp:inline distT="0" distB="0" distL="0" distR="0" wp14:anchorId="582C7213" wp14:editId="3C2129B4">
            <wp:extent cx="2771775" cy="685800"/>
            <wp:effectExtent l="0" t="0" r="952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771775" cy="685800"/>
                    </a:xfrm>
                    <a:prstGeom prst="rect">
                      <a:avLst/>
                    </a:prstGeom>
                  </pic:spPr>
                </pic:pic>
              </a:graphicData>
            </a:graphic>
          </wp:inline>
        </w:drawing>
      </w:r>
    </w:p>
    <w:p w14:paraId="5947C551" w14:textId="4AC9A946" w:rsidR="003D6C96" w:rsidRPr="00EB056A" w:rsidRDefault="005C314D" w:rsidP="00EB056A">
      <w:pPr>
        <w:pStyle w:val="Titre3"/>
        <w:spacing w:line="480" w:lineRule="auto"/>
        <w:jc w:val="both"/>
        <w:rPr>
          <w:rFonts w:ascii="Arial" w:hAnsi="Arial" w:cs="Arial"/>
          <w:b/>
          <w:bCs/>
          <w:color w:val="auto"/>
        </w:rPr>
      </w:pPr>
      <w:bookmarkStart w:id="78" w:name="_Toc106903232"/>
      <w:r>
        <w:rPr>
          <w:rFonts w:ascii="Arial" w:hAnsi="Arial" w:cs="Arial"/>
          <w:b/>
          <w:bCs/>
          <w:color w:val="auto"/>
        </w:rPr>
        <w:t>2.2.1</w:t>
      </w:r>
      <w:r w:rsidR="00404FAC">
        <w:rPr>
          <w:rFonts w:ascii="Arial" w:hAnsi="Arial" w:cs="Arial"/>
          <w:b/>
          <w:bCs/>
          <w:color w:val="auto"/>
        </w:rPr>
        <w:t>2</w:t>
      </w:r>
      <w:r>
        <w:rPr>
          <w:rFonts w:ascii="Arial" w:hAnsi="Arial" w:cs="Arial"/>
          <w:b/>
          <w:bCs/>
          <w:color w:val="auto"/>
        </w:rPr>
        <w:t xml:space="preserve"> </w:t>
      </w:r>
      <w:r w:rsidR="003D6C96" w:rsidRPr="00EB056A">
        <w:rPr>
          <w:rFonts w:ascii="Arial" w:hAnsi="Arial" w:cs="Arial"/>
          <w:b/>
          <w:bCs/>
          <w:color w:val="auto"/>
        </w:rPr>
        <w:t>Statistical analysis</w:t>
      </w:r>
      <w:bookmarkEnd w:id="78"/>
    </w:p>
    <w:p w14:paraId="67333380" w14:textId="283E5BA7" w:rsidR="001D53F7" w:rsidRDefault="003D6C96" w:rsidP="00525779">
      <w:pPr>
        <w:spacing w:line="480" w:lineRule="auto"/>
        <w:ind w:firstLine="720"/>
        <w:jc w:val="both"/>
        <w:rPr>
          <w:rFonts w:ascii="Arial" w:hAnsi="Arial" w:cs="Arial"/>
          <w:sz w:val="24"/>
          <w:szCs w:val="24"/>
        </w:rPr>
      </w:pPr>
      <w:r w:rsidRPr="00A66AF8">
        <w:rPr>
          <w:rFonts w:ascii="Arial" w:hAnsi="Arial" w:cs="Arial"/>
          <w:sz w:val="24"/>
          <w:szCs w:val="24"/>
        </w:rPr>
        <w:t xml:space="preserve">All data are presented as mean ± S.D. (standard deviation) from at least </w:t>
      </w:r>
      <w:r w:rsidR="005872CA">
        <w:rPr>
          <w:rFonts w:ascii="Arial" w:hAnsi="Arial" w:cs="Arial"/>
          <w:sz w:val="24"/>
          <w:szCs w:val="24"/>
        </w:rPr>
        <w:t>n=3</w:t>
      </w:r>
      <w:r w:rsidRPr="00A66AF8">
        <w:rPr>
          <w:rFonts w:ascii="Arial" w:hAnsi="Arial" w:cs="Arial"/>
          <w:sz w:val="24"/>
          <w:szCs w:val="24"/>
        </w:rPr>
        <w:t xml:space="preserve"> experiments. </w:t>
      </w:r>
      <w:r w:rsidR="00600C0C">
        <w:rPr>
          <w:rFonts w:ascii="Arial" w:hAnsi="Arial" w:cs="Arial"/>
          <w:sz w:val="24"/>
          <w:szCs w:val="24"/>
        </w:rPr>
        <w:t>Two</w:t>
      </w:r>
      <w:r w:rsidR="004748BC" w:rsidRPr="00A66AF8">
        <w:rPr>
          <w:rFonts w:ascii="Arial" w:hAnsi="Arial" w:cs="Arial"/>
          <w:sz w:val="24"/>
          <w:szCs w:val="24"/>
        </w:rPr>
        <w:t xml:space="preserve">-way ANOVA </w:t>
      </w:r>
      <w:r w:rsidRPr="00A66AF8">
        <w:rPr>
          <w:rFonts w:ascii="Arial" w:hAnsi="Arial" w:cs="Arial"/>
          <w:sz w:val="24"/>
          <w:szCs w:val="24"/>
        </w:rPr>
        <w:t xml:space="preserve">was applied to evaluate the differences between treated and control groups. For all the tests, the level of significance was p </w:t>
      </w:r>
      <w:r w:rsidRPr="00EB056A">
        <w:rPr>
          <w:rFonts w:ascii="Arial" w:hAnsi="Arial" w:cs="Arial"/>
          <w:sz w:val="24"/>
          <w:szCs w:val="24"/>
        </w:rPr>
        <w:t>&lt; 0.05.</w:t>
      </w:r>
    </w:p>
    <w:p w14:paraId="1C8C38F1" w14:textId="2C9937C6" w:rsidR="001D53F7" w:rsidRDefault="001D53F7" w:rsidP="003B7652">
      <w:pPr>
        <w:pStyle w:val="Titre2"/>
        <w:spacing w:line="480" w:lineRule="auto"/>
        <w:jc w:val="both"/>
        <w:rPr>
          <w:rFonts w:ascii="Arial" w:hAnsi="Arial" w:cs="Arial"/>
          <w:b/>
          <w:bCs/>
          <w:color w:val="auto"/>
        </w:rPr>
      </w:pPr>
      <w:bookmarkStart w:id="79" w:name="_Toc106903233"/>
      <w:r w:rsidRPr="00EB056A">
        <w:rPr>
          <w:rFonts w:ascii="Arial" w:hAnsi="Arial" w:cs="Arial"/>
          <w:b/>
          <w:bCs/>
          <w:color w:val="auto"/>
        </w:rPr>
        <w:lastRenderedPageBreak/>
        <w:t>2.</w:t>
      </w:r>
      <w:r w:rsidR="007F4F2A">
        <w:rPr>
          <w:rFonts w:ascii="Arial" w:hAnsi="Arial" w:cs="Arial"/>
          <w:b/>
          <w:bCs/>
          <w:color w:val="auto"/>
        </w:rPr>
        <w:t>3</w:t>
      </w:r>
      <w:r w:rsidRPr="00EB056A">
        <w:rPr>
          <w:rFonts w:ascii="Arial" w:hAnsi="Arial" w:cs="Arial"/>
          <w:b/>
          <w:bCs/>
          <w:color w:val="auto"/>
        </w:rPr>
        <w:t xml:space="preserve"> </w:t>
      </w:r>
      <w:r w:rsidR="00DE327E" w:rsidRPr="00EB056A">
        <w:rPr>
          <w:rFonts w:ascii="Arial" w:hAnsi="Arial" w:cs="Arial"/>
          <w:b/>
          <w:bCs/>
          <w:color w:val="auto"/>
        </w:rPr>
        <w:t>Results</w:t>
      </w:r>
      <w:bookmarkEnd w:id="79"/>
    </w:p>
    <w:p w14:paraId="43D79F79" w14:textId="2AA555DA" w:rsidR="006F4F8F" w:rsidRPr="003B7652" w:rsidRDefault="006F4F8F" w:rsidP="003B7652">
      <w:pPr>
        <w:pStyle w:val="Titre3"/>
        <w:spacing w:line="480" w:lineRule="auto"/>
        <w:rPr>
          <w:rFonts w:ascii="Arial" w:hAnsi="Arial" w:cs="Arial"/>
          <w:b/>
          <w:bCs/>
        </w:rPr>
      </w:pPr>
      <w:bookmarkStart w:id="80" w:name="_Toc106903234"/>
      <w:r w:rsidRPr="003B7652">
        <w:rPr>
          <w:rFonts w:ascii="Arial" w:hAnsi="Arial" w:cs="Arial"/>
          <w:b/>
          <w:bCs/>
          <w:color w:val="auto"/>
        </w:rPr>
        <w:t>2.</w:t>
      </w:r>
      <w:r w:rsidR="007F4F2A">
        <w:rPr>
          <w:rFonts w:ascii="Arial" w:hAnsi="Arial" w:cs="Arial"/>
          <w:b/>
          <w:bCs/>
          <w:color w:val="auto"/>
        </w:rPr>
        <w:t>3</w:t>
      </w:r>
      <w:r w:rsidRPr="003B7652">
        <w:rPr>
          <w:rFonts w:ascii="Arial" w:hAnsi="Arial" w:cs="Arial"/>
          <w:b/>
          <w:bCs/>
          <w:color w:val="auto"/>
        </w:rPr>
        <w:t xml:space="preserve">.1 </w:t>
      </w:r>
      <w:r w:rsidR="007F4F2A">
        <w:rPr>
          <w:rFonts w:ascii="Arial" w:hAnsi="Arial" w:cs="Arial"/>
          <w:b/>
          <w:bCs/>
          <w:color w:val="auto"/>
        </w:rPr>
        <w:t>Characterization of PHA</w:t>
      </w:r>
      <w:bookmarkEnd w:id="80"/>
    </w:p>
    <w:p w14:paraId="6DBFC0D3" w14:textId="382D5CA7" w:rsidR="003C278B" w:rsidRPr="00311874" w:rsidRDefault="006F4F8F" w:rsidP="003C278B">
      <w:pPr>
        <w:spacing w:line="480" w:lineRule="auto"/>
        <w:ind w:firstLine="720"/>
        <w:jc w:val="both"/>
        <w:rPr>
          <w:rFonts w:ascii="Arial" w:hAnsi="Arial" w:cs="Arial"/>
          <w:sz w:val="24"/>
          <w:szCs w:val="24"/>
        </w:rPr>
      </w:pPr>
      <w:r>
        <w:rPr>
          <w:rFonts w:ascii="Arial" w:hAnsi="Arial" w:cs="Arial"/>
          <w:sz w:val="24"/>
          <w:szCs w:val="24"/>
        </w:rPr>
        <w:t xml:space="preserve">To create an </w:t>
      </w:r>
      <w:r w:rsidRPr="00EB056A">
        <w:rPr>
          <w:rFonts w:ascii="Arial" w:hAnsi="Arial" w:cs="Arial"/>
          <w:sz w:val="24"/>
          <w:szCs w:val="24"/>
        </w:rPr>
        <w:t xml:space="preserve">injectable, biodegradable, hyaluronic acid-based material </w:t>
      </w:r>
      <w:r>
        <w:rPr>
          <w:rFonts w:ascii="Arial" w:hAnsi="Arial" w:cs="Arial"/>
          <w:sz w:val="24"/>
          <w:szCs w:val="24"/>
        </w:rPr>
        <w:t xml:space="preserve">for vascular occlusion of brain blood vessel aneurysms, </w:t>
      </w:r>
      <w:r w:rsidR="00182CF4">
        <w:rPr>
          <w:rFonts w:ascii="Arial" w:hAnsi="Arial" w:cs="Arial"/>
          <w:sz w:val="24"/>
          <w:szCs w:val="24"/>
        </w:rPr>
        <w:t>pentenoate</w:t>
      </w:r>
      <w:r w:rsidR="00322B6D">
        <w:rPr>
          <w:rFonts w:ascii="Arial" w:hAnsi="Arial" w:cs="Arial"/>
          <w:sz w:val="24"/>
          <w:szCs w:val="24"/>
        </w:rPr>
        <w:t>-modified</w:t>
      </w:r>
      <w:r w:rsidR="00182CF4">
        <w:rPr>
          <w:rFonts w:ascii="Arial" w:hAnsi="Arial" w:cs="Arial"/>
          <w:sz w:val="24"/>
          <w:szCs w:val="24"/>
        </w:rPr>
        <w:t xml:space="preserve"> </w:t>
      </w:r>
      <w:r>
        <w:rPr>
          <w:rFonts w:ascii="Arial" w:hAnsi="Arial" w:cs="Arial"/>
          <w:sz w:val="24"/>
          <w:szCs w:val="24"/>
        </w:rPr>
        <w:t>hyaluronic acid (PHA) was first synthesized (</w:t>
      </w:r>
      <w:r w:rsidR="00475124" w:rsidRPr="003C3AA9">
        <w:rPr>
          <w:rFonts w:ascii="Arial" w:hAnsi="Arial" w:cs="Arial"/>
          <w:sz w:val="24"/>
          <w:szCs w:val="24"/>
        </w:rPr>
        <w:fldChar w:fldCharType="begin"/>
      </w:r>
      <w:r w:rsidR="00475124" w:rsidRPr="003C3AA9">
        <w:rPr>
          <w:rFonts w:ascii="Arial" w:hAnsi="Arial" w:cs="Arial"/>
          <w:sz w:val="24"/>
          <w:szCs w:val="24"/>
        </w:rPr>
        <w:instrText xml:space="preserve"> REF _Ref102323058 \h </w:instrText>
      </w:r>
      <w:r w:rsidR="00475124" w:rsidRPr="003B7652">
        <w:rPr>
          <w:rFonts w:ascii="Arial" w:hAnsi="Arial" w:cs="Arial"/>
          <w:sz w:val="24"/>
          <w:szCs w:val="24"/>
        </w:rPr>
        <w:instrText xml:space="preserve"> \* MERGEFORMAT </w:instrText>
      </w:r>
      <w:r w:rsidR="00475124" w:rsidRPr="003C3AA9">
        <w:rPr>
          <w:rFonts w:ascii="Arial" w:hAnsi="Arial" w:cs="Arial"/>
          <w:sz w:val="24"/>
          <w:szCs w:val="24"/>
        </w:rPr>
      </w:r>
      <w:r w:rsidR="00475124" w:rsidRPr="003C3AA9">
        <w:rPr>
          <w:rFonts w:ascii="Arial" w:hAnsi="Arial" w:cs="Arial"/>
          <w:sz w:val="24"/>
          <w:szCs w:val="24"/>
        </w:rPr>
        <w:fldChar w:fldCharType="separate"/>
      </w:r>
      <w:r w:rsidR="005C4791" w:rsidRPr="005C4791">
        <w:rPr>
          <w:rFonts w:ascii="Arial" w:hAnsi="Arial" w:cs="Arial"/>
          <w:sz w:val="24"/>
          <w:szCs w:val="24"/>
        </w:rPr>
        <w:t xml:space="preserve">Figure </w:t>
      </w:r>
      <w:r w:rsidR="005C4791" w:rsidRPr="005C4791">
        <w:rPr>
          <w:rFonts w:ascii="Arial" w:hAnsi="Arial" w:cs="Arial"/>
          <w:noProof/>
          <w:sz w:val="24"/>
          <w:szCs w:val="24"/>
        </w:rPr>
        <w:t>10</w:t>
      </w:r>
      <w:r w:rsidR="00475124" w:rsidRPr="003C3AA9">
        <w:rPr>
          <w:rFonts w:ascii="Arial" w:hAnsi="Arial" w:cs="Arial"/>
          <w:sz w:val="24"/>
          <w:szCs w:val="24"/>
        </w:rPr>
        <w:fldChar w:fldCharType="end"/>
      </w:r>
      <w:r>
        <w:rPr>
          <w:rFonts w:ascii="Arial" w:hAnsi="Arial" w:cs="Arial"/>
          <w:sz w:val="24"/>
          <w:szCs w:val="24"/>
        </w:rPr>
        <w:t xml:space="preserve">). </w:t>
      </w:r>
      <w:r w:rsidR="002B4B02">
        <w:rPr>
          <w:rFonts w:ascii="Arial" w:hAnsi="Arial" w:cs="Arial"/>
          <w:sz w:val="24"/>
          <w:szCs w:val="24"/>
        </w:rPr>
        <w:t>The formation of pentenoate groups that characterize PHA was assessed by the presence of hydrogen proton NMR peaks at 6.25 ppm</w:t>
      </w:r>
      <w:r w:rsidR="00DA416B">
        <w:rPr>
          <w:rFonts w:ascii="Arial" w:hAnsi="Arial" w:cs="Arial"/>
          <w:sz w:val="24"/>
          <w:szCs w:val="24"/>
        </w:rPr>
        <w:t xml:space="preserve"> with D</w:t>
      </w:r>
      <w:r w:rsidR="00DA416B" w:rsidRPr="00834360">
        <w:rPr>
          <w:rFonts w:ascii="Arial" w:hAnsi="Arial" w:cs="Arial"/>
          <w:sz w:val="24"/>
          <w:szCs w:val="24"/>
          <w:vertAlign w:val="subscript"/>
        </w:rPr>
        <w:t>2</w:t>
      </w:r>
      <w:r w:rsidR="00DA416B">
        <w:rPr>
          <w:rFonts w:ascii="Arial" w:hAnsi="Arial" w:cs="Arial"/>
          <w:sz w:val="24"/>
          <w:szCs w:val="24"/>
        </w:rPr>
        <w:t>O solv</w:t>
      </w:r>
      <w:r w:rsidR="00322B6D">
        <w:rPr>
          <w:rFonts w:ascii="Arial" w:hAnsi="Arial" w:cs="Arial"/>
          <w:sz w:val="24"/>
          <w:szCs w:val="24"/>
        </w:rPr>
        <w:t>e</w:t>
      </w:r>
      <w:r w:rsidR="00DA416B">
        <w:rPr>
          <w:rFonts w:ascii="Arial" w:hAnsi="Arial" w:cs="Arial"/>
          <w:sz w:val="24"/>
          <w:szCs w:val="24"/>
        </w:rPr>
        <w:t>nt</w:t>
      </w:r>
      <w:r w:rsidR="002B4B02">
        <w:rPr>
          <w:rFonts w:ascii="Arial" w:hAnsi="Arial" w:cs="Arial"/>
          <w:sz w:val="24"/>
          <w:szCs w:val="24"/>
        </w:rPr>
        <w:t xml:space="preserve"> (</w:t>
      </w:r>
      <w:r w:rsidR="002B4B02" w:rsidRPr="00DA416B">
        <w:rPr>
          <w:rFonts w:ascii="Arial" w:hAnsi="Arial" w:cs="Arial"/>
          <w:sz w:val="24"/>
          <w:szCs w:val="24"/>
        </w:rPr>
        <w:fldChar w:fldCharType="begin"/>
      </w:r>
      <w:r w:rsidR="002B4B02" w:rsidRPr="002B4B02">
        <w:rPr>
          <w:rFonts w:ascii="Arial" w:hAnsi="Arial" w:cs="Arial"/>
          <w:sz w:val="24"/>
          <w:szCs w:val="24"/>
        </w:rPr>
        <w:instrText xml:space="preserve"> REF _Ref102652504 \h </w:instrText>
      </w:r>
      <w:r w:rsidR="002B4B02" w:rsidRPr="00834360">
        <w:rPr>
          <w:rFonts w:ascii="Arial" w:hAnsi="Arial" w:cs="Arial"/>
          <w:sz w:val="24"/>
          <w:szCs w:val="24"/>
        </w:rPr>
        <w:instrText xml:space="preserve"> \* MERGEFORMAT </w:instrText>
      </w:r>
      <w:r w:rsidR="002B4B02" w:rsidRPr="00DA416B">
        <w:rPr>
          <w:rFonts w:ascii="Arial" w:hAnsi="Arial" w:cs="Arial"/>
          <w:sz w:val="24"/>
          <w:szCs w:val="24"/>
        </w:rPr>
      </w:r>
      <w:r w:rsidR="002B4B02" w:rsidRPr="00DA416B">
        <w:rPr>
          <w:rFonts w:ascii="Arial" w:hAnsi="Arial" w:cs="Arial"/>
          <w:sz w:val="24"/>
          <w:szCs w:val="24"/>
        </w:rPr>
        <w:fldChar w:fldCharType="separate"/>
      </w:r>
      <w:r w:rsidR="005C4791" w:rsidRPr="005C4791">
        <w:rPr>
          <w:rFonts w:ascii="Arial" w:hAnsi="Arial" w:cs="Arial"/>
          <w:sz w:val="24"/>
          <w:szCs w:val="24"/>
        </w:rPr>
        <w:t xml:space="preserve">Figure </w:t>
      </w:r>
      <w:r w:rsidR="005C4791" w:rsidRPr="005C4791">
        <w:rPr>
          <w:rFonts w:ascii="Arial" w:hAnsi="Arial" w:cs="Arial"/>
          <w:noProof/>
          <w:sz w:val="24"/>
          <w:szCs w:val="24"/>
        </w:rPr>
        <w:t>11</w:t>
      </w:r>
      <w:r w:rsidR="002B4B02" w:rsidRPr="00DA416B">
        <w:rPr>
          <w:rFonts w:ascii="Arial" w:hAnsi="Arial" w:cs="Arial"/>
          <w:sz w:val="24"/>
          <w:szCs w:val="24"/>
        </w:rPr>
        <w:fldChar w:fldCharType="end"/>
      </w:r>
      <w:r w:rsidR="002B4B02">
        <w:rPr>
          <w:rFonts w:ascii="Arial" w:hAnsi="Arial" w:cs="Arial"/>
          <w:sz w:val="24"/>
          <w:szCs w:val="24"/>
        </w:rPr>
        <w:t xml:space="preserve">). </w:t>
      </w:r>
      <w:r w:rsidR="00DA416B">
        <w:rPr>
          <w:rFonts w:ascii="Arial" w:hAnsi="Arial" w:cs="Arial"/>
          <w:sz w:val="24"/>
          <w:szCs w:val="24"/>
        </w:rPr>
        <w:t>The amount of pentenoate groups</w:t>
      </w:r>
      <w:r w:rsidR="00250907">
        <w:rPr>
          <w:rFonts w:ascii="Arial" w:hAnsi="Arial" w:cs="Arial"/>
          <w:sz w:val="24"/>
          <w:szCs w:val="24"/>
        </w:rPr>
        <w:t xml:space="preserve"> </w:t>
      </w:r>
      <w:r w:rsidR="00DA416B">
        <w:rPr>
          <w:rFonts w:ascii="Arial" w:hAnsi="Arial" w:cs="Arial"/>
          <w:sz w:val="24"/>
          <w:szCs w:val="24"/>
        </w:rPr>
        <w:t>was 0.607 mmol of pentenoate per gram of PHA, which confirmed the good quality of the synthetized PHA.</w:t>
      </w:r>
    </w:p>
    <w:p w14:paraId="420DCC49" w14:textId="2441131B" w:rsidR="006F4F8F" w:rsidRPr="00311874" w:rsidRDefault="006F4F8F" w:rsidP="009B3668">
      <w:pPr>
        <w:spacing w:line="480" w:lineRule="auto"/>
        <w:ind w:firstLine="720"/>
        <w:jc w:val="both"/>
        <w:rPr>
          <w:rFonts w:ascii="Arial" w:hAnsi="Arial" w:cs="Arial"/>
          <w:sz w:val="24"/>
          <w:szCs w:val="24"/>
        </w:rPr>
      </w:pPr>
    </w:p>
    <w:p w14:paraId="2662E982" w14:textId="77777777" w:rsidR="006F4F8F" w:rsidRDefault="006F4F8F" w:rsidP="003B7652">
      <w:pPr>
        <w:spacing w:line="480" w:lineRule="auto"/>
        <w:jc w:val="both"/>
        <w:rPr>
          <w:rFonts w:ascii="Arial" w:hAnsi="Arial" w:cs="Arial"/>
          <w:sz w:val="24"/>
          <w:szCs w:val="24"/>
        </w:rPr>
      </w:pPr>
      <w:r>
        <w:rPr>
          <w:rFonts w:ascii="Arial" w:hAnsi="Arial" w:cs="Arial"/>
          <w:noProof/>
          <w:sz w:val="24"/>
          <w:szCs w:val="24"/>
        </w:rPr>
        <w:drawing>
          <wp:anchor distT="0" distB="0" distL="114300" distR="114300" simplePos="0" relativeHeight="251729920" behindDoc="0" locked="0" layoutInCell="1" allowOverlap="1" wp14:anchorId="3C56F98C" wp14:editId="465A4772">
            <wp:simplePos x="0" y="0"/>
            <wp:positionH relativeFrom="margin">
              <wp:align>center</wp:align>
            </wp:positionH>
            <wp:positionV relativeFrom="paragraph">
              <wp:posOffset>3810</wp:posOffset>
            </wp:positionV>
            <wp:extent cx="3990975" cy="1645851"/>
            <wp:effectExtent l="0" t="0" r="0" b="6350"/>
            <wp:wrapTopAndBottom/>
            <wp:docPr id="29" name="Picture 29"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with low confidenc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990975" cy="1645851"/>
                    </a:xfrm>
                    <a:prstGeom prst="rect">
                      <a:avLst/>
                    </a:prstGeom>
                  </pic:spPr>
                </pic:pic>
              </a:graphicData>
            </a:graphic>
            <wp14:sizeRelH relativeFrom="page">
              <wp14:pctWidth>0</wp14:pctWidth>
            </wp14:sizeRelH>
            <wp14:sizeRelV relativeFrom="page">
              <wp14:pctHeight>0</wp14:pctHeight>
            </wp14:sizeRelV>
          </wp:anchor>
        </w:drawing>
      </w:r>
    </w:p>
    <w:p w14:paraId="3FBEB684" w14:textId="188568B6" w:rsidR="006F4F8F" w:rsidRDefault="006563FB" w:rsidP="00834360">
      <w:pPr>
        <w:spacing w:line="276" w:lineRule="auto"/>
        <w:jc w:val="both"/>
        <w:rPr>
          <w:rFonts w:ascii="Arial" w:hAnsi="Arial" w:cs="Arial"/>
          <w:noProof/>
          <w:sz w:val="24"/>
          <w:szCs w:val="24"/>
        </w:rPr>
      </w:pPr>
      <w:bookmarkStart w:id="81" w:name="_Ref102323058"/>
      <w:bookmarkStart w:id="82" w:name="_Toc105918975"/>
      <w:r w:rsidRPr="003B7652">
        <w:rPr>
          <w:rFonts w:ascii="Arial" w:hAnsi="Arial" w:cs="Arial"/>
          <w:b/>
          <w:bCs/>
          <w:sz w:val="24"/>
          <w:szCs w:val="24"/>
        </w:rPr>
        <w:t xml:space="preserve">Figure </w:t>
      </w:r>
      <w:r w:rsidRPr="003B7652">
        <w:rPr>
          <w:rFonts w:ascii="Arial" w:hAnsi="Arial" w:cs="Arial"/>
          <w:b/>
          <w:bCs/>
          <w:sz w:val="24"/>
          <w:szCs w:val="24"/>
        </w:rPr>
        <w:fldChar w:fldCharType="begin"/>
      </w:r>
      <w:r w:rsidRPr="003B7652">
        <w:rPr>
          <w:rFonts w:ascii="Arial" w:hAnsi="Arial" w:cs="Arial"/>
          <w:b/>
          <w:bCs/>
          <w:sz w:val="24"/>
          <w:szCs w:val="24"/>
        </w:rPr>
        <w:instrText xml:space="preserve"> SEQ Figure \* ARABIC </w:instrText>
      </w:r>
      <w:r w:rsidRPr="003B7652">
        <w:rPr>
          <w:rFonts w:ascii="Arial" w:hAnsi="Arial" w:cs="Arial"/>
          <w:b/>
          <w:bCs/>
          <w:sz w:val="24"/>
          <w:szCs w:val="24"/>
        </w:rPr>
        <w:fldChar w:fldCharType="separate"/>
      </w:r>
      <w:r w:rsidR="005C4791">
        <w:rPr>
          <w:rFonts w:ascii="Arial" w:hAnsi="Arial" w:cs="Arial"/>
          <w:b/>
          <w:bCs/>
          <w:noProof/>
          <w:sz w:val="24"/>
          <w:szCs w:val="24"/>
        </w:rPr>
        <w:t>10</w:t>
      </w:r>
      <w:r w:rsidRPr="003B7652">
        <w:rPr>
          <w:rFonts w:ascii="Arial" w:hAnsi="Arial" w:cs="Arial"/>
          <w:b/>
          <w:bCs/>
          <w:sz w:val="24"/>
          <w:szCs w:val="24"/>
        </w:rPr>
        <w:fldChar w:fldCharType="end"/>
      </w:r>
      <w:bookmarkEnd w:id="81"/>
      <w:r w:rsidRPr="003B7652">
        <w:rPr>
          <w:rFonts w:ascii="Arial" w:hAnsi="Arial" w:cs="Arial"/>
          <w:b/>
          <w:bCs/>
          <w:sz w:val="24"/>
          <w:szCs w:val="24"/>
        </w:rPr>
        <w:t>: Formation of PHA.</w:t>
      </w:r>
      <w:r w:rsidRPr="003B7652">
        <w:rPr>
          <w:rFonts w:ascii="Arial" w:hAnsi="Arial" w:cs="Arial"/>
          <w:sz w:val="24"/>
          <w:szCs w:val="24"/>
        </w:rPr>
        <w:t xml:space="preserve"> Chemical reaction for PHA synthesis. Hyaluronic acid (HA) is combined with </w:t>
      </w:r>
      <w:r w:rsidR="007F4F2A" w:rsidRPr="007F4F2A">
        <w:rPr>
          <w:rFonts w:ascii="Arial" w:hAnsi="Arial" w:cs="Arial"/>
          <w:sz w:val="24"/>
          <w:szCs w:val="24"/>
        </w:rPr>
        <w:t>p</w:t>
      </w:r>
      <w:r w:rsidRPr="003B7652">
        <w:rPr>
          <w:rFonts w:ascii="Arial" w:hAnsi="Arial" w:cs="Arial"/>
          <w:sz w:val="24"/>
          <w:szCs w:val="24"/>
        </w:rPr>
        <w:t>entenoic anhydride under slightly basic conditions (pH 8</w:t>
      </w:r>
      <w:r w:rsidR="007F4F2A">
        <w:rPr>
          <w:rFonts w:ascii="Arial" w:hAnsi="Arial" w:cs="Arial"/>
          <w:i/>
          <w:iCs/>
          <w:sz w:val="24"/>
          <w:szCs w:val="24"/>
        </w:rPr>
        <w:t>-</w:t>
      </w:r>
      <w:r w:rsidRPr="003B7652">
        <w:rPr>
          <w:rFonts w:ascii="Arial" w:hAnsi="Arial" w:cs="Arial"/>
          <w:sz w:val="24"/>
          <w:szCs w:val="24"/>
        </w:rPr>
        <w:t xml:space="preserve">9), to obtain </w:t>
      </w:r>
      <w:r w:rsidR="00182CF4">
        <w:rPr>
          <w:rFonts w:ascii="Arial" w:hAnsi="Arial" w:cs="Arial"/>
          <w:sz w:val="24"/>
          <w:szCs w:val="24"/>
        </w:rPr>
        <w:t>pen</w:t>
      </w:r>
      <w:r w:rsidR="007F4F2A" w:rsidRPr="009F085D">
        <w:rPr>
          <w:rFonts w:ascii="Arial" w:hAnsi="Arial" w:cs="Arial"/>
          <w:sz w:val="24"/>
          <w:szCs w:val="24"/>
        </w:rPr>
        <w:t>t</w:t>
      </w:r>
      <w:r w:rsidR="00182CF4">
        <w:rPr>
          <w:rFonts w:ascii="Arial" w:hAnsi="Arial" w:cs="Arial"/>
          <w:sz w:val="24"/>
          <w:szCs w:val="24"/>
        </w:rPr>
        <w:t>enoate</w:t>
      </w:r>
      <w:r w:rsidR="00182CF4" w:rsidRPr="003B7652">
        <w:rPr>
          <w:rFonts w:ascii="Arial" w:hAnsi="Arial" w:cs="Arial"/>
          <w:sz w:val="24"/>
          <w:szCs w:val="24"/>
        </w:rPr>
        <w:t xml:space="preserve"> </w:t>
      </w:r>
      <w:r w:rsidRPr="003B7652">
        <w:rPr>
          <w:rFonts w:ascii="Arial" w:hAnsi="Arial" w:cs="Arial"/>
          <w:sz w:val="24"/>
          <w:szCs w:val="24"/>
        </w:rPr>
        <w:t>hyaluronic acid (PHA).</w:t>
      </w:r>
      <w:bookmarkEnd w:id="82"/>
      <w:r w:rsidR="006F4F8F" w:rsidRPr="003B7652">
        <w:rPr>
          <w:rFonts w:ascii="Arial" w:hAnsi="Arial" w:cs="Arial"/>
          <w:sz w:val="36"/>
          <w:szCs w:val="36"/>
        </w:rPr>
        <w:t xml:space="preserve"> </w:t>
      </w:r>
    </w:p>
    <w:p w14:paraId="126CC3EB" w14:textId="77777777" w:rsidR="006F4F8F" w:rsidRDefault="006F4F8F" w:rsidP="003B7652">
      <w:pPr>
        <w:spacing w:line="480" w:lineRule="auto"/>
        <w:jc w:val="both"/>
        <w:rPr>
          <w:rFonts w:ascii="Arial" w:hAnsi="Arial" w:cs="Arial"/>
          <w:sz w:val="24"/>
          <w:szCs w:val="24"/>
        </w:rPr>
      </w:pPr>
      <w:r>
        <w:rPr>
          <w:rFonts w:ascii="Arial" w:hAnsi="Arial" w:cs="Arial"/>
          <w:noProof/>
          <w:sz w:val="24"/>
          <w:szCs w:val="24"/>
        </w:rPr>
        <w:lastRenderedPageBreak/>
        <w:drawing>
          <wp:inline distT="0" distB="0" distL="0" distR="0" wp14:anchorId="57EE765F" wp14:editId="66C5969C">
            <wp:extent cx="4784707" cy="4032250"/>
            <wp:effectExtent l="0" t="0" r="0" b="6350"/>
            <wp:docPr id="30" name="Picture 3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10;&#10;Description automatically generated"/>
                    <pic:cNvPicPr/>
                  </pic:nvPicPr>
                  <pic:blipFill rotWithShape="1">
                    <a:blip r:embed="rId24">
                      <a:extLst>
                        <a:ext uri="{28A0092B-C50C-407E-A947-70E740481C1C}">
                          <a14:useLocalDpi xmlns:a14="http://schemas.microsoft.com/office/drawing/2010/main" val="0"/>
                        </a:ext>
                      </a:extLst>
                    </a:blip>
                    <a:srcRect l="4167" r="6837"/>
                    <a:stretch/>
                  </pic:blipFill>
                  <pic:spPr bwMode="auto">
                    <a:xfrm>
                      <a:off x="0" y="0"/>
                      <a:ext cx="4793144" cy="4039360"/>
                    </a:xfrm>
                    <a:prstGeom prst="rect">
                      <a:avLst/>
                    </a:prstGeom>
                    <a:ln>
                      <a:noFill/>
                    </a:ln>
                    <a:extLst>
                      <a:ext uri="{53640926-AAD7-44D8-BBD7-CCE9431645EC}">
                        <a14:shadowObscured xmlns:a14="http://schemas.microsoft.com/office/drawing/2010/main"/>
                      </a:ext>
                    </a:extLst>
                  </pic:spPr>
                </pic:pic>
              </a:graphicData>
            </a:graphic>
          </wp:inline>
        </w:drawing>
      </w:r>
    </w:p>
    <w:p w14:paraId="3A021981" w14:textId="7A4E179A" w:rsidR="005C314D" w:rsidRDefault="00471533" w:rsidP="00834360">
      <w:pPr>
        <w:pStyle w:val="Lgende"/>
        <w:spacing w:line="276" w:lineRule="auto"/>
        <w:jc w:val="both"/>
      </w:pPr>
      <w:bookmarkStart w:id="83" w:name="_Ref102652504"/>
      <w:bookmarkStart w:id="84" w:name="_Toc105918976"/>
      <w:r w:rsidRPr="003B7652">
        <w:rPr>
          <w:rFonts w:ascii="Arial" w:hAnsi="Arial" w:cs="Arial"/>
          <w:b/>
          <w:bCs/>
          <w:i w:val="0"/>
          <w:iCs w:val="0"/>
          <w:color w:val="auto"/>
          <w:sz w:val="24"/>
          <w:szCs w:val="24"/>
        </w:rPr>
        <w:t xml:space="preserve">Figure </w:t>
      </w:r>
      <w:r w:rsidRPr="003B7652">
        <w:rPr>
          <w:rFonts w:ascii="Arial" w:hAnsi="Arial" w:cs="Arial"/>
          <w:b/>
          <w:bCs/>
          <w:i w:val="0"/>
          <w:iCs w:val="0"/>
          <w:color w:val="auto"/>
          <w:sz w:val="24"/>
          <w:szCs w:val="24"/>
        </w:rPr>
        <w:fldChar w:fldCharType="begin"/>
      </w:r>
      <w:r w:rsidRPr="003B7652">
        <w:rPr>
          <w:rFonts w:ascii="Arial" w:hAnsi="Arial" w:cs="Arial"/>
          <w:b/>
          <w:bCs/>
          <w:i w:val="0"/>
          <w:iCs w:val="0"/>
          <w:color w:val="auto"/>
          <w:sz w:val="24"/>
          <w:szCs w:val="24"/>
        </w:rPr>
        <w:instrText xml:space="preserve"> SEQ Figure \* ARABIC </w:instrText>
      </w:r>
      <w:r w:rsidRPr="003B7652">
        <w:rPr>
          <w:rFonts w:ascii="Arial" w:hAnsi="Arial" w:cs="Arial"/>
          <w:b/>
          <w:bCs/>
          <w:i w:val="0"/>
          <w:iCs w:val="0"/>
          <w:color w:val="auto"/>
          <w:sz w:val="24"/>
          <w:szCs w:val="24"/>
        </w:rPr>
        <w:fldChar w:fldCharType="separate"/>
      </w:r>
      <w:r w:rsidR="005C4791">
        <w:rPr>
          <w:rFonts w:ascii="Arial" w:hAnsi="Arial" w:cs="Arial"/>
          <w:b/>
          <w:bCs/>
          <w:i w:val="0"/>
          <w:iCs w:val="0"/>
          <w:noProof/>
          <w:color w:val="auto"/>
          <w:sz w:val="24"/>
          <w:szCs w:val="24"/>
        </w:rPr>
        <w:t>11</w:t>
      </w:r>
      <w:r w:rsidRPr="003B7652">
        <w:rPr>
          <w:rFonts w:ascii="Arial" w:hAnsi="Arial" w:cs="Arial"/>
          <w:b/>
          <w:bCs/>
          <w:i w:val="0"/>
          <w:iCs w:val="0"/>
          <w:color w:val="auto"/>
          <w:sz w:val="24"/>
          <w:szCs w:val="24"/>
        </w:rPr>
        <w:fldChar w:fldCharType="end"/>
      </w:r>
      <w:bookmarkEnd w:id="83"/>
      <w:r w:rsidRPr="003B7652">
        <w:rPr>
          <w:rFonts w:ascii="Arial" w:hAnsi="Arial" w:cs="Arial"/>
          <w:b/>
          <w:bCs/>
          <w:i w:val="0"/>
          <w:iCs w:val="0"/>
          <w:color w:val="auto"/>
          <w:sz w:val="24"/>
          <w:szCs w:val="24"/>
        </w:rPr>
        <w:t>: 1H-NMR for PHA Characterization.</w:t>
      </w:r>
      <w:r w:rsidRPr="003B7652">
        <w:rPr>
          <w:rFonts w:ascii="Arial" w:hAnsi="Arial" w:cs="Arial"/>
          <w:i w:val="0"/>
          <w:iCs w:val="0"/>
          <w:color w:val="auto"/>
          <w:sz w:val="24"/>
          <w:szCs w:val="24"/>
        </w:rPr>
        <w:t xml:space="preserve"> The peak at 0.25 ppm indicates the presence of TMSP. The peak around 5 ppm indicates the presence of the water. The peak at 6.25 ppm indicates the presence of pentenoate</w:t>
      </w:r>
      <w:r w:rsidR="00D85D33">
        <w:rPr>
          <w:rFonts w:ascii="Arial" w:hAnsi="Arial" w:cs="Arial"/>
          <w:i w:val="0"/>
          <w:iCs w:val="0"/>
          <w:color w:val="auto"/>
          <w:sz w:val="24"/>
          <w:szCs w:val="24"/>
        </w:rPr>
        <w:t>. The ratio of pentenoate mmol per gram of PHA was 0.607 mmol of pentenoate/g of PHA</w:t>
      </w:r>
      <w:r w:rsidRPr="003B7652">
        <w:rPr>
          <w:color w:val="auto"/>
          <w:sz w:val="24"/>
          <w:szCs w:val="24"/>
        </w:rPr>
        <w:t xml:space="preserve"> </w:t>
      </w:r>
      <w:r w:rsidR="006F4F8F">
        <w:rPr>
          <w:rFonts w:ascii="Arial" w:hAnsi="Arial" w:cs="Arial"/>
          <w:sz w:val="24"/>
          <w:szCs w:val="24"/>
        </w:rPr>
        <w:t>.</w:t>
      </w:r>
      <w:bookmarkEnd w:id="84"/>
      <w:r w:rsidR="006F4F8F">
        <w:rPr>
          <w:rFonts w:ascii="Arial" w:hAnsi="Arial" w:cs="Arial"/>
          <w:sz w:val="24"/>
          <w:szCs w:val="24"/>
        </w:rPr>
        <w:t xml:space="preserve">  </w:t>
      </w:r>
    </w:p>
    <w:p w14:paraId="1800E96B" w14:textId="24C7E6DD" w:rsidR="001137B6" w:rsidRPr="00834360" w:rsidRDefault="001137B6" w:rsidP="00834360">
      <w:pPr>
        <w:pStyle w:val="Titre3"/>
        <w:spacing w:after="240"/>
        <w:rPr>
          <w:rFonts w:ascii="Arial" w:hAnsi="Arial" w:cs="Arial"/>
          <w:b/>
          <w:bCs/>
          <w:color w:val="000000" w:themeColor="text1"/>
        </w:rPr>
      </w:pPr>
      <w:bookmarkStart w:id="85" w:name="_Toc106903235"/>
      <w:r w:rsidRPr="00834360">
        <w:rPr>
          <w:rFonts w:ascii="Arial" w:hAnsi="Arial" w:cs="Arial"/>
          <w:b/>
          <w:bCs/>
          <w:color w:val="000000" w:themeColor="text1"/>
        </w:rPr>
        <w:t>2.3.</w:t>
      </w:r>
      <w:r w:rsidR="0039617F" w:rsidRPr="00834360">
        <w:rPr>
          <w:rFonts w:ascii="Arial" w:hAnsi="Arial" w:cs="Arial"/>
          <w:b/>
          <w:bCs/>
          <w:color w:val="000000" w:themeColor="text1"/>
        </w:rPr>
        <w:t>2</w:t>
      </w:r>
      <w:r w:rsidRPr="00834360">
        <w:rPr>
          <w:rFonts w:ascii="Arial" w:hAnsi="Arial" w:cs="Arial"/>
          <w:b/>
          <w:bCs/>
          <w:color w:val="000000" w:themeColor="text1"/>
        </w:rPr>
        <w:t xml:space="preserve"> Viscosity of PHA solutions</w:t>
      </w:r>
      <w:bookmarkEnd w:id="85"/>
    </w:p>
    <w:p w14:paraId="76076996" w14:textId="3A087B9D" w:rsidR="001137B6" w:rsidRDefault="000A38B6" w:rsidP="001137B6">
      <w:pPr>
        <w:spacing w:line="480" w:lineRule="auto"/>
        <w:ind w:firstLine="720"/>
        <w:jc w:val="both"/>
        <w:rPr>
          <w:rFonts w:ascii="Arial" w:hAnsi="Arial" w:cs="Arial"/>
          <w:sz w:val="24"/>
          <w:szCs w:val="24"/>
        </w:rPr>
      </w:pPr>
      <w:r>
        <w:rPr>
          <w:rFonts w:ascii="Arial" w:hAnsi="Arial" w:cs="Arial"/>
          <w:sz w:val="24"/>
          <w:szCs w:val="24"/>
        </w:rPr>
        <w:t>T</w:t>
      </w:r>
      <w:r w:rsidR="001137B6">
        <w:rPr>
          <w:rFonts w:ascii="Arial" w:hAnsi="Arial" w:cs="Arial"/>
          <w:sz w:val="24"/>
          <w:szCs w:val="24"/>
        </w:rPr>
        <w:t>he liquid solution of PHA/LAP/DTT must have a good flow</w:t>
      </w:r>
      <w:r>
        <w:rPr>
          <w:rFonts w:ascii="Arial" w:hAnsi="Arial" w:cs="Arial"/>
          <w:sz w:val="24"/>
          <w:szCs w:val="24"/>
        </w:rPr>
        <w:t xml:space="preserve"> through a surgical catheter </w:t>
      </w:r>
      <w:r w:rsidR="004830D6">
        <w:rPr>
          <w:rFonts w:ascii="Arial" w:hAnsi="Arial" w:cs="Arial"/>
          <w:sz w:val="24"/>
          <w:szCs w:val="24"/>
        </w:rPr>
        <w:t>to</w:t>
      </w:r>
      <w:r>
        <w:rPr>
          <w:rFonts w:ascii="Arial" w:hAnsi="Arial" w:cs="Arial"/>
          <w:sz w:val="24"/>
          <w:szCs w:val="24"/>
        </w:rPr>
        <w:t xml:space="preserve"> be delivered to the site of an aneurysm</w:t>
      </w:r>
      <w:r w:rsidR="001137B6">
        <w:rPr>
          <w:rFonts w:ascii="Arial" w:hAnsi="Arial" w:cs="Arial"/>
          <w:sz w:val="24"/>
          <w:szCs w:val="24"/>
        </w:rPr>
        <w:t>.</w:t>
      </w:r>
      <w:r w:rsidR="004830D6">
        <w:rPr>
          <w:rFonts w:ascii="Arial" w:hAnsi="Arial" w:cs="Arial"/>
          <w:sz w:val="24"/>
          <w:szCs w:val="24"/>
        </w:rPr>
        <w:t xml:space="preserve"> Viscosity is an indicator of flow</w:t>
      </w:r>
      <w:r w:rsidR="00675A99">
        <w:rPr>
          <w:rFonts w:ascii="Arial" w:hAnsi="Arial" w:cs="Arial"/>
          <w:sz w:val="24"/>
          <w:szCs w:val="24"/>
        </w:rPr>
        <w:t xml:space="preserve"> which is proportional to it.</w:t>
      </w:r>
      <w:r w:rsidR="004A6AD4">
        <w:rPr>
          <w:rFonts w:ascii="Arial" w:hAnsi="Arial" w:cs="Arial"/>
          <w:sz w:val="24"/>
          <w:szCs w:val="24"/>
        </w:rPr>
        <w:t xml:space="preserve"> The viscosity of 5</w:t>
      </w:r>
      <w:r w:rsidR="00164EE0">
        <w:rPr>
          <w:rFonts w:ascii="Arial" w:hAnsi="Arial" w:cs="Arial"/>
          <w:sz w:val="24"/>
          <w:szCs w:val="24"/>
        </w:rPr>
        <w:t xml:space="preserve"> </w:t>
      </w:r>
      <w:r w:rsidR="004A6AD4">
        <w:rPr>
          <w:rFonts w:ascii="Arial" w:hAnsi="Arial" w:cs="Arial"/>
          <w:sz w:val="24"/>
          <w:szCs w:val="24"/>
        </w:rPr>
        <w:t>wt%, 7.5</w:t>
      </w:r>
      <w:r w:rsidR="00164EE0">
        <w:rPr>
          <w:rFonts w:ascii="Arial" w:hAnsi="Arial" w:cs="Arial"/>
          <w:sz w:val="24"/>
          <w:szCs w:val="24"/>
        </w:rPr>
        <w:t xml:space="preserve"> </w:t>
      </w:r>
      <w:r w:rsidR="004A6AD4">
        <w:rPr>
          <w:rFonts w:ascii="Arial" w:hAnsi="Arial" w:cs="Arial"/>
          <w:sz w:val="24"/>
          <w:szCs w:val="24"/>
        </w:rPr>
        <w:t>wt%, and 10</w:t>
      </w:r>
      <w:r w:rsidR="00164EE0">
        <w:rPr>
          <w:rFonts w:ascii="Arial" w:hAnsi="Arial" w:cs="Arial"/>
          <w:sz w:val="24"/>
          <w:szCs w:val="24"/>
        </w:rPr>
        <w:t xml:space="preserve"> </w:t>
      </w:r>
      <w:r w:rsidR="004A6AD4">
        <w:rPr>
          <w:rFonts w:ascii="Arial" w:hAnsi="Arial" w:cs="Arial"/>
          <w:sz w:val="24"/>
          <w:szCs w:val="24"/>
        </w:rPr>
        <w:t>w</w:t>
      </w:r>
      <w:r w:rsidR="00374E8C">
        <w:rPr>
          <w:rFonts w:ascii="Arial" w:hAnsi="Arial" w:cs="Arial"/>
          <w:sz w:val="24"/>
          <w:szCs w:val="24"/>
        </w:rPr>
        <w:t>t</w:t>
      </w:r>
      <w:r w:rsidR="004A6AD4">
        <w:rPr>
          <w:rFonts w:ascii="Arial" w:hAnsi="Arial" w:cs="Arial"/>
          <w:sz w:val="24"/>
          <w:szCs w:val="24"/>
        </w:rPr>
        <w:t>% PHA hydrogels increased with increasing weight percent and respectively was</w:t>
      </w:r>
      <w:r w:rsidR="003F5C0F">
        <w:rPr>
          <w:rFonts w:ascii="Arial" w:hAnsi="Arial" w:cs="Arial"/>
          <w:sz w:val="24"/>
          <w:szCs w:val="24"/>
        </w:rPr>
        <w:t xml:space="preserve">, </w:t>
      </w:r>
      <w:r w:rsidR="00C52C5E">
        <w:rPr>
          <w:rFonts w:ascii="Arial" w:hAnsi="Arial" w:cs="Arial"/>
          <w:sz w:val="24"/>
          <w:szCs w:val="24"/>
        </w:rPr>
        <w:t xml:space="preserve">at a shear rate of </w:t>
      </w:r>
      <w:r w:rsidR="00B94413">
        <w:rPr>
          <w:rFonts w:ascii="Arial" w:hAnsi="Arial" w:cs="Arial"/>
          <w:sz w:val="24"/>
          <w:szCs w:val="24"/>
        </w:rPr>
        <w:t>10 s</w:t>
      </w:r>
      <w:r w:rsidR="00B94413" w:rsidRPr="00834360">
        <w:rPr>
          <w:rFonts w:ascii="Arial" w:hAnsi="Arial" w:cs="Arial"/>
          <w:sz w:val="24"/>
          <w:szCs w:val="24"/>
          <w:vertAlign w:val="superscript"/>
        </w:rPr>
        <w:t>-1</w:t>
      </w:r>
      <w:r w:rsidR="004A6AD4">
        <w:rPr>
          <w:rFonts w:ascii="Arial" w:hAnsi="Arial" w:cs="Arial"/>
          <w:sz w:val="24"/>
          <w:szCs w:val="24"/>
        </w:rPr>
        <w:t xml:space="preserve"> </w:t>
      </w:r>
      <w:r w:rsidR="00341491">
        <w:rPr>
          <w:rFonts w:ascii="Arial" w:hAnsi="Arial" w:cs="Arial"/>
          <w:sz w:val="24"/>
          <w:szCs w:val="24"/>
        </w:rPr>
        <w:t>0.</w:t>
      </w:r>
      <w:r w:rsidR="00606391">
        <w:rPr>
          <w:rFonts w:ascii="Arial" w:hAnsi="Arial" w:cs="Arial"/>
          <w:sz w:val="24"/>
          <w:szCs w:val="24"/>
        </w:rPr>
        <w:t>053</w:t>
      </w:r>
      <w:r w:rsidR="005628AB">
        <w:rPr>
          <w:rFonts w:ascii="Arial" w:hAnsi="Arial" w:cs="Arial"/>
          <w:sz w:val="24"/>
          <w:szCs w:val="24"/>
        </w:rPr>
        <w:t xml:space="preserve"> </w:t>
      </w:r>
      <w:r w:rsidR="00BE6350">
        <w:rPr>
          <w:rFonts w:ascii="Arial" w:hAnsi="Arial" w:cs="Arial"/>
          <w:sz w:val="24"/>
          <w:szCs w:val="24"/>
        </w:rPr>
        <w:t>±</w:t>
      </w:r>
      <w:r w:rsidR="005628AB">
        <w:rPr>
          <w:rFonts w:ascii="Arial" w:hAnsi="Arial" w:cs="Arial"/>
          <w:sz w:val="24"/>
          <w:szCs w:val="24"/>
        </w:rPr>
        <w:t xml:space="preserve"> </w:t>
      </w:r>
      <w:r w:rsidR="00606391">
        <w:rPr>
          <w:rFonts w:ascii="Arial" w:hAnsi="Arial" w:cs="Arial"/>
          <w:sz w:val="24"/>
          <w:szCs w:val="24"/>
        </w:rPr>
        <w:t>0.015</w:t>
      </w:r>
      <w:r w:rsidR="004A6AD4">
        <w:rPr>
          <w:rFonts w:ascii="Arial" w:hAnsi="Arial" w:cs="Arial"/>
          <w:sz w:val="24"/>
          <w:szCs w:val="24"/>
        </w:rPr>
        <w:t xml:space="preserve"> Pa.s, </w:t>
      </w:r>
      <w:r w:rsidR="00606391">
        <w:rPr>
          <w:rFonts w:ascii="Arial" w:hAnsi="Arial" w:cs="Arial"/>
          <w:sz w:val="24"/>
          <w:szCs w:val="24"/>
        </w:rPr>
        <w:t>0.161</w:t>
      </w:r>
      <w:r w:rsidR="005628AB">
        <w:rPr>
          <w:rFonts w:ascii="Arial" w:hAnsi="Arial" w:cs="Arial"/>
          <w:sz w:val="24"/>
          <w:szCs w:val="24"/>
        </w:rPr>
        <w:t xml:space="preserve"> </w:t>
      </w:r>
      <w:r w:rsidR="00606391">
        <w:rPr>
          <w:rFonts w:ascii="Arial" w:hAnsi="Arial" w:cs="Arial"/>
          <w:sz w:val="24"/>
          <w:szCs w:val="24"/>
        </w:rPr>
        <w:t>±</w:t>
      </w:r>
      <w:r w:rsidR="005628AB">
        <w:rPr>
          <w:rFonts w:ascii="Arial" w:hAnsi="Arial" w:cs="Arial"/>
          <w:sz w:val="24"/>
          <w:szCs w:val="24"/>
        </w:rPr>
        <w:t xml:space="preserve"> </w:t>
      </w:r>
      <w:r w:rsidR="00606391">
        <w:rPr>
          <w:rFonts w:ascii="Arial" w:hAnsi="Arial" w:cs="Arial"/>
          <w:sz w:val="24"/>
          <w:szCs w:val="24"/>
        </w:rPr>
        <w:t>0.012</w:t>
      </w:r>
      <w:r w:rsidR="004A6AD4">
        <w:rPr>
          <w:rFonts w:ascii="Arial" w:hAnsi="Arial" w:cs="Arial"/>
          <w:sz w:val="24"/>
          <w:szCs w:val="24"/>
        </w:rPr>
        <w:t xml:space="preserve"> Pa.s, and </w:t>
      </w:r>
      <w:r w:rsidR="00606391">
        <w:rPr>
          <w:rFonts w:ascii="Arial" w:hAnsi="Arial" w:cs="Arial"/>
          <w:sz w:val="24"/>
          <w:szCs w:val="24"/>
        </w:rPr>
        <w:t>0.391</w:t>
      </w:r>
      <w:r w:rsidR="005628AB">
        <w:rPr>
          <w:rFonts w:ascii="Arial" w:hAnsi="Arial" w:cs="Arial"/>
          <w:sz w:val="24"/>
          <w:szCs w:val="24"/>
        </w:rPr>
        <w:t xml:space="preserve"> </w:t>
      </w:r>
      <w:r w:rsidR="00606391">
        <w:rPr>
          <w:rFonts w:ascii="Arial" w:hAnsi="Arial" w:cs="Arial"/>
          <w:sz w:val="24"/>
          <w:szCs w:val="24"/>
        </w:rPr>
        <w:t>±</w:t>
      </w:r>
      <w:r w:rsidR="005628AB">
        <w:rPr>
          <w:rFonts w:ascii="Arial" w:hAnsi="Arial" w:cs="Arial"/>
          <w:sz w:val="24"/>
          <w:szCs w:val="24"/>
        </w:rPr>
        <w:t xml:space="preserve"> </w:t>
      </w:r>
      <w:r w:rsidR="00606391">
        <w:rPr>
          <w:rFonts w:ascii="Arial" w:hAnsi="Arial" w:cs="Arial"/>
          <w:sz w:val="24"/>
          <w:szCs w:val="24"/>
        </w:rPr>
        <w:t>0.047</w:t>
      </w:r>
      <w:r w:rsidR="004A6AD4">
        <w:rPr>
          <w:rFonts w:ascii="Arial" w:hAnsi="Arial" w:cs="Arial"/>
          <w:sz w:val="24"/>
          <w:szCs w:val="24"/>
        </w:rPr>
        <w:t xml:space="preserve"> Pa.s </w:t>
      </w:r>
      <w:r w:rsidR="004A6AD4" w:rsidRPr="00B549DA">
        <w:rPr>
          <w:rFonts w:ascii="Arial" w:hAnsi="Arial" w:cs="Arial"/>
          <w:sz w:val="24"/>
          <w:szCs w:val="24"/>
        </w:rPr>
        <w:t>(</w:t>
      </w:r>
      <w:r w:rsidR="00804545" w:rsidRPr="000C09F0">
        <w:rPr>
          <w:rFonts w:ascii="Arial" w:hAnsi="Arial" w:cs="Arial"/>
          <w:sz w:val="24"/>
          <w:szCs w:val="24"/>
        </w:rPr>
        <w:fldChar w:fldCharType="begin"/>
      </w:r>
      <w:r w:rsidR="00804545" w:rsidRPr="000C09F0">
        <w:rPr>
          <w:rFonts w:ascii="Arial" w:hAnsi="Arial" w:cs="Arial"/>
          <w:sz w:val="24"/>
          <w:szCs w:val="24"/>
        </w:rPr>
        <w:instrText xml:space="preserve"> REF _Ref105141127 \h </w:instrText>
      </w:r>
      <w:r w:rsidR="00B549DA" w:rsidRPr="00834360">
        <w:rPr>
          <w:rFonts w:ascii="Arial" w:hAnsi="Arial" w:cs="Arial"/>
          <w:sz w:val="24"/>
          <w:szCs w:val="24"/>
        </w:rPr>
        <w:instrText xml:space="preserve"> \* MERGEFORMAT </w:instrText>
      </w:r>
      <w:r w:rsidR="00804545" w:rsidRPr="000C09F0">
        <w:rPr>
          <w:rFonts w:ascii="Arial" w:hAnsi="Arial" w:cs="Arial"/>
          <w:sz w:val="24"/>
          <w:szCs w:val="24"/>
        </w:rPr>
      </w:r>
      <w:r w:rsidR="00804545" w:rsidRPr="000C09F0">
        <w:rPr>
          <w:rFonts w:ascii="Arial" w:hAnsi="Arial" w:cs="Arial"/>
          <w:sz w:val="24"/>
          <w:szCs w:val="24"/>
        </w:rPr>
        <w:fldChar w:fldCharType="separate"/>
      </w:r>
      <w:r w:rsidR="005C4791" w:rsidRPr="005C4791">
        <w:rPr>
          <w:rFonts w:ascii="Arial" w:hAnsi="Arial" w:cs="Arial"/>
          <w:sz w:val="24"/>
          <w:szCs w:val="24"/>
        </w:rPr>
        <w:t xml:space="preserve">Figure </w:t>
      </w:r>
      <w:r w:rsidR="005C4791" w:rsidRPr="005C4791">
        <w:rPr>
          <w:rFonts w:ascii="Arial" w:hAnsi="Arial" w:cs="Arial"/>
          <w:noProof/>
          <w:sz w:val="24"/>
          <w:szCs w:val="24"/>
        </w:rPr>
        <w:t>12</w:t>
      </w:r>
      <w:r w:rsidR="00804545" w:rsidRPr="000C09F0">
        <w:rPr>
          <w:rFonts w:ascii="Arial" w:hAnsi="Arial" w:cs="Arial"/>
          <w:sz w:val="24"/>
          <w:szCs w:val="24"/>
        </w:rPr>
        <w:fldChar w:fldCharType="end"/>
      </w:r>
      <w:r w:rsidR="004A6AD4">
        <w:rPr>
          <w:rFonts w:ascii="Arial" w:hAnsi="Arial" w:cs="Arial"/>
          <w:sz w:val="24"/>
          <w:szCs w:val="24"/>
        </w:rPr>
        <w:t>A).</w:t>
      </w:r>
      <w:r w:rsidR="001137B6">
        <w:rPr>
          <w:rFonts w:ascii="Arial" w:hAnsi="Arial" w:cs="Arial"/>
          <w:sz w:val="24"/>
          <w:szCs w:val="24"/>
        </w:rPr>
        <w:t xml:space="preserve"> </w:t>
      </w:r>
      <w:r w:rsidR="00675A99">
        <w:rPr>
          <w:rFonts w:ascii="Arial" w:hAnsi="Arial" w:cs="Arial"/>
          <w:sz w:val="24"/>
          <w:szCs w:val="24"/>
        </w:rPr>
        <w:t>To interpret and support these findings, f</w:t>
      </w:r>
      <w:r w:rsidR="002666F9">
        <w:rPr>
          <w:rFonts w:ascii="Arial" w:hAnsi="Arial" w:cs="Arial"/>
          <w:sz w:val="24"/>
          <w:szCs w:val="24"/>
        </w:rPr>
        <w:t xml:space="preserve">low of liquid PHA solution </w:t>
      </w:r>
      <w:r w:rsidR="001137B6">
        <w:rPr>
          <w:rFonts w:ascii="Arial" w:hAnsi="Arial" w:cs="Arial"/>
          <w:sz w:val="24"/>
          <w:szCs w:val="24"/>
        </w:rPr>
        <w:t xml:space="preserve">was </w:t>
      </w:r>
      <w:r w:rsidR="004A6AD4">
        <w:rPr>
          <w:rFonts w:ascii="Arial" w:hAnsi="Arial" w:cs="Arial"/>
          <w:sz w:val="24"/>
          <w:szCs w:val="24"/>
        </w:rPr>
        <w:t xml:space="preserve">further </w:t>
      </w:r>
      <w:r w:rsidR="001137B6">
        <w:rPr>
          <w:rFonts w:ascii="Arial" w:hAnsi="Arial" w:cs="Arial"/>
          <w:sz w:val="24"/>
          <w:szCs w:val="24"/>
        </w:rPr>
        <w:t xml:space="preserve">assessed by </w:t>
      </w:r>
      <w:r>
        <w:rPr>
          <w:rFonts w:ascii="Arial" w:hAnsi="Arial" w:cs="Arial"/>
          <w:sz w:val="24"/>
          <w:szCs w:val="24"/>
        </w:rPr>
        <w:t xml:space="preserve">injecting </w:t>
      </w:r>
      <w:r w:rsidR="001137B6">
        <w:rPr>
          <w:rFonts w:ascii="Arial" w:hAnsi="Arial" w:cs="Arial"/>
          <w:sz w:val="24"/>
          <w:szCs w:val="24"/>
        </w:rPr>
        <w:t xml:space="preserve">liquid solutions of PHA/LAP/DTT through a surgical catheter of one mm diameter. </w:t>
      </w:r>
      <w:r w:rsidR="000E0BBE">
        <w:rPr>
          <w:rFonts w:ascii="Arial" w:hAnsi="Arial" w:cs="Arial"/>
          <w:noProof/>
          <w:sz w:val="24"/>
          <w:szCs w:val="24"/>
        </w:rPr>
        <mc:AlternateContent>
          <mc:Choice Requires="wps">
            <w:drawing>
              <wp:anchor distT="0" distB="0" distL="114300" distR="114300" simplePos="0" relativeHeight="251782144" behindDoc="0" locked="0" layoutInCell="1" allowOverlap="1" wp14:anchorId="5DD9E304" wp14:editId="78A5225C">
                <wp:simplePos x="0" y="0"/>
                <wp:positionH relativeFrom="column">
                  <wp:posOffset>-382270</wp:posOffset>
                </wp:positionH>
                <wp:positionV relativeFrom="paragraph">
                  <wp:posOffset>1863090</wp:posOffset>
                </wp:positionV>
                <wp:extent cx="233363" cy="271462"/>
                <wp:effectExtent l="0" t="0" r="0" b="0"/>
                <wp:wrapNone/>
                <wp:docPr id="28" name="Rectangle 28"/>
                <wp:cNvGraphicFramePr/>
                <a:graphic xmlns:a="http://schemas.openxmlformats.org/drawingml/2006/main">
                  <a:graphicData uri="http://schemas.microsoft.com/office/word/2010/wordprocessingShape">
                    <wps:wsp>
                      <wps:cNvSpPr/>
                      <wps:spPr>
                        <a:xfrm>
                          <a:off x="0" y="0"/>
                          <a:ext cx="233363" cy="271462"/>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5FE00291" w14:textId="294B26F5" w:rsidR="00E02899" w:rsidRPr="004A0A4F" w:rsidRDefault="00E02899" w:rsidP="00E02899">
                            <w:pPr>
                              <w:jc w:val="center"/>
                              <w:rPr>
                                <w:b/>
                                <w:bCs/>
                              </w:rPr>
                            </w:pPr>
                            <w:r>
                              <w:rPr>
                                <w:b/>
                                <w:bCs/>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D9E304" id="Rectangle 28" o:spid="_x0000_s1033" style="position:absolute;left:0;text-align:left;margin-left:-30.1pt;margin-top:146.7pt;width:18.4pt;height:21.3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" fillcolor="white [3201]" stroked="f" strokeweight="2pt">
                <v:textbox>
                  <w:txbxContent>
                    <w:p w14:paraId="5FE00291" w14:textId="294B26F5" w:rsidR="00E02899" w:rsidRPr="004A0A4F" w:rsidRDefault="00E02899" w:rsidP="00E02899">
                      <w:pPr>
                        <w:jc w:val="center"/>
                        <w:rPr>
                          <w:b/>
                          <w:bCs/>
                        </w:rPr>
                      </w:pPr>
                      <w:r>
                        <w:rPr>
                          <w:b/>
                          <w:bCs/>
                        </w:rPr>
                        <w:t>A</w:t>
                      </w:r>
                    </w:p>
                  </w:txbxContent>
                </v:textbox>
              </v:rect>
            </w:pict>
          </mc:Fallback>
        </mc:AlternateContent>
      </w:r>
      <w:r w:rsidR="001137B6">
        <w:rPr>
          <w:rFonts w:ascii="Arial" w:hAnsi="Arial" w:cs="Arial"/>
          <w:sz w:val="24"/>
          <w:szCs w:val="24"/>
        </w:rPr>
        <w:t xml:space="preserve"> </w:t>
      </w:r>
    </w:p>
    <w:p w14:paraId="5A88E00D" w14:textId="1E9D7A75" w:rsidR="004A0A4F" w:rsidRPr="00B61B4B" w:rsidRDefault="003F6693" w:rsidP="00834360">
      <w:pPr>
        <w:spacing w:line="480" w:lineRule="auto"/>
        <w:jc w:val="both"/>
        <w:rPr>
          <w:rFonts w:ascii="Arial" w:hAnsi="Arial" w:cs="Arial"/>
          <w:sz w:val="24"/>
          <w:szCs w:val="24"/>
        </w:rPr>
      </w:pPr>
      <w:r>
        <w:rPr>
          <w:rFonts w:ascii="Arial" w:hAnsi="Arial" w:cs="Arial"/>
          <w:noProof/>
          <w:sz w:val="24"/>
          <w:szCs w:val="24"/>
        </w:rPr>
        <w:lastRenderedPageBreak/>
        <mc:AlternateContent>
          <mc:Choice Requires="wps">
            <w:drawing>
              <wp:anchor distT="0" distB="0" distL="114300" distR="114300" simplePos="0" relativeHeight="251800576" behindDoc="0" locked="0" layoutInCell="1" allowOverlap="1" wp14:anchorId="1A6F9F11" wp14:editId="1C582EB8">
                <wp:simplePos x="0" y="0"/>
                <wp:positionH relativeFrom="column">
                  <wp:posOffset>-412750</wp:posOffset>
                </wp:positionH>
                <wp:positionV relativeFrom="paragraph">
                  <wp:posOffset>6350</wp:posOffset>
                </wp:positionV>
                <wp:extent cx="233363" cy="271462"/>
                <wp:effectExtent l="0" t="0" r="0" b="0"/>
                <wp:wrapNone/>
                <wp:docPr id="51" name="Rectangle 51"/>
                <wp:cNvGraphicFramePr/>
                <a:graphic xmlns:a="http://schemas.openxmlformats.org/drawingml/2006/main">
                  <a:graphicData uri="http://schemas.microsoft.com/office/word/2010/wordprocessingShape">
                    <wps:wsp>
                      <wps:cNvSpPr/>
                      <wps:spPr>
                        <a:xfrm>
                          <a:off x="0" y="0"/>
                          <a:ext cx="233363" cy="271462"/>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6D3DEF83" w14:textId="588F8954" w:rsidR="003F6693" w:rsidRPr="004A0A4F" w:rsidRDefault="003F6693" w:rsidP="003F6693">
                            <w:pPr>
                              <w:jc w:val="center"/>
                              <w:rPr>
                                <w:b/>
                                <w:bCs/>
                              </w:rPr>
                            </w:pPr>
                            <w:r>
                              <w:rPr>
                                <w:b/>
                                <w:bCs/>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6F9F11" id="Rectangle 51" o:spid="_x0000_s1034" style="position:absolute;left:0;text-align:left;margin-left:-32.5pt;margin-top:.5pt;width:18.4pt;height:21.3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" fillcolor="white [3201]" stroked="f" strokeweight="2pt">
                <v:textbox>
                  <w:txbxContent>
                    <w:p w14:paraId="6D3DEF83" w14:textId="588F8954" w:rsidR="003F6693" w:rsidRPr="004A0A4F" w:rsidRDefault="003F6693" w:rsidP="003F6693">
                      <w:pPr>
                        <w:jc w:val="center"/>
                        <w:rPr>
                          <w:b/>
                          <w:bCs/>
                        </w:rPr>
                      </w:pPr>
                      <w:r>
                        <w:rPr>
                          <w:b/>
                          <w:bCs/>
                        </w:rPr>
                        <w:t>A</w:t>
                      </w:r>
                    </w:p>
                  </w:txbxContent>
                </v:textbox>
              </v:rect>
            </w:pict>
          </mc:Fallback>
        </mc:AlternateContent>
      </w:r>
      <w:r w:rsidR="005D6624">
        <w:rPr>
          <w:rFonts w:ascii="Arial" w:hAnsi="Arial" w:cs="Arial"/>
          <w:noProof/>
          <w:sz w:val="24"/>
          <w:szCs w:val="24"/>
        </w:rPr>
        <w:drawing>
          <wp:inline distT="0" distB="0" distL="0" distR="0" wp14:anchorId="7C8730BA" wp14:editId="7EF99BA1">
            <wp:extent cx="4732186" cy="2994025"/>
            <wp:effectExtent l="19050" t="19050" r="11430" b="1587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743804" cy="3001376"/>
                    </a:xfrm>
                    <a:prstGeom prst="rect">
                      <a:avLst/>
                    </a:prstGeom>
                    <a:noFill/>
                    <a:ln>
                      <a:solidFill>
                        <a:schemeClr val="tx1"/>
                      </a:solidFill>
                    </a:ln>
                  </pic:spPr>
                </pic:pic>
              </a:graphicData>
            </a:graphic>
          </wp:inline>
        </w:drawing>
      </w:r>
    </w:p>
    <w:p w14:paraId="156A96C8" w14:textId="0A505CFF" w:rsidR="001137B6" w:rsidRDefault="000E0BBE" w:rsidP="001137B6">
      <w:pPr>
        <w:spacing w:after="0" w:line="480" w:lineRule="auto"/>
        <w:jc w:val="both"/>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754496" behindDoc="0" locked="0" layoutInCell="1" allowOverlap="1" wp14:anchorId="1D75ED06" wp14:editId="271C8B06">
                <wp:simplePos x="0" y="0"/>
                <wp:positionH relativeFrom="column">
                  <wp:posOffset>-362585</wp:posOffset>
                </wp:positionH>
                <wp:positionV relativeFrom="paragraph">
                  <wp:posOffset>93980</wp:posOffset>
                </wp:positionV>
                <wp:extent cx="233363" cy="271462"/>
                <wp:effectExtent l="0" t="0" r="0" b="0"/>
                <wp:wrapNone/>
                <wp:docPr id="31" name="Rectangle 31"/>
                <wp:cNvGraphicFramePr/>
                <a:graphic xmlns:a="http://schemas.openxmlformats.org/drawingml/2006/main">
                  <a:graphicData uri="http://schemas.microsoft.com/office/word/2010/wordprocessingShape">
                    <wps:wsp>
                      <wps:cNvSpPr/>
                      <wps:spPr>
                        <a:xfrm>
                          <a:off x="0" y="0"/>
                          <a:ext cx="233363" cy="271462"/>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6989AEA7" w14:textId="29C0CF9E" w:rsidR="001D5AF8" w:rsidRPr="004A0A4F" w:rsidRDefault="001D5AF8" w:rsidP="001D5AF8">
                            <w:pPr>
                              <w:jc w:val="center"/>
                              <w:rPr>
                                <w:b/>
                                <w:bCs/>
                              </w:rPr>
                            </w:pPr>
                            <w:r>
                              <w:rPr>
                                <w:b/>
                                <w:bCs/>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75ED06" id="Rectangle 31" o:spid="_x0000_s1035" style="position:absolute;left:0;text-align:left;margin-left:-28.55pt;margin-top:7.4pt;width:18.4pt;height:21.3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" fillcolor="white [3201]" stroked="f" strokeweight="2pt">
                <v:textbox>
                  <w:txbxContent>
                    <w:p w14:paraId="6989AEA7" w14:textId="29C0CF9E" w:rsidR="001D5AF8" w:rsidRPr="004A0A4F" w:rsidRDefault="001D5AF8" w:rsidP="001D5AF8">
                      <w:pPr>
                        <w:jc w:val="center"/>
                        <w:rPr>
                          <w:b/>
                          <w:bCs/>
                        </w:rPr>
                      </w:pPr>
                      <w:r>
                        <w:rPr>
                          <w:b/>
                          <w:bCs/>
                        </w:rPr>
                        <w:t>B</w:t>
                      </w:r>
                    </w:p>
                  </w:txbxContent>
                </v:textbox>
              </v:rect>
            </w:pict>
          </mc:Fallback>
        </mc:AlternateContent>
      </w:r>
      <w:r w:rsidR="001927BF">
        <w:rPr>
          <w:noProof/>
        </w:rPr>
        <w:drawing>
          <wp:inline distT="0" distB="0" distL="0" distR="0" wp14:anchorId="263CE917" wp14:editId="313E905F">
            <wp:extent cx="4775200" cy="2351326"/>
            <wp:effectExtent l="0" t="0" r="6350" b="0"/>
            <wp:docPr id="33" name="Picture 33"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A picture containing table&#10;&#10;Description automatically generated"/>
                    <pic:cNvPicPr/>
                  </pic:nvPicPr>
                  <pic:blipFill rotWithShape="1">
                    <a:blip r:embed="rId26"/>
                    <a:srcRect l="1240" r="2634"/>
                    <a:stretch/>
                  </pic:blipFill>
                  <pic:spPr bwMode="auto">
                    <a:xfrm>
                      <a:off x="0" y="0"/>
                      <a:ext cx="4798268" cy="2362685"/>
                    </a:xfrm>
                    <a:prstGeom prst="rect">
                      <a:avLst/>
                    </a:prstGeom>
                    <a:ln>
                      <a:noFill/>
                    </a:ln>
                    <a:extLst>
                      <a:ext uri="{53640926-AAD7-44D8-BBD7-CCE9431645EC}">
                        <a14:shadowObscured xmlns:a14="http://schemas.microsoft.com/office/drawing/2010/main"/>
                      </a:ext>
                    </a:extLst>
                  </pic:spPr>
                </pic:pic>
              </a:graphicData>
            </a:graphic>
          </wp:inline>
        </w:drawing>
      </w:r>
    </w:p>
    <w:p w14:paraId="332EBBEC" w14:textId="3AA06C90" w:rsidR="001137B6" w:rsidRDefault="00CA31B6" w:rsidP="007639AF">
      <w:pPr>
        <w:pStyle w:val="Lgende"/>
        <w:jc w:val="both"/>
        <w:rPr>
          <w:rFonts w:ascii="Arial" w:hAnsi="Arial" w:cs="Arial"/>
          <w:i w:val="0"/>
          <w:iCs w:val="0"/>
          <w:color w:val="auto"/>
          <w:sz w:val="24"/>
          <w:szCs w:val="24"/>
        </w:rPr>
      </w:pPr>
      <w:bookmarkStart w:id="86" w:name="_Ref105141127"/>
      <w:bookmarkStart w:id="87" w:name="_Toc105918977"/>
      <w:r w:rsidRPr="00FC7256">
        <w:rPr>
          <w:rFonts w:ascii="Arial" w:hAnsi="Arial" w:cs="Arial"/>
          <w:b/>
          <w:bCs/>
          <w:i w:val="0"/>
          <w:iCs w:val="0"/>
          <w:color w:val="auto"/>
          <w:sz w:val="24"/>
          <w:szCs w:val="24"/>
        </w:rPr>
        <w:t xml:space="preserve">Figure </w:t>
      </w:r>
      <w:r w:rsidRPr="00FC7256">
        <w:rPr>
          <w:rFonts w:ascii="Arial" w:hAnsi="Arial" w:cs="Arial"/>
          <w:b/>
          <w:bCs/>
          <w:i w:val="0"/>
          <w:iCs w:val="0"/>
          <w:color w:val="auto"/>
          <w:sz w:val="24"/>
          <w:szCs w:val="24"/>
        </w:rPr>
        <w:fldChar w:fldCharType="begin"/>
      </w:r>
      <w:r w:rsidRPr="00FC7256">
        <w:rPr>
          <w:rFonts w:ascii="Arial" w:hAnsi="Arial" w:cs="Arial"/>
          <w:b/>
          <w:bCs/>
          <w:i w:val="0"/>
          <w:iCs w:val="0"/>
          <w:color w:val="auto"/>
          <w:sz w:val="24"/>
          <w:szCs w:val="24"/>
        </w:rPr>
        <w:instrText xml:space="preserve"> SEQ Figure \* ARABIC </w:instrText>
      </w:r>
      <w:r w:rsidRPr="00FC7256">
        <w:rPr>
          <w:rFonts w:ascii="Arial" w:hAnsi="Arial" w:cs="Arial"/>
          <w:b/>
          <w:bCs/>
          <w:i w:val="0"/>
          <w:iCs w:val="0"/>
          <w:color w:val="auto"/>
          <w:sz w:val="24"/>
          <w:szCs w:val="24"/>
        </w:rPr>
        <w:fldChar w:fldCharType="separate"/>
      </w:r>
      <w:r w:rsidR="005C4791">
        <w:rPr>
          <w:rFonts w:ascii="Arial" w:hAnsi="Arial" w:cs="Arial"/>
          <w:b/>
          <w:bCs/>
          <w:i w:val="0"/>
          <w:iCs w:val="0"/>
          <w:noProof/>
          <w:color w:val="auto"/>
          <w:sz w:val="24"/>
          <w:szCs w:val="24"/>
        </w:rPr>
        <w:t>12</w:t>
      </w:r>
      <w:r w:rsidRPr="00FC7256">
        <w:rPr>
          <w:rFonts w:ascii="Arial" w:hAnsi="Arial" w:cs="Arial"/>
          <w:b/>
          <w:bCs/>
          <w:i w:val="0"/>
          <w:iCs w:val="0"/>
          <w:color w:val="auto"/>
          <w:sz w:val="24"/>
          <w:szCs w:val="24"/>
        </w:rPr>
        <w:fldChar w:fldCharType="end"/>
      </w:r>
      <w:bookmarkEnd w:id="86"/>
      <w:r w:rsidR="001137B6" w:rsidRPr="00CA31B6">
        <w:rPr>
          <w:rFonts w:ascii="Arial" w:hAnsi="Arial" w:cs="Arial"/>
          <w:b/>
          <w:bCs/>
          <w:i w:val="0"/>
          <w:iCs w:val="0"/>
          <w:color w:val="auto"/>
          <w:sz w:val="24"/>
          <w:szCs w:val="24"/>
        </w:rPr>
        <w:t>:</w:t>
      </w:r>
      <w:r w:rsidR="001137B6" w:rsidRPr="002A6C0E">
        <w:rPr>
          <w:rFonts w:ascii="Arial" w:hAnsi="Arial" w:cs="Arial"/>
          <w:b/>
          <w:bCs/>
          <w:i w:val="0"/>
          <w:iCs w:val="0"/>
          <w:color w:val="auto"/>
          <w:sz w:val="24"/>
          <w:szCs w:val="24"/>
        </w:rPr>
        <w:t xml:space="preserve"> </w:t>
      </w:r>
      <w:r w:rsidR="00343C9F" w:rsidRPr="009E4FBB">
        <w:rPr>
          <w:rFonts w:ascii="Arial" w:hAnsi="Arial" w:cs="Arial"/>
          <w:b/>
          <w:bCs/>
          <w:i w:val="0"/>
          <w:iCs w:val="0"/>
          <w:color w:val="auto"/>
          <w:sz w:val="24"/>
          <w:szCs w:val="24"/>
        </w:rPr>
        <w:t>Viscosity and c</w:t>
      </w:r>
      <w:r w:rsidR="001137B6" w:rsidRPr="009E4FBB">
        <w:rPr>
          <w:rFonts w:ascii="Arial" w:hAnsi="Arial" w:cs="Arial"/>
          <w:b/>
          <w:bCs/>
          <w:i w:val="0"/>
          <w:iCs w:val="0"/>
          <w:color w:val="auto"/>
          <w:sz w:val="24"/>
          <w:szCs w:val="24"/>
        </w:rPr>
        <w:t>apacity to go through a catheter of our 40 kDa PHA/Tantalum material.</w:t>
      </w:r>
      <w:r w:rsidR="001137B6" w:rsidRPr="009E4FBB">
        <w:rPr>
          <w:rFonts w:ascii="Arial" w:hAnsi="Arial" w:cs="Arial"/>
          <w:i w:val="0"/>
          <w:iCs w:val="0"/>
          <w:color w:val="auto"/>
          <w:sz w:val="24"/>
          <w:szCs w:val="24"/>
        </w:rPr>
        <w:t xml:space="preserve"> </w:t>
      </w:r>
      <w:r w:rsidR="00343C9F" w:rsidRPr="009E4FBB">
        <w:rPr>
          <w:rFonts w:ascii="Arial" w:hAnsi="Arial" w:cs="Arial"/>
          <w:i w:val="0"/>
          <w:iCs w:val="0"/>
          <w:color w:val="auto"/>
          <w:sz w:val="24"/>
          <w:szCs w:val="24"/>
        </w:rPr>
        <w:t>(A) The viscosity of 5</w:t>
      </w:r>
      <w:r w:rsidR="00164EE0">
        <w:rPr>
          <w:rFonts w:ascii="Arial" w:hAnsi="Arial" w:cs="Arial"/>
          <w:i w:val="0"/>
          <w:iCs w:val="0"/>
          <w:color w:val="auto"/>
          <w:sz w:val="24"/>
          <w:szCs w:val="24"/>
        </w:rPr>
        <w:t xml:space="preserve"> </w:t>
      </w:r>
      <w:r w:rsidR="00343C9F" w:rsidRPr="009E4FBB">
        <w:rPr>
          <w:rFonts w:ascii="Arial" w:hAnsi="Arial" w:cs="Arial"/>
          <w:i w:val="0"/>
          <w:iCs w:val="0"/>
          <w:color w:val="auto"/>
          <w:sz w:val="24"/>
          <w:szCs w:val="24"/>
        </w:rPr>
        <w:t>wt%, 7.5</w:t>
      </w:r>
      <w:r w:rsidR="00164EE0">
        <w:rPr>
          <w:rFonts w:ascii="Arial" w:hAnsi="Arial" w:cs="Arial"/>
          <w:i w:val="0"/>
          <w:iCs w:val="0"/>
          <w:color w:val="auto"/>
          <w:sz w:val="24"/>
          <w:szCs w:val="24"/>
        </w:rPr>
        <w:t xml:space="preserve"> </w:t>
      </w:r>
      <w:r w:rsidR="00343C9F" w:rsidRPr="009E4FBB">
        <w:rPr>
          <w:rFonts w:ascii="Arial" w:hAnsi="Arial" w:cs="Arial"/>
          <w:i w:val="0"/>
          <w:iCs w:val="0"/>
          <w:color w:val="auto"/>
          <w:sz w:val="24"/>
          <w:szCs w:val="24"/>
        </w:rPr>
        <w:t>wt%, and 10</w:t>
      </w:r>
      <w:r w:rsidR="00164EE0">
        <w:rPr>
          <w:rFonts w:ascii="Arial" w:hAnsi="Arial" w:cs="Arial"/>
          <w:i w:val="0"/>
          <w:iCs w:val="0"/>
          <w:color w:val="auto"/>
          <w:sz w:val="24"/>
          <w:szCs w:val="24"/>
        </w:rPr>
        <w:t xml:space="preserve"> </w:t>
      </w:r>
      <w:r w:rsidR="00343C9F" w:rsidRPr="009E4FBB">
        <w:rPr>
          <w:rFonts w:ascii="Arial" w:hAnsi="Arial" w:cs="Arial"/>
          <w:i w:val="0"/>
          <w:iCs w:val="0"/>
          <w:color w:val="auto"/>
          <w:sz w:val="24"/>
          <w:szCs w:val="24"/>
        </w:rPr>
        <w:t>w</w:t>
      </w:r>
      <w:r w:rsidR="004A6AD4">
        <w:rPr>
          <w:rFonts w:ascii="Arial" w:hAnsi="Arial" w:cs="Arial"/>
          <w:i w:val="0"/>
          <w:iCs w:val="0"/>
          <w:color w:val="auto"/>
          <w:sz w:val="24"/>
          <w:szCs w:val="24"/>
        </w:rPr>
        <w:t>t</w:t>
      </w:r>
      <w:r w:rsidR="00343C9F" w:rsidRPr="009E4FBB">
        <w:rPr>
          <w:rFonts w:ascii="Arial" w:hAnsi="Arial" w:cs="Arial"/>
          <w:i w:val="0"/>
          <w:iCs w:val="0"/>
          <w:color w:val="auto"/>
          <w:sz w:val="24"/>
          <w:szCs w:val="24"/>
        </w:rPr>
        <w:t xml:space="preserve">% PHA hydrogels increased with increasing weight percent. (B) </w:t>
      </w:r>
      <w:r w:rsidR="001137B6" w:rsidRPr="009E4FBB">
        <w:rPr>
          <w:rFonts w:ascii="Arial" w:hAnsi="Arial" w:cs="Arial"/>
          <w:i w:val="0"/>
          <w:iCs w:val="0"/>
          <w:color w:val="auto"/>
          <w:sz w:val="24"/>
          <w:szCs w:val="24"/>
        </w:rPr>
        <w:t xml:space="preserve">With or without tantalum the material </w:t>
      </w:r>
      <w:r w:rsidR="00343C9F" w:rsidRPr="009E4FBB">
        <w:rPr>
          <w:rFonts w:ascii="Arial" w:hAnsi="Arial" w:cs="Arial"/>
          <w:i w:val="0"/>
          <w:iCs w:val="0"/>
          <w:color w:val="auto"/>
          <w:sz w:val="24"/>
          <w:szCs w:val="24"/>
        </w:rPr>
        <w:t xml:space="preserve">could </w:t>
      </w:r>
      <w:r w:rsidR="001137B6" w:rsidRPr="009E4FBB">
        <w:rPr>
          <w:rFonts w:ascii="Arial" w:hAnsi="Arial" w:cs="Arial"/>
          <w:i w:val="0"/>
          <w:iCs w:val="0"/>
          <w:color w:val="auto"/>
          <w:sz w:val="24"/>
          <w:szCs w:val="24"/>
        </w:rPr>
        <w:t>flow through a catheter of 1 mm of diameter when it is composed of 5</w:t>
      </w:r>
      <w:r w:rsidR="00164EE0">
        <w:rPr>
          <w:rFonts w:ascii="Arial" w:hAnsi="Arial" w:cs="Arial"/>
          <w:i w:val="0"/>
          <w:iCs w:val="0"/>
          <w:color w:val="auto"/>
          <w:sz w:val="24"/>
          <w:szCs w:val="24"/>
        </w:rPr>
        <w:t xml:space="preserve"> </w:t>
      </w:r>
      <w:r w:rsidR="007A53AB" w:rsidRPr="009E4FBB">
        <w:rPr>
          <w:rFonts w:ascii="Arial" w:hAnsi="Arial" w:cs="Arial"/>
          <w:i w:val="0"/>
          <w:iCs w:val="0"/>
          <w:color w:val="auto"/>
          <w:sz w:val="24"/>
          <w:szCs w:val="24"/>
        </w:rPr>
        <w:t>wt</w:t>
      </w:r>
      <w:r w:rsidR="001137B6" w:rsidRPr="009E4FBB">
        <w:rPr>
          <w:rFonts w:ascii="Arial" w:hAnsi="Arial" w:cs="Arial"/>
          <w:i w:val="0"/>
          <w:iCs w:val="0"/>
          <w:color w:val="auto"/>
          <w:sz w:val="24"/>
          <w:szCs w:val="24"/>
        </w:rPr>
        <w:t>% and 7.5</w:t>
      </w:r>
      <w:r w:rsidR="00164EE0">
        <w:rPr>
          <w:rFonts w:ascii="Arial" w:hAnsi="Arial" w:cs="Arial"/>
          <w:i w:val="0"/>
          <w:iCs w:val="0"/>
          <w:color w:val="auto"/>
          <w:sz w:val="24"/>
          <w:szCs w:val="24"/>
        </w:rPr>
        <w:t xml:space="preserve"> </w:t>
      </w:r>
      <w:r w:rsidR="007A53AB" w:rsidRPr="009E4FBB">
        <w:rPr>
          <w:rFonts w:ascii="Arial" w:hAnsi="Arial" w:cs="Arial"/>
          <w:i w:val="0"/>
          <w:iCs w:val="0"/>
          <w:color w:val="auto"/>
          <w:sz w:val="24"/>
          <w:szCs w:val="24"/>
        </w:rPr>
        <w:t>wt</w:t>
      </w:r>
      <w:r w:rsidR="001137B6" w:rsidRPr="009E4FBB">
        <w:rPr>
          <w:rFonts w:ascii="Arial" w:hAnsi="Arial" w:cs="Arial"/>
          <w:i w:val="0"/>
          <w:iCs w:val="0"/>
          <w:color w:val="auto"/>
          <w:sz w:val="24"/>
          <w:szCs w:val="24"/>
        </w:rPr>
        <w:t>% of PHA. However, 10</w:t>
      </w:r>
      <w:r w:rsidR="00164EE0">
        <w:rPr>
          <w:rFonts w:ascii="Arial" w:hAnsi="Arial" w:cs="Arial"/>
          <w:i w:val="0"/>
          <w:iCs w:val="0"/>
          <w:color w:val="auto"/>
          <w:sz w:val="24"/>
          <w:szCs w:val="24"/>
        </w:rPr>
        <w:t xml:space="preserve"> </w:t>
      </w:r>
      <w:r w:rsidR="00A449E8" w:rsidRPr="009E4FBB">
        <w:rPr>
          <w:rFonts w:ascii="Arial" w:hAnsi="Arial" w:cs="Arial"/>
          <w:i w:val="0"/>
          <w:iCs w:val="0"/>
          <w:color w:val="auto"/>
          <w:sz w:val="24"/>
          <w:szCs w:val="24"/>
        </w:rPr>
        <w:t>wt</w:t>
      </w:r>
      <w:r w:rsidR="001137B6" w:rsidRPr="009E4FBB">
        <w:rPr>
          <w:rFonts w:ascii="Arial" w:hAnsi="Arial" w:cs="Arial"/>
          <w:i w:val="0"/>
          <w:iCs w:val="0"/>
          <w:color w:val="auto"/>
          <w:sz w:val="24"/>
          <w:szCs w:val="24"/>
        </w:rPr>
        <w:t>% PHA with and without tantalum</w:t>
      </w:r>
      <w:r w:rsidR="0028700E" w:rsidRPr="009E4FBB">
        <w:rPr>
          <w:rFonts w:ascii="Arial" w:hAnsi="Arial" w:cs="Arial"/>
          <w:i w:val="0"/>
          <w:iCs w:val="0"/>
          <w:color w:val="auto"/>
          <w:sz w:val="24"/>
          <w:szCs w:val="24"/>
        </w:rPr>
        <w:t xml:space="preserve"> </w:t>
      </w:r>
      <w:r w:rsidR="00343C9F" w:rsidRPr="009E4FBB">
        <w:rPr>
          <w:rFonts w:ascii="Arial" w:hAnsi="Arial" w:cs="Arial"/>
          <w:i w:val="0"/>
          <w:iCs w:val="0"/>
          <w:color w:val="auto"/>
          <w:sz w:val="24"/>
          <w:szCs w:val="24"/>
        </w:rPr>
        <w:t xml:space="preserve">could not </w:t>
      </w:r>
      <w:r w:rsidR="001137B6" w:rsidRPr="009E4FBB">
        <w:rPr>
          <w:rFonts w:ascii="Arial" w:hAnsi="Arial" w:cs="Arial"/>
          <w:i w:val="0"/>
          <w:iCs w:val="0"/>
          <w:color w:val="auto"/>
          <w:sz w:val="24"/>
          <w:szCs w:val="24"/>
        </w:rPr>
        <w:t xml:space="preserve">flow </w:t>
      </w:r>
      <w:r w:rsidR="00343C9F" w:rsidRPr="009E4FBB">
        <w:rPr>
          <w:rFonts w:ascii="Arial" w:hAnsi="Arial" w:cs="Arial"/>
          <w:i w:val="0"/>
          <w:iCs w:val="0"/>
          <w:color w:val="auto"/>
          <w:sz w:val="24"/>
          <w:szCs w:val="24"/>
        </w:rPr>
        <w:t>through a 1 mm diameter catheter</w:t>
      </w:r>
      <w:r w:rsidR="001137B6" w:rsidRPr="009E4FBB">
        <w:rPr>
          <w:rFonts w:ascii="Arial" w:hAnsi="Arial" w:cs="Arial"/>
          <w:i w:val="0"/>
          <w:iCs w:val="0"/>
          <w:color w:val="auto"/>
          <w:sz w:val="24"/>
          <w:szCs w:val="24"/>
        </w:rPr>
        <w:t>.</w:t>
      </w:r>
      <w:bookmarkEnd w:id="87"/>
    </w:p>
    <w:p w14:paraId="6E0719B2" w14:textId="60084E5F" w:rsidR="003F3C28" w:rsidRPr="00525779" w:rsidRDefault="003F3C28" w:rsidP="00525779">
      <w:pPr>
        <w:spacing w:line="480" w:lineRule="auto"/>
        <w:ind w:firstLine="720"/>
        <w:jc w:val="both"/>
      </w:pPr>
      <w:r>
        <w:rPr>
          <w:rFonts w:ascii="Arial" w:hAnsi="Arial" w:cs="Arial"/>
          <w:sz w:val="24"/>
          <w:szCs w:val="24"/>
        </w:rPr>
        <w:t>Solutions of 5 wt% and 7.5 wt% of PHA with DTT and LAP without and with 50 mg/mL of tantalum powder flowed through the surgical catheter</w:t>
      </w:r>
      <w:r w:rsidRPr="000A38B6">
        <w:rPr>
          <w:rFonts w:ascii="Arial" w:hAnsi="Arial" w:cs="Arial"/>
          <w:sz w:val="24"/>
          <w:szCs w:val="24"/>
        </w:rPr>
        <w:t xml:space="preserve"> </w:t>
      </w:r>
      <w:r>
        <w:rPr>
          <w:rFonts w:ascii="Arial" w:hAnsi="Arial" w:cs="Arial"/>
          <w:sz w:val="24"/>
          <w:szCs w:val="24"/>
        </w:rPr>
        <w:t>without resistance, whereas solution of 10 wt% of PHA with DTT and LAP could not flow through the catheter, regardless of the presence or absence of tantalum powder (</w:t>
      </w:r>
      <w:r w:rsidRPr="00525779">
        <w:rPr>
          <w:rFonts w:ascii="Arial" w:hAnsi="Arial" w:cs="Arial"/>
          <w:sz w:val="24"/>
          <w:szCs w:val="24"/>
        </w:rPr>
        <w:fldChar w:fldCharType="begin"/>
      </w:r>
      <w:r w:rsidRPr="00525779">
        <w:rPr>
          <w:rFonts w:ascii="Arial" w:hAnsi="Arial" w:cs="Arial"/>
          <w:sz w:val="24"/>
          <w:szCs w:val="24"/>
        </w:rPr>
        <w:instrText xml:space="preserve"> REF _Ref105141127 \h  \* MERGEFORMAT </w:instrText>
      </w:r>
      <w:r w:rsidRPr="00525779">
        <w:rPr>
          <w:rFonts w:ascii="Arial" w:hAnsi="Arial" w:cs="Arial"/>
          <w:sz w:val="24"/>
          <w:szCs w:val="24"/>
        </w:rPr>
      </w:r>
      <w:r w:rsidRPr="00525779">
        <w:rPr>
          <w:rFonts w:ascii="Arial" w:hAnsi="Arial" w:cs="Arial"/>
          <w:sz w:val="24"/>
          <w:szCs w:val="24"/>
        </w:rPr>
        <w:fldChar w:fldCharType="separate"/>
      </w:r>
      <w:r w:rsidR="005C4791" w:rsidRPr="005C4791">
        <w:rPr>
          <w:rFonts w:ascii="Arial" w:hAnsi="Arial" w:cs="Arial"/>
          <w:sz w:val="24"/>
          <w:szCs w:val="24"/>
        </w:rPr>
        <w:t xml:space="preserve">Figure </w:t>
      </w:r>
      <w:r w:rsidR="005C4791" w:rsidRPr="005C4791">
        <w:rPr>
          <w:rFonts w:ascii="Arial" w:hAnsi="Arial" w:cs="Arial"/>
          <w:noProof/>
          <w:sz w:val="24"/>
          <w:szCs w:val="24"/>
        </w:rPr>
        <w:t>12</w:t>
      </w:r>
      <w:r w:rsidRPr="00525779">
        <w:rPr>
          <w:rFonts w:ascii="Arial" w:hAnsi="Arial" w:cs="Arial"/>
          <w:sz w:val="24"/>
          <w:szCs w:val="24"/>
        </w:rPr>
        <w:fldChar w:fldCharType="end"/>
      </w:r>
      <w:r w:rsidRPr="00525779">
        <w:rPr>
          <w:rFonts w:ascii="Arial" w:hAnsi="Arial" w:cs="Arial"/>
          <w:sz w:val="24"/>
          <w:szCs w:val="24"/>
        </w:rPr>
        <w:t>B).</w:t>
      </w:r>
    </w:p>
    <w:p w14:paraId="2E56A970" w14:textId="29AE2748" w:rsidR="00A07664" w:rsidRPr="00A07664" w:rsidRDefault="00A07664" w:rsidP="00A07664">
      <w:pPr>
        <w:pStyle w:val="Titre3"/>
        <w:spacing w:line="480" w:lineRule="auto"/>
        <w:jc w:val="both"/>
        <w:rPr>
          <w:rFonts w:ascii="Arial" w:hAnsi="Arial" w:cs="Arial"/>
          <w:b/>
          <w:bCs/>
        </w:rPr>
      </w:pPr>
      <w:bookmarkStart w:id="88" w:name="_Toc106903236"/>
      <w:r w:rsidRPr="003B7652">
        <w:rPr>
          <w:rFonts w:ascii="Arial" w:hAnsi="Arial" w:cs="Arial"/>
          <w:b/>
          <w:bCs/>
          <w:color w:val="auto"/>
        </w:rPr>
        <w:lastRenderedPageBreak/>
        <w:t>2.</w:t>
      </w:r>
      <w:r>
        <w:rPr>
          <w:rFonts w:ascii="Arial" w:hAnsi="Arial" w:cs="Arial"/>
          <w:b/>
          <w:bCs/>
          <w:color w:val="auto"/>
        </w:rPr>
        <w:t>3</w:t>
      </w:r>
      <w:r w:rsidRPr="003B7652">
        <w:rPr>
          <w:rFonts w:ascii="Arial" w:hAnsi="Arial" w:cs="Arial"/>
          <w:b/>
          <w:bCs/>
          <w:color w:val="auto"/>
        </w:rPr>
        <w:t>.</w:t>
      </w:r>
      <w:r w:rsidR="0039617F">
        <w:rPr>
          <w:rFonts w:ascii="Arial" w:hAnsi="Arial" w:cs="Arial"/>
          <w:b/>
          <w:bCs/>
          <w:color w:val="auto"/>
        </w:rPr>
        <w:t>3</w:t>
      </w:r>
      <w:r w:rsidRPr="003B7652">
        <w:rPr>
          <w:rFonts w:ascii="Arial" w:hAnsi="Arial" w:cs="Arial"/>
          <w:b/>
          <w:bCs/>
          <w:color w:val="auto"/>
        </w:rPr>
        <w:t xml:space="preserve"> X</w:t>
      </w:r>
      <w:r w:rsidR="0039617F">
        <w:rPr>
          <w:rFonts w:ascii="Arial" w:hAnsi="Arial" w:cs="Arial"/>
          <w:b/>
          <w:bCs/>
          <w:color w:val="auto"/>
        </w:rPr>
        <w:t>-r</w:t>
      </w:r>
      <w:r w:rsidRPr="003B7652">
        <w:rPr>
          <w:rFonts w:ascii="Arial" w:hAnsi="Arial" w:cs="Arial"/>
          <w:b/>
          <w:bCs/>
          <w:color w:val="auto"/>
        </w:rPr>
        <w:t>ays to assess tantalum visibility</w:t>
      </w:r>
      <w:bookmarkEnd w:id="88"/>
    </w:p>
    <w:p w14:paraId="23443F1C" w14:textId="43A07CCC" w:rsidR="00755653" w:rsidRDefault="00755653" w:rsidP="00755653">
      <w:pPr>
        <w:spacing w:line="480" w:lineRule="auto"/>
        <w:ind w:firstLine="720"/>
        <w:jc w:val="both"/>
      </w:pPr>
      <w:r>
        <w:rPr>
          <w:rFonts w:ascii="Arial" w:hAnsi="Arial" w:cs="Arial"/>
          <w:sz w:val="24"/>
          <w:szCs w:val="24"/>
        </w:rPr>
        <w:t xml:space="preserve">During the procedure and once in the patient, surgeons must assess PHA hydrogels correct placement in of aneurysms. Thus, the visibility of tantalum powder within PHA hydrogels was checked with dental X-rays of PHA hydrogels </w:t>
      </w:r>
      <w:r w:rsidRPr="00D5616F">
        <w:rPr>
          <w:rFonts w:ascii="Arial" w:hAnsi="Arial" w:cs="Arial"/>
          <w:sz w:val="24"/>
          <w:szCs w:val="24"/>
        </w:rPr>
        <w:t>(</w:t>
      </w:r>
      <w:r w:rsidR="0088007E" w:rsidRPr="00F94E6C">
        <w:rPr>
          <w:rFonts w:ascii="Arial" w:hAnsi="Arial" w:cs="Arial"/>
          <w:sz w:val="24"/>
          <w:szCs w:val="24"/>
        </w:rPr>
        <w:fldChar w:fldCharType="begin"/>
      </w:r>
      <w:r w:rsidR="0088007E" w:rsidRPr="00F94E6C">
        <w:rPr>
          <w:rFonts w:ascii="Arial" w:hAnsi="Arial" w:cs="Arial"/>
          <w:sz w:val="24"/>
          <w:szCs w:val="24"/>
        </w:rPr>
        <w:instrText xml:space="preserve"> REF _Ref109765793 \h </w:instrText>
      </w:r>
      <w:r w:rsidR="0088007E" w:rsidRPr="00F94E6C">
        <w:rPr>
          <w:rFonts w:ascii="Arial" w:hAnsi="Arial" w:cs="Arial"/>
          <w:sz w:val="24"/>
          <w:szCs w:val="24"/>
        </w:rPr>
      </w:r>
      <w:r w:rsidR="00F94E6C" w:rsidRPr="00F94E6C">
        <w:rPr>
          <w:rFonts w:ascii="Arial" w:hAnsi="Arial" w:cs="Arial"/>
          <w:sz w:val="24"/>
          <w:szCs w:val="24"/>
        </w:rPr>
        <w:instrText xml:space="preserve"> \* MERGEFORMAT </w:instrText>
      </w:r>
      <w:r w:rsidR="0088007E" w:rsidRPr="00F94E6C">
        <w:rPr>
          <w:rFonts w:ascii="Arial" w:hAnsi="Arial" w:cs="Arial"/>
          <w:sz w:val="24"/>
          <w:szCs w:val="24"/>
        </w:rPr>
        <w:fldChar w:fldCharType="separate"/>
      </w:r>
      <w:r w:rsidR="005C4791" w:rsidRPr="005C4791">
        <w:rPr>
          <w:rFonts w:ascii="Arial" w:hAnsi="Arial" w:cs="Arial"/>
          <w:sz w:val="24"/>
          <w:szCs w:val="24"/>
        </w:rPr>
        <w:t xml:space="preserve">Figure </w:t>
      </w:r>
      <w:r w:rsidR="005C4791" w:rsidRPr="005C4791">
        <w:rPr>
          <w:rFonts w:ascii="Arial" w:hAnsi="Arial" w:cs="Arial"/>
          <w:noProof/>
          <w:sz w:val="24"/>
          <w:szCs w:val="24"/>
        </w:rPr>
        <w:t>13</w:t>
      </w:r>
      <w:r w:rsidR="0088007E" w:rsidRPr="00F94E6C">
        <w:rPr>
          <w:rFonts w:ascii="Arial" w:hAnsi="Arial" w:cs="Arial"/>
          <w:sz w:val="24"/>
          <w:szCs w:val="24"/>
        </w:rPr>
        <w:fldChar w:fldCharType="end"/>
      </w:r>
      <w:r w:rsidRPr="00D5616F">
        <w:rPr>
          <w:rFonts w:ascii="Arial" w:hAnsi="Arial" w:cs="Arial"/>
          <w:sz w:val="24"/>
          <w:szCs w:val="24"/>
        </w:rPr>
        <w:t>). PHA hydrogels (10</w:t>
      </w:r>
      <w:r w:rsidR="00164EE0">
        <w:rPr>
          <w:rFonts w:ascii="Arial" w:hAnsi="Arial" w:cs="Arial"/>
          <w:sz w:val="24"/>
          <w:szCs w:val="24"/>
        </w:rPr>
        <w:t xml:space="preserve"> </w:t>
      </w:r>
      <w:r w:rsidRPr="00D5616F">
        <w:rPr>
          <w:rFonts w:ascii="Arial" w:hAnsi="Arial" w:cs="Arial"/>
          <w:sz w:val="24"/>
          <w:szCs w:val="24"/>
        </w:rPr>
        <w:t xml:space="preserve">wt%) were formed by combining PHA with LAP and DTT and 0, 5, or 50 mg Ta / mL PHA and exposing them to a 365 nm UV light for 2 minutes </w:t>
      </w:r>
      <w:r w:rsidRPr="0088007E">
        <w:rPr>
          <w:rFonts w:ascii="Arial" w:hAnsi="Arial" w:cs="Arial"/>
          <w:sz w:val="24"/>
          <w:szCs w:val="24"/>
        </w:rPr>
        <w:t>(</w:t>
      </w:r>
      <w:r w:rsidR="0088007E" w:rsidRPr="0088007E">
        <w:rPr>
          <w:rFonts w:ascii="Arial" w:hAnsi="Arial" w:cs="Arial"/>
          <w:sz w:val="24"/>
          <w:szCs w:val="24"/>
        </w:rPr>
        <w:fldChar w:fldCharType="begin"/>
      </w:r>
      <w:r w:rsidR="0088007E" w:rsidRPr="0088007E">
        <w:rPr>
          <w:rFonts w:ascii="Arial" w:hAnsi="Arial" w:cs="Arial"/>
          <w:sz w:val="24"/>
          <w:szCs w:val="24"/>
        </w:rPr>
        <w:instrText xml:space="preserve"> REF _Ref105016498 \h </w:instrText>
      </w:r>
      <w:r w:rsidR="0088007E" w:rsidRPr="0088007E">
        <w:rPr>
          <w:rFonts w:ascii="Arial" w:hAnsi="Arial" w:cs="Arial"/>
          <w:sz w:val="24"/>
          <w:szCs w:val="24"/>
        </w:rPr>
      </w:r>
      <w:r w:rsidR="0088007E" w:rsidRPr="0088007E">
        <w:rPr>
          <w:rFonts w:ascii="Arial" w:hAnsi="Arial" w:cs="Arial"/>
          <w:sz w:val="24"/>
          <w:szCs w:val="24"/>
        </w:rPr>
        <w:instrText xml:space="preserve"> \* MERGEFORMAT </w:instrText>
      </w:r>
      <w:r w:rsidR="0088007E" w:rsidRPr="0088007E">
        <w:rPr>
          <w:rFonts w:ascii="Arial" w:hAnsi="Arial" w:cs="Arial"/>
          <w:sz w:val="24"/>
          <w:szCs w:val="24"/>
        </w:rPr>
        <w:fldChar w:fldCharType="separate"/>
      </w:r>
      <w:r w:rsidR="005C4791" w:rsidRPr="005C4791">
        <w:rPr>
          <w:rFonts w:ascii="Arial" w:hAnsi="Arial" w:cs="Arial"/>
          <w:sz w:val="24"/>
          <w:szCs w:val="24"/>
        </w:rPr>
        <w:t xml:space="preserve">Figure </w:t>
      </w:r>
      <w:r w:rsidR="005C4791" w:rsidRPr="005C4791">
        <w:rPr>
          <w:rFonts w:ascii="Arial" w:hAnsi="Arial" w:cs="Arial"/>
          <w:noProof/>
          <w:sz w:val="24"/>
          <w:szCs w:val="24"/>
        </w:rPr>
        <w:t>14</w:t>
      </w:r>
      <w:r w:rsidR="0088007E" w:rsidRPr="0088007E">
        <w:rPr>
          <w:rFonts w:ascii="Arial" w:hAnsi="Arial" w:cs="Arial"/>
          <w:sz w:val="24"/>
          <w:szCs w:val="24"/>
        </w:rPr>
        <w:fldChar w:fldCharType="end"/>
      </w:r>
      <w:r w:rsidRPr="002016AF">
        <w:rPr>
          <w:rFonts w:ascii="Arial" w:hAnsi="Arial" w:cs="Arial"/>
          <w:sz w:val="24"/>
          <w:szCs w:val="24"/>
        </w:rPr>
        <w:t>).</w:t>
      </w:r>
      <w:r w:rsidRPr="00344BD0">
        <w:rPr>
          <w:rFonts w:ascii="Arial" w:hAnsi="Arial" w:cs="Arial"/>
          <w:sz w:val="24"/>
          <w:szCs w:val="24"/>
        </w:rPr>
        <w:t xml:space="preserve"> </w:t>
      </w:r>
      <w:r>
        <w:rPr>
          <w:rFonts w:ascii="Arial" w:hAnsi="Arial" w:cs="Arial"/>
          <w:sz w:val="24"/>
          <w:szCs w:val="24"/>
        </w:rPr>
        <w:t>The 10</w:t>
      </w:r>
      <w:r w:rsidR="00164EE0">
        <w:rPr>
          <w:rFonts w:ascii="Arial" w:hAnsi="Arial" w:cs="Arial"/>
          <w:sz w:val="24"/>
          <w:szCs w:val="24"/>
        </w:rPr>
        <w:t xml:space="preserve"> </w:t>
      </w:r>
      <w:r>
        <w:rPr>
          <w:rFonts w:ascii="Arial" w:hAnsi="Arial" w:cs="Arial"/>
          <w:sz w:val="24"/>
          <w:szCs w:val="24"/>
        </w:rPr>
        <w:t>wt% PHA hydrogels with 50 mg/mL group had more Ta flakes and they were more homogeneously distributed than in the 10</w:t>
      </w:r>
      <w:r w:rsidR="00164EE0">
        <w:rPr>
          <w:rFonts w:ascii="Arial" w:hAnsi="Arial" w:cs="Arial"/>
          <w:sz w:val="24"/>
          <w:szCs w:val="24"/>
        </w:rPr>
        <w:t xml:space="preserve"> </w:t>
      </w:r>
      <w:r>
        <w:rPr>
          <w:rFonts w:ascii="Arial" w:hAnsi="Arial" w:cs="Arial"/>
          <w:sz w:val="24"/>
          <w:szCs w:val="24"/>
        </w:rPr>
        <w:t>wt% PHA hydrogels with 5 mg of ta per mL of PHA, whereas c</w:t>
      </w:r>
      <w:r w:rsidRPr="001B3821">
        <w:rPr>
          <w:rFonts w:ascii="Arial" w:hAnsi="Arial" w:cs="Arial"/>
          <w:sz w:val="24"/>
          <w:szCs w:val="24"/>
        </w:rPr>
        <w:t>ontrols (just PHA) had no tantalum flakes in them.</w:t>
      </w:r>
      <w:r>
        <w:rPr>
          <w:rFonts w:ascii="Arial" w:hAnsi="Arial" w:cs="Arial"/>
          <w:sz w:val="24"/>
          <w:szCs w:val="24"/>
        </w:rPr>
        <w:t xml:space="preserve"> </w:t>
      </w:r>
      <w:r w:rsidRPr="001E0FF3">
        <w:rPr>
          <w:rFonts w:ascii="Arial" w:hAnsi="Arial" w:cs="Arial"/>
          <w:sz w:val="24"/>
          <w:szCs w:val="24"/>
        </w:rPr>
        <w:t>The intensity per mm</w:t>
      </w:r>
      <w:r w:rsidRPr="001E0FF3">
        <w:rPr>
          <w:rFonts w:ascii="Arial" w:hAnsi="Arial" w:cs="Arial"/>
          <w:sz w:val="24"/>
          <w:szCs w:val="24"/>
          <w:vertAlign w:val="superscript"/>
        </w:rPr>
        <w:t>2</w:t>
      </w:r>
      <w:r w:rsidRPr="001E0FF3">
        <w:rPr>
          <w:rFonts w:ascii="Arial" w:hAnsi="Arial" w:cs="Arial"/>
          <w:sz w:val="24"/>
          <w:szCs w:val="24"/>
        </w:rPr>
        <w:t xml:space="preserve"> of tantalum powder increased proportionally with the concentrations of tantalum.</w:t>
      </w:r>
      <w:r>
        <w:rPr>
          <w:rFonts w:ascii="Arial" w:hAnsi="Arial" w:cs="Arial"/>
          <w:sz w:val="24"/>
          <w:szCs w:val="24"/>
        </w:rPr>
        <w:t xml:space="preserve"> The intensity per mm</w:t>
      </w:r>
      <w:r w:rsidRPr="001E0FF3">
        <w:rPr>
          <w:rFonts w:ascii="Arial" w:hAnsi="Arial" w:cs="Arial"/>
          <w:sz w:val="24"/>
          <w:szCs w:val="24"/>
          <w:vertAlign w:val="superscript"/>
        </w:rPr>
        <w:t>2</w:t>
      </w:r>
      <w:r>
        <w:rPr>
          <w:rFonts w:ascii="Arial" w:hAnsi="Arial" w:cs="Arial"/>
          <w:sz w:val="24"/>
          <w:szCs w:val="24"/>
        </w:rPr>
        <w:t xml:space="preserve"> increased from 0.22 to 0.92 between the 10</w:t>
      </w:r>
      <w:r w:rsidR="00164EE0">
        <w:rPr>
          <w:rFonts w:ascii="Arial" w:hAnsi="Arial" w:cs="Arial"/>
          <w:sz w:val="24"/>
          <w:szCs w:val="24"/>
        </w:rPr>
        <w:t xml:space="preserve"> </w:t>
      </w:r>
      <w:r>
        <w:rPr>
          <w:rFonts w:ascii="Arial" w:hAnsi="Arial" w:cs="Arial"/>
          <w:sz w:val="24"/>
          <w:szCs w:val="24"/>
        </w:rPr>
        <w:t>wt% PHA hydrogels without tantalum and 10</w:t>
      </w:r>
      <w:r w:rsidR="00164EE0">
        <w:rPr>
          <w:rFonts w:ascii="Arial" w:hAnsi="Arial" w:cs="Arial"/>
          <w:sz w:val="24"/>
          <w:szCs w:val="24"/>
        </w:rPr>
        <w:t xml:space="preserve"> </w:t>
      </w:r>
      <w:r>
        <w:rPr>
          <w:rFonts w:ascii="Arial" w:hAnsi="Arial" w:cs="Arial"/>
          <w:sz w:val="24"/>
          <w:szCs w:val="24"/>
        </w:rPr>
        <w:t>wt% PHA hydrogels with 50 mg of Ta per mL of hydrogel.</w:t>
      </w:r>
      <w:r w:rsidRPr="00C16A1A">
        <w:rPr>
          <w:rFonts w:ascii="Arial" w:hAnsi="Arial" w:cs="Arial"/>
          <w:sz w:val="24"/>
          <w:szCs w:val="24"/>
        </w:rPr>
        <w:t xml:space="preserve"> </w:t>
      </w:r>
      <w:r>
        <w:rPr>
          <w:rFonts w:ascii="Arial" w:hAnsi="Arial" w:cs="Arial"/>
          <w:sz w:val="24"/>
          <w:szCs w:val="24"/>
        </w:rPr>
        <w:t>When ballistic gel and a PLA cover were added to the top of hydrogels, to simulate brain tissues and the skull, respectively, tantalum flakes were still visible in hydrogels. Importantly, t</w:t>
      </w:r>
      <w:r w:rsidRPr="00C16A1A">
        <w:rPr>
          <w:rFonts w:ascii="Arial" w:hAnsi="Arial" w:cs="Arial"/>
          <w:sz w:val="24"/>
          <w:szCs w:val="24"/>
        </w:rPr>
        <w:t>he intensity per mm</w:t>
      </w:r>
      <w:r w:rsidRPr="00C16A1A">
        <w:rPr>
          <w:rFonts w:ascii="Arial" w:hAnsi="Arial" w:cs="Arial"/>
          <w:sz w:val="24"/>
          <w:szCs w:val="24"/>
          <w:vertAlign w:val="superscript"/>
        </w:rPr>
        <w:t>2</w:t>
      </w:r>
      <w:r w:rsidRPr="00C16A1A">
        <w:rPr>
          <w:rFonts w:ascii="Arial" w:hAnsi="Arial" w:cs="Arial"/>
          <w:sz w:val="24"/>
          <w:szCs w:val="24"/>
        </w:rPr>
        <w:t xml:space="preserve"> of tantalum powder was not decreased by the presence of </w:t>
      </w:r>
      <w:r>
        <w:rPr>
          <w:rFonts w:ascii="Arial" w:hAnsi="Arial" w:cs="Arial"/>
          <w:sz w:val="24"/>
          <w:szCs w:val="24"/>
        </w:rPr>
        <w:t>the</w:t>
      </w:r>
      <w:r w:rsidRPr="00C16A1A">
        <w:rPr>
          <w:rFonts w:ascii="Arial" w:hAnsi="Arial" w:cs="Arial"/>
          <w:sz w:val="24"/>
          <w:szCs w:val="24"/>
        </w:rPr>
        <w:t xml:space="preserve"> ballistic gels, no</w:t>
      </w:r>
      <w:r>
        <w:rPr>
          <w:rFonts w:ascii="Arial" w:hAnsi="Arial" w:cs="Arial"/>
          <w:sz w:val="24"/>
          <w:szCs w:val="24"/>
        </w:rPr>
        <w:t>r</w:t>
      </w:r>
      <w:r w:rsidRPr="00C16A1A">
        <w:rPr>
          <w:rFonts w:ascii="Arial" w:hAnsi="Arial" w:cs="Arial"/>
          <w:sz w:val="24"/>
          <w:szCs w:val="24"/>
        </w:rPr>
        <w:t xml:space="preserve"> by the PLA cover simulating the skull. </w:t>
      </w:r>
      <w:r>
        <w:rPr>
          <w:rFonts w:ascii="Arial" w:hAnsi="Arial" w:cs="Arial"/>
          <w:sz w:val="24"/>
          <w:szCs w:val="24"/>
        </w:rPr>
        <w:t xml:space="preserve">The intensity of </w:t>
      </w:r>
      <w:r w:rsidR="00414FAC">
        <w:rPr>
          <w:rFonts w:ascii="Arial" w:hAnsi="Arial" w:cs="Arial"/>
          <w:sz w:val="24"/>
          <w:szCs w:val="24"/>
        </w:rPr>
        <w:t>P</w:t>
      </w:r>
      <w:r>
        <w:rPr>
          <w:rFonts w:ascii="Arial" w:hAnsi="Arial" w:cs="Arial"/>
          <w:sz w:val="24"/>
          <w:szCs w:val="24"/>
        </w:rPr>
        <w:t>HA hydrogels with 50 mg of Ta per mL of PHA was still 0.92 units/mm</w:t>
      </w:r>
      <w:r w:rsidRPr="001E0FF3">
        <w:rPr>
          <w:rFonts w:ascii="Arial" w:hAnsi="Arial" w:cs="Arial"/>
          <w:sz w:val="24"/>
          <w:szCs w:val="24"/>
          <w:vertAlign w:val="superscript"/>
        </w:rPr>
        <w:t>2</w:t>
      </w:r>
      <w:r>
        <w:rPr>
          <w:rFonts w:ascii="Arial" w:hAnsi="Arial" w:cs="Arial"/>
          <w:sz w:val="24"/>
          <w:szCs w:val="24"/>
        </w:rPr>
        <w:t>.</w:t>
      </w:r>
      <w:r w:rsidRPr="002016AF">
        <w:rPr>
          <w:rFonts w:ascii="Arial" w:hAnsi="Arial" w:cs="Arial"/>
          <w:sz w:val="24"/>
          <w:szCs w:val="24"/>
        </w:rPr>
        <w:t xml:space="preserve"> </w:t>
      </w:r>
      <w:r>
        <w:rPr>
          <w:rFonts w:ascii="Arial" w:hAnsi="Arial" w:cs="Arial"/>
          <w:sz w:val="24"/>
          <w:szCs w:val="24"/>
        </w:rPr>
        <w:t>The quantitative analysis was corroborated by the qualitative observation of X-ray images</w:t>
      </w:r>
      <w:r w:rsidR="001C0F85">
        <w:rPr>
          <w:rFonts w:ascii="Arial" w:hAnsi="Arial" w:cs="Arial"/>
          <w:sz w:val="24"/>
          <w:szCs w:val="24"/>
        </w:rPr>
        <w:t>.</w:t>
      </w:r>
      <w:r w:rsidRPr="005E50D1">
        <w:rPr>
          <w:rFonts w:ascii="Arial" w:hAnsi="Arial" w:cs="Arial"/>
          <w:sz w:val="24"/>
          <w:szCs w:val="24"/>
        </w:rPr>
        <w:t xml:space="preserve"> </w:t>
      </w:r>
    </w:p>
    <w:p w14:paraId="202F9F79" w14:textId="175789D3" w:rsidR="002F2338" w:rsidRDefault="00BB2AED" w:rsidP="00A07664">
      <w:pPr>
        <w:spacing w:line="480" w:lineRule="auto"/>
        <w:jc w:val="both"/>
        <w:rPr>
          <w:rFonts w:ascii="Arial" w:hAnsi="Arial" w:cs="Arial"/>
          <w:sz w:val="24"/>
          <w:szCs w:val="24"/>
        </w:rPr>
      </w:pPr>
      <w:r>
        <w:rPr>
          <w:noProof/>
        </w:rPr>
        <w:lastRenderedPageBreak/>
        <mc:AlternateContent>
          <mc:Choice Requires="wps">
            <w:drawing>
              <wp:anchor distT="0" distB="0" distL="114300" distR="114300" simplePos="0" relativeHeight="251767808" behindDoc="0" locked="0" layoutInCell="1" allowOverlap="1" wp14:anchorId="7983E5AF" wp14:editId="3E44F268">
                <wp:simplePos x="0" y="0"/>
                <wp:positionH relativeFrom="column">
                  <wp:posOffset>1292225</wp:posOffset>
                </wp:positionH>
                <wp:positionV relativeFrom="paragraph">
                  <wp:posOffset>4411345</wp:posOffset>
                </wp:positionV>
                <wp:extent cx="676275" cy="314325"/>
                <wp:effectExtent l="0" t="0" r="9525" b="9525"/>
                <wp:wrapNone/>
                <wp:docPr id="24" name="Rectangle 24"/>
                <wp:cNvGraphicFramePr/>
                <a:graphic xmlns:a="http://schemas.openxmlformats.org/drawingml/2006/main">
                  <a:graphicData uri="http://schemas.microsoft.com/office/word/2010/wordprocessingShape">
                    <wps:wsp>
                      <wps:cNvSpPr/>
                      <wps:spPr>
                        <a:xfrm>
                          <a:off x="0" y="0"/>
                          <a:ext cx="676275" cy="314325"/>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00570ADC" w14:textId="75D784DC" w:rsidR="00376181" w:rsidRDefault="00376181" w:rsidP="00834360">
                            <w:pPr>
                              <w:jc w:val="center"/>
                            </w:pPr>
                            <w:r>
                              <w:t>0.</w:t>
                            </w:r>
                            <w:r w:rsidR="00FF6D67">
                              <w:t>61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3E5AF" id="Rectangle 24" o:spid="_x0000_s1036" style="position:absolute;left:0;text-align:left;margin-left:101.75pt;margin-top:347.35pt;width:53.25pt;height:24.7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" fillcolor="white [3201]" stroked="f" strokeweight="2pt">
                <v:textbox>
                  <w:txbxContent>
                    <w:p w14:paraId="00570ADC" w14:textId="75D784DC" w:rsidR="00376181" w:rsidRDefault="00376181" w:rsidP="00834360">
                      <w:pPr>
                        <w:jc w:val="center"/>
                      </w:pPr>
                      <w:r>
                        <w:t>0.</w:t>
                      </w:r>
                      <w:r w:rsidR="00FF6D67">
                        <w:t>61</w:t>
                      </w:r>
                    </w:p>
                  </w:txbxContent>
                </v:textbox>
              </v:rect>
            </w:pict>
          </mc:Fallback>
        </mc:AlternateContent>
      </w:r>
      <w:r>
        <w:rPr>
          <w:noProof/>
        </w:rPr>
        <mc:AlternateContent>
          <mc:Choice Requires="wps">
            <w:drawing>
              <wp:anchor distT="0" distB="0" distL="114300" distR="114300" simplePos="0" relativeHeight="251765760" behindDoc="0" locked="0" layoutInCell="1" allowOverlap="1" wp14:anchorId="6D5E29CA" wp14:editId="1634542D">
                <wp:simplePos x="0" y="0"/>
                <wp:positionH relativeFrom="column">
                  <wp:posOffset>2500630</wp:posOffset>
                </wp:positionH>
                <wp:positionV relativeFrom="paragraph">
                  <wp:posOffset>4418330</wp:posOffset>
                </wp:positionV>
                <wp:extent cx="1085533" cy="314325"/>
                <wp:effectExtent l="0" t="0" r="635" b="9525"/>
                <wp:wrapNone/>
                <wp:docPr id="18" name="Rectangle 18"/>
                <wp:cNvGraphicFramePr/>
                <a:graphic xmlns:a="http://schemas.openxmlformats.org/drawingml/2006/main">
                  <a:graphicData uri="http://schemas.microsoft.com/office/word/2010/wordprocessingShape">
                    <wps:wsp>
                      <wps:cNvSpPr/>
                      <wps:spPr>
                        <a:xfrm>
                          <a:off x="0" y="0"/>
                          <a:ext cx="1085533" cy="314325"/>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67C2CB73" w14:textId="2889E0CF" w:rsidR="00376181" w:rsidRDefault="00376181" w:rsidP="00834360">
                            <w:pPr>
                              <w:jc w:val="center"/>
                            </w:pPr>
                            <w:r>
                              <w:t>0.</w:t>
                            </w:r>
                            <w:r w:rsidR="00FF6D67">
                              <w:t>74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5E29CA" id="Rectangle 18" o:spid="_x0000_s1037" style="position:absolute;left:0;text-align:left;margin-left:196.9pt;margin-top:347.9pt;width:85.5pt;height:24.7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" fillcolor="white [3201]" stroked="f" strokeweight="2pt">
                <v:textbox>
                  <w:txbxContent>
                    <w:p w14:paraId="67C2CB73" w14:textId="2889E0CF" w:rsidR="00376181" w:rsidRDefault="00376181" w:rsidP="00834360">
                      <w:pPr>
                        <w:jc w:val="center"/>
                      </w:pPr>
                      <w:r>
                        <w:t>0.</w:t>
                      </w:r>
                      <w:r w:rsidR="00FF6D67">
                        <w:t>74</w:t>
                      </w:r>
                    </w:p>
                  </w:txbxContent>
                </v:textbox>
              </v:rect>
            </w:pict>
          </mc:Fallback>
        </mc:AlternateContent>
      </w:r>
      <w:r>
        <w:rPr>
          <w:noProof/>
        </w:rPr>
        <mc:AlternateContent>
          <mc:Choice Requires="wps">
            <w:drawing>
              <wp:anchor distT="0" distB="0" distL="114300" distR="114300" simplePos="0" relativeHeight="251769856" behindDoc="0" locked="0" layoutInCell="1" allowOverlap="1" wp14:anchorId="24A7D763" wp14:editId="4612622F">
                <wp:simplePos x="0" y="0"/>
                <wp:positionH relativeFrom="column">
                  <wp:posOffset>4029075</wp:posOffset>
                </wp:positionH>
                <wp:positionV relativeFrom="paragraph">
                  <wp:posOffset>4422775</wp:posOffset>
                </wp:positionV>
                <wp:extent cx="533400" cy="314325"/>
                <wp:effectExtent l="0" t="0" r="0" b="9525"/>
                <wp:wrapNone/>
                <wp:docPr id="32" name="Rectangle 32"/>
                <wp:cNvGraphicFramePr/>
                <a:graphic xmlns:a="http://schemas.openxmlformats.org/drawingml/2006/main">
                  <a:graphicData uri="http://schemas.microsoft.com/office/word/2010/wordprocessingShape">
                    <wps:wsp>
                      <wps:cNvSpPr/>
                      <wps:spPr>
                        <a:xfrm>
                          <a:off x="0" y="0"/>
                          <a:ext cx="533400" cy="314325"/>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5D380F61" w14:textId="497A0176" w:rsidR="00376181" w:rsidRDefault="00376181" w:rsidP="00834360">
                            <w:pPr>
                              <w:jc w:val="center"/>
                            </w:pPr>
                            <w:r>
                              <w:t>0.92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A7D763" id="Rectangle 32" o:spid="_x0000_s1038" style="position:absolute;left:0;text-align:left;margin-left:317.25pt;margin-top:348.25pt;width:42pt;height:24.7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" fillcolor="white [3201]" stroked="f" strokeweight="2pt">
                <v:textbox>
                  <w:txbxContent>
                    <w:p w14:paraId="5D380F61" w14:textId="497A0176" w:rsidR="00376181" w:rsidRDefault="00376181" w:rsidP="00834360">
                      <w:pPr>
                        <w:jc w:val="center"/>
                      </w:pPr>
                      <w:r>
                        <w:t>0.92</w:t>
                      </w:r>
                    </w:p>
                  </w:txbxContent>
                </v:textbox>
              </v:rect>
            </w:pict>
          </mc:Fallback>
        </mc:AlternateContent>
      </w:r>
      <w:r w:rsidR="005B54AF">
        <w:rPr>
          <w:noProof/>
        </w:rPr>
        <mc:AlternateContent>
          <mc:Choice Requires="wps">
            <w:drawing>
              <wp:anchor distT="0" distB="0" distL="114300" distR="114300" simplePos="0" relativeHeight="251735040" behindDoc="0" locked="0" layoutInCell="1" allowOverlap="1" wp14:anchorId="6DD8E8F9" wp14:editId="7041DCEC">
                <wp:simplePos x="0" y="0"/>
                <wp:positionH relativeFrom="column">
                  <wp:posOffset>4019232</wp:posOffset>
                </wp:positionH>
                <wp:positionV relativeFrom="paragraph">
                  <wp:posOffset>1888107</wp:posOffset>
                </wp:positionV>
                <wp:extent cx="881184" cy="467986"/>
                <wp:effectExtent l="263843" t="0" r="0" b="68898"/>
                <wp:wrapNone/>
                <wp:docPr id="43" name="Isosceles Triangle 43"/>
                <wp:cNvGraphicFramePr/>
                <a:graphic xmlns:a="http://schemas.openxmlformats.org/drawingml/2006/main">
                  <a:graphicData uri="http://schemas.microsoft.com/office/word/2010/wordprocessingShape">
                    <wps:wsp>
                      <wps:cNvSpPr/>
                      <wps:spPr>
                        <a:xfrm rot="2862037">
                          <a:off x="0" y="0"/>
                          <a:ext cx="881184" cy="467986"/>
                        </a:xfrm>
                        <a:prstGeom prst="triangl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shapetype w14:anchorId="5BABE669"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43" o:spid="_x0000_s1026" type="#_x0000_t5" style="position:absolute;margin-left:316.45pt;margin-top:148.65pt;width:69.4pt;height:36.85pt;rotation:3126108fd;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" filled="f" strokecolor="red" strokeweight="2pt"/>
            </w:pict>
          </mc:Fallback>
        </mc:AlternateContent>
      </w:r>
      <w:r w:rsidR="005B54AF">
        <w:rPr>
          <w:noProof/>
        </w:rPr>
        <mc:AlternateContent>
          <mc:Choice Requires="wps">
            <w:drawing>
              <wp:anchor distT="0" distB="0" distL="114300" distR="114300" simplePos="0" relativeHeight="251732992" behindDoc="0" locked="0" layoutInCell="1" allowOverlap="1" wp14:anchorId="700B8181" wp14:editId="2430C5D5">
                <wp:simplePos x="0" y="0"/>
                <wp:positionH relativeFrom="column">
                  <wp:posOffset>4047118</wp:posOffset>
                </wp:positionH>
                <wp:positionV relativeFrom="paragraph">
                  <wp:posOffset>3323908</wp:posOffset>
                </wp:positionV>
                <wp:extent cx="881184" cy="467986"/>
                <wp:effectExtent l="263843" t="0" r="0" b="68898"/>
                <wp:wrapNone/>
                <wp:docPr id="42" name="Isosceles Triangle 42"/>
                <wp:cNvGraphicFramePr/>
                <a:graphic xmlns:a="http://schemas.openxmlformats.org/drawingml/2006/main">
                  <a:graphicData uri="http://schemas.microsoft.com/office/word/2010/wordprocessingShape">
                    <wps:wsp>
                      <wps:cNvSpPr/>
                      <wps:spPr>
                        <a:xfrm rot="2862037">
                          <a:off x="0" y="0"/>
                          <a:ext cx="881184" cy="467986"/>
                        </a:xfrm>
                        <a:prstGeom prst="triangl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6B547795" id="Isosceles Triangle 42" o:spid="_x0000_s1026" type="#_x0000_t5" style="position:absolute;margin-left:318.65pt;margin-top:261.75pt;width:69.4pt;height:36.85pt;rotation:3126108fd;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" filled="f" strokecolor="red" strokeweight="2pt"/>
            </w:pict>
          </mc:Fallback>
        </mc:AlternateContent>
      </w:r>
      <w:r w:rsidR="005B54AF">
        <w:rPr>
          <w:noProof/>
        </w:rPr>
        <mc:AlternateContent>
          <mc:Choice Requires="wps">
            <w:drawing>
              <wp:anchor distT="0" distB="0" distL="114300" distR="114300" simplePos="0" relativeHeight="251762688" behindDoc="0" locked="0" layoutInCell="1" allowOverlap="1" wp14:anchorId="703369E2" wp14:editId="5C30F134">
                <wp:simplePos x="0" y="0"/>
                <wp:positionH relativeFrom="column">
                  <wp:posOffset>2799080</wp:posOffset>
                </wp:positionH>
                <wp:positionV relativeFrom="paragraph">
                  <wp:posOffset>3817620</wp:posOffset>
                </wp:positionV>
                <wp:extent cx="114300" cy="104775"/>
                <wp:effectExtent l="0" t="0" r="19050" b="28575"/>
                <wp:wrapNone/>
                <wp:docPr id="193" name="Oval 193"/>
                <wp:cNvGraphicFramePr/>
                <a:graphic xmlns:a="http://schemas.openxmlformats.org/drawingml/2006/main">
                  <a:graphicData uri="http://schemas.microsoft.com/office/word/2010/wordprocessingShape">
                    <wps:wsp>
                      <wps:cNvSpPr/>
                      <wps:spPr>
                        <a:xfrm>
                          <a:off x="0" y="0"/>
                          <a:ext cx="114300" cy="10477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oval w14:anchorId="0204DAC6" id="Oval 193" o:spid="_x0000_s1026" style="position:absolute;margin-left:220.4pt;margin-top:300.6pt;width:9pt;height:8.2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" filled="f" strokecolor="red" strokeweight="2pt"/>
            </w:pict>
          </mc:Fallback>
        </mc:AlternateContent>
      </w:r>
      <w:r w:rsidR="005B54AF">
        <w:rPr>
          <w:noProof/>
        </w:rPr>
        <mc:AlternateContent>
          <mc:Choice Requires="wps">
            <w:drawing>
              <wp:anchor distT="0" distB="0" distL="114300" distR="114300" simplePos="0" relativeHeight="251761664" behindDoc="0" locked="0" layoutInCell="1" allowOverlap="1" wp14:anchorId="458D60C8" wp14:editId="2F1538CE">
                <wp:simplePos x="0" y="0"/>
                <wp:positionH relativeFrom="column">
                  <wp:posOffset>2734945</wp:posOffset>
                </wp:positionH>
                <wp:positionV relativeFrom="paragraph">
                  <wp:posOffset>3681095</wp:posOffset>
                </wp:positionV>
                <wp:extent cx="114300" cy="104775"/>
                <wp:effectExtent l="0" t="0" r="19050" b="28575"/>
                <wp:wrapNone/>
                <wp:docPr id="192" name="Oval 192"/>
                <wp:cNvGraphicFramePr/>
                <a:graphic xmlns:a="http://schemas.openxmlformats.org/drawingml/2006/main">
                  <a:graphicData uri="http://schemas.microsoft.com/office/word/2010/wordprocessingShape">
                    <wps:wsp>
                      <wps:cNvSpPr/>
                      <wps:spPr>
                        <a:xfrm>
                          <a:off x="0" y="0"/>
                          <a:ext cx="114300" cy="10477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oval w14:anchorId="57AE2A03" id="Oval 192" o:spid="_x0000_s1026" style="position:absolute;margin-left:215.35pt;margin-top:289.85pt;width:9pt;height:8.2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" filled="f" strokecolor="red" strokeweight="2pt"/>
            </w:pict>
          </mc:Fallback>
        </mc:AlternateContent>
      </w:r>
      <w:r w:rsidR="005B54AF">
        <w:rPr>
          <w:noProof/>
        </w:rPr>
        <mc:AlternateContent>
          <mc:Choice Requires="wps">
            <w:drawing>
              <wp:anchor distT="0" distB="0" distL="114300" distR="114300" simplePos="0" relativeHeight="251760640" behindDoc="0" locked="0" layoutInCell="1" allowOverlap="1" wp14:anchorId="5945B689" wp14:editId="73CD8932">
                <wp:simplePos x="0" y="0"/>
                <wp:positionH relativeFrom="column">
                  <wp:posOffset>2912110</wp:posOffset>
                </wp:positionH>
                <wp:positionV relativeFrom="paragraph">
                  <wp:posOffset>3423920</wp:posOffset>
                </wp:positionV>
                <wp:extent cx="114300" cy="104775"/>
                <wp:effectExtent l="0" t="0" r="19050" b="28575"/>
                <wp:wrapNone/>
                <wp:docPr id="63" name="Oval 63"/>
                <wp:cNvGraphicFramePr/>
                <a:graphic xmlns:a="http://schemas.openxmlformats.org/drawingml/2006/main">
                  <a:graphicData uri="http://schemas.microsoft.com/office/word/2010/wordprocessingShape">
                    <wps:wsp>
                      <wps:cNvSpPr/>
                      <wps:spPr>
                        <a:xfrm>
                          <a:off x="0" y="0"/>
                          <a:ext cx="114300" cy="10477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oval w14:anchorId="42B33C0A" id="Oval 63" o:spid="_x0000_s1026" style="position:absolute;margin-left:229.3pt;margin-top:269.6pt;width:9pt;height:8.2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" filled="f" strokecolor="red" strokeweight="2pt"/>
            </w:pict>
          </mc:Fallback>
        </mc:AlternateContent>
      </w:r>
      <w:r w:rsidR="005B54AF">
        <w:rPr>
          <w:noProof/>
        </w:rPr>
        <mc:AlternateContent>
          <mc:Choice Requires="wps">
            <w:drawing>
              <wp:anchor distT="0" distB="0" distL="114300" distR="114300" simplePos="0" relativeHeight="251756544" behindDoc="0" locked="0" layoutInCell="1" allowOverlap="1" wp14:anchorId="15250A86" wp14:editId="2CA63A99">
                <wp:simplePos x="0" y="0"/>
                <wp:positionH relativeFrom="column">
                  <wp:posOffset>2959735</wp:posOffset>
                </wp:positionH>
                <wp:positionV relativeFrom="paragraph">
                  <wp:posOffset>2110105</wp:posOffset>
                </wp:positionV>
                <wp:extent cx="114300" cy="104775"/>
                <wp:effectExtent l="0" t="0" r="19050" b="28575"/>
                <wp:wrapNone/>
                <wp:docPr id="55" name="Oval 55"/>
                <wp:cNvGraphicFramePr/>
                <a:graphic xmlns:a="http://schemas.openxmlformats.org/drawingml/2006/main">
                  <a:graphicData uri="http://schemas.microsoft.com/office/word/2010/wordprocessingShape">
                    <wps:wsp>
                      <wps:cNvSpPr/>
                      <wps:spPr>
                        <a:xfrm>
                          <a:off x="0" y="0"/>
                          <a:ext cx="114300" cy="10477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oval w14:anchorId="20E2C274" id="Oval 55" o:spid="_x0000_s1026" style="position:absolute;margin-left:233.05pt;margin-top:166.15pt;width:9pt;height:8.2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" filled="f" strokecolor="red" strokeweight="2pt"/>
            </w:pict>
          </mc:Fallback>
        </mc:AlternateContent>
      </w:r>
      <w:r w:rsidR="005B54AF">
        <w:rPr>
          <w:noProof/>
        </w:rPr>
        <mc:AlternateContent>
          <mc:Choice Requires="wps">
            <w:drawing>
              <wp:anchor distT="0" distB="0" distL="114300" distR="114300" simplePos="0" relativeHeight="251757568" behindDoc="0" locked="0" layoutInCell="1" allowOverlap="1" wp14:anchorId="3E44874A" wp14:editId="0022CF9C">
                <wp:simplePos x="0" y="0"/>
                <wp:positionH relativeFrom="column">
                  <wp:posOffset>2783205</wp:posOffset>
                </wp:positionH>
                <wp:positionV relativeFrom="paragraph">
                  <wp:posOffset>2366645</wp:posOffset>
                </wp:positionV>
                <wp:extent cx="114300" cy="104775"/>
                <wp:effectExtent l="0" t="0" r="19050" b="28575"/>
                <wp:wrapNone/>
                <wp:docPr id="61" name="Oval 61"/>
                <wp:cNvGraphicFramePr/>
                <a:graphic xmlns:a="http://schemas.openxmlformats.org/drawingml/2006/main">
                  <a:graphicData uri="http://schemas.microsoft.com/office/word/2010/wordprocessingShape">
                    <wps:wsp>
                      <wps:cNvSpPr/>
                      <wps:spPr>
                        <a:xfrm>
                          <a:off x="0" y="0"/>
                          <a:ext cx="114300" cy="10477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oval w14:anchorId="6C6B290F" id="Oval 61" o:spid="_x0000_s1026" style="position:absolute;margin-left:219.15pt;margin-top:186.35pt;width:9pt;height:8.2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" filled="f" strokecolor="red" strokeweight="2pt"/>
            </w:pict>
          </mc:Fallback>
        </mc:AlternateContent>
      </w:r>
      <w:r w:rsidR="005B54AF">
        <w:rPr>
          <w:noProof/>
        </w:rPr>
        <mc:AlternateContent>
          <mc:Choice Requires="wps">
            <w:drawing>
              <wp:anchor distT="0" distB="0" distL="114300" distR="114300" simplePos="0" relativeHeight="251758592" behindDoc="0" locked="0" layoutInCell="1" allowOverlap="1" wp14:anchorId="31AF3F84" wp14:editId="528346D9">
                <wp:simplePos x="0" y="0"/>
                <wp:positionH relativeFrom="column">
                  <wp:posOffset>2846705</wp:posOffset>
                </wp:positionH>
                <wp:positionV relativeFrom="paragraph">
                  <wp:posOffset>2503170</wp:posOffset>
                </wp:positionV>
                <wp:extent cx="114300" cy="104775"/>
                <wp:effectExtent l="0" t="0" r="19050" b="28575"/>
                <wp:wrapNone/>
                <wp:docPr id="62" name="Oval 62"/>
                <wp:cNvGraphicFramePr/>
                <a:graphic xmlns:a="http://schemas.openxmlformats.org/drawingml/2006/main">
                  <a:graphicData uri="http://schemas.microsoft.com/office/word/2010/wordprocessingShape">
                    <wps:wsp>
                      <wps:cNvSpPr/>
                      <wps:spPr>
                        <a:xfrm>
                          <a:off x="0" y="0"/>
                          <a:ext cx="114300" cy="10477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oval w14:anchorId="6D7F1145" id="Oval 62" o:spid="_x0000_s1026" style="position:absolute;margin-left:224.15pt;margin-top:197.1pt;width:9pt;height:8.2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" filled="f" strokecolor="red" strokeweight="2pt"/>
            </w:pict>
          </mc:Fallback>
        </mc:AlternateContent>
      </w:r>
      <w:r w:rsidR="005B54AF">
        <w:rPr>
          <w:noProof/>
        </w:rPr>
        <mc:AlternateContent>
          <mc:Choice Requires="wps">
            <w:drawing>
              <wp:anchor distT="0" distB="0" distL="114300" distR="114300" simplePos="0" relativeHeight="251740160" behindDoc="0" locked="0" layoutInCell="1" allowOverlap="1" wp14:anchorId="1E9BC636" wp14:editId="1141CF00">
                <wp:simplePos x="0" y="0"/>
                <wp:positionH relativeFrom="column">
                  <wp:posOffset>2886075</wp:posOffset>
                </wp:positionH>
                <wp:positionV relativeFrom="paragraph">
                  <wp:posOffset>1007745</wp:posOffset>
                </wp:positionV>
                <wp:extent cx="114300" cy="104775"/>
                <wp:effectExtent l="0" t="0" r="19050" b="28575"/>
                <wp:wrapNone/>
                <wp:docPr id="47" name="Oval 47"/>
                <wp:cNvGraphicFramePr/>
                <a:graphic xmlns:a="http://schemas.openxmlformats.org/drawingml/2006/main">
                  <a:graphicData uri="http://schemas.microsoft.com/office/word/2010/wordprocessingShape">
                    <wps:wsp>
                      <wps:cNvSpPr/>
                      <wps:spPr>
                        <a:xfrm>
                          <a:off x="0" y="0"/>
                          <a:ext cx="114300" cy="10477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oval w14:anchorId="5417C322" id="Oval 47" o:spid="_x0000_s1026" style="position:absolute;margin-left:227.25pt;margin-top:79.35pt;width:9pt;height:8.2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" filled="f" strokecolor="red" strokeweight="2pt"/>
            </w:pict>
          </mc:Fallback>
        </mc:AlternateContent>
      </w:r>
      <w:r w:rsidR="005B54AF">
        <w:rPr>
          <w:noProof/>
        </w:rPr>
        <mc:AlternateContent>
          <mc:Choice Requires="wps">
            <w:drawing>
              <wp:anchor distT="0" distB="0" distL="114300" distR="114300" simplePos="0" relativeHeight="251738112" behindDoc="0" locked="0" layoutInCell="1" allowOverlap="1" wp14:anchorId="615D1828" wp14:editId="24AEDE89">
                <wp:simplePos x="0" y="0"/>
                <wp:positionH relativeFrom="column">
                  <wp:posOffset>2809240</wp:posOffset>
                </wp:positionH>
                <wp:positionV relativeFrom="paragraph">
                  <wp:posOffset>871220</wp:posOffset>
                </wp:positionV>
                <wp:extent cx="114300" cy="104775"/>
                <wp:effectExtent l="0" t="0" r="19050" b="28575"/>
                <wp:wrapNone/>
                <wp:docPr id="46" name="Oval 46"/>
                <wp:cNvGraphicFramePr/>
                <a:graphic xmlns:a="http://schemas.openxmlformats.org/drawingml/2006/main">
                  <a:graphicData uri="http://schemas.microsoft.com/office/word/2010/wordprocessingShape">
                    <wps:wsp>
                      <wps:cNvSpPr/>
                      <wps:spPr>
                        <a:xfrm>
                          <a:off x="0" y="0"/>
                          <a:ext cx="114300" cy="10477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oval w14:anchorId="26421018" id="Oval 46" o:spid="_x0000_s1026" style="position:absolute;margin-left:221.2pt;margin-top:68.6pt;width:9pt;height:8.2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" filled="f" strokecolor="red" strokeweight="2pt"/>
            </w:pict>
          </mc:Fallback>
        </mc:AlternateContent>
      </w:r>
      <w:r w:rsidR="005B54AF">
        <w:rPr>
          <w:noProof/>
        </w:rPr>
        <mc:AlternateContent>
          <mc:Choice Requires="wps">
            <w:drawing>
              <wp:anchor distT="0" distB="0" distL="114300" distR="114300" simplePos="0" relativeHeight="251736064" behindDoc="0" locked="0" layoutInCell="1" allowOverlap="1" wp14:anchorId="399771CC" wp14:editId="639BF5B3">
                <wp:simplePos x="0" y="0"/>
                <wp:positionH relativeFrom="column">
                  <wp:posOffset>2973705</wp:posOffset>
                </wp:positionH>
                <wp:positionV relativeFrom="paragraph">
                  <wp:posOffset>668020</wp:posOffset>
                </wp:positionV>
                <wp:extent cx="114300" cy="104775"/>
                <wp:effectExtent l="0" t="0" r="19050" b="28575"/>
                <wp:wrapNone/>
                <wp:docPr id="44" name="Oval 44"/>
                <wp:cNvGraphicFramePr/>
                <a:graphic xmlns:a="http://schemas.openxmlformats.org/drawingml/2006/main">
                  <a:graphicData uri="http://schemas.microsoft.com/office/word/2010/wordprocessingShape">
                    <wps:wsp>
                      <wps:cNvSpPr/>
                      <wps:spPr>
                        <a:xfrm>
                          <a:off x="0" y="0"/>
                          <a:ext cx="114300" cy="10477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oval w14:anchorId="47F3E752" id="Oval 44" o:spid="_x0000_s1026" style="position:absolute;margin-left:234.15pt;margin-top:52.6pt;width:9pt;height:8.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" filled="f" strokecolor="red" strokeweight="2pt"/>
            </w:pict>
          </mc:Fallback>
        </mc:AlternateContent>
      </w:r>
      <w:r w:rsidR="005B54AF">
        <w:rPr>
          <w:noProof/>
        </w:rPr>
        <mc:AlternateContent>
          <mc:Choice Requires="wps">
            <w:drawing>
              <wp:anchor distT="0" distB="0" distL="114300" distR="114300" simplePos="0" relativeHeight="251730944" behindDoc="0" locked="0" layoutInCell="1" allowOverlap="1" wp14:anchorId="38FD0012" wp14:editId="712DBC40">
                <wp:simplePos x="0" y="0"/>
                <wp:positionH relativeFrom="column">
                  <wp:posOffset>3984942</wp:posOffset>
                </wp:positionH>
                <wp:positionV relativeFrom="paragraph">
                  <wp:posOffset>439103</wp:posOffset>
                </wp:positionV>
                <wp:extent cx="881184" cy="467986"/>
                <wp:effectExtent l="263843" t="0" r="0" b="68898"/>
                <wp:wrapNone/>
                <wp:docPr id="36" name="Isosceles Triangle 36"/>
                <wp:cNvGraphicFramePr/>
                <a:graphic xmlns:a="http://schemas.openxmlformats.org/drawingml/2006/main">
                  <a:graphicData uri="http://schemas.microsoft.com/office/word/2010/wordprocessingShape">
                    <wps:wsp>
                      <wps:cNvSpPr/>
                      <wps:spPr>
                        <a:xfrm rot="2862037">
                          <a:off x="0" y="0"/>
                          <a:ext cx="881184" cy="467986"/>
                        </a:xfrm>
                        <a:prstGeom prst="triangl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3476C909" id="Isosceles Triangle 36" o:spid="_x0000_s1026" type="#_x0000_t5" style="position:absolute;margin-left:313.75pt;margin-top:34.6pt;width:69.4pt;height:36.85pt;rotation:3126108fd;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" filled="f" strokecolor="red" strokeweight="2pt"/>
            </w:pict>
          </mc:Fallback>
        </mc:AlternateContent>
      </w:r>
      <w:r w:rsidR="005B54AF">
        <w:rPr>
          <w:noProof/>
        </w:rPr>
        <mc:AlternateContent>
          <mc:Choice Requires="wps">
            <w:drawing>
              <wp:anchor distT="0" distB="0" distL="114300" distR="114300" simplePos="0" relativeHeight="251780096" behindDoc="0" locked="0" layoutInCell="1" allowOverlap="1" wp14:anchorId="3051E307" wp14:editId="029BD67E">
                <wp:simplePos x="0" y="0"/>
                <wp:positionH relativeFrom="column">
                  <wp:posOffset>3981450</wp:posOffset>
                </wp:positionH>
                <wp:positionV relativeFrom="paragraph">
                  <wp:posOffset>2952750</wp:posOffset>
                </wp:positionV>
                <wp:extent cx="609600" cy="314325"/>
                <wp:effectExtent l="0" t="0" r="0" b="9525"/>
                <wp:wrapNone/>
                <wp:docPr id="50" name="Rectangle 50"/>
                <wp:cNvGraphicFramePr/>
                <a:graphic xmlns:a="http://schemas.openxmlformats.org/drawingml/2006/main">
                  <a:graphicData uri="http://schemas.microsoft.com/office/word/2010/wordprocessingShape">
                    <wps:wsp>
                      <wps:cNvSpPr/>
                      <wps:spPr>
                        <a:xfrm>
                          <a:off x="0" y="0"/>
                          <a:ext cx="609600" cy="314325"/>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1F8F67E5" w14:textId="3C684FF6" w:rsidR="00BC54BE" w:rsidRDefault="00BC54BE" w:rsidP="00834360">
                            <w:pPr>
                              <w:jc w:val="center"/>
                            </w:pPr>
                            <w:r>
                              <w:t>0.</w:t>
                            </w:r>
                            <w:r w:rsidR="009A61C5">
                              <w:t>9</w:t>
                            </w:r>
                            <w: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51E307" id="Rectangle 50" o:spid="_x0000_s1039" style="position:absolute;left:0;text-align:left;margin-left:313.5pt;margin-top:232.5pt;width:48pt;height:24.7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" fillcolor="white [3201]" stroked="f" strokeweight="2pt">
                <v:textbox>
                  <w:txbxContent>
                    <w:p w14:paraId="1F8F67E5" w14:textId="3C684FF6" w:rsidR="00BC54BE" w:rsidRDefault="00BC54BE" w:rsidP="00834360">
                      <w:pPr>
                        <w:jc w:val="center"/>
                      </w:pPr>
                      <w:r>
                        <w:t>0.</w:t>
                      </w:r>
                      <w:r w:rsidR="009A61C5">
                        <w:t>9</w:t>
                      </w:r>
                      <w:r>
                        <w:t>2</w:t>
                      </w:r>
                    </w:p>
                  </w:txbxContent>
                </v:textbox>
              </v:rect>
            </w:pict>
          </mc:Fallback>
        </mc:AlternateContent>
      </w:r>
      <w:r w:rsidR="005B54AF">
        <w:rPr>
          <w:noProof/>
        </w:rPr>
        <mc:AlternateContent>
          <mc:Choice Requires="wps">
            <w:drawing>
              <wp:anchor distT="0" distB="0" distL="114300" distR="114300" simplePos="0" relativeHeight="251778048" behindDoc="0" locked="0" layoutInCell="1" allowOverlap="1" wp14:anchorId="1F2233FD" wp14:editId="2F806156">
                <wp:simplePos x="0" y="0"/>
                <wp:positionH relativeFrom="column">
                  <wp:posOffset>2608580</wp:posOffset>
                </wp:positionH>
                <wp:positionV relativeFrom="paragraph">
                  <wp:posOffset>2946400</wp:posOffset>
                </wp:positionV>
                <wp:extent cx="776287" cy="314325"/>
                <wp:effectExtent l="0" t="0" r="5080" b="9525"/>
                <wp:wrapNone/>
                <wp:docPr id="49" name="Rectangle 49"/>
                <wp:cNvGraphicFramePr/>
                <a:graphic xmlns:a="http://schemas.openxmlformats.org/drawingml/2006/main">
                  <a:graphicData uri="http://schemas.microsoft.com/office/word/2010/wordprocessingShape">
                    <wps:wsp>
                      <wps:cNvSpPr/>
                      <wps:spPr>
                        <a:xfrm>
                          <a:off x="0" y="0"/>
                          <a:ext cx="776287" cy="314325"/>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67D4E8AB" w14:textId="77777777" w:rsidR="00BC54BE" w:rsidRDefault="00BC54BE" w:rsidP="00834360">
                            <w:pPr>
                              <w:jc w:val="center"/>
                            </w:pPr>
                            <w:r>
                              <w:t>0.22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2233FD" id="Rectangle 49" o:spid="_x0000_s1040" style="position:absolute;left:0;text-align:left;margin-left:205.4pt;margin-top:232pt;width:61.1pt;height:24.7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" fillcolor="white [3201]" stroked="f" strokeweight="2pt">
                <v:textbox>
                  <w:txbxContent>
                    <w:p w14:paraId="67D4E8AB" w14:textId="77777777" w:rsidR="00BC54BE" w:rsidRDefault="00BC54BE" w:rsidP="00834360">
                      <w:pPr>
                        <w:jc w:val="center"/>
                      </w:pPr>
                      <w:r>
                        <w:t>0.22</w:t>
                      </w:r>
                    </w:p>
                  </w:txbxContent>
                </v:textbox>
              </v:rect>
            </w:pict>
          </mc:Fallback>
        </mc:AlternateContent>
      </w:r>
      <w:r w:rsidR="005B54AF">
        <w:rPr>
          <w:noProof/>
        </w:rPr>
        <mc:AlternateContent>
          <mc:Choice Requires="wps">
            <w:drawing>
              <wp:anchor distT="0" distB="0" distL="114300" distR="114300" simplePos="0" relativeHeight="251776000" behindDoc="0" locked="0" layoutInCell="1" allowOverlap="1" wp14:anchorId="660313BB" wp14:editId="6B22F79C">
                <wp:simplePos x="0" y="0"/>
                <wp:positionH relativeFrom="column">
                  <wp:posOffset>1225550</wp:posOffset>
                </wp:positionH>
                <wp:positionV relativeFrom="paragraph">
                  <wp:posOffset>2946400</wp:posOffset>
                </wp:positionV>
                <wp:extent cx="603250" cy="314325"/>
                <wp:effectExtent l="0" t="0" r="6350" b="9525"/>
                <wp:wrapNone/>
                <wp:docPr id="48" name="Rectangle 48"/>
                <wp:cNvGraphicFramePr/>
                <a:graphic xmlns:a="http://schemas.openxmlformats.org/drawingml/2006/main">
                  <a:graphicData uri="http://schemas.microsoft.com/office/word/2010/wordprocessingShape">
                    <wps:wsp>
                      <wps:cNvSpPr/>
                      <wps:spPr>
                        <a:xfrm>
                          <a:off x="0" y="0"/>
                          <a:ext cx="603250" cy="314325"/>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29177734" w14:textId="73C12AE8" w:rsidR="00BC54BE" w:rsidRDefault="00BC54BE" w:rsidP="00834360">
                            <w:pPr>
                              <w:jc w:val="center"/>
                            </w:pPr>
                            <w:r>
                              <w:t>0.13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0313BB" id="Rectangle 48" o:spid="_x0000_s1041" style="position:absolute;left:0;text-align:left;margin-left:96.5pt;margin-top:232pt;width:47.5pt;height:24.7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" fillcolor="white [3201]" stroked="f" strokeweight="2pt">
                <v:textbox>
                  <w:txbxContent>
                    <w:p w14:paraId="29177734" w14:textId="73C12AE8" w:rsidR="00BC54BE" w:rsidRDefault="00BC54BE" w:rsidP="00834360">
                      <w:pPr>
                        <w:jc w:val="center"/>
                      </w:pPr>
                      <w:r>
                        <w:t>0.13</w:t>
                      </w:r>
                    </w:p>
                  </w:txbxContent>
                </v:textbox>
              </v:rect>
            </w:pict>
          </mc:Fallback>
        </mc:AlternateContent>
      </w:r>
      <w:r w:rsidR="005B54AF">
        <w:rPr>
          <w:noProof/>
        </w:rPr>
        <mc:AlternateContent>
          <mc:Choice Requires="wps">
            <w:drawing>
              <wp:anchor distT="0" distB="0" distL="114300" distR="114300" simplePos="0" relativeHeight="251771904" behindDoc="0" locked="0" layoutInCell="1" allowOverlap="1" wp14:anchorId="226F816B" wp14:editId="37820493">
                <wp:simplePos x="0" y="0"/>
                <wp:positionH relativeFrom="column">
                  <wp:posOffset>4022090</wp:posOffset>
                </wp:positionH>
                <wp:positionV relativeFrom="paragraph">
                  <wp:posOffset>1504950</wp:posOffset>
                </wp:positionV>
                <wp:extent cx="533400" cy="314325"/>
                <wp:effectExtent l="0" t="0" r="0" b="9525"/>
                <wp:wrapNone/>
                <wp:docPr id="38" name="Rectangle 38"/>
                <wp:cNvGraphicFramePr/>
                <a:graphic xmlns:a="http://schemas.openxmlformats.org/drawingml/2006/main">
                  <a:graphicData uri="http://schemas.microsoft.com/office/word/2010/wordprocessingShape">
                    <wps:wsp>
                      <wps:cNvSpPr/>
                      <wps:spPr>
                        <a:xfrm>
                          <a:off x="0" y="0"/>
                          <a:ext cx="533400" cy="314325"/>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0686F523" w14:textId="73BCB296" w:rsidR="00376181" w:rsidRDefault="00376181" w:rsidP="00834360">
                            <w:pPr>
                              <w:jc w:val="center"/>
                            </w:pPr>
                            <w:r>
                              <w:t>0.92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6F816B" id="Rectangle 38" o:spid="_x0000_s1042" style="position:absolute;left:0;text-align:left;margin-left:316.7pt;margin-top:118.5pt;width:42pt;height:24.7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" fillcolor="white [3201]" stroked="f" strokeweight="2pt">
                <v:textbox>
                  <w:txbxContent>
                    <w:p w14:paraId="0686F523" w14:textId="73BCB296" w:rsidR="00376181" w:rsidRDefault="00376181" w:rsidP="00834360">
                      <w:pPr>
                        <w:jc w:val="center"/>
                      </w:pPr>
                      <w:r>
                        <w:t>0.92</w:t>
                      </w:r>
                    </w:p>
                  </w:txbxContent>
                </v:textbox>
              </v:rect>
            </w:pict>
          </mc:Fallback>
        </mc:AlternateContent>
      </w:r>
      <w:r w:rsidR="005B54AF">
        <w:rPr>
          <w:noProof/>
        </w:rPr>
        <mc:AlternateContent>
          <mc:Choice Requires="wps">
            <w:drawing>
              <wp:anchor distT="0" distB="0" distL="114300" distR="114300" simplePos="0" relativeHeight="251773952" behindDoc="0" locked="0" layoutInCell="1" allowOverlap="1" wp14:anchorId="1410D5B1" wp14:editId="11F63A45">
                <wp:simplePos x="0" y="0"/>
                <wp:positionH relativeFrom="column">
                  <wp:posOffset>2724150</wp:posOffset>
                </wp:positionH>
                <wp:positionV relativeFrom="paragraph">
                  <wp:posOffset>1523365</wp:posOffset>
                </wp:positionV>
                <wp:extent cx="533400" cy="314325"/>
                <wp:effectExtent l="0" t="0" r="0" b="9525"/>
                <wp:wrapNone/>
                <wp:docPr id="45" name="Rectangle 45"/>
                <wp:cNvGraphicFramePr/>
                <a:graphic xmlns:a="http://schemas.openxmlformats.org/drawingml/2006/main">
                  <a:graphicData uri="http://schemas.microsoft.com/office/word/2010/wordprocessingShape">
                    <wps:wsp>
                      <wps:cNvSpPr/>
                      <wps:spPr>
                        <a:xfrm>
                          <a:off x="0" y="0"/>
                          <a:ext cx="533400" cy="314325"/>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1B26C76C" w14:textId="354045D0" w:rsidR="00376181" w:rsidRDefault="00376181" w:rsidP="00834360">
                            <w:pPr>
                              <w:jc w:val="center"/>
                            </w:pPr>
                            <w:r>
                              <w:t>0.36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10D5B1" id="Rectangle 45" o:spid="_x0000_s1043" style="position:absolute;left:0;text-align:left;margin-left:214.5pt;margin-top:119.95pt;width:42pt;height:24.7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" fillcolor="white [3201]" stroked="f" strokeweight="2pt">
                <v:textbox>
                  <w:txbxContent>
                    <w:p w14:paraId="1B26C76C" w14:textId="354045D0" w:rsidR="00376181" w:rsidRDefault="00376181" w:rsidP="00834360">
                      <w:pPr>
                        <w:jc w:val="center"/>
                      </w:pPr>
                      <w:r>
                        <w:t>0.36</w:t>
                      </w:r>
                    </w:p>
                  </w:txbxContent>
                </v:textbox>
              </v:rect>
            </w:pict>
          </mc:Fallback>
        </mc:AlternateContent>
      </w:r>
      <w:r w:rsidR="005B54AF">
        <w:rPr>
          <w:noProof/>
        </w:rPr>
        <mc:AlternateContent>
          <mc:Choice Requires="wps">
            <w:drawing>
              <wp:anchor distT="0" distB="0" distL="114300" distR="114300" simplePos="0" relativeHeight="251763712" behindDoc="0" locked="0" layoutInCell="1" allowOverlap="1" wp14:anchorId="3EE4EAC3" wp14:editId="099D5B7E">
                <wp:simplePos x="0" y="0"/>
                <wp:positionH relativeFrom="column">
                  <wp:posOffset>1228725</wp:posOffset>
                </wp:positionH>
                <wp:positionV relativeFrom="paragraph">
                  <wp:posOffset>1524000</wp:posOffset>
                </wp:positionV>
                <wp:extent cx="533400" cy="314325"/>
                <wp:effectExtent l="0" t="0" r="0" b="9525"/>
                <wp:wrapNone/>
                <wp:docPr id="5" name="Rectangle 5"/>
                <wp:cNvGraphicFramePr/>
                <a:graphic xmlns:a="http://schemas.openxmlformats.org/drawingml/2006/main">
                  <a:graphicData uri="http://schemas.microsoft.com/office/word/2010/wordprocessingShape">
                    <wps:wsp>
                      <wps:cNvSpPr/>
                      <wps:spPr>
                        <a:xfrm>
                          <a:off x="0" y="0"/>
                          <a:ext cx="533400" cy="314325"/>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0FF2D2AD" w14:textId="74565D06" w:rsidR="00DC0855" w:rsidRDefault="00DC0855" w:rsidP="00834360">
                            <w:pPr>
                              <w:jc w:val="center"/>
                            </w:pPr>
                            <w:r>
                              <w:t>0.22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E4EAC3" id="Rectangle 5" o:spid="_x0000_s1044" style="position:absolute;left:0;text-align:left;margin-left:96.75pt;margin-top:120pt;width:42pt;height:24.7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" fillcolor="white [3201]" stroked="f" strokeweight="2pt">
                <v:textbox>
                  <w:txbxContent>
                    <w:p w14:paraId="0FF2D2AD" w14:textId="74565D06" w:rsidR="00DC0855" w:rsidRDefault="00DC0855" w:rsidP="00834360">
                      <w:pPr>
                        <w:jc w:val="center"/>
                      </w:pPr>
                      <w:r>
                        <w:t>0.22</w:t>
                      </w:r>
                    </w:p>
                  </w:txbxContent>
                </v:textbox>
              </v:rect>
            </w:pict>
          </mc:Fallback>
        </mc:AlternateContent>
      </w:r>
      <w:r w:rsidR="002F2338">
        <w:rPr>
          <w:noProof/>
        </w:rPr>
        <w:drawing>
          <wp:inline distT="0" distB="0" distL="0" distR="0" wp14:anchorId="2DDDC37B" wp14:editId="3CEF3E8E">
            <wp:extent cx="4819712" cy="4889500"/>
            <wp:effectExtent l="0" t="0" r="0" b="6350"/>
            <wp:docPr id="19" name="Picture 19" descr="A picture containing 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picture containing qr code&#10;&#10;Description automatically generated"/>
                    <pic:cNvPicPr/>
                  </pic:nvPicPr>
                  <pic:blipFill rotWithShape="1">
                    <a:blip r:embed="rId27"/>
                    <a:srcRect l="1543" r="1013"/>
                    <a:stretch/>
                  </pic:blipFill>
                  <pic:spPr bwMode="auto">
                    <a:xfrm>
                      <a:off x="0" y="0"/>
                      <a:ext cx="4838323" cy="4908381"/>
                    </a:xfrm>
                    <a:prstGeom prst="rect">
                      <a:avLst/>
                    </a:prstGeom>
                    <a:ln>
                      <a:noFill/>
                    </a:ln>
                    <a:extLst>
                      <a:ext uri="{53640926-AAD7-44D8-BBD7-CCE9431645EC}">
                        <a14:shadowObscured xmlns:a14="http://schemas.microsoft.com/office/drawing/2010/main"/>
                      </a:ext>
                    </a:extLst>
                  </pic:spPr>
                </pic:pic>
              </a:graphicData>
            </a:graphic>
          </wp:inline>
        </w:drawing>
      </w:r>
    </w:p>
    <w:p w14:paraId="3A8729B0" w14:textId="6941D45C" w:rsidR="00A07664" w:rsidRPr="00824EED" w:rsidRDefault="00E85583" w:rsidP="00525779">
      <w:pPr>
        <w:spacing w:before="240"/>
        <w:jc w:val="both"/>
      </w:pPr>
      <w:bookmarkStart w:id="89" w:name="_Toc105918978"/>
      <w:bookmarkStart w:id="90" w:name="_Ref109765793"/>
      <w:r w:rsidRPr="00834360">
        <w:rPr>
          <w:rFonts w:ascii="Arial" w:hAnsi="Arial" w:cs="Arial"/>
          <w:b/>
          <w:bCs/>
          <w:sz w:val="24"/>
          <w:szCs w:val="24"/>
        </w:rPr>
        <w:t xml:space="preserve">Figure </w:t>
      </w:r>
      <w:r w:rsidRPr="00834360">
        <w:rPr>
          <w:rFonts w:ascii="Arial" w:hAnsi="Arial" w:cs="Arial"/>
          <w:b/>
          <w:bCs/>
          <w:sz w:val="24"/>
          <w:szCs w:val="24"/>
        </w:rPr>
        <w:fldChar w:fldCharType="begin"/>
      </w:r>
      <w:r w:rsidRPr="00834360">
        <w:rPr>
          <w:rFonts w:ascii="Arial" w:hAnsi="Arial" w:cs="Arial"/>
          <w:b/>
          <w:bCs/>
          <w:sz w:val="24"/>
          <w:szCs w:val="24"/>
        </w:rPr>
        <w:instrText xml:space="preserve"> SEQ Figure \* ARABIC </w:instrText>
      </w:r>
      <w:r w:rsidRPr="00834360">
        <w:rPr>
          <w:rFonts w:ascii="Arial" w:hAnsi="Arial" w:cs="Arial"/>
          <w:b/>
          <w:bCs/>
          <w:sz w:val="24"/>
          <w:szCs w:val="24"/>
        </w:rPr>
        <w:fldChar w:fldCharType="separate"/>
      </w:r>
      <w:r w:rsidR="005C4791">
        <w:rPr>
          <w:rFonts w:ascii="Arial" w:hAnsi="Arial" w:cs="Arial"/>
          <w:b/>
          <w:bCs/>
          <w:noProof/>
          <w:sz w:val="24"/>
          <w:szCs w:val="24"/>
        </w:rPr>
        <w:t>13</w:t>
      </w:r>
      <w:r w:rsidRPr="00834360">
        <w:rPr>
          <w:rFonts w:ascii="Arial" w:hAnsi="Arial" w:cs="Arial"/>
          <w:b/>
          <w:bCs/>
          <w:sz w:val="24"/>
          <w:szCs w:val="24"/>
        </w:rPr>
        <w:fldChar w:fldCharType="end"/>
      </w:r>
      <w:bookmarkEnd w:id="90"/>
      <w:r w:rsidR="00A07664" w:rsidRPr="00834360">
        <w:rPr>
          <w:rFonts w:ascii="Arial" w:hAnsi="Arial" w:cs="Arial"/>
          <w:b/>
          <w:bCs/>
          <w:sz w:val="24"/>
          <w:szCs w:val="24"/>
        </w:rPr>
        <w:t>:</w:t>
      </w:r>
      <w:r w:rsidR="00A07664" w:rsidRPr="00834360">
        <w:rPr>
          <w:rFonts w:ascii="Arial" w:hAnsi="Arial" w:cs="Arial"/>
          <w:b/>
          <w:bCs/>
          <w:sz w:val="28"/>
          <w:szCs w:val="28"/>
        </w:rPr>
        <w:t xml:space="preserve"> </w:t>
      </w:r>
      <w:r w:rsidR="00A07664" w:rsidRPr="00834360">
        <w:rPr>
          <w:rFonts w:ascii="Arial" w:hAnsi="Arial" w:cs="Arial"/>
          <w:b/>
          <w:bCs/>
          <w:sz w:val="24"/>
          <w:szCs w:val="24"/>
        </w:rPr>
        <w:t xml:space="preserve">Tantalum visibility in dental X-rays depending on tantalum concentration and cover </w:t>
      </w:r>
      <w:r w:rsidR="00A07664" w:rsidRPr="00780DDC">
        <w:rPr>
          <w:rFonts w:ascii="Arial" w:hAnsi="Arial" w:cs="Arial"/>
          <w:b/>
          <w:bCs/>
          <w:sz w:val="24"/>
          <w:szCs w:val="24"/>
        </w:rPr>
        <w:t xml:space="preserve">on top of PHA. </w:t>
      </w:r>
      <w:r w:rsidR="00A07664" w:rsidRPr="00824EED">
        <w:rPr>
          <w:rFonts w:ascii="Arial" w:hAnsi="Arial" w:cs="Arial"/>
          <w:sz w:val="24"/>
          <w:szCs w:val="24"/>
        </w:rPr>
        <w:t xml:space="preserve">Tantalum flakes are circled </w:t>
      </w:r>
      <w:r w:rsidR="00DD40C0">
        <w:rPr>
          <w:rFonts w:ascii="Arial" w:hAnsi="Arial" w:cs="Arial"/>
          <w:sz w:val="24"/>
          <w:szCs w:val="24"/>
        </w:rPr>
        <w:t xml:space="preserve">and triangled </w:t>
      </w:r>
      <w:r w:rsidR="00A07664" w:rsidRPr="00824EED">
        <w:rPr>
          <w:rFonts w:ascii="Arial" w:hAnsi="Arial" w:cs="Arial"/>
          <w:sz w:val="24"/>
          <w:szCs w:val="24"/>
        </w:rPr>
        <w:t xml:space="preserve">in red. </w:t>
      </w:r>
      <w:r w:rsidR="003876F6" w:rsidRPr="00780DDC">
        <w:rPr>
          <w:rFonts w:ascii="Arial" w:hAnsi="Arial" w:cs="Arial"/>
          <w:sz w:val="24"/>
          <w:szCs w:val="24"/>
        </w:rPr>
        <w:t>The intensity per mm</w:t>
      </w:r>
      <w:r w:rsidR="003876F6" w:rsidRPr="00780DDC">
        <w:rPr>
          <w:rFonts w:ascii="Arial" w:hAnsi="Arial" w:cs="Arial"/>
          <w:sz w:val="24"/>
          <w:szCs w:val="24"/>
          <w:vertAlign w:val="superscript"/>
        </w:rPr>
        <w:t>2</w:t>
      </w:r>
      <w:r w:rsidR="003876F6" w:rsidRPr="00780DDC">
        <w:rPr>
          <w:rFonts w:ascii="Arial" w:hAnsi="Arial" w:cs="Arial"/>
          <w:sz w:val="24"/>
          <w:szCs w:val="24"/>
        </w:rPr>
        <w:t xml:space="preserve"> of tantalum powder increased proportionally with the concentrations of tantalum. The intensity per mm</w:t>
      </w:r>
      <w:r w:rsidR="003876F6" w:rsidRPr="00780DDC">
        <w:rPr>
          <w:rFonts w:ascii="Arial" w:hAnsi="Arial" w:cs="Arial"/>
          <w:sz w:val="24"/>
          <w:szCs w:val="24"/>
          <w:vertAlign w:val="superscript"/>
        </w:rPr>
        <w:t>2</w:t>
      </w:r>
      <w:r w:rsidR="003876F6" w:rsidRPr="00780DDC">
        <w:rPr>
          <w:rFonts w:ascii="Arial" w:hAnsi="Arial" w:cs="Arial"/>
          <w:sz w:val="24"/>
          <w:szCs w:val="24"/>
        </w:rPr>
        <w:t xml:space="preserve"> of tantalum powder was not decreased by the presence of 47 mm high ballistic gels simulating brain tissues, not by the 4.8 mm thick PLA covers simulating the skull.</w:t>
      </w:r>
      <w:r w:rsidR="00B11841" w:rsidRPr="00780DDC">
        <w:rPr>
          <w:rFonts w:ascii="Arial" w:hAnsi="Arial" w:cs="Arial"/>
          <w:sz w:val="24"/>
          <w:szCs w:val="24"/>
        </w:rPr>
        <w:t xml:space="preserve"> </w:t>
      </w:r>
      <w:r w:rsidR="00A07664" w:rsidRPr="00780DDC">
        <w:rPr>
          <w:rFonts w:ascii="Arial" w:hAnsi="Arial" w:cs="Arial"/>
          <w:sz w:val="24"/>
          <w:szCs w:val="24"/>
        </w:rPr>
        <w:t xml:space="preserve">The pattern </w:t>
      </w:r>
      <w:r w:rsidR="00322B6D">
        <w:rPr>
          <w:rFonts w:ascii="Arial" w:hAnsi="Arial" w:cs="Arial"/>
          <w:sz w:val="24"/>
          <w:szCs w:val="24"/>
        </w:rPr>
        <w:t>was</w:t>
      </w:r>
      <w:r w:rsidR="00322B6D" w:rsidRPr="00780DDC">
        <w:rPr>
          <w:rFonts w:ascii="Arial" w:hAnsi="Arial" w:cs="Arial"/>
          <w:sz w:val="24"/>
          <w:szCs w:val="24"/>
        </w:rPr>
        <w:t xml:space="preserve"> </w:t>
      </w:r>
      <w:r w:rsidR="00A07664" w:rsidRPr="00780DDC">
        <w:rPr>
          <w:rFonts w:ascii="Arial" w:hAnsi="Arial" w:cs="Arial"/>
          <w:sz w:val="24"/>
          <w:szCs w:val="24"/>
        </w:rPr>
        <w:t>due to the superposition of ballistic gel and PLA.</w:t>
      </w:r>
      <w:bookmarkEnd w:id="89"/>
      <w:r w:rsidR="00A07664" w:rsidRPr="00780DDC">
        <w:rPr>
          <w:rFonts w:ascii="Arial" w:hAnsi="Arial" w:cs="Arial"/>
          <w:sz w:val="24"/>
          <w:szCs w:val="24"/>
        </w:rPr>
        <w:t xml:space="preserve"> </w:t>
      </w:r>
    </w:p>
    <w:p w14:paraId="2A32797B" w14:textId="7FBAE29D" w:rsidR="007C3662" w:rsidRDefault="007C3662">
      <w:pPr>
        <w:rPr>
          <w:rFonts w:ascii="Arial" w:eastAsiaTheme="majorEastAsia" w:hAnsi="Arial" w:cs="Arial"/>
          <w:b/>
          <w:bCs/>
          <w:sz w:val="24"/>
          <w:szCs w:val="24"/>
        </w:rPr>
      </w:pPr>
      <w:r>
        <w:rPr>
          <w:rFonts w:ascii="Arial" w:hAnsi="Arial" w:cs="Arial"/>
          <w:b/>
          <w:bCs/>
        </w:rPr>
        <w:br w:type="page"/>
      </w:r>
    </w:p>
    <w:p w14:paraId="3F94A176" w14:textId="77777777" w:rsidR="004A6AD4" w:rsidRDefault="004A6AD4" w:rsidP="00B14687">
      <w:pPr>
        <w:pStyle w:val="Titre3"/>
        <w:spacing w:line="480" w:lineRule="auto"/>
        <w:jc w:val="both"/>
        <w:rPr>
          <w:rFonts w:ascii="Arial" w:hAnsi="Arial" w:cs="Arial"/>
          <w:b/>
          <w:bCs/>
          <w:color w:val="auto"/>
        </w:rPr>
      </w:pPr>
    </w:p>
    <w:p w14:paraId="3DD4F7F1" w14:textId="16F40362" w:rsidR="006F4F8F" w:rsidRPr="00FD1B31" w:rsidRDefault="006F4F8F" w:rsidP="00B14687">
      <w:pPr>
        <w:pStyle w:val="Titre3"/>
        <w:spacing w:line="480" w:lineRule="auto"/>
        <w:jc w:val="both"/>
        <w:rPr>
          <w:rFonts w:ascii="Arial" w:hAnsi="Arial" w:cs="Arial"/>
          <w:b/>
          <w:bCs/>
        </w:rPr>
      </w:pPr>
      <w:bookmarkStart w:id="91" w:name="_Toc106903237"/>
      <w:r w:rsidRPr="00DF0DD5">
        <w:rPr>
          <w:rFonts w:ascii="Arial" w:hAnsi="Arial" w:cs="Arial"/>
          <w:b/>
          <w:bCs/>
          <w:color w:val="auto"/>
        </w:rPr>
        <w:t>2.</w:t>
      </w:r>
      <w:r w:rsidR="00A07664">
        <w:rPr>
          <w:rFonts w:ascii="Arial" w:hAnsi="Arial" w:cs="Arial"/>
          <w:b/>
          <w:bCs/>
          <w:color w:val="auto"/>
        </w:rPr>
        <w:t>3</w:t>
      </w:r>
      <w:r w:rsidRPr="00DF0DD5">
        <w:rPr>
          <w:rFonts w:ascii="Arial" w:hAnsi="Arial" w:cs="Arial"/>
          <w:b/>
          <w:bCs/>
          <w:color w:val="auto"/>
        </w:rPr>
        <w:t>.</w:t>
      </w:r>
      <w:r w:rsidR="0039617F">
        <w:rPr>
          <w:rFonts w:ascii="Arial" w:hAnsi="Arial" w:cs="Arial"/>
          <w:b/>
          <w:bCs/>
          <w:color w:val="auto"/>
        </w:rPr>
        <w:t>4</w:t>
      </w:r>
      <w:r w:rsidR="00394EB3" w:rsidRPr="008471F7">
        <w:rPr>
          <w:rFonts w:ascii="Arial" w:hAnsi="Arial" w:cs="Arial"/>
          <w:b/>
          <w:bCs/>
          <w:color w:val="auto"/>
        </w:rPr>
        <w:t xml:space="preserve"> </w:t>
      </w:r>
      <w:r w:rsidR="009F085D">
        <w:rPr>
          <w:rFonts w:ascii="Arial" w:hAnsi="Arial" w:cs="Arial"/>
          <w:b/>
          <w:bCs/>
          <w:color w:val="auto"/>
        </w:rPr>
        <w:t>Mechanical</w:t>
      </w:r>
      <w:r w:rsidR="00FD1B31">
        <w:rPr>
          <w:rFonts w:ascii="Arial" w:hAnsi="Arial" w:cs="Arial"/>
          <w:b/>
          <w:bCs/>
          <w:color w:val="auto"/>
        </w:rPr>
        <w:t xml:space="preserve"> properties</w:t>
      </w:r>
      <w:r w:rsidR="009F085D">
        <w:rPr>
          <w:rFonts w:ascii="Arial" w:hAnsi="Arial" w:cs="Arial"/>
          <w:b/>
          <w:bCs/>
          <w:color w:val="auto"/>
        </w:rPr>
        <w:t xml:space="preserve"> of hydrogels</w:t>
      </w:r>
      <w:bookmarkEnd w:id="91"/>
    </w:p>
    <w:p w14:paraId="4C28DD12" w14:textId="7A76553B" w:rsidR="00A07664" w:rsidRPr="003B7652" w:rsidRDefault="00A07664" w:rsidP="00164EE0">
      <w:pPr>
        <w:spacing w:line="480" w:lineRule="auto"/>
        <w:ind w:firstLine="720"/>
        <w:jc w:val="both"/>
      </w:pPr>
      <w:r>
        <w:rPr>
          <w:rFonts w:ascii="Arial" w:hAnsi="Arial" w:cs="Arial"/>
          <w:sz w:val="24"/>
          <w:szCs w:val="24"/>
        </w:rPr>
        <w:t xml:space="preserve">PHA hydrogels were formed by combining PHA with LAP and DTT and </w:t>
      </w:r>
      <w:r w:rsidR="009E191B">
        <w:rPr>
          <w:rFonts w:ascii="Arial" w:hAnsi="Arial" w:cs="Arial"/>
          <w:sz w:val="24"/>
          <w:szCs w:val="24"/>
        </w:rPr>
        <w:t xml:space="preserve">0 or 50 mg of tantalum per mL of PHA were added. Hydrogels were crosslinked by </w:t>
      </w:r>
      <w:r>
        <w:rPr>
          <w:rFonts w:ascii="Arial" w:hAnsi="Arial" w:cs="Arial"/>
          <w:sz w:val="24"/>
          <w:szCs w:val="24"/>
        </w:rPr>
        <w:t>exposing them to a 365 nm UV light for 2 minutes (</w:t>
      </w:r>
      <w:r w:rsidR="00962107" w:rsidRPr="00800A97">
        <w:rPr>
          <w:rFonts w:ascii="Arial" w:hAnsi="Arial" w:cs="Arial"/>
          <w:sz w:val="24"/>
          <w:szCs w:val="24"/>
        </w:rPr>
        <w:fldChar w:fldCharType="begin"/>
      </w:r>
      <w:r w:rsidR="00962107" w:rsidRPr="00B91819">
        <w:rPr>
          <w:rFonts w:ascii="Arial" w:hAnsi="Arial" w:cs="Arial"/>
          <w:sz w:val="24"/>
          <w:szCs w:val="24"/>
        </w:rPr>
        <w:instrText xml:space="preserve"> REF _Ref105016498 \h </w:instrText>
      </w:r>
      <w:r w:rsidR="00962107" w:rsidRPr="00E06D1D">
        <w:rPr>
          <w:rFonts w:ascii="Arial" w:hAnsi="Arial" w:cs="Arial"/>
          <w:sz w:val="24"/>
          <w:szCs w:val="24"/>
        </w:rPr>
        <w:instrText xml:space="preserve"> \* MERGEFORMAT </w:instrText>
      </w:r>
      <w:r w:rsidR="00962107" w:rsidRPr="00800A97">
        <w:rPr>
          <w:rFonts w:ascii="Arial" w:hAnsi="Arial" w:cs="Arial"/>
          <w:sz w:val="24"/>
          <w:szCs w:val="24"/>
        </w:rPr>
      </w:r>
      <w:r w:rsidR="00962107" w:rsidRPr="00800A97">
        <w:rPr>
          <w:rFonts w:ascii="Arial" w:hAnsi="Arial" w:cs="Arial"/>
          <w:sz w:val="24"/>
          <w:szCs w:val="24"/>
        </w:rPr>
        <w:fldChar w:fldCharType="separate"/>
      </w:r>
      <w:r w:rsidR="005C4791" w:rsidRPr="005C4791">
        <w:rPr>
          <w:rFonts w:ascii="Arial" w:hAnsi="Arial" w:cs="Arial"/>
          <w:sz w:val="24"/>
          <w:szCs w:val="24"/>
        </w:rPr>
        <w:t xml:space="preserve">Figure </w:t>
      </w:r>
      <w:r w:rsidR="005C4791" w:rsidRPr="005C4791">
        <w:rPr>
          <w:rFonts w:ascii="Arial" w:hAnsi="Arial" w:cs="Arial"/>
          <w:noProof/>
          <w:sz w:val="24"/>
          <w:szCs w:val="24"/>
        </w:rPr>
        <w:t>14</w:t>
      </w:r>
      <w:r w:rsidR="00962107" w:rsidRPr="00800A97">
        <w:rPr>
          <w:rFonts w:ascii="Arial" w:hAnsi="Arial" w:cs="Arial"/>
          <w:sz w:val="24"/>
          <w:szCs w:val="24"/>
        </w:rPr>
        <w:fldChar w:fldCharType="end"/>
      </w:r>
      <w:r>
        <w:rPr>
          <w:rFonts w:ascii="Arial" w:hAnsi="Arial" w:cs="Arial"/>
          <w:sz w:val="24"/>
          <w:szCs w:val="24"/>
        </w:rPr>
        <w:t>). Hydrogels of different weight percentages of PHA in PBS were made: 5</w:t>
      </w:r>
      <w:r w:rsidR="00164EE0">
        <w:rPr>
          <w:rFonts w:ascii="Arial" w:hAnsi="Arial" w:cs="Arial"/>
          <w:sz w:val="24"/>
          <w:szCs w:val="24"/>
        </w:rPr>
        <w:t xml:space="preserve"> </w:t>
      </w:r>
      <w:r w:rsidR="00A449E8">
        <w:rPr>
          <w:rFonts w:ascii="Arial" w:hAnsi="Arial" w:cs="Arial"/>
          <w:sz w:val="24"/>
          <w:szCs w:val="24"/>
        </w:rPr>
        <w:t>wt</w:t>
      </w:r>
      <w:r>
        <w:rPr>
          <w:rFonts w:ascii="Arial" w:hAnsi="Arial" w:cs="Arial"/>
          <w:sz w:val="24"/>
          <w:szCs w:val="24"/>
        </w:rPr>
        <w:t>%, 7.5</w:t>
      </w:r>
      <w:r w:rsidR="00164EE0">
        <w:rPr>
          <w:rFonts w:ascii="Arial" w:hAnsi="Arial" w:cs="Arial"/>
          <w:sz w:val="24"/>
          <w:szCs w:val="24"/>
        </w:rPr>
        <w:t xml:space="preserve"> </w:t>
      </w:r>
      <w:r w:rsidR="00A449E8">
        <w:rPr>
          <w:rFonts w:ascii="Arial" w:hAnsi="Arial" w:cs="Arial"/>
          <w:sz w:val="24"/>
          <w:szCs w:val="24"/>
        </w:rPr>
        <w:t>wt</w:t>
      </w:r>
      <w:r>
        <w:rPr>
          <w:rFonts w:ascii="Arial" w:hAnsi="Arial" w:cs="Arial"/>
          <w:sz w:val="24"/>
          <w:szCs w:val="24"/>
        </w:rPr>
        <w:t>%, and 10</w:t>
      </w:r>
      <w:r w:rsidR="00164EE0">
        <w:rPr>
          <w:rFonts w:ascii="Arial" w:hAnsi="Arial" w:cs="Arial"/>
          <w:sz w:val="24"/>
          <w:szCs w:val="24"/>
        </w:rPr>
        <w:t xml:space="preserve"> </w:t>
      </w:r>
      <w:r w:rsidR="00A449E8">
        <w:rPr>
          <w:rFonts w:ascii="Arial" w:hAnsi="Arial" w:cs="Arial"/>
          <w:sz w:val="24"/>
          <w:szCs w:val="24"/>
        </w:rPr>
        <w:t>wt</w:t>
      </w:r>
      <w:r>
        <w:rPr>
          <w:rFonts w:ascii="Arial" w:hAnsi="Arial" w:cs="Arial"/>
          <w:sz w:val="24"/>
          <w:szCs w:val="24"/>
        </w:rPr>
        <w:t xml:space="preserve">%. All the hydrogels were transparent, 1 mm thick, and had a </w:t>
      </w:r>
      <w:r w:rsidR="00800A97">
        <w:rPr>
          <w:rFonts w:ascii="Arial" w:hAnsi="Arial" w:cs="Arial"/>
          <w:sz w:val="24"/>
          <w:szCs w:val="24"/>
        </w:rPr>
        <w:t>negligible</w:t>
      </w:r>
      <w:r>
        <w:rPr>
          <w:rFonts w:ascii="Arial" w:hAnsi="Arial" w:cs="Arial"/>
          <w:sz w:val="24"/>
          <w:szCs w:val="24"/>
        </w:rPr>
        <w:t xml:space="preserve"> quantity of bubbles. </w:t>
      </w:r>
    </w:p>
    <w:p w14:paraId="56B5D9CC" w14:textId="77777777" w:rsidR="00A07664" w:rsidRDefault="00A07664" w:rsidP="00A07664">
      <w:pPr>
        <w:spacing w:line="480" w:lineRule="auto"/>
        <w:jc w:val="both"/>
        <w:rPr>
          <w:rFonts w:ascii="Arial" w:hAnsi="Arial" w:cs="Arial"/>
          <w:sz w:val="24"/>
          <w:szCs w:val="24"/>
        </w:rPr>
      </w:pPr>
      <w:r>
        <w:rPr>
          <w:rFonts w:ascii="Arial" w:hAnsi="Arial" w:cs="Arial"/>
          <w:noProof/>
          <w:sz w:val="24"/>
          <w:szCs w:val="24"/>
        </w:rPr>
        <w:drawing>
          <wp:inline distT="0" distB="0" distL="0" distR="0" wp14:anchorId="2BBB1A96" wp14:editId="0B25B3C1">
            <wp:extent cx="4961167" cy="2571750"/>
            <wp:effectExtent l="0" t="0" r="0" b="0"/>
            <wp:docPr id="57" name="Picture 5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981325" cy="2582200"/>
                    </a:xfrm>
                    <a:prstGeom prst="rect">
                      <a:avLst/>
                    </a:prstGeom>
                  </pic:spPr>
                </pic:pic>
              </a:graphicData>
            </a:graphic>
          </wp:inline>
        </w:drawing>
      </w:r>
    </w:p>
    <w:p w14:paraId="1A57F711" w14:textId="2EA81FD9" w:rsidR="00A07664" w:rsidRDefault="008D1D06" w:rsidP="00834360">
      <w:pPr>
        <w:pStyle w:val="Lgende"/>
        <w:keepNext/>
        <w:spacing w:line="276" w:lineRule="auto"/>
        <w:jc w:val="both"/>
      </w:pPr>
      <w:bookmarkStart w:id="92" w:name="_Ref105016498"/>
      <w:bookmarkStart w:id="93" w:name="_Toc105918979"/>
      <w:r w:rsidRPr="001B0D4B">
        <w:rPr>
          <w:rFonts w:ascii="Arial" w:hAnsi="Arial" w:cs="Arial"/>
          <w:b/>
          <w:bCs/>
          <w:i w:val="0"/>
          <w:iCs w:val="0"/>
          <w:color w:val="auto"/>
          <w:sz w:val="24"/>
          <w:szCs w:val="24"/>
        </w:rPr>
        <w:t xml:space="preserve">Figure </w:t>
      </w:r>
      <w:r w:rsidRPr="001B0D4B">
        <w:rPr>
          <w:rFonts w:ascii="Arial" w:hAnsi="Arial" w:cs="Arial"/>
          <w:b/>
          <w:bCs/>
          <w:i w:val="0"/>
          <w:iCs w:val="0"/>
          <w:color w:val="auto"/>
          <w:sz w:val="24"/>
          <w:szCs w:val="24"/>
        </w:rPr>
        <w:fldChar w:fldCharType="begin"/>
      </w:r>
      <w:r w:rsidRPr="001B0D4B">
        <w:rPr>
          <w:rFonts w:ascii="Arial" w:hAnsi="Arial" w:cs="Arial"/>
          <w:b/>
          <w:bCs/>
          <w:i w:val="0"/>
          <w:iCs w:val="0"/>
          <w:color w:val="auto"/>
          <w:sz w:val="24"/>
          <w:szCs w:val="24"/>
        </w:rPr>
        <w:instrText xml:space="preserve"> SEQ Figure \* ARABIC </w:instrText>
      </w:r>
      <w:r w:rsidRPr="001B0D4B">
        <w:rPr>
          <w:rFonts w:ascii="Arial" w:hAnsi="Arial" w:cs="Arial"/>
          <w:b/>
          <w:bCs/>
          <w:i w:val="0"/>
          <w:iCs w:val="0"/>
          <w:color w:val="auto"/>
          <w:sz w:val="24"/>
          <w:szCs w:val="24"/>
        </w:rPr>
        <w:fldChar w:fldCharType="separate"/>
      </w:r>
      <w:r w:rsidR="005C4791">
        <w:rPr>
          <w:rFonts w:ascii="Arial" w:hAnsi="Arial" w:cs="Arial"/>
          <w:b/>
          <w:bCs/>
          <w:i w:val="0"/>
          <w:iCs w:val="0"/>
          <w:noProof/>
          <w:color w:val="auto"/>
          <w:sz w:val="24"/>
          <w:szCs w:val="24"/>
        </w:rPr>
        <w:t>14</w:t>
      </w:r>
      <w:r w:rsidRPr="001B0D4B">
        <w:rPr>
          <w:rFonts w:ascii="Arial" w:hAnsi="Arial" w:cs="Arial"/>
          <w:b/>
          <w:bCs/>
          <w:i w:val="0"/>
          <w:iCs w:val="0"/>
          <w:color w:val="auto"/>
          <w:sz w:val="24"/>
          <w:szCs w:val="24"/>
        </w:rPr>
        <w:fldChar w:fldCharType="end"/>
      </w:r>
      <w:bookmarkEnd w:id="92"/>
      <w:r w:rsidR="00A07664" w:rsidRPr="003B7652">
        <w:rPr>
          <w:rFonts w:ascii="Arial" w:hAnsi="Arial" w:cs="Arial"/>
          <w:b/>
          <w:bCs/>
          <w:i w:val="0"/>
          <w:iCs w:val="0"/>
          <w:color w:val="auto"/>
          <w:sz w:val="24"/>
          <w:szCs w:val="24"/>
        </w:rPr>
        <w:t>: PHA hydrogels formation.</w:t>
      </w:r>
      <w:r w:rsidR="00A07664" w:rsidRPr="003B7652">
        <w:rPr>
          <w:rFonts w:ascii="Arial" w:hAnsi="Arial" w:cs="Arial"/>
          <w:i w:val="0"/>
          <w:iCs w:val="0"/>
          <w:color w:val="auto"/>
          <w:sz w:val="24"/>
          <w:szCs w:val="24"/>
        </w:rPr>
        <w:t xml:space="preserve"> To obtain hydrogels, PHA is combined with DTT (cross-linker) and LAP (photo-initiator) under a 365 nm UV light for 2 minutes.</w:t>
      </w:r>
      <w:bookmarkEnd w:id="93"/>
    </w:p>
    <w:p w14:paraId="3DED0D75" w14:textId="01D34ACA" w:rsidR="006F4F8F" w:rsidRDefault="004420B7" w:rsidP="00100B56">
      <w:pPr>
        <w:spacing w:line="480" w:lineRule="auto"/>
        <w:ind w:firstLine="720"/>
        <w:jc w:val="both"/>
        <w:rPr>
          <w:noProof/>
        </w:rPr>
      </w:pPr>
      <w:r>
        <w:rPr>
          <w:rFonts w:ascii="Arial" w:hAnsi="Arial" w:cs="Arial"/>
          <w:sz w:val="24"/>
          <w:szCs w:val="24"/>
        </w:rPr>
        <w:t>To assess the stiffness of the 5</w:t>
      </w:r>
      <w:r w:rsidR="0056545C">
        <w:rPr>
          <w:rFonts w:ascii="Arial" w:hAnsi="Arial" w:cs="Arial"/>
          <w:sz w:val="24"/>
          <w:szCs w:val="24"/>
        </w:rPr>
        <w:t xml:space="preserve"> </w:t>
      </w:r>
      <w:r>
        <w:rPr>
          <w:rFonts w:ascii="Arial" w:hAnsi="Arial" w:cs="Arial"/>
          <w:sz w:val="24"/>
          <w:szCs w:val="24"/>
        </w:rPr>
        <w:t>wt%, 7.5</w:t>
      </w:r>
      <w:r w:rsidR="0056545C">
        <w:rPr>
          <w:rFonts w:ascii="Arial" w:hAnsi="Arial" w:cs="Arial"/>
          <w:sz w:val="24"/>
          <w:szCs w:val="24"/>
        </w:rPr>
        <w:t xml:space="preserve"> </w:t>
      </w:r>
      <w:r>
        <w:rPr>
          <w:rFonts w:ascii="Arial" w:hAnsi="Arial" w:cs="Arial"/>
          <w:sz w:val="24"/>
          <w:szCs w:val="24"/>
        </w:rPr>
        <w:t>wt%, and 10</w:t>
      </w:r>
      <w:r w:rsidR="0056545C">
        <w:rPr>
          <w:rFonts w:ascii="Arial" w:hAnsi="Arial" w:cs="Arial"/>
          <w:sz w:val="24"/>
          <w:szCs w:val="24"/>
        </w:rPr>
        <w:t xml:space="preserve"> </w:t>
      </w:r>
      <w:r>
        <w:rPr>
          <w:rFonts w:ascii="Arial" w:hAnsi="Arial" w:cs="Arial"/>
          <w:sz w:val="24"/>
          <w:szCs w:val="24"/>
        </w:rPr>
        <w:t xml:space="preserve">wt% PHA hydrogels and their capacity to reinforce vessels walls, the compressive moduli were characterized by applying a 0.01 N force axially and gradually increasing with a 5 </w:t>
      </w:r>
      <w:r w:rsidRPr="00EB056A">
        <w:rPr>
          <w:rFonts w:ascii="Arial" w:hAnsi="Arial" w:cs="Arial"/>
          <w:sz w:val="24"/>
          <w:szCs w:val="24"/>
        </w:rPr>
        <w:t>μ</w:t>
      </w:r>
      <w:r>
        <w:rPr>
          <w:rFonts w:ascii="Arial" w:hAnsi="Arial" w:cs="Arial"/>
          <w:sz w:val="24"/>
          <w:szCs w:val="24"/>
        </w:rPr>
        <w:t>m/s strain rate until 20% of strain (</w:t>
      </w:r>
      <w:r w:rsidR="00100B56" w:rsidRPr="00100B56">
        <w:rPr>
          <w:rFonts w:ascii="Arial" w:hAnsi="Arial" w:cs="Arial"/>
          <w:sz w:val="24"/>
          <w:szCs w:val="24"/>
        </w:rPr>
        <w:fldChar w:fldCharType="begin"/>
      </w:r>
      <w:r w:rsidR="00100B56" w:rsidRPr="00100B56">
        <w:rPr>
          <w:rFonts w:ascii="Arial" w:hAnsi="Arial" w:cs="Arial"/>
          <w:sz w:val="24"/>
          <w:szCs w:val="24"/>
        </w:rPr>
        <w:instrText xml:space="preserve"> REF _Ref105018199 \h  \* MERGEFORMAT </w:instrText>
      </w:r>
      <w:r w:rsidR="00100B56" w:rsidRPr="00100B56">
        <w:rPr>
          <w:rFonts w:ascii="Arial" w:hAnsi="Arial" w:cs="Arial"/>
          <w:sz w:val="24"/>
          <w:szCs w:val="24"/>
        </w:rPr>
      </w:r>
      <w:r w:rsidR="00100B56" w:rsidRPr="00100B56">
        <w:rPr>
          <w:rFonts w:ascii="Arial" w:hAnsi="Arial" w:cs="Arial"/>
          <w:sz w:val="24"/>
          <w:szCs w:val="24"/>
        </w:rPr>
        <w:fldChar w:fldCharType="separate"/>
      </w:r>
      <w:r w:rsidR="005C4791" w:rsidRPr="005C4791">
        <w:rPr>
          <w:rFonts w:ascii="Arial" w:hAnsi="Arial" w:cs="Arial"/>
          <w:sz w:val="24"/>
          <w:szCs w:val="24"/>
        </w:rPr>
        <w:t xml:space="preserve">Figure </w:t>
      </w:r>
      <w:r w:rsidR="005C4791" w:rsidRPr="005C4791">
        <w:rPr>
          <w:rFonts w:ascii="Arial" w:hAnsi="Arial" w:cs="Arial"/>
          <w:noProof/>
          <w:sz w:val="24"/>
          <w:szCs w:val="24"/>
        </w:rPr>
        <w:t>15</w:t>
      </w:r>
      <w:r w:rsidR="00100B56" w:rsidRPr="00100B56">
        <w:rPr>
          <w:rFonts w:ascii="Arial" w:hAnsi="Arial" w:cs="Arial"/>
          <w:sz w:val="24"/>
          <w:szCs w:val="24"/>
        </w:rPr>
        <w:fldChar w:fldCharType="end"/>
      </w:r>
      <w:r>
        <w:rPr>
          <w:rFonts w:ascii="Arial" w:hAnsi="Arial" w:cs="Arial"/>
          <w:sz w:val="24"/>
          <w:szCs w:val="24"/>
        </w:rPr>
        <w:t xml:space="preserve">). For hydrogels without tantalum </w:t>
      </w:r>
      <w:r w:rsidR="00CE2DED">
        <w:rPr>
          <w:rFonts w:ascii="Arial" w:hAnsi="Arial" w:cs="Arial"/>
          <w:sz w:val="24"/>
          <w:szCs w:val="24"/>
        </w:rPr>
        <w:t>t</w:t>
      </w:r>
      <w:r>
        <w:rPr>
          <w:rFonts w:ascii="Arial" w:hAnsi="Arial" w:cs="Arial"/>
          <w:sz w:val="24"/>
          <w:szCs w:val="24"/>
        </w:rPr>
        <w:t>he compression moduli were increased proportionally to hydrogel weight percent. The moduli were respectively 4</w:t>
      </w:r>
      <w:r w:rsidR="004F53E9">
        <w:rPr>
          <w:rFonts w:ascii="Arial" w:hAnsi="Arial" w:cs="Arial"/>
          <w:sz w:val="24"/>
          <w:szCs w:val="24"/>
        </w:rPr>
        <w:t>8 ± 15</w:t>
      </w:r>
      <w:r>
        <w:rPr>
          <w:rFonts w:ascii="Arial" w:hAnsi="Arial" w:cs="Arial"/>
          <w:sz w:val="24"/>
          <w:szCs w:val="24"/>
        </w:rPr>
        <w:t>, 6</w:t>
      </w:r>
      <w:r w:rsidR="004F53E9">
        <w:rPr>
          <w:rFonts w:ascii="Arial" w:hAnsi="Arial" w:cs="Arial"/>
          <w:sz w:val="24"/>
          <w:szCs w:val="24"/>
        </w:rPr>
        <w:t>8 ± 13</w:t>
      </w:r>
      <w:r>
        <w:rPr>
          <w:rFonts w:ascii="Arial" w:hAnsi="Arial" w:cs="Arial"/>
          <w:sz w:val="24"/>
          <w:szCs w:val="24"/>
        </w:rPr>
        <w:t>, and 9</w:t>
      </w:r>
      <w:r w:rsidR="004F53E9">
        <w:rPr>
          <w:rFonts w:ascii="Arial" w:hAnsi="Arial" w:cs="Arial"/>
          <w:sz w:val="24"/>
          <w:szCs w:val="24"/>
        </w:rPr>
        <w:t>7 ± 12</w:t>
      </w:r>
      <w:r>
        <w:rPr>
          <w:rFonts w:ascii="Arial" w:hAnsi="Arial" w:cs="Arial"/>
          <w:sz w:val="24"/>
          <w:szCs w:val="24"/>
        </w:rPr>
        <w:t xml:space="preserve"> kPa for the 5</w:t>
      </w:r>
      <w:r w:rsidR="0056545C">
        <w:rPr>
          <w:rFonts w:ascii="Arial" w:hAnsi="Arial" w:cs="Arial"/>
          <w:sz w:val="24"/>
          <w:szCs w:val="24"/>
        </w:rPr>
        <w:t xml:space="preserve"> </w:t>
      </w:r>
      <w:r>
        <w:rPr>
          <w:rFonts w:ascii="Arial" w:hAnsi="Arial" w:cs="Arial"/>
          <w:sz w:val="24"/>
          <w:szCs w:val="24"/>
        </w:rPr>
        <w:t>wt%, 7.5</w:t>
      </w:r>
      <w:r w:rsidR="0056545C">
        <w:rPr>
          <w:rFonts w:ascii="Arial" w:hAnsi="Arial" w:cs="Arial"/>
          <w:sz w:val="24"/>
          <w:szCs w:val="24"/>
        </w:rPr>
        <w:t xml:space="preserve"> </w:t>
      </w:r>
      <w:r>
        <w:rPr>
          <w:rFonts w:ascii="Arial" w:hAnsi="Arial" w:cs="Arial"/>
          <w:sz w:val="24"/>
          <w:szCs w:val="24"/>
        </w:rPr>
        <w:t xml:space="preserve">wt%, </w:t>
      </w:r>
      <w:r>
        <w:rPr>
          <w:rFonts w:ascii="Arial" w:hAnsi="Arial" w:cs="Arial"/>
          <w:sz w:val="24"/>
          <w:szCs w:val="24"/>
        </w:rPr>
        <w:lastRenderedPageBreak/>
        <w:t>and 10</w:t>
      </w:r>
      <w:r w:rsidR="0056545C">
        <w:rPr>
          <w:rFonts w:ascii="Arial" w:hAnsi="Arial" w:cs="Arial"/>
          <w:sz w:val="24"/>
          <w:szCs w:val="24"/>
        </w:rPr>
        <w:t xml:space="preserve"> </w:t>
      </w:r>
      <w:r>
        <w:rPr>
          <w:rFonts w:ascii="Arial" w:hAnsi="Arial" w:cs="Arial"/>
          <w:sz w:val="24"/>
          <w:szCs w:val="24"/>
        </w:rPr>
        <w:t>wt% PHA hydrogels, where 7.5</w:t>
      </w:r>
      <w:r w:rsidR="0056545C">
        <w:rPr>
          <w:rFonts w:ascii="Arial" w:hAnsi="Arial" w:cs="Arial"/>
          <w:sz w:val="24"/>
          <w:szCs w:val="24"/>
        </w:rPr>
        <w:t xml:space="preserve"> </w:t>
      </w:r>
      <w:r>
        <w:rPr>
          <w:rFonts w:ascii="Arial" w:hAnsi="Arial" w:cs="Arial"/>
          <w:sz w:val="24"/>
          <w:szCs w:val="24"/>
        </w:rPr>
        <w:t>wt% and 10</w:t>
      </w:r>
      <w:r w:rsidR="0056545C">
        <w:rPr>
          <w:rFonts w:ascii="Arial" w:hAnsi="Arial" w:cs="Arial"/>
          <w:sz w:val="24"/>
          <w:szCs w:val="24"/>
        </w:rPr>
        <w:t xml:space="preserve"> </w:t>
      </w:r>
      <w:r>
        <w:rPr>
          <w:rFonts w:ascii="Arial" w:hAnsi="Arial" w:cs="Arial"/>
          <w:sz w:val="24"/>
          <w:szCs w:val="24"/>
        </w:rPr>
        <w:t>wt% PHA hydrogels had significant differences (</w:t>
      </w:r>
      <w:r w:rsidR="00322B6D">
        <w:rPr>
          <w:rFonts w:ascii="Arial" w:hAnsi="Arial" w:cs="Arial"/>
          <w:sz w:val="24"/>
          <w:szCs w:val="24"/>
        </w:rPr>
        <w:t>p</w:t>
      </w:r>
      <w:r>
        <w:rPr>
          <w:rFonts w:ascii="Arial" w:hAnsi="Arial" w:cs="Arial"/>
          <w:sz w:val="24"/>
          <w:szCs w:val="24"/>
        </w:rPr>
        <w:t>&lt;0.05). Similarly,</w:t>
      </w:r>
      <w:r w:rsidRPr="008C133B">
        <w:rPr>
          <w:rFonts w:ascii="Arial" w:hAnsi="Arial" w:cs="Arial"/>
          <w:sz w:val="24"/>
          <w:szCs w:val="24"/>
        </w:rPr>
        <w:t xml:space="preserve"> </w:t>
      </w:r>
      <w:r>
        <w:rPr>
          <w:rFonts w:ascii="Arial" w:hAnsi="Arial" w:cs="Arial"/>
          <w:sz w:val="24"/>
          <w:szCs w:val="24"/>
        </w:rPr>
        <w:t>the compression moduli were increasingly proportional to weight percent in the 50 mg/mL tantalum group. The moduli were respectively 4</w:t>
      </w:r>
      <w:r w:rsidR="0035529A">
        <w:rPr>
          <w:rFonts w:ascii="Arial" w:hAnsi="Arial" w:cs="Arial"/>
          <w:sz w:val="24"/>
          <w:szCs w:val="24"/>
        </w:rPr>
        <w:t>2 ± 7</w:t>
      </w:r>
      <w:r>
        <w:rPr>
          <w:rFonts w:ascii="Arial" w:hAnsi="Arial" w:cs="Arial"/>
          <w:sz w:val="24"/>
          <w:szCs w:val="24"/>
        </w:rPr>
        <w:t xml:space="preserve">, </w:t>
      </w:r>
      <w:r w:rsidR="0035529A">
        <w:rPr>
          <w:rFonts w:ascii="Arial" w:hAnsi="Arial" w:cs="Arial"/>
          <w:sz w:val="24"/>
          <w:szCs w:val="24"/>
        </w:rPr>
        <w:t>58 ± 10</w:t>
      </w:r>
      <w:r>
        <w:rPr>
          <w:rFonts w:ascii="Arial" w:hAnsi="Arial" w:cs="Arial"/>
          <w:sz w:val="24"/>
          <w:szCs w:val="24"/>
        </w:rPr>
        <w:t xml:space="preserve">, and 75 </w:t>
      </w:r>
      <w:r w:rsidR="00055192">
        <w:rPr>
          <w:rFonts w:ascii="Arial" w:hAnsi="Arial" w:cs="Arial"/>
          <w:sz w:val="24"/>
          <w:szCs w:val="24"/>
        </w:rPr>
        <w:t xml:space="preserve">± 22 </w:t>
      </w:r>
      <w:r>
        <w:rPr>
          <w:rFonts w:ascii="Arial" w:hAnsi="Arial" w:cs="Arial"/>
          <w:sz w:val="24"/>
          <w:szCs w:val="24"/>
        </w:rPr>
        <w:t>kPa for the 5</w:t>
      </w:r>
      <w:r w:rsidR="0056545C">
        <w:rPr>
          <w:rFonts w:ascii="Arial" w:hAnsi="Arial" w:cs="Arial"/>
          <w:sz w:val="24"/>
          <w:szCs w:val="24"/>
        </w:rPr>
        <w:t xml:space="preserve"> </w:t>
      </w:r>
      <w:r>
        <w:rPr>
          <w:rFonts w:ascii="Arial" w:hAnsi="Arial" w:cs="Arial"/>
          <w:sz w:val="24"/>
          <w:szCs w:val="24"/>
        </w:rPr>
        <w:t>wt%, 7.5</w:t>
      </w:r>
      <w:r w:rsidR="0056545C">
        <w:rPr>
          <w:rFonts w:ascii="Arial" w:hAnsi="Arial" w:cs="Arial"/>
          <w:sz w:val="24"/>
          <w:szCs w:val="24"/>
        </w:rPr>
        <w:t xml:space="preserve"> </w:t>
      </w:r>
      <w:r>
        <w:rPr>
          <w:rFonts w:ascii="Arial" w:hAnsi="Arial" w:cs="Arial"/>
          <w:sz w:val="24"/>
          <w:szCs w:val="24"/>
        </w:rPr>
        <w:t>wt%, and 10</w:t>
      </w:r>
      <w:r w:rsidR="0056545C">
        <w:rPr>
          <w:rFonts w:ascii="Arial" w:hAnsi="Arial" w:cs="Arial"/>
          <w:sz w:val="24"/>
          <w:szCs w:val="24"/>
        </w:rPr>
        <w:t xml:space="preserve"> </w:t>
      </w:r>
      <w:r>
        <w:rPr>
          <w:rFonts w:ascii="Arial" w:hAnsi="Arial" w:cs="Arial"/>
          <w:sz w:val="24"/>
          <w:szCs w:val="24"/>
        </w:rPr>
        <w:t xml:space="preserve">wt% PHA with 50 mg of Ta per mL of PHA groups. There was no significant difference between the </w:t>
      </w:r>
      <w:r w:rsidR="002B74F1">
        <w:rPr>
          <w:rFonts w:ascii="Arial" w:hAnsi="Arial" w:cs="Arial"/>
          <w:noProof/>
          <w:sz w:val="24"/>
          <w:szCs w:val="24"/>
        </w:rPr>
        <mc:AlternateContent>
          <mc:Choice Requires="wps">
            <w:drawing>
              <wp:anchor distT="0" distB="0" distL="114300" distR="114300" simplePos="0" relativeHeight="251786240" behindDoc="0" locked="0" layoutInCell="1" allowOverlap="1" wp14:anchorId="5312CBDA" wp14:editId="49A83A0F">
                <wp:simplePos x="0" y="0"/>
                <wp:positionH relativeFrom="column">
                  <wp:posOffset>828675</wp:posOffset>
                </wp:positionH>
                <wp:positionV relativeFrom="paragraph">
                  <wp:posOffset>2495550</wp:posOffset>
                </wp:positionV>
                <wp:extent cx="1428750" cy="300038"/>
                <wp:effectExtent l="0" t="0" r="0" b="5080"/>
                <wp:wrapNone/>
                <wp:docPr id="198" name="Rectangle 198"/>
                <wp:cNvGraphicFramePr/>
                <a:graphic xmlns:a="http://schemas.openxmlformats.org/drawingml/2006/main">
                  <a:graphicData uri="http://schemas.microsoft.com/office/word/2010/wordprocessingShape">
                    <wps:wsp>
                      <wps:cNvSpPr/>
                      <wps:spPr>
                        <a:xfrm>
                          <a:off x="0" y="0"/>
                          <a:ext cx="1428750" cy="300038"/>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214F9345" w14:textId="77837293" w:rsidR="003C1E17" w:rsidRPr="003C1E17" w:rsidRDefault="003C1E17" w:rsidP="003C1E17">
                            <w:pPr>
                              <w:jc w:val="center"/>
                              <w:rPr>
                                <w:rFonts w:ascii="Arial" w:hAnsi="Arial" w:cs="Arial"/>
                                <w:sz w:val="24"/>
                                <w:szCs w:val="24"/>
                              </w:rPr>
                            </w:pPr>
                            <w:r w:rsidRPr="003C1E17">
                              <w:rPr>
                                <w:rFonts w:ascii="Arial" w:hAnsi="Arial" w:cs="Arial"/>
                                <w:sz w:val="24"/>
                                <w:szCs w:val="24"/>
                              </w:rPr>
                              <w:t>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312CBDA" id="Rectangle 198" o:spid="_x0000_s1045" style="position:absolute;left:0;text-align:left;margin-left:65.25pt;margin-top:196.5pt;width:112.5pt;height:23.65pt;z-index:251786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" fillcolor="white [3201]" stroked="f" strokeweight="2pt">
                <v:textbox>
                  <w:txbxContent>
                    <w:p w14:paraId="214F9345" w14:textId="77837293" w:rsidR="003C1E17" w:rsidRPr="003C1E17" w:rsidRDefault="003C1E17" w:rsidP="003C1E17">
                      <w:pPr>
                        <w:jc w:val="center"/>
                        <w:rPr>
                          <w:rFonts w:ascii="Arial" w:hAnsi="Arial" w:cs="Arial"/>
                          <w:sz w:val="24"/>
                          <w:szCs w:val="24"/>
                        </w:rPr>
                      </w:pPr>
                      <w:r w:rsidRPr="003C1E17">
                        <w:rPr>
                          <w:rFonts w:ascii="Arial" w:hAnsi="Arial" w:cs="Arial"/>
                          <w:sz w:val="24"/>
                          <w:szCs w:val="24"/>
                        </w:rPr>
                        <w:t>ns</w:t>
                      </w:r>
                    </w:p>
                  </w:txbxContent>
                </v:textbox>
              </v:rect>
            </w:pict>
          </mc:Fallback>
        </mc:AlternateContent>
      </w:r>
      <w:r>
        <w:rPr>
          <w:rFonts w:ascii="Arial" w:hAnsi="Arial" w:cs="Arial"/>
          <w:sz w:val="24"/>
          <w:szCs w:val="24"/>
        </w:rPr>
        <w:t>tantalum and no tantalum groups.</w:t>
      </w:r>
      <w:r w:rsidR="006F4F8F" w:rsidRPr="00C6050F">
        <w:rPr>
          <w:noProof/>
        </w:rPr>
        <w:t xml:space="preserve"> </w:t>
      </w:r>
      <w:r w:rsidR="006F4F8F" w:rsidRPr="00165F9A">
        <w:rPr>
          <w:noProof/>
        </w:rPr>
        <w:t xml:space="preserve"> </w:t>
      </w:r>
    </w:p>
    <w:p w14:paraId="4A2A2742" w14:textId="1D5367F3" w:rsidR="006F4F8F" w:rsidRDefault="003C1E17" w:rsidP="00DF0DD5">
      <w:pPr>
        <w:spacing w:line="480" w:lineRule="auto"/>
        <w:jc w:val="both"/>
        <w:rPr>
          <w:noProof/>
        </w:rPr>
      </w:pPr>
      <w:r>
        <w:rPr>
          <w:rFonts w:ascii="Arial" w:hAnsi="Arial" w:cs="Arial"/>
          <w:noProof/>
          <w:sz w:val="24"/>
          <w:szCs w:val="24"/>
        </w:rPr>
        <mc:AlternateContent>
          <mc:Choice Requires="wps">
            <w:drawing>
              <wp:anchor distT="0" distB="0" distL="114300" distR="114300" simplePos="0" relativeHeight="251785216" behindDoc="0" locked="0" layoutInCell="1" allowOverlap="1" wp14:anchorId="29EE88A1" wp14:editId="6094962B">
                <wp:simplePos x="0" y="0"/>
                <wp:positionH relativeFrom="column">
                  <wp:posOffset>2285047</wp:posOffset>
                </wp:positionH>
                <wp:positionV relativeFrom="paragraph">
                  <wp:posOffset>297180</wp:posOffset>
                </wp:positionV>
                <wp:extent cx="4763" cy="328613"/>
                <wp:effectExtent l="0" t="0" r="33655" b="33655"/>
                <wp:wrapNone/>
                <wp:docPr id="197" name="Straight Connector 197"/>
                <wp:cNvGraphicFramePr/>
                <a:graphic xmlns:a="http://schemas.openxmlformats.org/drawingml/2006/main">
                  <a:graphicData uri="http://schemas.microsoft.com/office/word/2010/wordprocessingShape">
                    <wps:wsp>
                      <wps:cNvCnPr/>
                      <wps:spPr>
                        <a:xfrm flipH="1">
                          <a:off x="0" y="0"/>
                          <a:ext cx="4763" cy="328613"/>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ex="http://schemas.microsoft.com/office/word/2018/wordml/cex" xmlns:w16="http://schemas.microsoft.com/office/word/2018/wordml" xmlns:w16sdtdh="http://schemas.microsoft.com/office/word/2020/wordml/sdtdatahash" xmlns:oel="http://schemas.microsoft.com/office/2019/extlst">
            <w:pict>
              <v:line w14:anchorId="5F4241E5" id="Straight Connector 197" o:spid="_x0000_s1026" style="position:absolute;flip:x;z-index:251785216;visibility:visible;mso-wrap-style:square;mso-wrap-distance-left:9pt;mso-wrap-distance-top:0;mso-wrap-distance-right:9pt;mso-wrap-distance-bottom:0;mso-position-horizontal:absolute;mso-position-horizontal-relative:text;mso-position-vertical:absolute;mso-position-vertical-relative:text" from="179.9pt,23.4pt" to="180.3pt,4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" strokecolor="black [3040]" strokeweight="1pt"/>
            </w:pict>
          </mc:Fallback>
        </mc:AlternateContent>
      </w:r>
      <w:r>
        <w:rPr>
          <w:rFonts w:ascii="Arial" w:hAnsi="Arial" w:cs="Arial"/>
          <w:noProof/>
          <w:sz w:val="24"/>
          <w:szCs w:val="24"/>
        </w:rPr>
        <mc:AlternateContent>
          <mc:Choice Requires="wps">
            <w:drawing>
              <wp:anchor distT="0" distB="0" distL="114300" distR="114300" simplePos="0" relativeHeight="251783168" behindDoc="0" locked="0" layoutInCell="1" allowOverlap="1" wp14:anchorId="5E34106B" wp14:editId="629645D0">
                <wp:simplePos x="0" y="0"/>
                <wp:positionH relativeFrom="column">
                  <wp:posOffset>866775</wp:posOffset>
                </wp:positionH>
                <wp:positionV relativeFrom="paragraph">
                  <wp:posOffset>298450</wp:posOffset>
                </wp:positionV>
                <wp:extent cx="4763" cy="328613"/>
                <wp:effectExtent l="0" t="0" r="33655" b="33655"/>
                <wp:wrapNone/>
                <wp:docPr id="195" name="Straight Connector 195"/>
                <wp:cNvGraphicFramePr/>
                <a:graphic xmlns:a="http://schemas.openxmlformats.org/drawingml/2006/main">
                  <a:graphicData uri="http://schemas.microsoft.com/office/word/2010/wordprocessingShape">
                    <wps:wsp>
                      <wps:cNvCnPr/>
                      <wps:spPr>
                        <a:xfrm flipH="1">
                          <a:off x="0" y="0"/>
                          <a:ext cx="4763" cy="328613"/>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ex="http://schemas.microsoft.com/office/word/2018/wordml/cex" xmlns:w16="http://schemas.microsoft.com/office/word/2018/wordml" xmlns:w16sdtdh="http://schemas.microsoft.com/office/word/2020/wordml/sdtdatahash" xmlns:oel="http://schemas.microsoft.com/office/2019/extlst">
            <w:pict>
              <v:line w14:anchorId="28469BEF" id="Straight Connector 195" o:spid="_x0000_s1026" style="position:absolute;flip:x;z-index:251783168;visibility:visible;mso-wrap-style:square;mso-wrap-distance-left:9pt;mso-wrap-distance-top:0;mso-wrap-distance-right:9pt;mso-wrap-distance-bottom:0;mso-position-horizontal:absolute;mso-position-horizontal-relative:text;mso-position-vertical:absolute;mso-position-vertical-relative:text" from="68.25pt,23.5pt" to="68.65pt,4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" strokecolor="black [3040]" strokeweight="1pt"/>
            </w:pict>
          </mc:Fallback>
        </mc:AlternateContent>
      </w:r>
      <w:r>
        <w:rPr>
          <w:rFonts w:ascii="Arial" w:hAnsi="Arial" w:cs="Arial"/>
          <w:noProof/>
          <w:sz w:val="24"/>
          <w:szCs w:val="24"/>
        </w:rPr>
        <mc:AlternateContent>
          <mc:Choice Requires="wps">
            <w:drawing>
              <wp:anchor distT="0" distB="0" distL="114300" distR="114300" simplePos="0" relativeHeight="251696128" behindDoc="0" locked="0" layoutInCell="1" allowOverlap="1" wp14:anchorId="14DF5B25" wp14:editId="66948D41">
                <wp:simplePos x="0" y="0"/>
                <wp:positionH relativeFrom="column">
                  <wp:posOffset>890588</wp:posOffset>
                </wp:positionH>
                <wp:positionV relativeFrom="paragraph">
                  <wp:posOffset>298449</wp:posOffset>
                </wp:positionV>
                <wp:extent cx="1409700" cy="9525"/>
                <wp:effectExtent l="0" t="0" r="19050" b="28575"/>
                <wp:wrapNone/>
                <wp:docPr id="26" name="Straight Connector 26"/>
                <wp:cNvGraphicFramePr/>
                <a:graphic xmlns:a="http://schemas.openxmlformats.org/drawingml/2006/main">
                  <a:graphicData uri="http://schemas.microsoft.com/office/word/2010/wordprocessingShape">
                    <wps:wsp>
                      <wps:cNvCnPr/>
                      <wps:spPr>
                        <a:xfrm>
                          <a:off x="0" y="0"/>
                          <a:ext cx="1409700" cy="9525"/>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xmlns:oel="http://schemas.microsoft.com/office/2019/extlst">
            <w:pict>
              <v:line w14:anchorId="3E174658" id="Straight Connector 26"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15pt,23.5pt" to="181.15pt,2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" strokecolor="black [3040]" strokeweight="1pt"/>
            </w:pict>
          </mc:Fallback>
        </mc:AlternateContent>
      </w:r>
      <w:r w:rsidR="006F4F8F" w:rsidRPr="00E9217B">
        <w:rPr>
          <w:noProof/>
        </w:rPr>
        <w:t xml:space="preserve"> </w:t>
      </w:r>
      <w:r>
        <w:rPr>
          <w:noProof/>
        </w:rPr>
        <w:drawing>
          <wp:inline distT="0" distB="0" distL="0" distR="0" wp14:anchorId="5BFB4085" wp14:editId="50E702D6">
            <wp:extent cx="2623076" cy="2824163"/>
            <wp:effectExtent l="0" t="0" r="6350" b="0"/>
            <wp:docPr id="196" name="Picture 19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194" descr="Chart&#10;&#10;Description automatically generated"/>
                    <pic:cNvPicPr/>
                  </pic:nvPicPr>
                  <pic:blipFill>
                    <a:blip r:embed="rId29"/>
                    <a:stretch>
                      <a:fillRect/>
                    </a:stretch>
                  </pic:blipFill>
                  <pic:spPr>
                    <a:xfrm>
                      <a:off x="0" y="0"/>
                      <a:ext cx="2632041" cy="2833815"/>
                    </a:xfrm>
                    <a:prstGeom prst="rect">
                      <a:avLst/>
                    </a:prstGeom>
                  </pic:spPr>
                </pic:pic>
              </a:graphicData>
            </a:graphic>
          </wp:inline>
        </w:drawing>
      </w:r>
    </w:p>
    <w:p w14:paraId="3F0287A4" w14:textId="71602DA7" w:rsidR="009F085D" w:rsidRDefault="0094113C" w:rsidP="003C1E17">
      <w:pPr>
        <w:spacing w:line="276" w:lineRule="auto"/>
        <w:jc w:val="both"/>
      </w:pPr>
      <w:r w:rsidRPr="0094113C">
        <w:rPr>
          <w:noProof/>
        </w:rPr>
        <w:t xml:space="preserve"> </w:t>
      </w:r>
      <w:bookmarkStart w:id="94" w:name="_Ref105018199"/>
      <w:bookmarkStart w:id="95" w:name="_Toc105918980"/>
      <w:r w:rsidR="00667627" w:rsidRPr="00667627">
        <w:rPr>
          <w:rFonts w:ascii="Arial" w:hAnsi="Arial" w:cs="Arial"/>
          <w:b/>
          <w:bCs/>
          <w:sz w:val="24"/>
          <w:szCs w:val="24"/>
        </w:rPr>
        <w:t xml:space="preserve">Figure </w:t>
      </w:r>
      <w:r w:rsidR="00667627" w:rsidRPr="00667627">
        <w:rPr>
          <w:rFonts w:ascii="Arial" w:hAnsi="Arial" w:cs="Arial"/>
          <w:b/>
          <w:bCs/>
          <w:i/>
          <w:iCs/>
          <w:sz w:val="24"/>
          <w:szCs w:val="24"/>
        </w:rPr>
        <w:fldChar w:fldCharType="begin"/>
      </w:r>
      <w:r w:rsidR="00667627" w:rsidRPr="00667627">
        <w:rPr>
          <w:rFonts w:ascii="Arial" w:hAnsi="Arial" w:cs="Arial"/>
          <w:b/>
          <w:bCs/>
          <w:sz w:val="24"/>
          <w:szCs w:val="24"/>
        </w:rPr>
        <w:instrText xml:space="preserve"> SEQ Figure \* ARABIC </w:instrText>
      </w:r>
      <w:r w:rsidR="00667627" w:rsidRPr="00667627">
        <w:rPr>
          <w:rFonts w:ascii="Arial" w:hAnsi="Arial" w:cs="Arial"/>
          <w:b/>
          <w:bCs/>
          <w:i/>
          <w:iCs/>
          <w:sz w:val="24"/>
          <w:szCs w:val="24"/>
        </w:rPr>
        <w:fldChar w:fldCharType="separate"/>
      </w:r>
      <w:r w:rsidR="005C4791">
        <w:rPr>
          <w:rFonts w:ascii="Arial" w:hAnsi="Arial" w:cs="Arial"/>
          <w:b/>
          <w:bCs/>
          <w:noProof/>
          <w:sz w:val="24"/>
          <w:szCs w:val="24"/>
        </w:rPr>
        <w:t>15</w:t>
      </w:r>
      <w:r w:rsidR="00667627" w:rsidRPr="00667627">
        <w:rPr>
          <w:rFonts w:ascii="Arial" w:hAnsi="Arial" w:cs="Arial"/>
          <w:b/>
          <w:bCs/>
          <w:i/>
          <w:iCs/>
          <w:sz w:val="24"/>
          <w:szCs w:val="24"/>
        </w:rPr>
        <w:fldChar w:fldCharType="end"/>
      </w:r>
      <w:bookmarkEnd w:id="94"/>
      <w:r w:rsidR="006B12D0" w:rsidRPr="003B7652">
        <w:rPr>
          <w:rFonts w:ascii="Arial" w:hAnsi="Arial" w:cs="Arial"/>
          <w:b/>
          <w:bCs/>
          <w:sz w:val="24"/>
          <w:szCs w:val="24"/>
        </w:rPr>
        <w:t xml:space="preserve">: Mechanical characterization of 40 </w:t>
      </w:r>
      <w:r w:rsidR="00807887">
        <w:rPr>
          <w:rFonts w:ascii="Arial" w:hAnsi="Arial" w:cs="Arial"/>
          <w:b/>
          <w:bCs/>
          <w:sz w:val="24"/>
          <w:szCs w:val="24"/>
        </w:rPr>
        <w:t>k</w:t>
      </w:r>
      <w:r w:rsidR="006B12D0" w:rsidRPr="003B7652">
        <w:rPr>
          <w:rFonts w:ascii="Arial" w:hAnsi="Arial" w:cs="Arial"/>
          <w:b/>
          <w:bCs/>
          <w:sz w:val="24"/>
          <w:szCs w:val="24"/>
        </w:rPr>
        <w:t>Da 5</w:t>
      </w:r>
      <w:r w:rsidR="00174061">
        <w:rPr>
          <w:rFonts w:ascii="Arial" w:hAnsi="Arial" w:cs="Arial"/>
          <w:b/>
          <w:bCs/>
          <w:sz w:val="24"/>
          <w:szCs w:val="24"/>
        </w:rPr>
        <w:t xml:space="preserve"> </w:t>
      </w:r>
      <w:r w:rsidR="00F10578">
        <w:rPr>
          <w:rFonts w:ascii="Arial" w:hAnsi="Arial" w:cs="Arial"/>
          <w:b/>
          <w:bCs/>
          <w:sz w:val="24"/>
          <w:szCs w:val="24"/>
        </w:rPr>
        <w:t>wt</w:t>
      </w:r>
      <w:r w:rsidR="006B12D0" w:rsidRPr="003B7652">
        <w:rPr>
          <w:rFonts w:ascii="Arial" w:hAnsi="Arial" w:cs="Arial"/>
          <w:b/>
          <w:bCs/>
          <w:sz w:val="24"/>
          <w:szCs w:val="24"/>
        </w:rPr>
        <w:t>%, 7.5</w:t>
      </w:r>
      <w:r w:rsidR="00174061">
        <w:rPr>
          <w:rFonts w:ascii="Arial" w:hAnsi="Arial" w:cs="Arial"/>
          <w:b/>
          <w:bCs/>
          <w:sz w:val="24"/>
          <w:szCs w:val="24"/>
        </w:rPr>
        <w:t xml:space="preserve"> </w:t>
      </w:r>
      <w:r w:rsidR="00F10578">
        <w:rPr>
          <w:rFonts w:ascii="Arial" w:hAnsi="Arial" w:cs="Arial"/>
          <w:b/>
          <w:bCs/>
          <w:sz w:val="24"/>
          <w:szCs w:val="24"/>
        </w:rPr>
        <w:t>wt</w:t>
      </w:r>
      <w:r w:rsidR="006B12D0" w:rsidRPr="003B7652">
        <w:rPr>
          <w:rFonts w:ascii="Arial" w:hAnsi="Arial" w:cs="Arial"/>
          <w:b/>
          <w:bCs/>
          <w:sz w:val="24"/>
          <w:szCs w:val="24"/>
        </w:rPr>
        <w:t>%. and 10</w:t>
      </w:r>
      <w:r w:rsidR="00174061">
        <w:rPr>
          <w:rFonts w:ascii="Arial" w:hAnsi="Arial" w:cs="Arial"/>
          <w:b/>
          <w:bCs/>
          <w:sz w:val="24"/>
          <w:szCs w:val="24"/>
        </w:rPr>
        <w:t xml:space="preserve"> </w:t>
      </w:r>
      <w:r w:rsidR="00F10578">
        <w:rPr>
          <w:rFonts w:ascii="Arial" w:hAnsi="Arial" w:cs="Arial"/>
          <w:b/>
          <w:bCs/>
          <w:sz w:val="24"/>
          <w:szCs w:val="24"/>
        </w:rPr>
        <w:t>wt</w:t>
      </w:r>
      <w:r w:rsidR="006B12D0" w:rsidRPr="003B7652">
        <w:rPr>
          <w:rFonts w:ascii="Arial" w:hAnsi="Arial" w:cs="Arial"/>
          <w:b/>
          <w:bCs/>
          <w:sz w:val="24"/>
          <w:szCs w:val="24"/>
        </w:rPr>
        <w:t>% PHA hydrogels (n=12) with absence or presence of tantalum powder (50 mg/mL).</w:t>
      </w:r>
      <w:r w:rsidR="006B12D0" w:rsidRPr="003B7652">
        <w:t xml:space="preserve"> </w:t>
      </w:r>
      <w:r w:rsidR="006F4F8F" w:rsidRPr="006C5C5E">
        <w:rPr>
          <w:rFonts w:ascii="Arial" w:hAnsi="Arial" w:cs="Arial"/>
          <w:sz w:val="24"/>
          <w:szCs w:val="24"/>
        </w:rPr>
        <w:t>(P)HA</w:t>
      </w:r>
      <w:r w:rsidR="00322B6D">
        <w:rPr>
          <w:rFonts w:ascii="Arial" w:hAnsi="Arial" w:cs="Arial"/>
          <w:sz w:val="24"/>
          <w:szCs w:val="24"/>
        </w:rPr>
        <w:t xml:space="preserve"> </w:t>
      </w:r>
      <w:r w:rsidR="006F4F8F" w:rsidRPr="006C5C5E">
        <w:rPr>
          <w:rFonts w:ascii="Arial" w:hAnsi="Arial" w:cs="Arial"/>
          <w:sz w:val="24"/>
          <w:szCs w:val="24"/>
        </w:rPr>
        <w:t>=</w:t>
      </w:r>
      <w:r w:rsidR="00322B6D">
        <w:rPr>
          <w:rFonts w:ascii="Arial" w:hAnsi="Arial" w:cs="Arial"/>
          <w:sz w:val="24"/>
          <w:szCs w:val="24"/>
        </w:rPr>
        <w:t xml:space="preserve"> </w:t>
      </w:r>
      <w:r w:rsidR="00182CF4">
        <w:rPr>
          <w:rFonts w:ascii="Arial" w:hAnsi="Arial" w:cs="Arial"/>
          <w:sz w:val="24"/>
          <w:szCs w:val="24"/>
        </w:rPr>
        <w:t>Pentenoate</w:t>
      </w:r>
      <w:r w:rsidR="00322B6D">
        <w:rPr>
          <w:rFonts w:ascii="Arial" w:hAnsi="Arial" w:cs="Arial"/>
          <w:sz w:val="24"/>
          <w:szCs w:val="24"/>
        </w:rPr>
        <w:t>-modified</w:t>
      </w:r>
      <w:r w:rsidR="006F4F8F" w:rsidRPr="006C5C5E">
        <w:rPr>
          <w:rFonts w:ascii="Arial" w:hAnsi="Arial" w:cs="Arial"/>
          <w:sz w:val="24"/>
          <w:szCs w:val="24"/>
        </w:rPr>
        <w:t xml:space="preserve"> </w:t>
      </w:r>
      <w:r w:rsidR="00322B6D">
        <w:rPr>
          <w:rFonts w:ascii="Arial" w:hAnsi="Arial" w:cs="Arial"/>
          <w:sz w:val="24"/>
          <w:szCs w:val="24"/>
        </w:rPr>
        <w:t>h</w:t>
      </w:r>
      <w:r w:rsidR="006F4F8F" w:rsidRPr="006C5C5E">
        <w:rPr>
          <w:rFonts w:ascii="Arial" w:hAnsi="Arial" w:cs="Arial"/>
          <w:sz w:val="24"/>
          <w:szCs w:val="24"/>
        </w:rPr>
        <w:t>yaluronic acid, T</w:t>
      </w:r>
      <w:r w:rsidR="00322B6D">
        <w:rPr>
          <w:rFonts w:ascii="Arial" w:hAnsi="Arial" w:cs="Arial"/>
          <w:sz w:val="24"/>
          <w:szCs w:val="24"/>
        </w:rPr>
        <w:t xml:space="preserve"> </w:t>
      </w:r>
      <w:r w:rsidR="006F4F8F" w:rsidRPr="006C5C5E">
        <w:rPr>
          <w:rFonts w:ascii="Arial" w:hAnsi="Arial" w:cs="Arial"/>
          <w:sz w:val="24"/>
          <w:szCs w:val="24"/>
        </w:rPr>
        <w:t>= tantalum powder</w:t>
      </w:r>
      <w:r w:rsidR="00035FE7">
        <w:rPr>
          <w:rFonts w:ascii="Arial" w:hAnsi="Arial" w:cs="Arial"/>
          <w:sz w:val="24"/>
          <w:szCs w:val="24"/>
        </w:rPr>
        <w:t>,</w:t>
      </w:r>
      <w:r w:rsidR="006F4F8F" w:rsidRPr="006C5C5E">
        <w:rPr>
          <w:rFonts w:ascii="Arial" w:hAnsi="Arial" w:cs="Arial"/>
          <w:sz w:val="24"/>
          <w:szCs w:val="24"/>
        </w:rPr>
        <w:t xml:space="preserve"> </w:t>
      </w:r>
      <w:r w:rsidR="00467745">
        <w:rPr>
          <w:rFonts w:ascii="Arial" w:hAnsi="Arial" w:cs="Arial"/>
          <w:sz w:val="24"/>
          <w:szCs w:val="24"/>
        </w:rPr>
        <w:t>ns: non-significant</w:t>
      </w:r>
      <w:r w:rsidR="006F4F8F" w:rsidRPr="006C5C5E">
        <w:rPr>
          <w:rFonts w:ascii="Arial" w:hAnsi="Arial" w:cs="Arial"/>
          <w:sz w:val="24"/>
          <w:szCs w:val="24"/>
        </w:rPr>
        <w:t>. Compression moduli of 5</w:t>
      </w:r>
      <w:r w:rsidR="0056545C">
        <w:rPr>
          <w:rFonts w:ascii="Arial" w:hAnsi="Arial" w:cs="Arial"/>
          <w:sz w:val="24"/>
          <w:szCs w:val="24"/>
        </w:rPr>
        <w:t xml:space="preserve"> </w:t>
      </w:r>
      <w:r w:rsidR="00F10578">
        <w:rPr>
          <w:rFonts w:ascii="Arial" w:hAnsi="Arial" w:cs="Arial"/>
          <w:sz w:val="24"/>
          <w:szCs w:val="24"/>
        </w:rPr>
        <w:t>wt</w:t>
      </w:r>
      <w:r w:rsidR="006F4F8F" w:rsidRPr="006C5C5E">
        <w:rPr>
          <w:rFonts w:ascii="Arial" w:hAnsi="Arial" w:cs="Arial"/>
          <w:sz w:val="24"/>
          <w:szCs w:val="24"/>
        </w:rPr>
        <w:t>%, 7.5</w:t>
      </w:r>
      <w:r w:rsidR="0056545C">
        <w:rPr>
          <w:rFonts w:ascii="Arial" w:hAnsi="Arial" w:cs="Arial"/>
          <w:sz w:val="24"/>
          <w:szCs w:val="24"/>
        </w:rPr>
        <w:t xml:space="preserve"> </w:t>
      </w:r>
      <w:r w:rsidR="00F10578">
        <w:rPr>
          <w:rFonts w:ascii="Arial" w:hAnsi="Arial" w:cs="Arial"/>
          <w:sz w:val="24"/>
          <w:szCs w:val="24"/>
        </w:rPr>
        <w:t>wt</w:t>
      </w:r>
      <w:r w:rsidR="006F4F8F" w:rsidRPr="006C5C5E">
        <w:rPr>
          <w:rFonts w:ascii="Arial" w:hAnsi="Arial" w:cs="Arial"/>
          <w:sz w:val="24"/>
          <w:szCs w:val="24"/>
        </w:rPr>
        <w:t>%, and 10</w:t>
      </w:r>
      <w:r w:rsidR="0056545C">
        <w:rPr>
          <w:rFonts w:ascii="Arial" w:hAnsi="Arial" w:cs="Arial"/>
          <w:sz w:val="24"/>
          <w:szCs w:val="24"/>
        </w:rPr>
        <w:t xml:space="preserve"> </w:t>
      </w:r>
      <w:r w:rsidR="00F10578">
        <w:rPr>
          <w:rFonts w:ascii="Arial" w:hAnsi="Arial" w:cs="Arial"/>
          <w:sz w:val="24"/>
          <w:szCs w:val="24"/>
        </w:rPr>
        <w:t>wt</w:t>
      </w:r>
      <w:r w:rsidR="006F4F8F" w:rsidRPr="006C5C5E">
        <w:rPr>
          <w:rFonts w:ascii="Arial" w:hAnsi="Arial" w:cs="Arial"/>
          <w:sz w:val="24"/>
          <w:szCs w:val="24"/>
        </w:rPr>
        <w:t>% percent weight PHA hydrogels with and without tantalum exhibited increasing moduli with increasing weight percentages.</w:t>
      </w:r>
      <w:bookmarkEnd w:id="95"/>
      <w:r w:rsidR="006F4F8F" w:rsidRPr="006C5C5E">
        <w:rPr>
          <w:rFonts w:ascii="Arial" w:hAnsi="Arial" w:cs="Arial"/>
          <w:sz w:val="24"/>
          <w:szCs w:val="24"/>
        </w:rPr>
        <w:t xml:space="preserve"> </w:t>
      </w:r>
    </w:p>
    <w:p w14:paraId="25E41F3E" w14:textId="130F04E7" w:rsidR="000E2250" w:rsidRDefault="000E2250">
      <w:pPr>
        <w:rPr>
          <w:rFonts w:ascii="Arial" w:eastAsiaTheme="majorEastAsia" w:hAnsi="Arial" w:cs="Arial"/>
          <w:b/>
          <w:bCs/>
          <w:color w:val="000000" w:themeColor="text1"/>
          <w:sz w:val="24"/>
          <w:szCs w:val="24"/>
        </w:rPr>
      </w:pPr>
      <w:r>
        <w:rPr>
          <w:rFonts w:ascii="Arial" w:hAnsi="Arial" w:cs="Arial"/>
          <w:b/>
          <w:bCs/>
          <w:color w:val="000000" w:themeColor="text1"/>
        </w:rPr>
        <w:br w:type="page"/>
      </w:r>
    </w:p>
    <w:p w14:paraId="6330EBEC" w14:textId="48920C06" w:rsidR="009F085D" w:rsidRPr="00834360" w:rsidRDefault="001137B6" w:rsidP="00834360">
      <w:pPr>
        <w:pStyle w:val="Titre3"/>
        <w:spacing w:after="240"/>
        <w:rPr>
          <w:rFonts w:ascii="Arial" w:hAnsi="Arial" w:cs="Arial"/>
          <w:b/>
          <w:bCs/>
          <w:color w:val="000000" w:themeColor="text1"/>
        </w:rPr>
      </w:pPr>
      <w:bookmarkStart w:id="96" w:name="_Toc106903238"/>
      <w:r w:rsidRPr="00834360">
        <w:rPr>
          <w:rFonts w:ascii="Arial" w:hAnsi="Arial" w:cs="Arial"/>
          <w:b/>
          <w:bCs/>
          <w:color w:val="000000" w:themeColor="text1"/>
        </w:rPr>
        <w:lastRenderedPageBreak/>
        <w:t>2.3.</w:t>
      </w:r>
      <w:r w:rsidR="0039617F" w:rsidRPr="00834360">
        <w:rPr>
          <w:rFonts w:ascii="Arial" w:hAnsi="Arial" w:cs="Arial"/>
          <w:b/>
          <w:bCs/>
          <w:color w:val="000000" w:themeColor="text1"/>
        </w:rPr>
        <w:t>5</w:t>
      </w:r>
      <w:r w:rsidRPr="00834360">
        <w:rPr>
          <w:rFonts w:ascii="Arial" w:hAnsi="Arial" w:cs="Arial"/>
          <w:b/>
          <w:bCs/>
          <w:color w:val="000000" w:themeColor="text1"/>
        </w:rPr>
        <w:t xml:space="preserve"> </w:t>
      </w:r>
      <w:r w:rsidR="009F085D" w:rsidRPr="00834360">
        <w:rPr>
          <w:rFonts w:ascii="Arial" w:hAnsi="Arial" w:cs="Arial"/>
          <w:b/>
          <w:bCs/>
          <w:color w:val="000000" w:themeColor="text1"/>
        </w:rPr>
        <w:t>Swelling Capacity</w:t>
      </w:r>
      <w:bookmarkEnd w:id="96"/>
    </w:p>
    <w:p w14:paraId="5115F86B" w14:textId="2368D381" w:rsidR="009034F3" w:rsidRDefault="009034F3" w:rsidP="009034F3">
      <w:pPr>
        <w:spacing w:line="480" w:lineRule="auto"/>
        <w:ind w:firstLine="360"/>
        <w:jc w:val="both"/>
        <w:rPr>
          <w:rFonts w:ascii="Arial" w:hAnsi="Arial" w:cs="Arial"/>
          <w:sz w:val="24"/>
          <w:szCs w:val="24"/>
        </w:rPr>
      </w:pPr>
      <w:r>
        <w:rPr>
          <w:rFonts w:ascii="Arial" w:hAnsi="Arial" w:cs="Arial"/>
          <w:sz w:val="24"/>
          <w:szCs w:val="24"/>
        </w:rPr>
        <w:t>Swelling capacity is an important parameter to know because it indicates how much the material will swell when it encounters biological fluids and thus, we could adjust the quantity of PHA to deliver in aneurysms. To assess the swelling capacity of 5</w:t>
      </w:r>
      <w:r w:rsidR="0056545C">
        <w:rPr>
          <w:rFonts w:ascii="Arial" w:hAnsi="Arial" w:cs="Arial"/>
          <w:sz w:val="24"/>
          <w:szCs w:val="24"/>
        </w:rPr>
        <w:t xml:space="preserve"> </w:t>
      </w:r>
      <w:r>
        <w:rPr>
          <w:rFonts w:ascii="Arial" w:hAnsi="Arial" w:cs="Arial"/>
          <w:sz w:val="24"/>
          <w:szCs w:val="24"/>
        </w:rPr>
        <w:t>wt%, 7.5</w:t>
      </w:r>
      <w:r w:rsidR="0056545C">
        <w:rPr>
          <w:rFonts w:ascii="Arial" w:hAnsi="Arial" w:cs="Arial"/>
          <w:sz w:val="24"/>
          <w:szCs w:val="24"/>
        </w:rPr>
        <w:t xml:space="preserve"> </w:t>
      </w:r>
      <w:r>
        <w:rPr>
          <w:rFonts w:ascii="Arial" w:hAnsi="Arial" w:cs="Arial"/>
          <w:sz w:val="24"/>
          <w:szCs w:val="24"/>
        </w:rPr>
        <w:t>wt%, and 10</w:t>
      </w:r>
      <w:r w:rsidR="0056545C">
        <w:rPr>
          <w:rFonts w:ascii="Arial" w:hAnsi="Arial" w:cs="Arial"/>
          <w:sz w:val="24"/>
          <w:szCs w:val="24"/>
        </w:rPr>
        <w:t xml:space="preserve"> </w:t>
      </w:r>
      <w:r>
        <w:rPr>
          <w:rFonts w:ascii="Arial" w:hAnsi="Arial" w:cs="Arial"/>
          <w:sz w:val="24"/>
          <w:szCs w:val="24"/>
        </w:rPr>
        <w:t xml:space="preserve">wt% PHA hydrogels without and with 50 mg of Ta/g of PHA, their </w:t>
      </w:r>
      <w:r w:rsidR="00136DB8">
        <w:rPr>
          <w:rFonts w:ascii="Arial" w:hAnsi="Arial" w:cs="Arial"/>
          <w:sz w:val="24"/>
          <w:szCs w:val="24"/>
        </w:rPr>
        <w:t xml:space="preserve">water </w:t>
      </w:r>
      <w:r>
        <w:rPr>
          <w:rFonts w:ascii="Arial" w:hAnsi="Arial" w:cs="Arial"/>
          <w:sz w:val="24"/>
          <w:szCs w:val="24"/>
        </w:rPr>
        <w:t xml:space="preserve">absorption and swelling ratios were measured. </w:t>
      </w:r>
      <w:r w:rsidR="00136DB8">
        <w:rPr>
          <w:rFonts w:ascii="Arial" w:hAnsi="Arial" w:cs="Arial"/>
          <w:sz w:val="24"/>
          <w:szCs w:val="24"/>
        </w:rPr>
        <w:t>Water a</w:t>
      </w:r>
      <w:r w:rsidRPr="003A6CAB">
        <w:rPr>
          <w:rFonts w:ascii="Arial" w:hAnsi="Arial" w:cs="Arial"/>
          <w:sz w:val="24"/>
          <w:szCs w:val="24"/>
        </w:rPr>
        <w:t>bsorption</w:t>
      </w:r>
      <w:r>
        <w:rPr>
          <w:rFonts w:ascii="Arial" w:hAnsi="Arial" w:cs="Arial"/>
          <w:sz w:val="24"/>
          <w:szCs w:val="24"/>
        </w:rPr>
        <w:t xml:space="preserve"> (swollen weight mg/fabricated weight mg)</w:t>
      </w:r>
      <w:r w:rsidRPr="003A6CAB">
        <w:rPr>
          <w:rFonts w:ascii="Arial" w:hAnsi="Arial" w:cs="Arial"/>
          <w:sz w:val="24"/>
          <w:szCs w:val="24"/>
        </w:rPr>
        <w:t xml:space="preserve"> </w:t>
      </w:r>
      <w:r>
        <w:rPr>
          <w:rFonts w:ascii="Arial" w:hAnsi="Arial" w:cs="Arial"/>
          <w:sz w:val="24"/>
          <w:szCs w:val="24"/>
        </w:rPr>
        <w:t>of 5</w:t>
      </w:r>
      <w:r w:rsidR="0056545C">
        <w:rPr>
          <w:rFonts w:ascii="Arial" w:hAnsi="Arial" w:cs="Arial"/>
          <w:sz w:val="24"/>
          <w:szCs w:val="24"/>
        </w:rPr>
        <w:t xml:space="preserve"> </w:t>
      </w:r>
      <w:r>
        <w:rPr>
          <w:rFonts w:ascii="Arial" w:hAnsi="Arial" w:cs="Arial"/>
          <w:sz w:val="24"/>
          <w:szCs w:val="24"/>
        </w:rPr>
        <w:t>wt%, 7.5</w:t>
      </w:r>
      <w:r w:rsidR="0056545C">
        <w:rPr>
          <w:rFonts w:ascii="Arial" w:hAnsi="Arial" w:cs="Arial"/>
          <w:sz w:val="24"/>
          <w:szCs w:val="24"/>
        </w:rPr>
        <w:t xml:space="preserve"> </w:t>
      </w:r>
      <w:r>
        <w:rPr>
          <w:rFonts w:ascii="Arial" w:hAnsi="Arial" w:cs="Arial"/>
          <w:sz w:val="24"/>
          <w:szCs w:val="24"/>
        </w:rPr>
        <w:t>wt%. and 10</w:t>
      </w:r>
      <w:r w:rsidR="0056545C">
        <w:rPr>
          <w:rFonts w:ascii="Arial" w:hAnsi="Arial" w:cs="Arial"/>
          <w:sz w:val="24"/>
          <w:szCs w:val="24"/>
        </w:rPr>
        <w:t xml:space="preserve"> </w:t>
      </w:r>
      <w:r>
        <w:rPr>
          <w:rFonts w:ascii="Arial" w:hAnsi="Arial" w:cs="Arial"/>
          <w:sz w:val="24"/>
          <w:szCs w:val="24"/>
        </w:rPr>
        <w:t xml:space="preserve">wt% PHA hydrogels </w:t>
      </w:r>
      <w:r w:rsidRPr="003A6CAB">
        <w:rPr>
          <w:rFonts w:ascii="Arial" w:hAnsi="Arial" w:cs="Arial"/>
          <w:sz w:val="24"/>
          <w:szCs w:val="24"/>
        </w:rPr>
        <w:t>was increasingly proportional to weight percent</w:t>
      </w:r>
      <w:r>
        <w:rPr>
          <w:rFonts w:ascii="Arial" w:hAnsi="Arial" w:cs="Arial"/>
          <w:sz w:val="24"/>
          <w:szCs w:val="24"/>
        </w:rPr>
        <w:t xml:space="preserve"> and 1.</w:t>
      </w:r>
      <w:r w:rsidR="00331CC1">
        <w:rPr>
          <w:rFonts w:ascii="Arial" w:hAnsi="Arial" w:cs="Arial"/>
          <w:sz w:val="24"/>
          <w:szCs w:val="24"/>
        </w:rPr>
        <w:t>7 ± 0.33</w:t>
      </w:r>
      <w:r>
        <w:rPr>
          <w:rFonts w:ascii="Arial" w:hAnsi="Arial" w:cs="Arial"/>
          <w:sz w:val="24"/>
          <w:szCs w:val="24"/>
        </w:rPr>
        <w:t>, 1.9</w:t>
      </w:r>
      <w:r w:rsidR="00331CC1">
        <w:rPr>
          <w:rFonts w:ascii="Arial" w:hAnsi="Arial" w:cs="Arial"/>
          <w:sz w:val="24"/>
          <w:szCs w:val="24"/>
        </w:rPr>
        <w:t xml:space="preserve"> ± 0.17</w:t>
      </w:r>
      <w:r>
        <w:rPr>
          <w:rFonts w:ascii="Arial" w:hAnsi="Arial" w:cs="Arial"/>
          <w:sz w:val="24"/>
          <w:szCs w:val="24"/>
        </w:rPr>
        <w:t>, and 2.</w:t>
      </w:r>
      <w:r w:rsidR="00331CC1">
        <w:rPr>
          <w:rFonts w:ascii="Arial" w:hAnsi="Arial" w:cs="Arial"/>
          <w:sz w:val="24"/>
          <w:szCs w:val="24"/>
        </w:rPr>
        <w:t>4 ± 0.14</w:t>
      </w:r>
      <w:r>
        <w:rPr>
          <w:rFonts w:ascii="Arial" w:hAnsi="Arial" w:cs="Arial"/>
          <w:sz w:val="24"/>
          <w:szCs w:val="24"/>
        </w:rPr>
        <w:t>, respectively (</w:t>
      </w:r>
      <w:r w:rsidR="0021177A" w:rsidRPr="0021177A">
        <w:rPr>
          <w:rFonts w:ascii="Arial" w:hAnsi="Arial" w:cs="Arial"/>
          <w:sz w:val="24"/>
          <w:szCs w:val="24"/>
        </w:rPr>
        <w:fldChar w:fldCharType="begin"/>
      </w:r>
      <w:r w:rsidR="0021177A" w:rsidRPr="0021177A">
        <w:rPr>
          <w:rFonts w:ascii="Arial" w:hAnsi="Arial" w:cs="Arial"/>
          <w:sz w:val="24"/>
          <w:szCs w:val="24"/>
        </w:rPr>
        <w:instrText xml:space="preserve"> REF _Ref105537870 \h </w:instrText>
      </w:r>
      <w:r w:rsidR="0021177A" w:rsidRPr="00834360">
        <w:rPr>
          <w:rFonts w:ascii="Arial" w:hAnsi="Arial" w:cs="Arial"/>
          <w:sz w:val="24"/>
          <w:szCs w:val="24"/>
        </w:rPr>
        <w:instrText xml:space="preserve"> \* MERGEFORMAT </w:instrText>
      </w:r>
      <w:r w:rsidR="0021177A" w:rsidRPr="0021177A">
        <w:rPr>
          <w:rFonts w:ascii="Arial" w:hAnsi="Arial" w:cs="Arial"/>
          <w:sz w:val="24"/>
          <w:szCs w:val="24"/>
        </w:rPr>
      </w:r>
      <w:r w:rsidR="0021177A" w:rsidRPr="0021177A">
        <w:rPr>
          <w:rFonts w:ascii="Arial" w:hAnsi="Arial" w:cs="Arial"/>
          <w:sz w:val="24"/>
          <w:szCs w:val="24"/>
        </w:rPr>
        <w:fldChar w:fldCharType="separate"/>
      </w:r>
      <w:r w:rsidR="005C4791" w:rsidRPr="005C4791">
        <w:rPr>
          <w:rFonts w:ascii="Arial" w:hAnsi="Arial" w:cs="Arial"/>
          <w:sz w:val="24"/>
          <w:szCs w:val="24"/>
        </w:rPr>
        <w:t xml:space="preserve">Figure </w:t>
      </w:r>
      <w:r w:rsidR="005C4791" w:rsidRPr="005C4791">
        <w:rPr>
          <w:rFonts w:ascii="Arial" w:hAnsi="Arial" w:cs="Arial"/>
          <w:noProof/>
          <w:sz w:val="24"/>
          <w:szCs w:val="24"/>
        </w:rPr>
        <w:t>16</w:t>
      </w:r>
      <w:r w:rsidR="0021177A" w:rsidRPr="0021177A">
        <w:rPr>
          <w:rFonts w:ascii="Arial" w:hAnsi="Arial" w:cs="Arial"/>
          <w:sz w:val="24"/>
          <w:szCs w:val="24"/>
        </w:rPr>
        <w:fldChar w:fldCharType="end"/>
      </w:r>
      <w:r>
        <w:rPr>
          <w:rFonts w:ascii="Arial" w:hAnsi="Arial" w:cs="Arial"/>
          <w:sz w:val="24"/>
          <w:szCs w:val="24"/>
        </w:rPr>
        <w:t xml:space="preserve">). </w:t>
      </w:r>
    </w:p>
    <w:p w14:paraId="235B8F12" w14:textId="2C9B9444" w:rsidR="00213976" w:rsidRDefault="00213976" w:rsidP="004F31AD">
      <w:pPr>
        <w:spacing w:after="0" w:line="480" w:lineRule="auto"/>
        <w:ind w:firstLine="360"/>
        <w:jc w:val="both"/>
        <w:rPr>
          <w:rFonts w:ascii="Arial" w:hAnsi="Arial" w:cs="Arial"/>
          <w:sz w:val="24"/>
          <w:szCs w:val="24"/>
        </w:rPr>
      </w:pPr>
      <w:r>
        <w:rPr>
          <w:rFonts w:ascii="Arial" w:hAnsi="Arial" w:cs="Arial"/>
          <w:noProof/>
          <w:sz w:val="24"/>
          <w:szCs w:val="24"/>
        </w:rPr>
        <w:drawing>
          <wp:inline distT="0" distB="0" distL="0" distR="0" wp14:anchorId="43FBA9D7" wp14:editId="3822DD96">
            <wp:extent cx="2885440" cy="2686050"/>
            <wp:effectExtent l="0" t="0" r="0" b="0"/>
            <wp:docPr id="59" name="Picture 5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Chart&#10;&#10;Description automatically generated"/>
                    <pic:cNvPicPr/>
                  </pic:nvPicPr>
                  <pic:blipFill rotWithShape="1">
                    <a:blip r:embed="rId30" cstate="print">
                      <a:extLst>
                        <a:ext uri="{28A0092B-C50C-407E-A947-70E740481C1C}">
                          <a14:useLocalDpi xmlns:a14="http://schemas.microsoft.com/office/drawing/2010/main" val="0"/>
                        </a:ext>
                      </a:extLst>
                    </a:blip>
                    <a:srcRect t="5324" b="6337"/>
                    <a:stretch/>
                  </pic:blipFill>
                  <pic:spPr bwMode="auto">
                    <a:xfrm>
                      <a:off x="0" y="0"/>
                      <a:ext cx="2910003" cy="2708916"/>
                    </a:xfrm>
                    <a:prstGeom prst="rect">
                      <a:avLst/>
                    </a:prstGeom>
                    <a:ln>
                      <a:noFill/>
                    </a:ln>
                    <a:extLst>
                      <a:ext uri="{53640926-AAD7-44D8-BBD7-CCE9431645EC}">
                        <a14:shadowObscured xmlns:a14="http://schemas.microsoft.com/office/drawing/2010/main"/>
                      </a:ext>
                    </a:extLst>
                  </pic:spPr>
                </pic:pic>
              </a:graphicData>
            </a:graphic>
          </wp:inline>
        </w:drawing>
      </w:r>
    </w:p>
    <w:p w14:paraId="6FE7A7F2" w14:textId="4429DC11" w:rsidR="004E0E9E" w:rsidRDefault="00A16990" w:rsidP="00525779">
      <w:pPr>
        <w:pStyle w:val="Lgende"/>
        <w:jc w:val="both"/>
        <w:rPr>
          <w:rFonts w:ascii="Arial" w:hAnsi="Arial" w:cs="Arial"/>
          <w:sz w:val="24"/>
          <w:szCs w:val="24"/>
        </w:rPr>
      </w:pPr>
      <w:bookmarkStart w:id="97" w:name="_Ref105537870"/>
      <w:bookmarkStart w:id="98" w:name="_Toc105918981"/>
      <w:r w:rsidRPr="001F4B37">
        <w:rPr>
          <w:rFonts w:ascii="Arial" w:hAnsi="Arial" w:cs="Arial"/>
          <w:b/>
          <w:bCs/>
          <w:i w:val="0"/>
          <w:iCs w:val="0"/>
          <w:color w:val="auto"/>
          <w:sz w:val="24"/>
          <w:szCs w:val="24"/>
        </w:rPr>
        <w:t xml:space="preserve">Figure </w:t>
      </w:r>
      <w:r w:rsidRPr="001F4B37">
        <w:rPr>
          <w:rFonts w:ascii="Arial" w:hAnsi="Arial" w:cs="Arial"/>
          <w:b/>
          <w:bCs/>
          <w:i w:val="0"/>
          <w:iCs w:val="0"/>
          <w:color w:val="auto"/>
          <w:sz w:val="24"/>
          <w:szCs w:val="24"/>
        </w:rPr>
        <w:fldChar w:fldCharType="begin"/>
      </w:r>
      <w:r w:rsidRPr="001F4B37">
        <w:rPr>
          <w:rFonts w:ascii="Arial" w:hAnsi="Arial" w:cs="Arial"/>
          <w:b/>
          <w:bCs/>
          <w:i w:val="0"/>
          <w:iCs w:val="0"/>
          <w:color w:val="auto"/>
          <w:sz w:val="24"/>
          <w:szCs w:val="24"/>
        </w:rPr>
        <w:instrText xml:space="preserve"> SEQ Figure \* ARABIC </w:instrText>
      </w:r>
      <w:r w:rsidRPr="001F4B37">
        <w:rPr>
          <w:rFonts w:ascii="Arial" w:hAnsi="Arial" w:cs="Arial"/>
          <w:b/>
          <w:bCs/>
          <w:i w:val="0"/>
          <w:iCs w:val="0"/>
          <w:color w:val="auto"/>
          <w:sz w:val="24"/>
          <w:szCs w:val="24"/>
        </w:rPr>
        <w:fldChar w:fldCharType="separate"/>
      </w:r>
      <w:r w:rsidR="005C4791">
        <w:rPr>
          <w:rFonts w:ascii="Arial" w:hAnsi="Arial" w:cs="Arial"/>
          <w:b/>
          <w:bCs/>
          <w:i w:val="0"/>
          <w:iCs w:val="0"/>
          <w:noProof/>
          <w:color w:val="auto"/>
          <w:sz w:val="24"/>
          <w:szCs w:val="24"/>
        </w:rPr>
        <w:t>16</w:t>
      </w:r>
      <w:r w:rsidRPr="001F4B37">
        <w:rPr>
          <w:rFonts w:ascii="Arial" w:hAnsi="Arial" w:cs="Arial"/>
          <w:b/>
          <w:bCs/>
          <w:i w:val="0"/>
          <w:iCs w:val="0"/>
          <w:color w:val="auto"/>
          <w:sz w:val="24"/>
          <w:szCs w:val="24"/>
        </w:rPr>
        <w:fldChar w:fldCharType="end"/>
      </w:r>
      <w:bookmarkEnd w:id="97"/>
      <w:r w:rsidRPr="001F4B37">
        <w:rPr>
          <w:rFonts w:ascii="Arial" w:hAnsi="Arial" w:cs="Arial"/>
          <w:b/>
          <w:bCs/>
          <w:i w:val="0"/>
          <w:iCs w:val="0"/>
          <w:color w:val="auto"/>
          <w:sz w:val="24"/>
          <w:szCs w:val="24"/>
        </w:rPr>
        <w:t xml:space="preserve">: </w:t>
      </w:r>
      <w:r w:rsidR="00BE68EB" w:rsidRPr="001F4B37">
        <w:rPr>
          <w:rFonts w:ascii="Arial" w:hAnsi="Arial" w:cs="Arial"/>
          <w:b/>
          <w:bCs/>
          <w:i w:val="0"/>
          <w:iCs w:val="0"/>
          <w:color w:val="auto"/>
          <w:sz w:val="24"/>
          <w:szCs w:val="24"/>
        </w:rPr>
        <w:t>Water absorption</w:t>
      </w:r>
      <w:r w:rsidR="008663E2" w:rsidRPr="001F4B37">
        <w:rPr>
          <w:rFonts w:ascii="Arial" w:hAnsi="Arial" w:cs="Arial"/>
          <w:b/>
          <w:bCs/>
          <w:i w:val="0"/>
          <w:iCs w:val="0"/>
          <w:color w:val="auto"/>
          <w:sz w:val="24"/>
          <w:szCs w:val="24"/>
        </w:rPr>
        <w:t xml:space="preserve"> </w:t>
      </w:r>
      <w:r w:rsidR="008663E2" w:rsidRPr="00A16990">
        <w:rPr>
          <w:rFonts w:ascii="Arial" w:hAnsi="Arial" w:cs="Arial"/>
          <w:b/>
          <w:bCs/>
          <w:i w:val="0"/>
          <w:iCs w:val="0"/>
          <w:color w:val="auto"/>
          <w:sz w:val="24"/>
          <w:szCs w:val="24"/>
        </w:rPr>
        <w:t>of</w:t>
      </w:r>
      <w:r w:rsidR="008663E2" w:rsidRPr="003B7652">
        <w:rPr>
          <w:rFonts w:ascii="Arial" w:hAnsi="Arial" w:cs="Arial"/>
          <w:b/>
          <w:bCs/>
          <w:i w:val="0"/>
          <w:iCs w:val="0"/>
          <w:color w:val="auto"/>
          <w:sz w:val="24"/>
          <w:szCs w:val="24"/>
        </w:rPr>
        <w:t xml:space="preserve"> 40 </w:t>
      </w:r>
      <w:r w:rsidR="008663E2">
        <w:rPr>
          <w:rFonts w:ascii="Arial" w:hAnsi="Arial" w:cs="Arial"/>
          <w:b/>
          <w:bCs/>
          <w:i w:val="0"/>
          <w:iCs w:val="0"/>
          <w:color w:val="auto"/>
          <w:sz w:val="24"/>
          <w:szCs w:val="24"/>
        </w:rPr>
        <w:t>k</w:t>
      </w:r>
      <w:r w:rsidR="008663E2" w:rsidRPr="003B7652">
        <w:rPr>
          <w:rFonts w:ascii="Arial" w:hAnsi="Arial" w:cs="Arial"/>
          <w:b/>
          <w:bCs/>
          <w:i w:val="0"/>
          <w:iCs w:val="0"/>
          <w:color w:val="auto"/>
          <w:sz w:val="24"/>
          <w:szCs w:val="24"/>
        </w:rPr>
        <w:t>Da 5</w:t>
      </w:r>
      <w:r w:rsidR="0056545C">
        <w:rPr>
          <w:rFonts w:ascii="Arial" w:hAnsi="Arial" w:cs="Arial"/>
          <w:b/>
          <w:bCs/>
          <w:i w:val="0"/>
          <w:iCs w:val="0"/>
          <w:color w:val="auto"/>
          <w:sz w:val="24"/>
          <w:szCs w:val="24"/>
        </w:rPr>
        <w:t xml:space="preserve"> </w:t>
      </w:r>
      <w:r w:rsidR="008663E2">
        <w:rPr>
          <w:rFonts w:ascii="Arial" w:hAnsi="Arial" w:cs="Arial"/>
          <w:b/>
          <w:bCs/>
          <w:i w:val="0"/>
          <w:iCs w:val="0"/>
          <w:color w:val="auto"/>
          <w:sz w:val="24"/>
          <w:szCs w:val="24"/>
        </w:rPr>
        <w:t>wt</w:t>
      </w:r>
      <w:r w:rsidR="008663E2" w:rsidRPr="003B7652">
        <w:rPr>
          <w:rFonts w:ascii="Arial" w:hAnsi="Arial" w:cs="Arial"/>
          <w:b/>
          <w:bCs/>
          <w:i w:val="0"/>
          <w:iCs w:val="0"/>
          <w:color w:val="auto"/>
          <w:sz w:val="24"/>
          <w:szCs w:val="24"/>
        </w:rPr>
        <w:t>%, 7.5</w:t>
      </w:r>
      <w:r w:rsidR="0056545C">
        <w:rPr>
          <w:rFonts w:ascii="Arial" w:hAnsi="Arial" w:cs="Arial"/>
          <w:b/>
          <w:bCs/>
          <w:i w:val="0"/>
          <w:iCs w:val="0"/>
          <w:color w:val="auto"/>
          <w:sz w:val="24"/>
          <w:szCs w:val="24"/>
        </w:rPr>
        <w:t xml:space="preserve"> </w:t>
      </w:r>
      <w:r w:rsidR="008663E2">
        <w:rPr>
          <w:rFonts w:ascii="Arial" w:hAnsi="Arial" w:cs="Arial"/>
          <w:b/>
          <w:bCs/>
          <w:i w:val="0"/>
          <w:iCs w:val="0"/>
          <w:color w:val="auto"/>
          <w:sz w:val="24"/>
          <w:szCs w:val="24"/>
        </w:rPr>
        <w:t>wt</w:t>
      </w:r>
      <w:r w:rsidR="008663E2" w:rsidRPr="003B7652">
        <w:rPr>
          <w:rFonts w:ascii="Arial" w:hAnsi="Arial" w:cs="Arial"/>
          <w:b/>
          <w:bCs/>
          <w:i w:val="0"/>
          <w:iCs w:val="0"/>
          <w:color w:val="auto"/>
          <w:sz w:val="24"/>
          <w:szCs w:val="24"/>
        </w:rPr>
        <w:t>%. and 10</w:t>
      </w:r>
      <w:r w:rsidR="0056545C">
        <w:rPr>
          <w:rFonts w:ascii="Arial" w:hAnsi="Arial" w:cs="Arial"/>
          <w:b/>
          <w:bCs/>
          <w:i w:val="0"/>
          <w:iCs w:val="0"/>
          <w:color w:val="auto"/>
          <w:sz w:val="24"/>
          <w:szCs w:val="24"/>
        </w:rPr>
        <w:t xml:space="preserve"> </w:t>
      </w:r>
      <w:r w:rsidR="008663E2">
        <w:rPr>
          <w:rFonts w:ascii="Arial" w:hAnsi="Arial" w:cs="Arial"/>
          <w:b/>
          <w:bCs/>
          <w:i w:val="0"/>
          <w:iCs w:val="0"/>
          <w:color w:val="auto"/>
          <w:sz w:val="24"/>
          <w:szCs w:val="24"/>
        </w:rPr>
        <w:t>wt</w:t>
      </w:r>
      <w:r w:rsidR="008663E2" w:rsidRPr="003B7652">
        <w:rPr>
          <w:rFonts w:ascii="Arial" w:hAnsi="Arial" w:cs="Arial"/>
          <w:b/>
          <w:bCs/>
          <w:i w:val="0"/>
          <w:iCs w:val="0"/>
          <w:color w:val="auto"/>
          <w:sz w:val="24"/>
          <w:szCs w:val="24"/>
        </w:rPr>
        <w:t>% PHA hydrogels (n=12) with absence or presence of tantalum powder (50 mg/mL).</w:t>
      </w:r>
      <w:r w:rsidR="008663E2" w:rsidRPr="003B7652">
        <w:rPr>
          <w:color w:val="auto"/>
        </w:rPr>
        <w:t xml:space="preserve"> </w:t>
      </w:r>
      <w:r w:rsidR="008663E2" w:rsidRPr="006C5C5E">
        <w:rPr>
          <w:rFonts w:ascii="Arial" w:hAnsi="Arial" w:cs="Arial"/>
          <w:i w:val="0"/>
          <w:iCs w:val="0"/>
          <w:color w:val="auto"/>
          <w:sz w:val="24"/>
          <w:szCs w:val="24"/>
        </w:rPr>
        <w:t>(P)HA=(</w:t>
      </w:r>
      <w:r w:rsidR="008663E2">
        <w:rPr>
          <w:rFonts w:ascii="Arial" w:hAnsi="Arial" w:cs="Arial"/>
          <w:i w:val="0"/>
          <w:iCs w:val="0"/>
          <w:color w:val="auto"/>
          <w:sz w:val="24"/>
          <w:szCs w:val="24"/>
        </w:rPr>
        <w:t>Pentenoate</w:t>
      </w:r>
      <w:r w:rsidR="008663E2" w:rsidRPr="006C5C5E">
        <w:rPr>
          <w:rFonts w:ascii="Arial" w:hAnsi="Arial" w:cs="Arial"/>
          <w:i w:val="0"/>
          <w:iCs w:val="0"/>
          <w:color w:val="auto"/>
          <w:sz w:val="24"/>
          <w:szCs w:val="24"/>
        </w:rPr>
        <w:t xml:space="preserve">) Hyaluronic acid, T= tantalum powder. **: </w:t>
      </w:r>
      <w:r w:rsidR="00035FE7">
        <w:rPr>
          <w:rFonts w:ascii="Arial" w:hAnsi="Arial" w:cs="Arial"/>
          <w:i w:val="0"/>
          <w:iCs w:val="0"/>
          <w:color w:val="auto"/>
          <w:sz w:val="24"/>
          <w:szCs w:val="24"/>
        </w:rPr>
        <w:t>p</w:t>
      </w:r>
      <w:r w:rsidR="008663E2" w:rsidRPr="006C5C5E">
        <w:rPr>
          <w:rFonts w:ascii="Arial" w:hAnsi="Arial" w:cs="Arial"/>
          <w:i w:val="0"/>
          <w:iCs w:val="0"/>
          <w:color w:val="auto"/>
          <w:sz w:val="24"/>
          <w:szCs w:val="24"/>
        </w:rPr>
        <w:t xml:space="preserve"> &lt; 0.01.   </w:t>
      </w:r>
      <w:r w:rsidR="008663E2">
        <w:rPr>
          <w:rFonts w:ascii="Arial" w:hAnsi="Arial" w:cs="Arial"/>
          <w:i w:val="0"/>
          <w:iCs w:val="0"/>
          <w:color w:val="auto"/>
          <w:sz w:val="24"/>
          <w:szCs w:val="24"/>
        </w:rPr>
        <w:t>Water a</w:t>
      </w:r>
      <w:r w:rsidR="008663E2" w:rsidRPr="006C5C5E">
        <w:rPr>
          <w:rFonts w:ascii="Arial" w:hAnsi="Arial" w:cs="Arial"/>
          <w:i w:val="0"/>
          <w:iCs w:val="0"/>
          <w:color w:val="auto"/>
          <w:sz w:val="24"/>
          <w:szCs w:val="24"/>
        </w:rPr>
        <w:t>bsorption ([swollen weight mg/fabricated weight mg]) of 5</w:t>
      </w:r>
      <w:r w:rsidR="0056545C">
        <w:rPr>
          <w:rFonts w:ascii="Arial" w:hAnsi="Arial" w:cs="Arial"/>
          <w:i w:val="0"/>
          <w:iCs w:val="0"/>
          <w:color w:val="auto"/>
          <w:sz w:val="24"/>
          <w:szCs w:val="24"/>
        </w:rPr>
        <w:t xml:space="preserve"> </w:t>
      </w:r>
      <w:r w:rsidR="008663E2">
        <w:rPr>
          <w:rFonts w:ascii="Arial" w:hAnsi="Arial" w:cs="Arial"/>
          <w:i w:val="0"/>
          <w:iCs w:val="0"/>
          <w:color w:val="auto"/>
          <w:sz w:val="24"/>
          <w:szCs w:val="24"/>
        </w:rPr>
        <w:t>wt</w:t>
      </w:r>
      <w:r w:rsidR="008663E2" w:rsidRPr="006C5C5E">
        <w:rPr>
          <w:rFonts w:ascii="Arial" w:hAnsi="Arial" w:cs="Arial"/>
          <w:i w:val="0"/>
          <w:iCs w:val="0"/>
          <w:color w:val="auto"/>
          <w:sz w:val="24"/>
          <w:szCs w:val="24"/>
        </w:rPr>
        <w:t>%, 7.5</w:t>
      </w:r>
      <w:r w:rsidR="0056545C">
        <w:rPr>
          <w:rFonts w:ascii="Arial" w:hAnsi="Arial" w:cs="Arial"/>
          <w:i w:val="0"/>
          <w:iCs w:val="0"/>
          <w:color w:val="auto"/>
          <w:sz w:val="24"/>
          <w:szCs w:val="24"/>
        </w:rPr>
        <w:t xml:space="preserve"> </w:t>
      </w:r>
      <w:r w:rsidR="008663E2">
        <w:rPr>
          <w:rFonts w:ascii="Arial" w:hAnsi="Arial" w:cs="Arial"/>
          <w:i w:val="0"/>
          <w:iCs w:val="0"/>
          <w:color w:val="auto"/>
          <w:sz w:val="24"/>
          <w:szCs w:val="24"/>
        </w:rPr>
        <w:t>wt</w:t>
      </w:r>
      <w:r w:rsidR="008663E2" w:rsidRPr="006C5C5E">
        <w:rPr>
          <w:rFonts w:ascii="Arial" w:hAnsi="Arial" w:cs="Arial"/>
          <w:i w:val="0"/>
          <w:iCs w:val="0"/>
          <w:color w:val="auto"/>
          <w:sz w:val="24"/>
          <w:szCs w:val="24"/>
        </w:rPr>
        <w:t>%, and 10</w:t>
      </w:r>
      <w:r w:rsidR="0056545C">
        <w:rPr>
          <w:rFonts w:ascii="Arial" w:hAnsi="Arial" w:cs="Arial"/>
          <w:i w:val="0"/>
          <w:iCs w:val="0"/>
          <w:color w:val="auto"/>
          <w:sz w:val="24"/>
          <w:szCs w:val="24"/>
        </w:rPr>
        <w:t xml:space="preserve"> </w:t>
      </w:r>
      <w:r w:rsidR="008663E2">
        <w:rPr>
          <w:rFonts w:ascii="Arial" w:hAnsi="Arial" w:cs="Arial"/>
          <w:i w:val="0"/>
          <w:iCs w:val="0"/>
          <w:color w:val="auto"/>
          <w:sz w:val="24"/>
          <w:szCs w:val="24"/>
        </w:rPr>
        <w:t>wt</w:t>
      </w:r>
      <w:r w:rsidR="008663E2" w:rsidRPr="006C5C5E">
        <w:rPr>
          <w:rFonts w:ascii="Arial" w:hAnsi="Arial" w:cs="Arial"/>
          <w:i w:val="0"/>
          <w:iCs w:val="0"/>
          <w:color w:val="auto"/>
          <w:sz w:val="24"/>
          <w:szCs w:val="24"/>
        </w:rPr>
        <w:t>% percent weight PHA hydrogels with and without tantalum exhibited increasing moduli with increasing weight percentages.</w:t>
      </w:r>
      <w:bookmarkEnd w:id="98"/>
      <w:r w:rsidR="008663E2" w:rsidRPr="006C5C5E">
        <w:rPr>
          <w:rFonts w:ascii="Arial" w:hAnsi="Arial" w:cs="Arial"/>
          <w:i w:val="0"/>
          <w:iCs w:val="0"/>
          <w:color w:val="auto"/>
          <w:sz w:val="24"/>
          <w:szCs w:val="24"/>
        </w:rPr>
        <w:t xml:space="preserve"> </w:t>
      </w:r>
    </w:p>
    <w:p w14:paraId="322722E4" w14:textId="04022283" w:rsidR="004A6AD4" w:rsidRDefault="00B44F47" w:rsidP="009034F3">
      <w:pPr>
        <w:spacing w:line="480" w:lineRule="auto"/>
        <w:ind w:firstLine="360"/>
        <w:rPr>
          <w:rFonts w:ascii="Arial" w:hAnsi="Arial" w:cs="Arial"/>
          <w:sz w:val="24"/>
          <w:szCs w:val="24"/>
        </w:rPr>
      </w:pPr>
      <w:r>
        <w:rPr>
          <w:rFonts w:ascii="Arial" w:hAnsi="Arial" w:cs="Arial"/>
          <w:sz w:val="24"/>
          <w:szCs w:val="24"/>
        </w:rPr>
        <w:t xml:space="preserve">Water absorption values for the tantalum groups were respectively 1.9 ± 0.27, 2.5 ± 0.35, and 2.5 ± 0.13 for 5 wt%, 7.5 wt%, and 10 wt% PHA hydrogels with 50 mg of Ta per mL of hydrogel. No significant </w:t>
      </w:r>
      <w:r>
        <w:rPr>
          <w:rFonts w:ascii="Arial" w:hAnsi="Arial" w:cs="Arial"/>
          <w:sz w:val="24"/>
          <w:szCs w:val="24"/>
        </w:rPr>
        <w:lastRenderedPageBreak/>
        <w:t>difference was observed between the tantalum and no tantalum groups, except for 7.5 wt% hydrogels, where the tantalum group was 1.5 times more absorbent.</w:t>
      </w:r>
    </w:p>
    <w:p w14:paraId="2E76EFE8" w14:textId="0A99810A" w:rsidR="00213976" w:rsidRDefault="009034F3" w:rsidP="00525779">
      <w:pPr>
        <w:spacing w:line="480" w:lineRule="auto"/>
        <w:ind w:firstLine="360"/>
        <w:jc w:val="both"/>
      </w:pPr>
      <w:r>
        <w:rPr>
          <w:rFonts w:ascii="Arial" w:hAnsi="Arial" w:cs="Arial"/>
          <w:sz w:val="24"/>
          <w:szCs w:val="24"/>
        </w:rPr>
        <w:t>The s</w:t>
      </w:r>
      <w:r w:rsidRPr="006A6A5F">
        <w:rPr>
          <w:rFonts w:ascii="Arial" w:hAnsi="Arial" w:cs="Arial"/>
          <w:sz w:val="24"/>
          <w:szCs w:val="24"/>
        </w:rPr>
        <w:t>welling ratio ([swollen weight mg/dry weight mg) of 5</w:t>
      </w:r>
      <w:r w:rsidR="00903D7D">
        <w:rPr>
          <w:rFonts w:ascii="Arial" w:hAnsi="Arial" w:cs="Arial"/>
          <w:sz w:val="24"/>
          <w:szCs w:val="24"/>
        </w:rPr>
        <w:t xml:space="preserve"> </w:t>
      </w:r>
      <w:r>
        <w:rPr>
          <w:rFonts w:ascii="Arial" w:hAnsi="Arial" w:cs="Arial"/>
          <w:sz w:val="24"/>
          <w:szCs w:val="24"/>
        </w:rPr>
        <w:t>wt%</w:t>
      </w:r>
      <w:r w:rsidRPr="006A6A5F">
        <w:rPr>
          <w:rFonts w:ascii="Arial" w:hAnsi="Arial" w:cs="Arial"/>
          <w:sz w:val="24"/>
          <w:szCs w:val="24"/>
        </w:rPr>
        <w:t>, 7.5</w:t>
      </w:r>
      <w:r w:rsidR="00903D7D">
        <w:rPr>
          <w:rFonts w:ascii="Arial" w:hAnsi="Arial" w:cs="Arial"/>
          <w:sz w:val="24"/>
          <w:szCs w:val="24"/>
        </w:rPr>
        <w:t xml:space="preserve"> </w:t>
      </w:r>
      <w:r>
        <w:rPr>
          <w:rFonts w:ascii="Arial" w:hAnsi="Arial" w:cs="Arial"/>
          <w:sz w:val="24"/>
          <w:szCs w:val="24"/>
        </w:rPr>
        <w:t>wt%,</w:t>
      </w:r>
      <w:r w:rsidRPr="006A6A5F">
        <w:rPr>
          <w:rFonts w:ascii="Arial" w:hAnsi="Arial" w:cs="Arial"/>
          <w:sz w:val="24"/>
          <w:szCs w:val="24"/>
        </w:rPr>
        <w:t xml:space="preserve"> and 10</w:t>
      </w:r>
      <w:r w:rsidR="00903D7D">
        <w:rPr>
          <w:rFonts w:ascii="Arial" w:hAnsi="Arial" w:cs="Arial"/>
          <w:sz w:val="24"/>
          <w:szCs w:val="24"/>
        </w:rPr>
        <w:t xml:space="preserve"> </w:t>
      </w:r>
      <w:r>
        <w:rPr>
          <w:rFonts w:ascii="Arial" w:hAnsi="Arial" w:cs="Arial"/>
          <w:sz w:val="24"/>
          <w:szCs w:val="24"/>
        </w:rPr>
        <w:t>wt</w:t>
      </w:r>
      <w:r w:rsidRPr="006A6A5F">
        <w:rPr>
          <w:rFonts w:ascii="Arial" w:hAnsi="Arial" w:cs="Arial"/>
          <w:sz w:val="24"/>
          <w:szCs w:val="24"/>
        </w:rPr>
        <w:t>% PHA hydrogels was inversely proportional to weight percent in the no tantalum group, but not significantly</w:t>
      </w:r>
      <w:r>
        <w:rPr>
          <w:rFonts w:ascii="Arial" w:hAnsi="Arial" w:cs="Arial"/>
          <w:sz w:val="24"/>
          <w:szCs w:val="24"/>
        </w:rPr>
        <w:t xml:space="preserve"> (</w:t>
      </w:r>
      <w:r w:rsidR="0021177A" w:rsidRPr="0021177A">
        <w:rPr>
          <w:rFonts w:ascii="Arial" w:hAnsi="Arial" w:cs="Arial"/>
          <w:sz w:val="24"/>
          <w:szCs w:val="24"/>
        </w:rPr>
        <w:fldChar w:fldCharType="begin"/>
      </w:r>
      <w:r w:rsidR="0021177A" w:rsidRPr="0021177A">
        <w:rPr>
          <w:rFonts w:ascii="Arial" w:hAnsi="Arial" w:cs="Arial"/>
          <w:sz w:val="24"/>
          <w:szCs w:val="24"/>
        </w:rPr>
        <w:instrText xml:space="preserve"> REF _Ref105537756 \h  \* MERGEFORMAT </w:instrText>
      </w:r>
      <w:r w:rsidR="0021177A" w:rsidRPr="0021177A">
        <w:rPr>
          <w:rFonts w:ascii="Arial" w:hAnsi="Arial" w:cs="Arial"/>
          <w:sz w:val="24"/>
          <w:szCs w:val="24"/>
        </w:rPr>
      </w:r>
      <w:r w:rsidR="0021177A" w:rsidRPr="0021177A">
        <w:rPr>
          <w:rFonts w:ascii="Arial" w:hAnsi="Arial" w:cs="Arial"/>
          <w:sz w:val="24"/>
          <w:szCs w:val="24"/>
        </w:rPr>
        <w:fldChar w:fldCharType="separate"/>
      </w:r>
      <w:r w:rsidR="005C4791" w:rsidRPr="005C4791">
        <w:rPr>
          <w:rFonts w:ascii="Arial" w:hAnsi="Arial" w:cs="Arial"/>
          <w:sz w:val="24"/>
          <w:szCs w:val="24"/>
        </w:rPr>
        <w:t xml:space="preserve">Figure </w:t>
      </w:r>
      <w:r w:rsidR="005C4791" w:rsidRPr="005C4791">
        <w:rPr>
          <w:rFonts w:ascii="Arial" w:hAnsi="Arial" w:cs="Arial"/>
          <w:noProof/>
          <w:sz w:val="24"/>
          <w:szCs w:val="24"/>
        </w:rPr>
        <w:t>17</w:t>
      </w:r>
      <w:r w:rsidR="0021177A" w:rsidRPr="0021177A">
        <w:rPr>
          <w:rFonts w:ascii="Arial" w:hAnsi="Arial" w:cs="Arial"/>
          <w:sz w:val="24"/>
          <w:szCs w:val="24"/>
        </w:rPr>
        <w:fldChar w:fldCharType="end"/>
      </w:r>
      <w:r>
        <w:rPr>
          <w:rFonts w:ascii="Arial" w:hAnsi="Arial" w:cs="Arial"/>
          <w:sz w:val="24"/>
          <w:szCs w:val="24"/>
        </w:rPr>
        <w:t>)</w:t>
      </w:r>
      <w:r w:rsidRPr="006A6A5F">
        <w:rPr>
          <w:rFonts w:ascii="Arial" w:hAnsi="Arial" w:cs="Arial"/>
          <w:sz w:val="24"/>
          <w:szCs w:val="24"/>
        </w:rPr>
        <w:t>.</w:t>
      </w:r>
      <w:r>
        <w:rPr>
          <w:rFonts w:ascii="Arial" w:hAnsi="Arial" w:cs="Arial"/>
          <w:sz w:val="24"/>
          <w:szCs w:val="24"/>
        </w:rPr>
        <w:t xml:space="preserve"> The ratios were </w:t>
      </w:r>
      <w:r w:rsidR="0006792E">
        <w:rPr>
          <w:rFonts w:ascii="Arial" w:hAnsi="Arial" w:cs="Arial"/>
          <w:sz w:val="24"/>
          <w:szCs w:val="24"/>
        </w:rPr>
        <w:t>33</w:t>
      </w:r>
      <w:r w:rsidR="008B6504">
        <w:rPr>
          <w:rFonts w:ascii="Arial" w:hAnsi="Arial" w:cs="Arial"/>
          <w:sz w:val="24"/>
          <w:szCs w:val="24"/>
        </w:rPr>
        <w:t xml:space="preserve"> ± 8%</w:t>
      </w:r>
      <w:r>
        <w:rPr>
          <w:rFonts w:ascii="Arial" w:hAnsi="Arial" w:cs="Arial"/>
          <w:sz w:val="24"/>
          <w:szCs w:val="24"/>
        </w:rPr>
        <w:t>, 2</w:t>
      </w:r>
      <w:r w:rsidR="0006792E">
        <w:rPr>
          <w:rFonts w:ascii="Arial" w:hAnsi="Arial" w:cs="Arial"/>
          <w:sz w:val="24"/>
          <w:szCs w:val="24"/>
        </w:rPr>
        <w:t>3</w:t>
      </w:r>
      <w:r w:rsidR="008B6504">
        <w:rPr>
          <w:rFonts w:ascii="Arial" w:hAnsi="Arial" w:cs="Arial"/>
          <w:sz w:val="24"/>
          <w:szCs w:val="24"/>
        </w:rPr>
        <w:t xml:space="preserve"> ± </w:t>
      </w:r>
      <w:r w:rsidR="00B43B5F">
        <w:rPr>
          <w:rFonts w:ascii="Arial" w:hAnsi="Arial" w:cs="Arial"/>
          <w:sz w:val="24"/>
          <w:szCs w:val="24"/>
        </w:rPr>
        <w:t>5</w:t>
      </w:r>
      <w:r w:rsidR="008B6504">
        <w:rPr>
          <w:rFonts w:ascii="Arial" w:hAnsi="Arial" w:cs="Arial"/>
          <w:sz w:val="24"/>
          <w:szCs w:val="24"/>
        </w:rPr>
        <w:t>%</w:t>
      </w:r>
      <w:r>
        <w:rPr>
          <w:rFonts w:ascii="Arial" w:hAnsi="Arial" w:cs="Arial"/>
          <w:sz w:val="24"/>
          <w:szCs w:val="24"/>
        </w:rPr>
        <w:t xml:space="preserve">, and </w:t>
      </w:r>
      <w:r w:rsidR="0006792E">
        <w:rPr>
          <w:rFonts w:ascii="Arial" w:hAnsi="Arial" w:cs="Arial"/>
          <w:sz w:val="24"/>
          <w:szCs w:val="24"/>
        </w:rPr>
        <w:t>20</w:t>
      </w:r>
      <w:r w:rsidR="008B6504">
        <w:rPr>
          <w:rFonts w:ascii="Arial" w:hAnsi="Arial" w:cs="Arial"/>
          <w:sz w:val="24"/>
          <w:szCs w:val="24"/>
        </w:rPr>
        <w:t xml:space="preserve"> ± 4</w:t>
      </w:r>
      <w:r>
        <w:rPr>
          <w:rFonts w:ascii="Arial" w:hAnsi="Arial" w:cs="Arial"/>
          <w:sz w:val="24"/>
          <w:szCs w:val="24"/>
        </w:rPr>
        <w:t>% for 5</w:t>
      </w:r>
      <w:r w:rsidR="00903D7D">
        <w:rPr>
          <w:rFonts w:ascii="Arial" w:hAnsi="Arial" w:cs="Arial"/>
          <w:sz w:val="24"/>
          <w:szCs w:val="24"/>
        </w:rPr>
        <w:t xml:space="preserve"> </w:t>
      </w:r>
      <w:r>
        <w:rPr>
          <w:rFonts w:ascii="Arial" w:hAnsi="Arial" w:cs="Arial"/>
          <w:sz w:val="24"/>
          <w:szCs w:val="24"/>
        </w:rPr>
        <w:t>wt%, 7.5</w:t>
      </w:r>
      <w:r w:rsidR="00903D7D">
        <w:rPr>
          <w:rFonts w:ascii="Arial" w:hAnsi="Arial" w:cs="Arial"/>
          <w:sz w:val="24"/>
          <w:szCs w:val="24"/>
        </w:rPr>
        <w:t xml:space="preserve"> </w:t>
      </w:r>
      <w:r>
        <w:rPr>
          <w:rFonts w:ascii="Arial" w:hAnsi="Arial" w:cs="Arial"/>
          <w:sz w:val="24"/>
          <w:szCs w:val="24"/>
        </w:rPr>
        <w:t>wt%, and 10</w:t>
      </w:r>
      <w:r w:rsidR="00903D7D">
        <w:rPr>
          <w:rFonts w:ascii="Arial" w:hAnsi="Arial" w:cs="Arial"/>
          <w:sz w:val="24"/>
          <w:szCs w:val="24"/>
        </w:rPr>
        <w:t xml:space="preserve"> </w:t>
      </w:r>
      <w:r>
        <w:rPr>
          <w:rFonts w:ascii="Arial" w:hAnsi="Arial" w:cs="Arial"/>
          <w:sz w:val="24"/>
          <w:szCs w:val="24"/>
        </w:rPr>
        <w:t>wt% PHA hydrogels. Similarly, the s</w:t>
      </w:r>
      <w:r w:rsidRPr="006A6A5F">
        <w:rPr>
          <w:rFonts w:ascii="Arial" w:hAnsi="Arial" w:cs="Arial"/>
          <w:sz w:val="24"/>
          <w:szCs w:val="24"/>
        </w:rPr>
        <w:t>welling ratio of 5</w:t>
      </w:r>
      <w:r w:rsidR="00903D7D">
        <w:rPr>
          <w:rFonts w:ascii="Arial" w:hAnsi="Arial" w:cs="Arial"/>
          <w:sz w:val="24"/>
          <w:szCs w:val="24"/>
        </w:rPr>
        <w:t xml:space="preserve"> </w:t>
      </w:r>
      <w:r>
        <w:rPr>
          <w:rFonts w:ascii="Arial" w:hAnsi="Arial" w:cs="Arial"/>
          <w:sz w:val="24"/>
          <w:szCs w:val="24"/>
        </w:rPr>
        <w:t>wt%</w:t>
      </w:r>
      <w:r w:rsidRPr="006A6A5F">
        <w:rPr>
          <w:rFonts w:ascii="Arial" w:hAnsi="Arial" w:cs="Arial"/>
          <w:sz w:val="24"/>
          <w:szCs w:val="24"/>
        </w:rPr>
        <w:t>, 7.5</w:t>
      </w:r>
      <w:r w:rsidR="00903D7D">
        <w:rPr>
          <w:rFonts w:ascii="Arial" w:hAnsi="Arial" w:cs="Arial"/>
          <w:sz w:val="24"/>
          <w:szCs w:val="24"/>
        </w:rPr>
        <w:t xml:space="preserve"> </w:t>
      </w:r>
      <w:r>
        <w:rPr>
          <w:rFonts w:ascii="Arial" w:hAnsi="Arial" w:cs="Arial"/>
          <w:sz w:val="24"/>
          <w:szCs w:val="24"/>
        </w:rPr>
        <w:t>wt%,</w:t>
      </w:r>
      <w:r w:rsidRPr="006A6A5F">
        <w:rPr>
          <w:rFonts w:ascii="Arial" w:hAnsi="Arial" w:cs="Arial"/>
          <w:sz w:val="24"/>
          <w:szCs w:val="24"/>
        </w:rPr>
        <w:t xml:space="preserve"> and 10</w:t>
      </w:r>
      <w:r w:rsidR="00903D7D">
        <w:rPr>
          <w:rFonts w:ascii="Arial" w:hAnsi="Arial" w:cs="Arial"/>
          <w:sz w:val="24"/>
          <w:szCs w:val="24"/>
        </w:rPr>
        <w:t xml:space="preserve"> </w:t>
      </w:r>
      <w:r>
        <w:rPr>
          <w:rFonts w:ascii="Arial" w:hAnsi="Arial" w:cs="Arial"/>
          <w:sz w:val="24"/>
          <w:szCs w:val="24"/>
        </w:rPr>
        <w:t>wt</w:t>
      </w:r>
      <w:r w:rsidRPr="006A6A5F">
        <w:rPr>
          <w:rFonts w:ascii="Arial" w:hAnsi="Arial" w:cs="Arial"/>
          <w:sz w:val="24"/>
          <w:szCs w:val="24"/>
        </w:rPr>
        <w:t>% PHA hydrogels</w:t>
      </w:r>
      <w:r>
        <w:rPr>
          <w:rFonts w:ascii="Arial" w:hAnsi="Arial" w:cs="Arial"/>
          <w:sz w:val="24"/>
          <w:szCs w:val="24"/>
        </w:rPr>
        <w:t xml:space="preserve"> with 50 mg of Ta per mL hydrogel,</w:t>
      </w:r>
      <w:r w:rsidRPr="006A6A5F">
        <w:rPr>
          <w:rFonts w:ascii="Arial" w:hAnsi="Arial" w:cs="Arial"/>
          <w:sz w:val="24"/>
          <w:szCs w:val="24"/>
        </w:rPr>
        <w:t xml:space="preserve"> was inversely proportional to weight percent.</w:t>
      </w:r>
      <w:r>
        <w:rPr>
          <w:rFonts w:ascii="Arial" w:hAnsi="Arial" w:cs="Arial"/>
          <w:sz w:val="24"/>
          <w:szCs w:val="24"/>
        </w:rPr>
        <w:t xml:space="preserve"> The ratios were 2</w:t>
      </w:r>
      <w:r w:rsidR="0006792E">
        <w:rPr>
          <w:rFonts w:ascii="Arial" w:hAnsi="Arial" w:cs="Arial"/>
          <w:sz w:val="24"/>
          <w:szCs w:val="24"/>
        </w:rPr>
        <w:t>5</w:t>
      </w:r>
      <w:r w:rsidR="008B6504">
        <w:rPr>
          <w:rFonts w:ascii="Arial" w:hAnsi="Arial" w:cs="Arial"/>
          <w:sz w:val="24"/>
          <w:szCs w:val="24"/>
        </w:rPr>
        <w:t xml:space="preserve"> ± 5</w:t>
      </w:r>
      <w:r w:rsidR="004A6AD4">
        <w:rPr>
          <w:rFonts w:ascii="Arial" w:hAnsi="Arial" w:cs="Arial"/>
          <w:sz w:val="24"/>
          <w:szCs w:val="24"/>
        </w:rPr>
        <w:t>%</w:t>
      </w:r>
      <w:r>
        <w:rPr>
          <w:rFonts w:ascii="Arial" w:hAnsi="Arial" w:cs="Arial"/>
          <w:sz w:val="24"/>
          <w:szCs w:val="24"/>
        </w:rPr>
        <w:t>, 2</w:t>
      </w:r>
      <w:r w:rsidR="0006792E">
        <w:rPr>
          <w:rFonts w:ascii="Arial" w:hAnsi="Arial" w:cs="Arial"/>
          <w:sz w:val="24"/>
          <w:szCs w:val="24"/>
        </w:rPr>
        <w:t>3</w:t>
      </w:r>
      <w:r w:rsidR="008B6504">
        <w:rPr>
          <w:rFonts w:ascii="Arial" w:hAnsi="Arial" w:cs="Arial"/>
          <w:sz w:val="24"/>
          <w:szCs w:val="24"/>
        </w:rPr>
        <w:t xml:space="preserve"> ± 4</w:t>
      </w:r>
      <w:r w:rsidR="004A6AD4">
        <w:rPr>
          <w:rFonts w:ascii="Arial" w:hAnsi="Arial" w:cs="Arial"/>
          <w:sz w:val="24"/>
          <w:szCs w:val="24"/>
        </w:rPr>
        <w:t>%</w:t>
      </w:r>
      <w:r>
        <w:rPr>
          <w:rFonts w:ascii="Arial" w:hAnsi="Arial" w:cs="Arial"/>
          <w:sz w:val="24"/>
          <w:szCs w:val="24"/>
        </w:rPr>
        <w:t>, and 2</w:t>
      </w:r>
      <w:r w:rsidR="0006792E">
        <w:rPr>
          <w:rFonts w:ascii="Arial" w:hAnsi="Arial" w:cs="Arial"/>
          <w:sz w:val="24"/>
          <w:szCs w:val="24"/>
        </w:rPr>
        <w:t>3</w:t>
      </w:r>
      <w:r w:rsidR="008B6504">
        <w:rPr>
          <w:rFonts w:ascii="Arial" w:hAnsi="Arial" w:cs="Arial"/>
          <w:sz w:val="24"/>
          <w:szCs w:val="24"/>
        </w:rPr>
        <w:t xml:space="preserve"> ± 9</w:t>
      </w:r>
      <w:r>
        <w:rPr>
          <w:rFonts w:ascii="Arial" w:hAnsi="Arial" w:cs="Arial"/>
          <w:sz w:val="24"/>
          <w:szCs w:val="24"/>
        </w:rPr>
        <w:t>% for 5</w:t>
      </w:r>
      <w:r w:rsidR="00903D7D">
        <w:rPr>
          <w:rFonts w:ascii="Arial" w:hAnsi="Arial" w:cs="Arial"/>
          <w:sz w:val="24"/>
          <w:szCs w:val="24"/>
        </w:rPr>
        <w:t xml:space="preserve"> </w:t>
      </w:r>
      <w:r>
        <w:rPr>
          <w:rFonts w:ascii="Arial" w:hAnsi="Arial" w:cs="Arial"/>
          <w:sz w:val="24"/>
          <w:szCs w:val="24"/>
        </w:rPr>
        <w:t>wt%, 7.5</w:t>
      </w:r>
      <w:r w:rsidR="00903D7D">
        <w:rPr>
          <w:rFonts w:ascii="Arial" w:hAnsi="Arial" w:cs="Arial"/>
          <w:sz w:val="24"/>
          <w:szCs w:val="24"/>
        </w:rPr>
        <w:t xml:space="preserve"> </w:t>
      </w:r>
      <w:r>
        <w:rPr>
          <w:rFonts w:ascii="Arial" w:hAnsi="Arial" w:cs="Arial"/>
          <w:sz w:val="24"/>
          <w:szCs w:val="24"/>
        </w:rPr>
        <w:t>wt%, and 10</w:t>
      </w:r>
      <w:r w:rsidR="00903D7D">
        <w:rPr>
          <w:rFonts w:ascii="Arial" w:hAnsi="Arial" w:cs="Arial"/>
          <w:sz w:val="24"/>
          <w:szCs w:val="24"/>
        </w:rPr>
        <w:t xml:space="preserve"> </w:t>
      </w:r>
      <w:r>
        <w:rPr>
          <w:rFonts w:ascii="Arial" w:hAnsi="Arial" w:cs="Arial"/>
          <w:sz w:val="24"/>
          <w:szCs w:val="24"/>
        </w:rPr>
        <w:t>wt% PHA hydrogels.</w:t>
      </w:r>
      <w:r w:rsidDel="00A15FDF">
        <w:t xml:space="preserve"> </w:t>
      </w:r>
    </w:p>
    <w:p w14:paraId="278E4128" w14:textId="40F9F05A" w:rsidR="00F01C45" w:rsidRDefault="00B564A6" w:rsidP="009034F3">
      <w:pPr>
        <w:spacing w:line="480" w:lineRule="auto"/>
        <w:ind w:firstLine="360"/>
      </w:pPr>
      <w:r>
        <w:rPr>
          <w:rFonts w:ascii="Arial" w:hAnsi="Arial" w:cs="Arial"/>
          <w:noProof/>
          <w:sz w:val="24"/>
          <w:szCs w:val="24"/>
        </w:rPr>
        <mc:AlternateContent>
          <mc:Choice Requires="wps">
            <w:drawing>
              <wp:anchor distT="0" distB="0" distL="114300" distR="114300" simplePos="0" relativeHeight="251788288" behindDoc="0" locked="0" layoutInCell="1" allowOverlap="1" wp14:anchorId="68B17389" wp14:editId="3A48F1C0">
                <wp:simplePos x="0" y="0"/>
                <wp:positionH relativeFrom="column">
                  <wp:posOffset>1358265</wp:posOffset>
                </wp:positionH>
                <wp:positionV relativeFrom="paragraph">
                  <wp:posOffset>384175</wp:posOffset>
                </wp:positionV>
                <wp:extent cx="1409700" cy="9525"/>
                <wp:effectExtent l="0" t="0" r="19050" b="28575"/>
                <wp:wrapNone/>
                <wp:docPr id="199" name="Straight Connector 199"/>
                <wp:cNvGraphicFramePr/>
                <a:graphic xmlns:a="http://schemas.openxmlformats.org/drawingml/2006/main">
                  <a:graphicData uri="http://schemas.microsoft.com/office/word/2010/wordprocessingShape">
                    <wps:wsp>
                      <wps:cNvCnPr/>
                      <wps:spPr>
                        <a:xfrm>
                          <a:off x="0" y="0"/>
                          <a:ext cx="1409700" cy="9525"/>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xmlns:oel="http://schemas.microsoft.com/office/2019/extlst">
            <w:pict>
              <v:line w14:anchorId="75F88009" id="Straight Connector 199" o:spid="_x0000_s1026" style="position:absolute;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6.95pt,30.25pt" to="217.9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" strokecolor="black [3040]" strokeweight="1pt"/>
            </w:pict>
          </mc:Fallback>
        </mc:AlternateContent>
      </w:r>
      <w:r>
        <w:rPr>
          <w:rFonts w:ascii="Arial" w:hAnsi="Arial" w:cs="Arial"/>
          <w:noProof/>
          <w:sz w:val="24"/>
          <w:szCs w:val="24"/>
        </w:rPr>
        <mc:AlternateContent>
          <mc:Choice Requires="wps">
            <w:drawing>
              <wp:anchor distT="0" distB="0" distL="114300" distR="114300" simplePos="0" relativeHeight="251789312" behindDoc="0" locked="0" layoutInCell="1" allowOverlap="1" wp14:anchorId="722BBD8F" wp14:editId="44638DEF">
                <wp:simplePos x="0" y="0"/>
                <wp:positionH relativeFrom="column">
                  <wp:posOffset>1334770</wp:posOffset>
                </wp:positionH>
                <wp:positionV relativeFrom="paragraph">
                  <wp:posOffset>384810</wp:posOffset>
                </wp:positionV>
                <wp:extent cx="4445" cy="328295"/>
                <wp:effectExtent l="0" t="0" r="33655" b="33655"/>
                <wp:wrapNone/>
                <wp:docPr id="200" name="Straight Connector 200"/>
                <wp:cNvGraphicFramePr/>
                <a:graphic xmlns:a="http://schemas.openxmlformats.org/drawingml/2006/main">
                  <a:graphicData uri="http://schemas.microsoft.com/office/word/2010/wordprocessingShape">
                    <wps:wsp>
                      <wps:cNvCnPr/>
                      <wps:spPr>
                        <a:xfrm flipH="1">
                          <a:off x="0" y="0"/>
                          <a:ext cx="4445" cy="328295"/>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ex="http://schemas.microsoft.com/office/word/2018/wordml/cex" xmlns:w16="http://schemas.microsoft.com/office/word/2018/wordml" xmlns:w16sdtdh="http://schemas.microsoft.com/office/word/2020/wordml/sdtdatahash" xmlns:oel="http://schemas.microsoft.com/office/2019/extlst">
            <w:pict>
              <v:line w14:anchorId="0C31A54E" id="Straight Connector 200" o:spid="_x0000_s1026" style="position:absolute;flip:x;z-index:251789312;visibility:visible;mso-wrap-style:square;mso-wrap-distance-left:9pt;mso-wrap-distance-top:0;mso-wrap-distance-right:9pt;mso-wrap-distance-bottom:0;mso-position-horizontal:absolute;mso-position-horizontal-relative:text;mso-position-vertical:absolute;mso-position-vertical-relative:text" from="105.1pt,30.3pt" to="105.45pt,5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" strokecolor="black [3040]" strokeweight="1pt"/>
            </w:pict>
          </mc:Fallback>
        </mc:AlternateContent>
      </w:r>
      <w:r>
        <w:rPr>
          <w:rFonts w:ascii="Arial" w:hAnsi="Arial" w:cs="Arial"/>
          <w:noProof/>
          <w:sz w:val="24"/>
          <w:szCs w:val="24"/>
        </w:rPr>
        <mc:AlternateContent>
          <mc:Choice Requires="wps">
            <w:drawing>
              <wp:anchor distT="0" distB="0" distL="114300" distR="114300" simplePos="0" relativeHeight="251790336" behindDoc="0" locked="0" layoutInCell="1" allowOverlap="1" wp14:anchorId="01E92607" wp14:editId="46339839">
                <wp:simplePos x="0" y="0"/>
                <wp:positionH relativeFrom="column">
                  <wp:posOffset>2752725</wp:posOffset>
                </wp:positionH>
                <wp:positionV relativeFrom="paragraph">
                  <wp:posOffset>383540</wp:posOffset>
                </wp:positionV>
                <wp:extent cx="4445" cy="328295"/>
                <wp:effectExtent l="0" t="0" r="33655" b="33655"/>
                <wp:wrapNone/>
                <wp:docPr id="201" name="Straight Connector 201"/>
                <wp:cNvGraphicFramePr/>
                <a:graphic xmlns:a="http://schemas.openxmlformats.org/drawingml/2006/main">
                  <a:graphicData uri="http://schemas.microsoft.com/office/word/2010/wordprocessingShape">
                    <wps:wsp>
                      <wps:cNvCnPr/>
                      <wps:spPr>
                        <a:xfrm flipH="1">
                          <a:off x="0" y="0"/>
                          <a:ext cx="4445" cy="328295"/>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ex="http://schemas.microsoft.com/office/word/2018/wordml/cex" xmlns:w16="http://schemas.microsoft.com/office/word/2018/wordml" xmlns:w16sdtdh="http://schemas.microsoft.com/office/word/2020/wordml/sdtdatahash" xmlns:oel="http://schemas.microsoft.com/office/2019/extlst">
            <w:pict>
              <v:line w14:anchorId="08C9D31F" id="Straight Connector 201" o:spid="_x0000_s1026" style="position:absolute;flip:x;z-index:251790336;visibility:visible;mso-wrap-style:square;mso-wrap-distance-left:9pt;mso-wrap-distance-top:0;mso-wrap-distance-right:9pt;mso-wrap-distance-bottom:0;mso-position-horizontal:absolute;mso-position-horizontal-relative:text;mso-position-vertical:absolute;mso-position-vertical-relative:text" from="216.75pt,30.2pt" to="217.1pt,5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" strokecolor="black [3040]" strokeweight="1pt"/>
            </w:pict>
          </mc:Fallback>
        </mc:AlternateContent>
      </w:r>
      <w:r>
        <w:rPr>
          <w:rFonts w:ascii="Arial" w:hAnsi="Arial" w:cs="Arial"/>
          <w:noProof/>
          <w:sz w:val="24"/>
          <w:szCs w:val="24"/>
        </w:rPr>
        <mc:AlternateContent>
          <mc:Choice Requires="wps">
            <w:drawing>
              <wp:anchor distT="0" distB="0" distL="114300" distR="114300" simplePos="0" relativeHeight="251791360" behindDoc="0" locked="0" layoutInCell="1" allowOverlap="1" wp14:anchorId="72C35D58" wp14:editId="5D2DEEEB">
                <wp:simplePos x="0" y="0"/>
                <wp:positionH relativeFrom="column">
                  <wp:posOffset>1335088</wp:posOffset>
                </wp:positionH>
                <wp:positionV relativeFrom="paragraph">
                  <wp:posOffset>3810</wp:posOffset>
                </wp:positionV>
                <wp:extent cx="1428750" cy="299720"/>
                <wp:effectExtent l="0" t="0" r="0" b="5080"/>
                <wp:wrapNone/>
                <wp:docPr id="202" name="Rectangle 202"/>
                <wp:cNvGraphicFramePr/>
                <a:graphic xmlns:a="http://schemas.openxmlformats.org/drawingml/2006/main">
                  <a:graphicData uri="http://schemas.microsoft.com/office/word/2010/wordprocessingShape">
                    <wps:wsp>
                      <wps:cNvSpPr/>
                      <wps:spPr>
                        <a:xfrm>
                          <a:off x="0" y="0"/>
                          <a:ext cx="1428750" cy="29972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66432F8A" w14:textId="77777777" w:rsidR="00B564A6" w:rsidRPr="003C1E17" w:rsidRDefault="00B564A6" w:rsidP="00B564A6">
                            <w:pPr>
                              <w:jc w:val="center"/>
                              <w:rPr>
                                <w:rFonts w:ascii="Arial" w:hAnsi="Arial" w:cs="Arial"/>
                                <w:sz w:val="24"/>
                                <w:szCs w:val="24"/>
                              </w:rPr>
                            </w:pPr>
                            <w:r w:rsidRPr="003C1E17">
                              <w:rPr>
                                <w:rFonts w:ascii="Arial" w:hAnsi="Arial" w:cs="Arial"/>
                                <w:sz w:val="24"/>
                                <w:szCs w:val="24"/>
                              </w:rPr>
                              <w:t>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2C35D58" id="Rectangle 202" o:spid="_x0000_s1046" style="position:absolute;left:0;text-align:left;margin-left:105.15pt;margin-top:.3pt;width:112.5pt;height:23.6pt;z-index:251791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" fillcolor="white [3201]" stroked="f" strokeweight="2pt">
                <v:textbox>
                  <w:txbxContent>
                    <w:p w14:paraId="66432F8A" w14:textId="77777777" w:rsidR="00B564A6" w:rsidRPr="003C1E17" w:rsidRDefault="00B564A6" w:rsidP="00B564A6">
                      <w:pPr>
                        <w:jc w:val="center"/>
                        <w:rPr>
                          <w:rFonts w:ascii="Arial" w:hAnsi="Arial" w:cs="Arial"/>
                          <w:sz w:val="24"/>
                          <w:szCs w:val="24"/>
                        </w:rPr>
                      </w:pPr>
                      <w:r w:rsidRPr="003C1E17">
                        <w:rPr>
                          <w:rFonts w:ascii="Arial" w:hAnsi="Arial" w:cs="Arial"/>
                          <w:sz w:val="24"/>
                          <w:szCs w:val="24"/>
                        </w:rPr>
                        <w:t>ns</w:t>
                      </w:r>
                    </w:p>
                  </w:txbxContent>
                </v:textbox>
              </v:rect>
            </w:pict>
          </mc:Fallback>
        </mc:AlternateContent>
      </w:r>
      <w:r w:rsidR="006A0785" w:rsidRPr="006A0785">
        <w:rPr>
          <w:noProof/>
        </w:rPr>
        <w:t xml:space="preserve"> </w:t>
      </w:r>
      <w:r w:rsidR="006A0785">
        <w:rPr>
          <w:noProof/>
        </w:rPr>
        <w:drawing>
          <wp:inline distT="0" distB="0" distL="0" distR="0" wp14:anchorId="78C84A14" wp14:editId="027BA9CE">
            <wp:extent cx="3000375" cy="3201152"/>
            <wp:effectExtent l="0" t="0" r="0" b="0"/>
            <wp:docPr id="56" name="Picture 5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Chart&#10;&#10;Description automatically generated"/>
                    <pic:cNvPicPr/>
                  </pic:nvPicPr>
                  <pic:blipFill>
                    <a:blip r:embed="rId31"/>
                    <a:stretch>
                      <a:fillRect/>
                    </a:stretch>
                  </pic:blipFill>
                  <pic:spPr>
                    <a:xfrm>
                      <a:off x="0" y="0"/>
                      <a:ext cx="3010893" cy="3212373"/>
                    </a:xfrm>
                    <a:prstGeom prst="rect">
                      <a:avLst/>
                    </a:prstGeom>
                  </pic:spPr>
                </pic:pic>
              </a:graphicData>
            </a:graphic>
          </wp:inline>
        </w:drawing>
      </w:r>
    </w:p>
    <w:p w14:paraId="575FBDBF" w14:textId="602AB7D2" w:rsidR="004A6AD4" w:rsidRDefault="00BD1DC6" w:rsidP="00525779">
      <w:pPr>
        <w:jc w:val="both"/>
      </w:pPr>
      <w:bookmarkStart w:id="99" w:name="_Ref105537756"/>
      <w:bookmarkStart w:id="100" w:name="_Toc105918982"/>
      <w:r w:rsidRPr="003B019F">
        <w:rPr>
          <w:rFonts w:ascii="Arial" w:eastAsiaTheme="majorEastAsia" w:hAnsi="Arial" w:cs="Arial"/>
          <w:b/>
          <w:bCs/>
          <w:sz w:val="24"/>
          <w:szCs w:val="24"/>
        </w:rPr>
        <w:t xml:space="preserve">Figure </w:t>
      </w:r>
      <w:r w:rsidRPr="003B019F">
        <w:rPr>
          <w:rFonts w:ascii="Arial" w:eastAsiaTheme="majorEastAsia" w:hAnsi="Arial" w:cs="Arial"/>
          <w:b/>
          <w:bCs/>
          <w:sz w:val="24"/>
          <w:szCs w:val="24"/>
        </w:rPr>
        <w:fldChar w:fldCharType="begin"/>
      </w:r>
      <w:r w:rsidRPr="003B019F">
        <w:rPr>
          <w:rFonts w:ascii="Arial" w:eastAsiaTheme="majorEastAsia" w:hAnsi="Arial" w:cs="Arial"/>
          <w:b/>
          <w:bCs/>
          <w:sz w:val="24"/>
          <w:szCs w:val="24"/>
        </w:rPr>
        <w:instrText xml:space="preserve"> SEQ Figure \* ARABIC </w:instrText>
      </w:r>
      <w:r w:rsidRPr="003B019F">
        <w:rPr>
          <w:rFonts w:ascii="Arial" w:eastAsiaTheme="majorEastAsia" w:hAnsi="Arial" w:cs="Arial"/>
          <w:b/>
          <w:bCs/>
          <w:sz w:val="24"/>
          <w:szCs w:val="24"/>
        </w:rPr>
        <w:fldChar w:fldCharType="separate"/>
      </w:r>
      <w:r w:rsidR="005C4791">
        <w:rPr>
          <w:rFonts w:ascii="Arial" w:eastAsiaTheme="majorEastAsia" w:hAnsi="Arial" w:cs="Arial"/>
          <w:b/>
          <w:bCs/>
          <w:noProof/>
          <w:sz w:val="24"/>
          <w:szCs w:val="24"/>
        </w:rPr>
        <w:t>17</w:t>
      </w:r>
      <w:r w:rsidRPr="003B019F">
        <w:rPr>
          <w:rFonts w:ascii="Arial" w:eastAsiaTheme="majorEastAsia" w:hAnsi="Arial" w:cs="Arial"/>
          <w:b/>
          <w:bCs/>
          <w:sz w:val="24"/>
          <w:szCs w:val="24"/>
        </w:rPr>
        <w:fldChar w:fldCharType="end"/>
      </w:r>
      <w:bookmarkEnd w:id="99"/>
      <w:r w:rsidRPr="003B019F">
        <w:rPr>
          <w:rFonts w:ascii="Arial" w:eastAsiaTheme="majorEastAsia" w:hAnsi="Arial" w:cs="Arial"/>
          <w:b/>
          <w:bCs/>
          <w:sz w:val="24"/>
          <w:szCs w:val="24"/>
        </w:rPr>
        <w:t>:</w:t>
      </w:r>
      <w:r w:rsidRPr="003B019F">
        <w:t xml:space="preserve"> </w:t>
      </w:r>
      <w:r w:rsidR="00134E3D">
        <w:rPr>
          <w:rFonts w:ascii="Arial" w:hAnsi="Arial" w:cs="Arial"/>
          <w:b/>
          <w:bCs/>
        </w:rPr>
        <w:t xml:space="preserve">Swelling ratio </w:t>
      </w:r>
      <w:r w:rsidR="00134E3D" w:rsidRPr="00134E3D">
        <w:rPr>
          <w:rFonts w:ascii="Arial" w:hAnsi="Arial" w:cs="Arial"/>
          <w:b/>
          <w:bCs/>
        </w:rPr>
        <w:t>(swollen weight mg</w:t>
      </w:r>
      <w:r w:rsidR="009D5082">
        <w:rPr>
          <w:rFonts w:ascii="Arial" w:hAnsi="Arial" w:cs="Arial"/>
          <w:b/>
          <w:bCs/>
        </w:rPr>
        <w:t>/</w:t>
      </w:r>
      <w:r w:rsidR="00134E3D" w:rsidRPr="00134E3D">
        <w:rPr>
          <w:rFonts w:ascii="Arial" w:hAnsi="Arial" w:cs="Arial"/>
          <w:b/>
          <w:bCs/>
        </w:rPr>
        <w:t>dry weight mg)</w:t>
      </w:r>
      <w:r w:rsidRPr="003B7652">
        <w:rPr>
          <w:rFonts w:ascii="Arial" w:hAnsi="Arial" w:cs="Arial"/>
          <w:b/>
          <w:bCs/>
        </w:rPr>
        <w:t xml:space="preserve"> of 40 </w:t>
      </w:r>
      <w:r>
        <w:rPr>
          <w:rFonts w:ascii="Arial" w:hAnsi="Arial" w:cs="Arial"/>
          <w:b/>
          <w:bCs/>
        </w:rPr>
        <w:t>k</w:t>
      </w:r>
      <w:r w:rsidRPr="003B7652">
        <w:rPr>
          <w:rFonts w:ascii="Arial" w:hAnsi="Arial" w:cs="Arial"/>
          <w:b/>
          <w:bCs/>
        </w:rPr>
        <w:t>Da 5</w:t>
      </w:r>
      <w:r w:rsidR="00174061">
        <w:rPr>
          <w:rFonts w:ascii="Arial" w:hAnsi="Arial" w:cs="Arial"/>
          <w:b/>
          <w:bCs/>
        </w:rPr>
        <w:t xml:space="preserve"> </w:t>
      </w:r>
      <w:r>
        <w:rPr>
          <w:rFonts w:ascii="Arial" w:hAnsi="Arial" w:cs="Arial"/>
          <w:b/>
          <w:bCs/>
        </w:rPr>
        <w:t>wt</w:t>
      </w:r>
      <w:r w:rsidRPr="003B7652">
        <w:rPr>
          <w:rFonts w:ascii="Arial" w:hAnsi="Arial" w:cs="Arial"/>
          <w:b/>
          <w:bCs/>
        </w:rPr>
        <w:t>%, 7.5</w:t>
      </w:r>
      <w:r w:rsidR="00174061">
        <w:rPr>
          <w:rFonts w:ascii="Arial" w:hAnsi="Arial" w:cs="Arial"/>
          <w:b/>
          <w:bCs/>
        </w:rPr>
        <w:t xml:space="preserve"> </w:t>
      </w:r>
      <w:r>
        <w:rPr>
          <w:rFonts w:ascii="Arial" w:hAnsi="Arial" w:cs="Arial"/>
          <w:b/>
          <w:bCs/>
        </w:rPr>
        <w:t>wt</w:t>
      </w:r>
      <w:r w:rsidRPr="003B7652">
        <w:rPr>
          <w:rFonts w:ascii="Arial" w:hAnsi="Arial" w:cs="Arial"/>
          <w:b/>
          <w:bCs/>
        </w:rPr>
        <w:t>%. and 10</w:t>
      </w:r>
      <w:r w:rsidR="00174061">
        <w:rPr>
          <w:rFonts w:ascii="Arial" w:hAnsi="Arial" w:cs="Arial"/>
          <w:b/>
          <w:bCs/>
        </w:rPr>
        <w:t xml:space="preserve"> </w:t>
      </w:r>
      <w:r>
        <w:rPr>
          <w:rFonts w:ascii="Arial" w:hAnsi="Arial" w:cs="Arial"/>
          <w:b/>
          <w:bCs/>
        </w:rPr>
        <w:t>wt</w:t>
      </w:r>
      <w:r w:rsidRPr="003B7652">
        <w:rPr>
          <w:rFonts w:ascii="Arial" w:hAnsi="Arial" w:cs="Arial"/>
          <w:b/>
          <w:bCs/>
        </w:rPr>
        <w:t>% PHA hydrogels (n=12) with absence or presence of tantalum powder (50 mg/mL).</w:t>
      </w:r>
      <w:r w:rsidRPr="003B7652">
        <w:t xml:space="preserve"> </w:t>
      </w:r>
      <w:r w:rsidRPr="006C5C5E">
        <w:rPr>
          <w:rFonts w:ascii="Arial" w:hAnsi="Arial" w:cs="Arial"/>
        </w:rPr>
        <w:t>(P)HA=(</w:t>
      </w:r>
      <w:r>
        <w:rPr>
          <w:rFonts w:ascii="Arial" w:hAnsi="Arial" w:cs="Arial"/>
        </w:rPr>
        <w:t>Pentenoate</w:t>
      </w:r>
      <w:r w:rsidRPr="006C5C5E">
        <w:rPr>
          <w:rFonts w:ascii="Arial" w:hAnsi="Arial" w:cs="Arial"/>
        </w:rPr>
        <w:t>) Hyaluronic acid, T= tantalum powder</w:t>
      </w:r>
      <w:r w:rsidR="00B564A6">
        <w:rPr>
          <w:rFonts w:ascii="Arial" w:hAnsi="Arial" w:cs="Arial"/>
        </w:rPr>
        <w:t>, ns: non-significant.</w:t>
      </w:r>
      <w:r w:rsidRPr="006C5C5E">
        <w:rPr>
          <w:rFonts w:ascii="Arial" w:hAnsi="Arial" w:cs="Arial"/>
        </w:rPr>
        <w:t xml:space="preserve"> </w:t>
      </w:r>
      <w:bookmarkEnd w:id="100"/>
    </w:p>
    <w:p w14:paraId="28D38E7A" w14:textId="4CE868D5" w:rsidR="00971A29" w:rsidRDefault="00971A29">
      <w:r>
        <w:br w:type="page"/>
      </w:r>
    </w:p>
    <w:p w14:paraId="129ACD37" w14:textId="478863B6" w:rsidR="006F4F8F" w:rsidRPr="00834360" w:rsidRDefault="006F4F8F" w:rsidP="00834360">
      <w:pPr>
        <w:pStyle w:val="Titre3"/>
        <w:spacing w:after="240"/>
        <w:rPr>
          <w:rFonts w:ascii="Arial" w:hAnsi="Arial" w:cs="Arial"/>
          <w:b/>
          <w:bCs/>
          <w:color w:val="000000" w:themeColor="text1"/>
        </w:rPr>
      </w:pPr>
      <w:bookmarkStart w:id="101" w:name="_Toc106903239"/>
      <w:r w:rsidRPr="00834360">
        <w:rPr>
          <w:rFonts w:ascii="Arial" w:hAnsi="Arial" w:cs="Arial"/>
          <w:b/>
          <w:bCs/>
          <w:color w:val="000000" w:themeColor="text1"/>
        </w:rPr>
        <w:lastRenderedPageBreak/>
        <w:t>2.</w:t>
      </w:r>
      <w:r w:rsidR="001137B6" w:rsidRPr="00834360">
        <w:rPr>
          <w:rFonts w:ascii="Arial" w:hAnsi="Arial" w:cs="Arial"/>
          <w:b/>
          <w:bCs/>
          <w:color w:val="000000" w:themeColor="text1"/>
        </w:rPr>
        <w:t>3.6</w:t>
      </w:r>
      <w:r w:rsidRPr="00834360">
        <w:rPr>
          <w:rFonts w:ascii="Arial" w:hAnsi="Arial" w:cs="Arial"/>
          <w:b/>
          <w:bCs/>
          <w:color w:val="000000" w:themeColor="text1"/>
        </w:rPr>
        <w:t xml:space="preserve"> </w:t>
      </w:r>
      <w:r w:rsidR="004D6F74" w:rsidRPr="00834360">
        <w:rPr>
          <w:rFonts w:ascii="Arial" w:hAnsi="Arial" w:cs="Arial"/>
          <w:b/>
          <w:bCs/>
          <w:color w:val="000000" w:themeColor="text1"/>
        </w:rPr>
        <w:t>Cell Viability</w:t>
      </w:r>
      <w:bookmarkEnd w:id="101"/>
    </w:p>
    <w:p w14:paraId="718EA851" w14:textId="70B882D4" w:rsidR="000876AA" w:rsidRDefault="000876AA" w:rsidP="00030373">
      <w:pPr>
        <w:spacing w:after="0" w:line="480" w:lineRule="auto"/>
        <w:ind w:firstLine="720"/>
        <w:jc w:val="both"/>
        <w:rPr>
          <w:rFonts w:ascii="Arial" w:hAnsi="Arial" w:cs="Arial"/>
          <w:sz w:val="24"/>
          <w:szCs w:val="24"/>
        </w:rPr>
      </w:pPr>
      <w:r>
        <w:rPr>
          <w:rFonts w:ascii="Arial" w:hAnsi="Arial" w:cs="Arial"/>
          <w:sz w:val="24"/>
          <w:szCs w:val="24"/>
        </w:rPr>
        <w:t xml:space="preserve">To assess the cytocompatibility of PHA hydrogels with </w:t>
      </w:r>
      <w:r w:rsidRPr="00935593">
        <w:rPr>
          <w:rFonts w:ascii="Arial" w:hAnsi="Arial" w:cs="Arial"/>
          <w:sz w:val="24"/>
          <w:szCs w:val="24"/>
        </w:rPr>
        <w:t>human umbilical vein endothelial cells (HUVEC)</w:t>
      </w:r>
      <w:r>
        <w:rPr>
          <w:rFonts w:ascii="Arial" w:hAnsi="Arial" w:cs="Arial"/>
          <w:sz w:val="24"/>
          <w:szCs w:val="24"/>
        </w:rPr>
        <w:t>, a calcein AM/EthD-III live dead assay was done (</w:t>
      </w:r>
      <w:r w:rsidR="00E266DD" w:rsidRPr="002E3EBC">
        <w:rPr>
          <w:rFonts w:ascii="Arial" w:hAnsi="Arial" w:cs="Arial"/>
          <w:sz w:val="24"/>
          <w:szCs w:val="24"/>
        </w:rPr>
        <w:fldChar w:fldCharType="begin"/>
      </w:r>
      <w:r w:rsidR="00E266DD" w:rsidRPr="002E3EBC">
        <w:rPr>
          <w:rFonts w:ascii="Arial" w:hAnsi="Arial" w:cs="Arial"/>
          <w:sz w:val="24"/>
          <w:szCs w:val="24"/>
        </w:rPr>
        <w:instrText xml:space="preserve"> REF _Ref109765726 \h </w:instrText>
      </w:r>
      <w:r w:rsidR="00E266DD" w:rsidRPr="002E3EBC">
        <w:rPr>
          <w:rFonts w:ascii="Arial" w:hAnsi="Arial" w:cs="Arial"/>
          <w:sz w:val="24"/>
          <w:szCs w:val="24"/>
        </w:rPr>
      </w:r>
      <w:r w:rsidR="002E3EBC" w:rsidRPr="002E3EBC">
        <w:rPr>
          <w:rFonts w:ascii="Arial" w:hAnsi="Arial" w:cs="Arial"/>
          <w:sz w:val="24"/>
          <w:szCs w:val="24"/>
        </w:rPr>
        <w:instrText xml:space="preserve"> \* MERGEFORMAT </w:instrText>
      </w:r>
      <w:r w:rsidR="00E266DD" w:rsidRPr="002E3EBC">
        <w:rPr>
          <w:rFonts w:ascii="Arial" w:hAnsi="Arial" w:cs="Arial"/>
          <w:sz w:val="24"/>
          <w:szCs w:val="24"/>
        </w:rPr>
        <w:fldChar w:fldCharType="separate"/>
      </w:r>
      <w:r w:rsidR="005C4791" w:rsidRPr="005C4791">
        <w:rPr>
          <w:rFonts w:ascii="Arial" w:hAnsi="Arial" w:cs="Arial"/>
          <w:sz w:val="24"/>
          <w:szCs w:val="24"/>
        </w:rPr>
        <w:drawing>
          <wp:inline distT="0" distB="0" distL="0" distR="0" wp14:anchorId="708A6EF3" wp14:editId="09CF4C8D">
            <wp:extent cx="4914900" cy="4600575"/>
            <wp:effectExtent l="0" t="0" r="0" b="9525"/>
            <wp:docPr id="54" name="Picture 5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Diagram&#10;&#10;Description automatically generated"/>
                    <pic:cNvPicPr/>
                  </pic:nvPicPr>
                  <pic:blipFill rotWithShape="1">
                    <a:blip r:embed="rId32"/>
                    <a:srcRect l="5983" r="8265"/>
                    <a:stretch/>
                  </pic:blipFill>
                  <pic:spPr bwMode="auto">
                    <a:xfrm>
                      <a:off x="0" y="0"/>
                      <a:ext cx="4914900" cy="4600575"/>
                    </a:xfrm>
                    <a:prstGeom prst="rect">
                      <a:avLst/>
                    </a:prstGeom>
                    <a:ln>
                      <a:noFill/>
                    </a:ln>
                    <a:extLst>
                      <a:ext uri="{53640926-AAD7-44D8-BBD7-CCE9431645EC}">
                        <a14:shadowObscured xmlns:a14="http://schemas.microsoft.com/office/drawing/2010/main"/>
                      </a:ext>
                    </a:extLst>
                  </pic:spPr>
                </pic:pic>
              </a:graphicData>
            </a:graphic>
          </wp:inline>
        </w:drawing>
      </w:r>
      <w:r w:rsidR="005C4791" w:rsidRPr="005C4791">
        <w:rPr>
          <w:rFonts w:ascii="Arial" w:hAnsi="Arial" w:cs="Arial"/>
          <w:sz w:val="24"/>
          <w:szCs w:val="24"/>
        </w:rPr>
        <w:t xml:space="preserve"> </w:t>
      </w:r>
      <w:r w:rsidR="005C4791" w:rsidRPr="005C4791">
        <w:rPr>
          <w:rFonts w:ascii="Arial" w:hAnsi="Arial" w:cs="Arial"/>
          <w:noProof/>
          <w:sz w:val="24"/>
          <w:szCs w:val="24"/>
        </w:rPr>
        <w:t>Figure</w:t>
      </w:r>
      <w:r w:rsidR="005C4791" w:rsidRPr="00434889">
        <w:rPr>
          <w:rFonts w:ascii="Arial" w:hAnsi="Arial" w:cs="Arial"/>
          <w:b/>
          <w:bCs/>
          <w:sz w:val="24"/>
          <w:szCs w:val="24"/>
        </w:rPr>
        <w:t xml:space="preserve"> </w:t>
      </w:r>
      <w:r w:rsidR="005C4791">
        <w:rPr>
          <w:rFonts w:ascii="Arial" w:hAnsi="Arial" w:cs="Arial"/>
          <w:b/>
          <w:bCs/>
          <w:noProof/>
          <w:sz w:val="24"/>
          <w:szCs w:val="24"/>
        </w:rPr>
        <w:t>18</w:t>
      </w:r>
      <w:r w:rsidR="00E266DD" w:rsidRPr="002E3EBC">
        <w:rPr>
          <w:rFonts w:ascii="Arial" w:hAnsi="Arial" w:cs="Arial"/>
          <w:sz w:val="24"/>
          <w:szCs w:val="24"/>
        </w:rPr>
        <w:fldChar w:fldCharType="end"/>
      </w:r>
      <w:r>
        <w:rPr>
          <w:rFonts w:ascii="Arial" w:hAnsi="Arial" w:cs="Arial"/>
          <w:sz w:val="24"/>
          <w:szCs w:val="24"/>
        </w:rPr>
        <w:t xml:space="preserve">). </w:t>
      </w:r>
    </w:p>
    <w:p w14:paraId="585498E0" w14:textId="305E400E" w:rsidR="004A6AD4" w:rsidRDefault="00F2736D">
      <w:pPr>
        <w:spacing w:line="240" w:lineRule="auto"/>
        <w:jc w:val="both"/>
        <w:rPr>
          <w:rFonts w:ascii="Arial" w:hAnsi="Arial" w:cs="Arial"/>
          <w:color w:val="000000" w:themeColor="text1"/>
          <w:sz w:val="24"/>
          <w:szCs w:val="24"/>
        </w:rPr>
      </w:pPr>
      <w:bookmarkStart w:id="102" w:name="_Toc105918983"/>
      <w:bookmarkStart w:id="103" w:name="_Ref109765726"/>
      <w:r>
        <w:rPr>
          <w:noProof/>
        </w:rPr>
        <w:lastRenderedPageBreak/>
        <w:drawing>
          <wp:inline distT="0" distB="0" distL="0" distR="0" wp14:anchorId="1DD49523" wp14:editId="60C8C081">
            <wp:extent cx="4914900" cy="4600575"/>
            <wp:effectExtent l="0" t="0" r="0" b="9525"/>
            <wp:docPr id="52" name="Picture 5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Diagram&#10;&#10;Description automatically generated"/>
                    <pic:cNvPicPr/>
                  </pic:nvPicPr>
                  <pic:blipFill rotWithShape="1">
                    <a:blip r:embed="rId32"/>
                    <a:srcRect l="5983" r="8265"/>
                    <a:stretch/>
                  </pic:blipFill>
                  <pic:spPr bwMode="auto">
                    <a:xfrm>
                      <a:off x="0" y="0"/>
                      <a:ext cx="4914900" cy="4600575"/>
                    </a:xfrm>
                    <a:prstGeom prst="rect">
                      <a:avLst/>
                    </a:prstGeom>
                    <a:ln>
                      <a:noFill/>
                    </a:ln>
                    <a:extLst>
                      <a:ext uri="{53640926-AAD7-44D8-BBD7-CCE9431645EC}">
                        <a14:shadowObscured xmlns:a14="http://schemas.microsoft.com/office/drawing/2010/main"/>
                      </a:ext>
                    </a:extLst>
                  </pic:spPr>
                </pic:pic>
              </a:graphicData>
            </a:graphic>
          </wp:inline>
        </w:drawing>
      </w:r>
      <w:r w:rsidR="009B4328">
        <w:rPr>
          <w:noProof/>
        </w:rPr>
        <w:t xml:space="preserve"> </w:t>
      </w:r>
      <w:r w:rsidR="005F3961" w:rsidRPr="00434889">
        <w:rPr>
          <w:rFonts w:ascii="Arial" w:hAnsi="Arial" w:cs="Arial"/>
          <w:b/>
          <w:bCs/>
          <w:sz w:val="24"/>
          <w:szCs w:val="24"/>
        </w:rPr>
        <w:t xml:space="preserve">Figure </w:t>
      </w:r>
      <w:r w:rsidR="005F3961" w:rsidRPr="00434889">
        <w:rPr>
          <w:rFonts w:ascii="Arial" w:hAnsi="Arial" w:cs="Arial"/>
          <w:b/>
          <w:bCs/>
          <w:color w:val="1F497D" w:themeColor="text2"/>
          <w:sz w:val="24"/>
          <w:szCs w:val="24"/>
        </w:rPr>
        <w:fldChar w:fldCharType="begin"/>
      </w:r>
      <w:r w:rsidR="005F3961" w:rsidRPr="00434889">
        <w:rPr>
          <w:rFonts w:ascii="Arial" w:hAnsi="Arial" w:cs="Arial"/>
          <w:b/>
          <w:bCs/>
          <w:sz w:val="24"/>
          <w:szCs w:val="24"/>
        </w:rPr>
        <w:instrText xml:space="preserve"> SEQ Figure \* ARABIC </w:instrText>
      </w:r>
      <w:r w:rsidR="005F3961" w:rsidRPr="00434889">
        <w:rPr>
          <w:rFonts w:ascii="Arial" w:hAnsi="Arial" w:cs="Arial"/>
          <w:b/>
          <w:bCs/>
          <w:color w:val="1F497D" w:themeColor="text2"/>
          <w:sz w:val="24"/>
          <w:szCs w:val="24"/>
        </w:rPr>
        <w:fldChar w:fldCharType="separate"/>
      </w:r>
      <w:r w:rsidR="005C4791">
        <w:rPr>
          <w:rFonts w:ascii="Arial" w:hAnsi="Arial" w:cs="Arial"/>
          <w:b/>
          <w:bCs/>
          <w:noProof/>
          <w:sz w:val="24"/>
          <w:szCs w:val="24"/>
        </w:rPr>
        <w:t>18</w:t>
      </w:r>
      <w:r w:rsidR="005F3961" w:rsidRPr="00434889">
        <w:rPr>
          <w:rFonts w:ascii="Arial" w:hAnsi="Arial" w:cs="Arial"/>
          <w:b/>
          <w:bCs/>
          <w:color w:val="1F497D" w:themeColor="text2"/>
          <w:sz w:val="24"/>
          <w:szCs w:val="24"/>
        </w:rPr>
        <w:fldChar w:fldCharType="end"/>
      </w:r>
      <w:bookmarkEnd w:id="103"/>
      <w:r w:rsidR="00C23DBD" w:rsidRPr="004D6F74">
        <w:rPr>
          <w:rFonts w:ascii="Arial" w:hAnsi="Arial" w:cs="Arial"/>
          <w:b/>
          <w:bCs/>
          <w:color w:val="000000" w:themeColor="text1"/>
          <w:sz w:val="24"/>
          <w:szCs w:val="24"/>
        </w:rPr>
        <w:t>: Cell viability of human umbilical vein endothelial cells (HUVEC) after 24 hours in contact with PHA hydrogel-soaked medi</w:t>
      </w:r>
      <w:r w:rsidR="0060219D">
        <w:rPr>
          <w:rFonts w:ascii="Arial" w:hAnsi="Arial" w:cs="Arial"/>
          <w:b/>
          <w:bCs/>
          <w:color w:val="000000" w:themeColor="text1"/>
          <w:sz w:val="24"/>
          <w:szCs w:val="24"/>
        </w:rPr>
        <w:t>um</w:t>
      </w:r>
      <w:r w:rsidR="00C23DBD" w:rsidRPr="004D6F74">
        <w:rPr>
          <w:rFonts w:ascii="Arial" w:hAnsi="Arial" w:cs="Arial"/>
          <w:b/>
          <w:bCs/>
          <w:color w:val="000000" w:themeColor="text1"/>
          <w:sz w:val="24"/>
          <w:szCs w:val="24"/>
        </w:rPr>
        <w:t>.</w:t>
      </w:r>
      <w:r w:rsidR="004D6F74" w:rsidRPr="00B14687">
        <w:rPr>
          <w:rFonts w:ascii="Arial" w:hAnsi="Arial" w:cs="Arial"/>
          <w:b/>
          <w:bCs/>
          <w:color w:val="000000" w:themeColor="text1"/>
          <w:sz w:val="24"/>
          <w:szCs w:val="24"/>
        </w:rPr>
        <w:t xml:space="preserve"> </w:t>
      </w:r>
      <w:r w:rsidR="002D5B95" w:rsidRPr="002D5B95">
        <w:rPr>
          <w:rFonts w:ascii="Arial" w:hAnsi="Arial" w:cs="Arial"/>
          <w:color w:val="000000" w:themeColor="text1"/>
          <w:sz w:val="24"/>
          <w:szCs w:val="24"/>
        </w:rPr>
        <w:t xml:space="preserve">****: p &lt; 0.0001. </w:t>
      </w:r>
      <w:r w:rsidR="002040BE" w:rsidRPr="00834360">
        <w:rPr>
          <w:rFonts w:ascii="Arial" w:hAnsi="Arial" w:cs="Arial"/>
          <w:color w:val="000000" w:themeColor="text1"/>
          <w:sz w:val="24"/>
          <w:szCs w:val="24"/>
        </w:rPr>
        <w:t xml:space="preserve">A to H: </w:t>
      </w:r>
      <w:r w:rsidR="00F07BAA" w:rsidRPr="00834360">
        <w:rPr>
          <w:rFonts w:ascii="Arial" w:hAnsi="Arial" w:cs="Arial"/>
          <w:color w:val="000000" w:themeColor="text1"/>
          <w:sz w:val="24"/>
          <w:szCs w:val="24"/>
        </w:rPr>
        <w:t>Representative images depicting live, dead, and composite images of HUVEC after 24 and 72 hours in contact with HUVEC medi</w:t>
      </w:r>
      <w:r w:rsidR="0060219D">
        <w:rPr>
          <w:rFonts w:ascii="Arial" w:hAnsi="Arial" w:cs="Arial"/>
          <w:color w:val="000000" w:themeColor="text1"/>
          <w:sz w:val="24"/>
          <w:szCs w:val="24"/>
        </w:rPr>
        <w:t>um</w:t>
      </w:r>
      <w:r w:rsidR="00F07BAA" w:rsidRPr="00834360">
        <w:rPr>
          <w:rFonts w:ascii="Arial" w:hAnsi="Arial" w:cs="Arial"/>
          <w:color w:val="000000" w:themeColor="text1"/>
          <w:sz w:val="24"/>
          <w:szCs w:val="24"/>
        </w:rPr>
        <w:t xml:space="preserve"> soaked </w:t>
      </w:r>
      <w:r w:rsidR="002040BE" w:rsidRPr="00834360">
        <w:rPr>
          <w:rFonts w:ascii="Arial" w:hAnsi="Arial" w:cs="Arial"/>
          <w:color w:val="000000" w:themeColor="text1"/>
          <w:sz w:val="24"/>
          <w:szCs w:val="24"/>
        </w:rPr>
        <w:t xml:space="preserve">for 24h </w:t>
      </w:r>
      <w:r w:rsidR="00F07BAA" w:rsidRPr="00834360">
        <w:rPr>
          <w:rFonts w:ascii="Arial" w:hAnsi="Arial" w:cs="Arial"/>
          <w:color w:val="000000" w:themeColor="text1"/>
          <w:sz w:val="24"/>
          <w:szCs w:val="24"/>
        </w:rPr>
        <w:t xml:space="preserve">with </w:t>
      </w:r>
      <w:r w:rsidR="00E437D0" w:rsidRPr="00B14687">
        <w:rPr>
          <w:rFonts w:ascii="Arial" w:hAnsi="Arial" w:cs="Arial"/>
          <w:color w:val="000000" w:themeColor="text1"/>
          <w:sz w:val="24"/>
          <w:szCs w:val="24"/>
        </w:rPr>
        <w:t xml:space="preserve">(A) </w:t>
      </w:r>
      <w:r w:rsidR="00F07BAA" w:rsidRPr="00834360">
        <w:rPr>
          <w:rFonts w:ascii="Arial" w:hAnsi="Arial" w:cs="Arial"/>
          <w:color w:val="000000" w:themeColor="text1"/>
          <w:sz w:val="24"/>
          <w:szCs w:val="24"/>
        </w:rPr>
        <w:t>5</w:t>
      </w:r>
      <w:r w:rsidR="00174061">
        <w:rPr>
          <w:rFonts w:ascii="Arial" w:hAnsi="Arial" w:cs="Arial"/>
          <w:color w:val="000000" w:themeColor="text1"/>
          <w:sz w:val="24"/>
          <w:szCs w:val="24"/>
        </w:rPr>
        <w:t xml:space="preserve"> </w:t>
      </w:r>
      <w:r w:rsidR="00F07BAA" w:rsidRPr="00834360">
        <w:rPr>
          <w:rFonts w:ascii="Arial" w:hAnsi="Arial" w:cs="Arial"/>
          <w:color w:val="000000" w:themeColor="text1"/>
          <w:sz w:val="24"/>
          <w:szCs w:val="24"/>
        </w:rPr>
        <w:t xml:space="preserve">wt%, </w:t>
      </w:r>
      <w:r w:rsidR="00E437D0" w:rsidRPr="00B14687">
        <w:rPr>
          <w:rFonts w:ascii="Arial" w:hAnsi="Arial" w:cs="Arial"/>
          <w:color w:val="000000" w:themeColor="text1"/>
          <w:sz w:val="24"/>
          <w:szCs w:val="24"/>
        </w:rPr>
        <w:t xml:space="preserve">(B) </w:t>
      </w:r>
      <w:r w:rsidR="00F07BAA" w:rsidRPr="00834360">
        <w:rPr>
          <w:rFonts w:ascii="Arial" w:hAnsi="Arial" w:cs="Arial"/>
          <w:color w:val="000000" w:themeColor="text1"/>
          <w:sz w:val="24"/>
          <w:szCs w:val="24"/>
        </w:rPr>
        <w:t>7.5</w:t>
      </w:r>
      <w:r w:rsidR="00174061">
        <w:rPr>
          <w:rFonts w:ascii="Arial" w:hAnsi="Arial" w:cs="Arial"/>
          <w:color w:val="000000" w:themeColor="text1"/>
          <w:sz w:val="24"/>
          <w:szCs w:val="24"/>
        </w:rPr>
        <w:t xml:space="preserve"> </w:t>
      </w:r>
      <w:r w:rsidR="00F07BAA" w:rsidRPr="00834360">
        <w:rPr>
          <w:rFonts w:ascii="Arial" w:hAnsi="Arial" w:cs="Arial"/>
          <w:color w:val="000000" w:themeColor="text1"/>
          <w:sz w:val="24"/>
          <w:szCs w:val="24"/>
        </w:rPr>
        <w:t>wt%,</w:t>
      </w:r>
      <w:r w:rsidR="00E437D0" w:rsidRPr="00B14687">
        <w:rPr>
          <w:rFonts w:ascii="Arial" w:hAnsi="Arial" w:cs="Arial"/>
          <w:color w:val="000000" w:themeColor="text1"/>
          <w:sz w:val="24"/>
          <w:szCs w:val="24"/>
        </w:rPr>
        <w:t xml:space="preserve"> (C)</w:t>
      </w:r>
      <w:r w:rsidR="00F07BAA" w:rsidRPr="00834360">
        <w:rPr>
          <w:rFonts w:ascii="Arial" w:hAnsi="Arial" w:cs="Arial"/>
          <w:color w:val="000000" w:themeColor="text1"/>
          <w:sz w:val="24"/>
          <w:szCs w:val="24"/>
        </w:rPr>
        <w:t xml:space="preserve"> 10</w:t>
      </w:r>
      <w:r w:rsidR="00174061">
        <w:rPr>
          <w:rFonts w:ascii="Arial" w:hAnsi="Arial" w:cs="Arial"/>
          <w:color w:val="000000" w:themeColor="text1"/>
          <w:sz w:val="24"/>
          <w:szCs w:val="24"/>
        </w:rPr>
        <w:t xml:space="preserve"> </w:t>
      </w:r>
      <w:r w:rsidR="00F07BAA" w:rsidRPr="00834360">
        <w:rPr>
          <w:rFonts w:ascii="Arial" w:hAnsi="Arial" w:cs="Arial"/>
          <w:color w:val="000000" w:themeColor="text1"/>
          <w:sz w:val="24"/>
          <w:szCs w:val="24"/>
        </w:rPr>
        <w:t>wt%,</w:t>
      </w:r>
      <w:r w:rsidR="00E437D0" w:rsidRPr="00B14687">
        <w:rPr>
          <w:rFonts w:ascii="Arial" w:hAnsi="Arial" w:cs="Arial"/>
          <w:color w:val="000000" w:themeColor="text1"/>
          <w:sz w:val="24"/>
          <w:szCs w:val="24"/>
        </w:rPr>
        <w:t xml:space="preserve"> (D)</w:t>
      </w:r>
      <w:r w:rsidR="00F07BAA" w:rsidRPr="00834360">
        <w:rPr>
          <w:rFonts w:ascii="Arial" w:hAnsi="Arial" w:cs="Arial"/>
          <w:color w:val="000000" w:themeColor="text1"/>
          <w:sz w:val="24"/>
          <w:szCs w:val="24"/>
        </w:rPr>
        <w:t xml:space="preserve"> 5</w:t>
      </w:r>
      <w:r w:rsidR="00174061">
        <w:rPr>
          <w:rFonts w:ascii="Arial" w:hAnsi="Arial" w:cs="Arial"/>
          <w:color w:val="000000" w:themeColor="text1"/>
          <w:sz w:val="24"/>
          <w:szCs w:val="24"/>
        </w:rPr>
        <w:t xml:space="preserve"> </w:t>
      </w:r>
      <w:r w:rsidR="00F07BAA" w:rsidRPr="00834360">
        <w:rPr>
          <w:rFonts w:ascii="Arial" w:hAnsi="Arial" w:cs="Arial"/>
          <w:color w:val="000000" w:themeColor="text1"/>
          <w:sz w:val="24"/>
          <w:szCs w:val="24"/>
        </w:rPr>
        <w:t>wt%+50 mg/mL Ta,</w:t>
      </w:r>
      <w:r w:rsidR="00E437D0" w:rsidRPr="00B14687">
        <w:rPr>
          <w:rFonts w:ascii="Arial" w:hAnsi="Arial" w:cs="Arial"/>
          <w:color w:val="000000" w:themeColor="text1"/>
          <w:sz w:val="24"/>
          <w:szCs w:val="24"/>
        </w:rPr>
        <w:t xml:space="preserve"> </w:t>
      </w:r>
      <w:r w:rsidR="00585C4C">
        <w:rPr>
          <w:rFonts w:ascii="Arial" w:hAnsi="Arial" w:cs="Arial"/>
          <w:color w:val="000000" w:themeColor="text1"/>
          <w:sz w:val="24"/>
          <w:szCs w:val="24"/>
        </w:rPr>
        <w:t>I</w:t>
      </w:r>
      <w:r w:rsidR="00F07BAA" w:rsidRPr="00834360">
        <w:rPr>
          <w:rFonts w:ascii="Arial" w:hAnsi="Arial" w:cs="Arial"/>
          <w:color w:val="000000" w:themeColor="text1"/>
          <w:sz w:val="24"/>
          <w:szCs w:val="24"/>
        </w:rPr>
        <w:t xml:space="preserve"> 7.5</w:t>
      </w:r>
      <w:r w:rsidR="00174061">
        <w:rPr>
          <w:rFonts w:ascii="Arial" w:hAnsi="Arial" w:cs="Arial"/>
          <w:color w:val="000000" w:themeColor="text1"/>
          <w:sz w:val="24"/>
          <w:szCs w:val="24"/>
        </w:rPr>
        <w:t xml:space="preserve"> </w:t>
      </w:r>
      <w:r w:rsidR="00F07BAA" w:rsidRPr="00834360">
        <w:rPr>
          <w:rFonts w:ascii="Arial" w:hAnsi="Arial" w:cs="Arial"/>
          <w:color w:val="000000" w:themeColor="text1"/>
          <w:sz w:val="24"/>
          <w:szCs w:val="24"/>
        </w:rPr>
        <w:t xml:space="preserve">wt%+50 mg/mL Ta, </w:t>
      </w:r>
      <w:r w:rsidR="007F4C3B" w:rsidRPr="00B14687">
        <w:rPr>
          <w:rFonts w:ascii="Arial" w:hAnsi="Arial" w:cs="Arial"/>
          <w:color w:val="000000" w:themeColor="text1"/>
          <w:sz w:val="24"/>
          <w:szCs w:val="24"/>
        </w:rPr>
        <w:t xml:space="preserve">(F) </w:t>
      </w:r>
      <w:r w:rsidR="00F07BAA" w:rsidRPr="00834360">
        <w:rPr>
          <w:rFonts w:ascii="Arial" w:hAnsi="Arial" w:cs="Arial"/>
          <w:color w:val="000000" w:themeColor="text1"/>
          <w:sz w:val="24"/>
          <w:szCs w:val="24"/>
        </w:rPr>
        <w:t>10</w:t>
      </w:r>
      <w:r w:rsidR="00174061">
        <w:rPr>
          <w:rFonts w:ascii="Arial" w:hAnsi="Arial" w:cs="Arial"/>
          <w:color w:val="000000" w:themeColor="text1"/>
          <w:sz w:val="24"/>
          <w:szCs w:val="24"/>
        </w:rPr>
        <w:t xml:space="preserve"> </w:t>
      </w:r>
      <w:r w:rsidR="00F07BAA" w:rsidRPr="00834360">
        <w:rPr>
          <w:rFonts w:ascii="Arial" w:hAnsi="Arial" w:cs="Arial"/>
          <w:color w:val="000000" w:themeColor="text1"/>
          <w:sz w:val="24"/>
          <w:szCs w:val="24"/>
        </w:rPr>
        <w:t xml:space="preserve">wt%%+50 mg/mL Ta </w:t>
      </w:r>
      <w:r w:rsidR="002040BE" w:rsidRPr="00834360">
        <w:rPr>
          <w:rFonts w:ascii="Arial" w:hAnsi="Arial" w:cs="Arial"/>
          <w:color w:val="000000" w:themeColor="text1"/>
          <w:sz w:val="24"/>
          <w:szCs w:val="24"/>
        </w:rPr>
        <w:t xml:space="preserve">PHA hydrogels and </w:t>
      </w:r>
      <w:r w:rsidR="00766EAE" w:rsidRPr="004E4618">
        <w:rPr>
          <w:rFonts w:ascii="Arial" w:hAnsi="Arial" w:cs="Arial"/>
          <w:color w:val="000000" w:themeColor="text1"/>
          <w:sz w:val="24"/>
          <w:szCs w:val="24"/>
        </w:rPr>
        <w:t>negative control</w:t>
      </w:r>
      <w:r w:rsidR="00766EAE" w:rsidRPr="0063003B">
        <w:rPr>
          <w:rFonts w:ascii="Arial" w:hAnsi="Arial" w:cs="Arial"/>
          <w:color w:val="000000" w:themeColor="text1"/>
          <w:sz w:val="24"/>
          <w:szCs w:val="24"/>
        </w:rPr>
        <w:t>:</w:t>
      </w:r>
      <w:r w:rsidR="007F4C3B" w:rsidRPr="0063003B">
        <w:rPr>
          <w:rFonts w:ascii="Arial" w:hAnsi="Arial" w:cs="Arial"/>
          <w:color w:val="000000" w:themeColor="text1"/>
          <w:sz w:val="24"/>
          <w:szCs w:val="24"/>
        </w:rPr>
        <w:t xml:space="preserve"> (G)</w:t>
      </w:r>
      <w:r w:rsidR="00766EAE" w:rsidRPr="0063003B">
        <w:rPr>
          <w:rFonts w:ascii="Arial" w:hAnsi="Arial" w:cs="Arial"/>
          <w:color w:val="000000" w:themeColor="text1"/>
          <w:sz w:val="24"/>
          <w:szCs w:val="24"/>
        </w:rPr>
        <w:t xml:space="preserve"> no PHA in the medi</w:t>
      </w:r>
      <w:r w:rsidR="0060219D">
        <w:rPr>
          <w:rFonts w:ascii="Arial" w:hAnsi="Arial" w:cs="Arial"/>
          <w:color w:val="000000" w:themeColor="text1"/>
          <w:sz w:val="24"/>
          <w:szCs w:val="24"/>
        </w:rPr>
        <w:t>um</w:t>
      </w:r>
      <w:r w:rsidR="007F4C3B" w:rsidRPr="0063003B">
        <w:rPr>
          <w:rFonts w:ascii="Arial" w:hAnsi="Arial" w:cs="Arial"/>
          <w:color w:val="000000" w:themeColor="text1"/>
          <w:sz w:val="24"/>
          <w:szCs w:val="24"/>
        </w:rPr>
        <w:t>, (H)</w:t>
      </w:r>
      <w:r w:rsidR="00766EAE" w:rsidRPr="0063003B">
        <w:rPr>
          <w:rFonts w:ascii="Arial" w:hAnsi="Arial" w:cs="Arial"/>
          <w:color w:val="000000" w:themeColor="text1"/>
          <w:sz w:val="24"/>
          <w:szCs w:val="24"/>
        </w:rPr>
        <w:t xml:space="preserve"> positive control: no PHA in medi</w:t>
      </w:r>
      <w:r w:rsidR="0060219D">
        <w:rPr>
          <w:rFonts w:ascii="Arial" w:hAnsi="Arial" w:cs="Arial"/>
          <w:color w:val="000000" w:themeColor="text1"/>
          <w:sz w:val="24"/>
          <w:szCs w:val="24"/>
        </w:rPr>
        <w:t>um</w:t>
      </w:r>
      <w:r w:rsidR="00766EAE" w:rsidRPr="0063003B">
        <w:rPr>
          <w:rFonts w:ascii="Arial" w:hAnsi="Arial" w:cs="Arial"/>
          <w:color w:val="000000" w:themeColor="text1"/>
          <w:sz w:val="24"/>
          <w:szCs w:val="24"/>
        </w:rPr>
        <w:t xml:space="preserve"> and cells were killed</w:t>
      </w:r>
      <w:r w:rsidR="002040BE" w:rsidRPr="00834360">
        <w:rPr>
          <w:rFonts w:ascii="Arial" w:hAnsi="Arial" w:cs="Arial"/>
          <w:color w:val="000000" w:themeColor="text1"/>
          <w:sz w:val="24"/>
          <w:szCs w:val="24"/>
        </w:rPr>
        <w:t>.</w:t>
      </w:r>
      <w:r w:rsidR="003F143D" w:rsidRPr="0032359B">
        <w:rPr>
          <w:rFonts w:ascii="Arial" w:hAnsi="Arial" w:cs="Arial"/>
          <w:color w:val="000000" w:themeColor="text1"/>
          <w:sz w:val="24"/>
          <w:szCs w:val="24"/>
        </w:rPr>
        <w:t xml:space="preserve"> </w:t>
      </w:r>
      <w:r w:rsidR="003F143D" w:rsidRPr="004D6F74">
        <w:rPr>
          <w:rFonts w:ascii="Arial" w:hAnsi="Arial" w:cs="Arial"/>
          <w:color w:val="000000" w:themeColor="text1"/>
          <w:sz w:val="24"/>
          <w:szCs w:val="24"/>
        </w:rPr>
        <w:t xml:space="preserve">Green: </w:t>
      </w:r>
      <w:r w:rsidR="00743B28" w:rsidRPr="004D6F74">
        <w:rPr>
          <w:rFonts w:ascii="Arial" w:hAnsi="Arial" w:cs="Arial"/>
          <w:color w:val="000000" w:themeColor="text1"/>
          <w:sz w:val="24"/>
          <w:szCs w:val="24"/>
        </w:rPr>
        <w:t>c</w:t>
      </w:r>
      <w:r w:rsidR="003F143D" w:rsidRPr="004D6F74">
        <w:rPr>
          <w:rFonts w:ascii="Arial" w:hAnsi="Arial" w:cs="Arial"/>
          <w:color w:val="000000" w:themeColor="text1"/>
          <w:sz w:val="24"/>
          <w:szCs w:val="24"/>
        </w:rPr>
        <w:t>alcein A</w:t>
      </w:r>
      <w:r w:rsidR="00743B28" w:rsidRPr="004D6F74">
        <w:rPr>
          <w:rFonts w:ascii="Arial" w:hAnsi="Arial" w:cs="Arial"/>
          <w:color w:val="000000" w:themeColor="text1"/>
          <w:sz w:val="24"/>
          <w:szCs w:val="24"/>
        </w:rPr>
        <w:t>M</w:t>
      </w:r>
      <w:r w:rsidR="003F143D" w:rsidRPr="004D6F74">
        <w:rPr>
          <w:rFonts w:ascii="Arial" w:hAnsi="Arial" w:cs="Arial"/>
          <w:color w:val="000000" w:themeColor="text1"/>
          <w:sz w:val="24"/>
          <w:szCs w:val="24"/>
        </w:rPr>
        <w:t xml:space="preserve">, red: </w:t>
      </w:r>
      <w:r w:rsidR="00743B28" w:rsidRPr="004D6F74">
        <w:rPr>
          <w:rFonts w:ascii="Arial" w:hAnsi="Arial" w:cs="Arial"/>
          <w:color w:val="000000" w:themeColor="text1"/>
          <w:sz w:val="24"/>
          <w:szCs w:val="24"/>
        </w:rPr>
        <w:t>ethidium homodimer three</w:t>
      </w:r>
      <w:r w:rsidR="00FB0492" w:rsidRPr="004D6F74">
        <w:rPr>
          <w:rFonts w:ascii="Arial" w:hAnsi="Arial" w:cs="Arial"/>
          <w:color w:val="000000" w:themeColor="text1"/>
          <w:sz w:val="24"/>
          <w:szCs w:val="24"/>
        </w:rPr>
        <w:t xml:space="preserve"> (EthD-III)</w:t>
      </w:r>
      <w:r w:rsidR="00743B28" w:rsidRPr="004D6F74">
        <w:rPr>
          <w:rFonts w:ascii="Arial" w:hAnsi="Arial" w:cs="Arial"/>
          <w:color w:val="000000" w:themeColor="text1"/>
          <w:sz w:val="24"/>
          <w:szCs w:val="24"/>
        </w:rPr>
        <w:t>.</w:t>
      </w:r>
      <w:r w:rsidR="00807887" w:rsidRPr="004D6F74">
        <w:rPr>
          <w:rFonts w:ascii="Arial" w:hAnsi="Arial" w:cs="Arial"/>
          <w:color w:val="000000" w:themeColor="text1"/>
          <w:sz w:val="24"/>
          <w:szCs w:val="24"/>
        </w:rPr>
        <w:t xml:space="preserve"> </w:t>
      </w:r>
      <w:r w:rsidR="00FB0492" w:rsidRPr="004D6F74">
        <w:rPr>
          <w:rFonts w:ascii="Arial" w:hAnsi="Arial" w:cs="Arial"/>
          <w:color w:val="000000" w:themeColor="text1"/>
          <w:sz w:val="24"/>
          <w:szCs w:val="24"/>
        </w:rPr>
        <w:t xml:space="preserve">Live </w:t>
      </w:r>
      <w:r w:rsidR="007967B1">
        <w:rPr>
          <w:rFonts w:ascii="Arial" w:hAnsi="Arial" w:cs="Arial"/>
          <w:color w:val="000000" w:themeColor="text1"/>
          <w:sz w:val="24"/>
          <w:szCs w:val="24"/>
        </w:rPr>
        <w:t>cells</w:t>
      </w:r>
      <w:r w:rsidR="007967B1" w:rsidRPr="004D6F74">
        <w:rPr>
          <w:rFonts w:ascii="Arial" w:hAnsi="Arial" w:cs="Arial"/>
          <w:color w:val="000000" w:themeColor="text1"/>
          <w:sz w:val="24"/>
          <w:szCs w:val="24"/>
        </w:rPr>
        <w:t xml:space="preserve"> </w:t>
      </w:r>
      <w:r w:rsidR="00FB0492" w:rsidRPr="004D6F74">
        <w:rPr>
          <w:rFonts w:ascii="Arial" w:hAnsi="Arial" w:cs="Arial"/>
          <w:color w:val="000000" w:themeColor="text1"/>
          <w:sz w:val="24"/>
          <w:szCs w:val="24"/>
        </w:rPr>
        <w:t xml:space="preserve">were stained with calcein AM. Dead cells were stained with EthD-III. </w:t>
      </w:r>
      <w:r w:rsidR="002C749F">
        <w:rPr>
          <w:rFonts w:ascii="Arial" w:hAnsi="Arial" w:cs="Arial"/>
          <w:color w:val="000000" w:themeColor="text1"/>
          <w:sz w:val="24"/>
          <w:szCs w:val="24"/>
        </w:rPr>
        <w:t>Graphs representing</w:t>
      </w:r>
      <w:r w:rsidR="005B5FB3" w:rsidRPr="004D6F74">
        <w:rPr>
          <w:rFonts w:ascii="Arial" w:hAnsi="Arial" w:cs="Arial"/>
          <w:color w:val="000000" w:themeColor="text1"/>
          <w:sz w:val="24"/>
          <w:szCs w:val="24"/>
        </w:rPr>
        <w:t xml:space="preserve"> </w:t>
      </w:r>
      <w:r w:rsidR="00AC53B4">
        <w:rPr>
          <w:rFonts w:ascii="Arial" w:hAnsi="Arial" w:cs="Arial"/>
          <w:color w:val="000000" w:themeColor="text1"/>
          <w:sz w:val="24"/>
          <w:szCs w:val="24"/>
        </w:rPr>
        <w:t xml:space="preserve">(I) </w:t>
      </w:r>
      <w:r w:rsidR="00AD3C14">
        <w:rPr>
          <w:rFonts w:ascii="Arial" w:hAnsi="Arial" w:cs="Arial"/>
          <w:color w:val="000000" w:themeColor="text1"/>
          <w:sz w:val="24"/>
          <w:szCs w:val="24"/>
        </w:rPr>
        <w:t>c</w:t>
      </w:r>
      <w:r w:rsidR="005B5FB3" w:rsidRPr="004D6F74">
        <w:rPr>
          <w:rFonts w:ascii="Arial" w:hAnsi="Arial" w:cs="Arial"/>
          <w:color w:val="000000" w:themeColor="text1"/>
          <w:sz w:val="24"/>
          <w:szCs w:val="24"/>
        </w:rPr>
        <w:t>ell viability (number of live cells/ total number of cells)</w:t>
      </w:r>
      <w:r>
        <w:rPr>
          <w:rFonts w:ascii="Arial" w:hAnsi="Arial" w:cs="Arial"/>
          <w:color w:val="000000" w:themeColor="text1"/>
          <w:sz w:val="24"/>
          <w:szCs w:val="24"/>
        </w:rPr>
        <w:t xml:space="preserve"> and</w:t>
      </w:r>
      <w:r w:rsidR="00AC53B4">
        <w:rPr>
          <w:rFonts w:ascii="Arial" w:hAnsi="Arial" w:cs="Arial"/>
          <w:color w:val="000000" w:themeColor="text1"/>
          <w:sz w:val="24"/>
          <w:szCs w:val="24"/>
        </w:rPr>
        <w:t xml:space="preserve"> (J)</w:t>
      </w:r>
      <w:r>
        <w:rPr>
          <w:rFonts w:ascii="Arial" w:hAnsi="Arial" w:cs="Arial"/>
          <w:color w:val="000000" w:themeColor="text1"/>
          <w:sz w:val="24"/>
          <w:szCs w:val="24"/>
        </w:rPr>
        <w:t xml:space="preserve"> </w:t>
      </w:r>
      <w:r w:rsidR="00AC53B4">
        <w:rPr>
          <w:rFonts w:ascii="Arial" w:hAnsi="Arial" w:cs="Arial"/>
          <w:color w:val="000000" w:themeColor="text1"/>
          <w:sz w:val="24"/>
          <w:szCs w:val="24"/>
        </w:rPr>
        <w:t>cell area (average area</w:t>
      </w:r>
      <w:r w:rsidR="00D21D93">
        <w:rPr>
          <w:rFonts w:ascii="Arial" w:hAnsi="Arial" w:cs="Arial"/>
          <w:color w:val="000000" w:themeColor="text1"/>
          <w:sz w:val="24"/>
          <w:szCs w:val="24"/>
        </w:rPr>
        <w:t xml:space="preserve"> in mm</w:t>
      </w:r>
      <w:r w:rsidR="00D21D93" w:rsidRPr="00834360">
        <w:rPr>
          <w:rFonts w:ascii="Arial" w:hAnsi="Arial" w:cs="Arial"/>
          <w:i/>
          <w:iCs/>
          <w:color w:val="000000" w:themeColor="text1"/>
          <w:sz w:val="24"/>
          <w:szCs w:val="24"/>
          <w:vertAlign w:val="superscript"/>
        </w:rPr>
        <w:t>2</w:t>
      </w:r>
      <w:r w:rsidR="00AC53B4">
        <w:rPr>
          <w:rFonts w:ascii="Arial" w:hAnsi="Arial" w:cs="Arial"/>
          <w:color w:val="000000" w:themeColor="text1"/>
          <w:sz w:val="24"/>
          <w:szCs w:val="24"/>
        </w:rPr>
        <w:t xml:space="preserve"> of n=21 cells per </w:t>
      </w:r>
      <w:r w:rsidR="00770581">
        <w:rPr>
          <w:rFonts w:ascii="Arial" w:hAnsi="Arial" w:cs="Arial"/>
          <w:color w:val="000000" w:themeColor="text1"/>
          <w:sz w:val="24"/>
          <w:szCs w:val="24"/>
        </w:rPr>
        <w:t>condition</w:t>
      </w:r>
      <w:r w:rsidR="00AC53B4">
        <w:rPr>
          <w:rFonts w:ascii="Arial" w:hAnsi="Arial" w:cs="Arial"/>
          <w:color w:val="000000" w:themeColor="text1"/>
          <w:sz w:val="24"/>
          <w:szCs w:val="24"/>
        </w:rPr>
        <w:t>)</w:t>
      </w:r>
      <w:r w:rsidR="005B5FB3" w:rsidRPr="004D6F74">
        <w:rPr>
          <w:rFonts w:ascii="Arial" w:hAnsi="Arial" w:cs="Arial"/>
          <w:color w:val="000000" w:themeColor="text1"/>
          <w:sz w:val="24"/>
          <w:szCs w:val="24"/>
        </w:rPr>
        <w:t xml:space="preserve"> of HUVEC from the live dead assay. Viability was 100% for all conditions</w:t>
      </w:r>
      <w:r w:rsidR="00770581">
        <w:rPr>
          <w:rFonts w:ascii="Arial" w:hAnsi="Arial" w:cs="Arial"/>
          <w:color w:val="000000" w:themeColor="text1"/>
          <w:sz w:val="24"/>
          <w:szCs w:val="24"/>
        </w:rPr>
        <w:t>.</w:t>
      </w:r>
      <w:bookmarkEnd w:id="102"/>
      <w:r w:rsidR="00BB2D72">
        <w:rPr>
          <w:rFonts w:ascii="Arial" w:hAnsi="Arial" w:cs="Arial"/>
          <w:color w:val="000000" w:themeColor="text1"/>
          <w:sz w:val="24"/>
          <w:szCs w:val="24"/>
        </w:rPr>
        <w:t xml:space="preserve"> Cell area of no tantalum group was smaller than the </w:t>
      </w:r>
      <w:r w:rsidR="00152039">
        <w:rPr>
          <w:rFonts w:ascii="Arial" w:hAnsi="Arial" w:cs="Arial"/>
          <w:color w:val="000000" w:themeColor="text1"/>
          <w:sz w:val="24"/>
          <w:szCs w:val="24"/>
        </w:rPr>
        <w:t xml:space="preserve">cell area </w:t>
      </w:r>
      <w:r w:rsidR="00BB2D72">
        <w:rPr>
          <w:rFonts w:ascii="Arial" w:hAnsi="Arial" w:cs="Arial"/>
          <w:color w:val="000000" w:themeColor="text1"/>
          <w:sz w:val="24"/>
          <w:szCs w:val="24"/>
        </w:rPr>
        <w:t>of the tantalum group</w:t>
      </w:r>
      <w:r w:rsidR="00AB2A7B">
        <w:rPr>
          <w:rFonts w:ascii="Arial" w:hAnsi="Arial" w:cs="Arial"/>
          <w:color w:val="000000" w:themeColor="text1"/>
          <w:sz w:val="24"/>
          <w:szCs w:val="24"/>
        </w:rPr>
        <w:t xml:space="preserve"> and smaller than the control</w:t>
      </w:r>
      <w:r w:rsidR="00BB2D72">
        <w:rPr>
          <w:rFonts w:ascii="Arial" w:hAnsi="Arial" w:cs="Arial"/>
          <w:color w:val="000000" w:themeColor="text1"/>
          <w:sz w:val="24"/>
          <w:szCs w:val="24"/>
        </w:rPr>
        <w:t>.</w:t>
      </w:r>
    </w:p>
    <w:p w14:paraId="68235243" w14:textId="1180F99A" w:rsidR="00AF58F0" w:rsidRDefault="00AF58F0" w:rsidP="00525779">
      <w:pPr>
        <w:spacing w:after="0" w:line="480" w:lineRule="auto"/>
        <w:ind w:firstLine="720"/>
        <w:jc w:val="both"/>
      </w:pPr>
      <w:r>
        <w:rPr>
          <w:rFonts w:ascii="Arial" w:hAnsi="Arial" w:cs="Arial"/>
          <w:sz w:val="24"/>
          <w:szCs w:val="24"/>
        </w:rPr>
        <w:t xml:space="preserve">The cell viability (number of live cells/ total number of cells) of HUVEC from the live dead assay were 100% for all conditions. </w:t>
      </w:r>
    </w:p>
    <w:p w14:paraId="23F9E31F" w14:textId="50F46F59" w:rsidR="00DD76F3" w:rsidRDefault="009F085D" w:rsidP="00834360">
      <w:pPr>
        <w:pStyle w:val="Lgende"/>
        <w:spacing w:line="480" w:lineRule="auto"/>
        <w:jc w:val="both"/>
        <w:outlineLvl w:val="1"/>
      </w:pPr>
      <w:bookmarkStart w:id="104" w:name="_Toc77701681"/>
      <w:bookmarkStart w:id="105" w:name="_Toc106903240"/>
      <w:r w:rsidRPr="00834360">
        <w:rPr>
          <w:rFonts w:ascii="Arial" w:hAnsi="Arial" w:cs="Arial"/>
          <w:b/>
          <w:bCs/>
          <w:i w:val="0"/>
          <w:iCs w:val="0"/>
          <w:color w:val="auto"/>
          <w:sz w:val="24"/>
          <w:szCs w:val="24"/>
        </w:rPr>
        <w:t>2.4</w:t>
      </w:r>
      <w:r w:rsidR="001D53F7" w:rsidRPr="00834360">
        <w:rPr>
          <w:rFonts w:ascii="Arial" w:hAnsi="Arial" w:cs="Arial"/>
          <w:b/>
          <w:bCs/>
          <w:i w:val="0"/>
          <w:iCs w:val="0"/>
          <w:color w:val="auto"/>
          <w:sz w:val="24"/>
          <w:szCs w:val="24"/>
        </w:rPr>
        <w:t xml:space="preserve"> </w:t>
      </w:r>
      <w:r w:rsidR="001D53F7" w:rsidRPr="00AC0BA6">
        <w:rPr>
          <w:rFonts w:ascii="Arial" w:hAnsi="Arial" w:cs="Arial"/>
          <w:b/>
          <w:bCs/>
          <w:i w:val="0"/>
          <w:iCs w:val="0"/>
          <w:color w:val="auto"/>
          <w:sz w:val="24"/>
          <w:szCs w:val="24"/>
        </w:rPr>
        <w:t>Disc</w:t>
      </w:r>
      <w:r w:rsidR="00DE327E" w:rsidRPr="00AC0BA6">
        <w:rPr>
          <w:rFonts w:ascii="Arial" w:hAnsi="Arial" w:cs="Arial"/>
          <w:b/>
          <w:bCs/>
          <w:i w:val="0"/>
          <w:iCs w:val="0"/>
          <w:color w:val="auto"/>
          <w:sz w:val="24"/>
          <w:szCs w:val="24"/>
        </w:rPr>
        <w:t>ussion</w:t>
      </w:r>
      <w:bookmarkEnd w:id="104"/>
      <w:bookmarkEnd w:id="105"/>
    </w:p>
    <w:p w14:paraId="558F4F24" w14:textId="3BFA029E" w:rsidR="006A5C43" w:rsidRDefault="006A5C43" w:rsidP="009C7D50">
      <w:pPr>
        <w:spacing w:line="480" w:lineRule="auto"/>
        <w:ind w:firstLine="720"/>
        <w:jc w:val="both"/>
        <w:rPr>
          <w:rFonts w:ascii="Arial" w:hAnsi="Arial" w:cs="Arial"/>
          <w:sz w:val="24"/>
          <w:szCs w:val="24"/>
        </w:rPr>
      </w:pPr>
      <w:r w:rsidRPr="00C20D2B">
        <w:rPr>
          <w:rFonts w:ascii="Arial" w:hAnsi="Arial" w:cs="Arial"/>
          <w:sz w:val="24"/>
          <w:szCs w:val="24"/>
        </w:rPr>
        <w:lastRenderedPageBreak/>
        <w:t xml:space="preserve">Current </w:t>
      </w:r>
      <w:r>
        <w:rPr>
          <w:rFonts w:ascii="Arial" w:hAnsi="Arial" w:cs="Arial"/>
          <w:sz w:val="24"/>
          <w:szCs w:val="24"/>
        </w:rPr>
        <w:t xml:space="preserve"> brain aneurysm </w:t>
      </w:r>
      <w:r w:rsidRPr="00C20D2B">
        <w:rPr>
          <w:rFonts w:ascii="Arial" w:hAnsi="Arial" w:cs="Arial"/>
          <w:sz w:val="24"/>
          <w:szCs w:val="24"/>
        </w:rPr>
        <w:t>treatments</w:t>
      </w:r>
      <w:r>
        <w:rPr>
          <w:rFonts w:ascii="Arial" w:hAnsi="Arial" w:cs="Arial"/>
          <w:sz w:val="24"/>
          <w:szCs w:val="24"/>
        </w:rPr>
        <w:t>, such</w:t>
      </w:r>
      <w:r w:rsidRPr="00C20D2B">
        <w:rPr>
          <w:rFonts w:ascii="Arial" w:hAnsi="Arial" w:cs="Arial"/>
          <w:sz w:val="24"/>
          <w:szCs w:val="24"/>
        </w:rPr>
        <w:t xml:space="preserve"> as surgical clip and coils</w:t>
      </w:r>
      <w:r>
        <w:rPr>
          <w:rFonts w:ascii="Arial" w:hAnsi="Arial" w:cs="Arial"/>
          <w:sz w:val="24"/>
          <w:szCs w:val="24"/>
        </w:rPr>
        <w:t>,</w:t>
      </w:r>
      <w:r w:rsidRPr="00C20D2B">
        <w:rPr>
          <w:rFonts w:ascii="Arial" w:hAnsi="Arial" w:cs="Arial"/>
          <w:sz w:val="24"/>
          <w:szCs w:val="24"/>
        </w:rPr>
        <w:t xml:space="preserve"> allow</w:t>
      </w:r>
      <w:r>
        <w:rPr>
          <w:rFonts w:ascii="Arial" w:hAnsi="Arial" w:cs="Arial"/>
          <w:sz w:val="24"/>
          <w:szCs w:val="24"/>
        </w:rPr>
        <w:t xml:space="preserve"> only</w:t>
      </w:r>
      <w:r w:rsidRPr="00C20D2B">
        <w:rPr>
          <w:rFonts w:ascii="Arial" w:hAnsi="Arial" w:cs="Arial"/>
          <w:sz w:val="24"/>
          <w:szCs w:val="24"/>
        </w:rPr>
        <w:t xml:space="preserve"> partial aneurysm occlusion and partial blood vessel wall reconstruction and these treatments stay in the patient ad vitam, thus having a high risk of vessel wall inflammation</w:t>
      </w:r>
      <w:r w:rsidRPr="00C20D2B">
        <w:rPr>
          <w:rFonts w:ascii="Arial" w:hAnsi="Arial" w:cs="Arial"/>
          <w:sz w:val="24"/>
          <w:szCs w:val="24"/>
        </w:rPr>
        <w:fldChar w:fldCharType="begin"/>
      </w:r>
      <w:r w:rsidR="005B4F59">
        <w:rPr>
          <w:rFonts w:ascii="Arial" w:hAnsi="Arial" w:cs="Arial"/>
          <w:sz w:val="24"/>
          <w:szCs w:val="24"/>
        </w:rPr>
        <w:instrText xml:space="preserve"> ADDIN ZOTERO_ITEM CSL_CITATION {"citationID":"pNWf2tEP","properties":{"formattedCitation":"\\super 4,25,32\\nosupersub{}","plainCitation":"4,25,32","noteIndex":0},"citationItems":[{"id":6,"uris":["http://zotero.org/users/6508478/items/JVVJZL89"],"itemData":{"id":6,"type":"article-journal","abstract":"BACKGROUND: Previous analyses of the International Subarachnoid Aneurysm Trial (ISAT) cohort have reported on the risks of recurrent subarachnoid haemorrhage and death or dependency for a minimum of 5 years and up to a maximum of 14 years after treatment of a ruptured intracranial aneurysm with either neurosurgical clipping or endovascular coiling. At 1 year there was a 7% absolute and a 24% relative risk reduction of death and dependency in the coiling group compared with the clipping group, but the medium-term results showed the increased need for re-treatment of the target aneurysm in the patients given coiling. We report the long-term follow-up of patients in this UK cohort.\nMETHODS: In ISAT, patients were randomly allocated to either neurosurgical clipping or endovascular coiling after a subarachnoid haemorrhage, assuming treatment equipoise, between Sept 12, 1994, and May 1, 2002. We followed up 1644 patients in 22 UK neurosurgical centres for death and clinical outcomes for 10·0-18·5 years. We assessed dependency as self-reported modified Rankin scale score obtained through yearly questionnaires. Data for recurrent aneurysms and rebleeding events were collected from questionnaires and from hospital and general practitioner records. The Office for National Statistics supplied data on deaths. This study is registered, number ISRCTN49866681.\nFINDINGS: At 10 years, 674 (83%) of 809 patients allocated endovascular coiling and 657 (79%) of 835 patients allocated neurosurgical clipping were alive (odds ratio [OR] 1·35, 95% CI 1·06-1·73). Of 1003 individuals who returned a questionnaire at 10 years, 435 (82%) patients treated with endovascular coiling and 370 (78%) patients treated with neurosurgical clipping were independent (modified Rankin scale score 0-2; OR 1·25; 95% CI 0·92-1·71). Patients in the endovascular treatment group were more likely to be alive and independent at 10 years than were patients in the neurosurgery group (OR 1·34, 95% CI 1·07-1·67). 33 patients had a recurrent subarachnoid haemorrhage more than 1 year after their initial haemorrhage (17 from the target aneurysm).\nINTERPRETATION: Although rates of increased dependency alone did not differ between groups, the probability of death or dependency was significantly greater in the neurosurgical group than in the endovascular group. Rebleeding was more likely after endovascular coiling than after neurosurgical clipping, but the risk was small and the probability of disability-free survival was significantly greater in the endovascular group than in the neurosurgical group at 10 years.\nFUNDING: UK Medical Research Council.","container-title":"Lancet (London, England)","DOI":"10.1016/S0140-6736(14)60975-2","ISSN":"1474-547X","issue":"9969","journalAbbreviation":"Lancet","language":"eng","note":"PMID: 25465111\nPMCID: PMC4356153","page":"691-697","source":"PubMed","title":"The durability of endovascular coiling versus neurosurgical clipping of ruptured cerebral aneurysms: 18 year follow-up of the UK cohort of the International Subarachnoid Aneurysm Trial (ISAT)","title-short":"The durability of endovascular coiling versus neurosurgical clipping of ruptured cerebral aneurysms","volume":"385","author":[{"family":"Molyneux","given":"Andrew J."},{"family":"Birks","given":"Jacqueline"},{"family":"Clarke","given":"Alison"},{"family":"Sneade","given":"Mary"},{"family":"Kerr","given":"Richard S. C."}],"issued":{"date-parts":[["2015",2,21]]}}},{"id":45,"uris":["http://zotero.org/users/6508478/items/MX5VEDG7"],"itemData":{"id":45,"type":"article-journal","abstract":"Intracranial aneurysm is a leading cause of stroke. Its treatment has evolved over the past 2 decades. This review summarizes the treatment strategies for intracranial aneurysms from 3 different perspectives: open surgery approach, transluminal treatment approach, and new technologies being used or trialed. We introduce most of the available treatment techniques in detail, including contralateral clipping, wrapping and clipping, double catheters assisting coiling and waffle-cone technique, and so on. Data from major trials such as Analysis of Treatment by Endovascular approach of Non-ruptured Aneurysms (ATENA), Internal Subarachnoid Trial (ISAT), Clinical and Anatomical Results in the Treatment of Ruptured Intracranial Aneurysms (CLARITY), and Barrow Ruptured Aneurysm Trial (BRAT) as well as information from other clinical reports and local experience are reviewed to suggest a clinical pathway for treating different types of intracranial aneurysms. It will be a valuable supplement to the current existing guidelines. We hope it could help assisting real-time decision-making in clinical practices and also encourage advancements in managing the disease.","container-title":"Angiology","DOI":"10.1177/0003319717700503","ISSN":"0003-3197","issue":"1","journalAbbreviation":"Angiology","language":"en","page":"17-30","source":"SAGE Journals","title":"Current Treatment Strategies for Intracranial Aneurysms: An Overview","title-short":"Current Treatment Strategies for Intracranial Aneurysms","volume":"69","author":[{"family":"Zhao","given":"Junjie"},{"family":"Lin","given":"Hao"},{"family":"Summers","given":"Richard"},{"family":"Yang","given":"Mingmin"},{"family":"Cousins","given":"Brian G."},{"family":"Tsui","given":"Janice"}],"issued":{"date-parts":[["2018",1,1]]}}},{"id":1,"uris":["http://zotero.org/users/6508478/items/4A727H54"],"itemData":{"id":1,"type":"article-journal","abstract":"Background Flow diversion (FD) has emerged as superior minimally invasive therapy for cerebral aneurysms. However, aneurysms of small peripheral vessel segments have not yet been adequately treatable. More specifically, currently established devices necessitate large microcatheters which impede atraumatic maneuvering. The Silk Vista Baby (SVB), a novel flow diverter, offers the as yet unique feature of deliverability via a 0.017 inch microcatheter. This study reports our first experience with the SVB in challenging intracranial vessels employing a vessel-specific tailored microcatheter strategy.\nMaterials and methods 25 patients (27 aneurysms) were prospectively included. A total of 30 SVBs were employed, predominantly targeting demanding aneurysms of the anterior communicating artery complex. The efficacy of the FD was assessed using two-dimensional vector-based perfusion and conventional digital subtraction angiography (DSA) after implantation and at the first follow-up at 3 months. The first follow-up was available in 22 patients.\nResults All devices were implanted without technical or clinical complications. Eleven treatments were performed using the recommended Headway 17. In 14 interventions the even more maneuverable Excelsior SL10 was used, which was previously tried and tested for safety ’in vitro’ as an alternative delivery system. Aneurysmal influx was strongly reduced after implantation. All parent vessels remained patent. 17/27 aneurysms were completely occluded at first follow-up (</w:instrText>
      </w:r>
      <w:r w:rsidR="005B4F59">
        <w:rPr>
          <w:rFonts w:ascii="Cambria Math" w:hAnsi="Cambria Math" w:cs="Cambria Math"/>
          <w:sz w:val="24"/>
          <w:szCs w:val="24"/>
        </w:rPr>
        <w:instrText>∼</w:instrText>
      </w:r>
      <w:r w:rsidR="005B4F59">
        <w:rPr>
          <w:rFonts w:ascii="Arial" w:hAnsi="Arial" w:cs="Arial"/>
          <w:sz w:val="24"/>
          <w:szCs w:val="24"/>
        </w:rPr>
        <w:instrText xml:space="preserve">2.7 months), 6/27 aneurysms showed decreased influx or delayed washout and one remained unchanged. In three cases follow-up DSAs are remaining.\nConclusions SVB provides enhanced controllability in vulnerable segments beyond the circle of Willis. Smaller variants (2.25 mm and 2.75 mm) can safely be implanted via the superiorly navigable Excelsior SL10. Hence, the SVB represents the next evolutionary step in minimally invasive treatment of cerebral aneurysms.","container-title":"Journal of NeuroInterventional Surgery","DOI":"10.1136/neurintsurg-2019-014840","ISSN":"1759-8478, 1759-8486","issue":"12","language":"en","note":"PMID: 31088939","page":"1227-1234","source":"jnis.bmj.com","title":"Flow diversion beyond the circle of Willis: endovascular aneurysm treatment in peripheral cerebral arteries employing a novel low-profile flow diverting stent","title-short":"Flow diversion beyond the circle of Willis","volume":"11","author":[{"family":"Schob","given":"Stefan"},{"family":"Hoffmann","given":"Karl-Titus"},{"family":"Richter","given":"Cindy"},{"family":"Bhogal","given":"Pervinder"},{"family":"Köhlert","given":"Katharina"},{"family":"Planitzer","given":"Uwe"},{"family":"Ziganshyna","given":"Svitlana"},{"family":"Lindner","given":"Dirk"},{"family":"Scherlach","given":"Cordula"},{"family":"Nestler","given":"Ulf"},{"family":"Meixensberger","given":"Jürgen"},{"family":"Quäschling","given":"Ulf"}],"issued":{"date-parts":[["2019",12,1]]}}}],"schema":"https://github.com/citation-style-language/schema/raw/master/csl-citation.json"} </w:instrText>
      </w:r>
      <w:r w:rsidRPr="00C20D2B">
        <w:rPr>
          <w:rFonts w:ascii="Arial" w:hAnsi="Arial" w:cs="Arial"/>
          <w:sz w:val="24"/>
          <w:szCs w:val="24"/>
        </w:rPr>
        <w:fldChar w:fldCharType="separate"/>
      </w:r>
      <w:r w:rsidRPr="00766016">
        <w:rPr>
          <w:rFonts w:ascii="Arial" w:hAnsi="Arial" w:cs="Arial"/>
          <w:sz w:val="24"/>
          <w:szCs w:val="24"/>
          <w:vertAlign w:val="superscript"/>
        </w:rPr>
        <w:t>4,25,32</w:t>
      </w:r>
      <w:r w:rsidRPr="00C20D2B">
        <w:rPr>
          <w:rFonts w:ascii="Arial" w:hAnsi="Arial" w:cs="Arial"/>
          <w:sz w:val="24"/>
          <w:szCs w:val="24"/>
        </w:rPr>
        <w:fldChar w:fldCharType="end"/>
      </w:r>
      <w:r w:rsidRPr="00C20D2B">
        <w:rPr>
          <w:rFonts w:ascii="Arial" w:hAnsi="Arial" w:cs="Arial"/>
          <w:sz w:val="24"/>
          <w:szCs w:val="24"/>
        </w:rPr>
        <w:t>.</w:t>
      </w:r>
      <w:r w:rsidR="004A6AD4">
        <w:rPr>
          <w:rFonts w:ascii="Arial" w:hAnsi="Arial" w:cs="Arial"/>
          <w:sz w:val="24"/>
          <w:szCs w:val="24"/>
        </w:rPr>
        <w:t xml:space="preserve"> </w:t>
      </w:r>
      <w:r>
        <w:rPr>
          <w:rFonts w:ascii="Arial" w:hAnsi="Arial" w:cs="Arial"/>
          <w:sz w:val="24"/>
          <w:szCs w:val="24"/>
        </w:rPr>
        <w:t>To address these issues, o</w:t>
      </w:r>
      <w:r w:rsidRPr="00C20D2B">
        <w:rPr>
          <w:rFonts w:ascii="Arial" w:hAnsi="Arial" w:cs="Arial"/>
          <w:sz w:val="24"/>
          <w:szCs w:val="24"/>
        </w:rPr>
        <w:t>ur approach is</w:t>
      </w:r>
      <w:r w:rsidRPr="00EB056A">
        <w:rPr>
          <w:rFonts w:ascii="Arial" w:hAnsi="Arial" w:cs="Arial"/>
          <w:sz w:val="24"/>
          <w:szCs w:val="24"/>
        </w:rPr>
        <w:t xml:space="preserve"> catheter-based delivery of an injectable, biodegradable, hyaluronic acid-based material that is compatible with radiographic and magnetic resonance medical imaging techniques</w:t>
      </w:r>
      <w:r>
        <w:rPr>
          <w:rFonts w:ascii="Arial" w:hAnsi="Arial" w:cs="Arial"/>
          <w:sz w:val="24"/>
          <w:szCs w:val="24"/>
        </w:rPr>
        <w:t>,</w:t>
      </w:r>
      <w:r w:rsidRPr="00EB056A">
        <w:rPr>
          <w:rFonts w:ascii="Arial" w:hAnsi="Arial" w:cs="Arial"/>
          <w:sz w:val="24"/>
          <w:szCs w:val="24"/>
        </w:rPr>
        <w:t xml:space="preserve"> </w:t>
      </w:r>
      <w:r>
        <w:rPr>
          <w:rFonts w:ascii="Arial" w:hAnsi="Arial" w:cs="Arial"/>
          <w:sz w:val="24"/>
          <w:szCs w:val="24"/>
        </w:rPr>
        <w:t>that</w:t>
      </w:r>
      <w:r w:rsidRPr="00EB056A">
        <w:rPr>
          <w:rFonts w:ascii="Arial" w:hAnsi="Arial" w:cs="Arial"/>
          <w:sz w:val="24"/>
          <w:szCs w:val="24"/>
        </w:rPr>
        <w:t xml:space="preserve"> can be used to plug saccular brain </w:t>
      </w:r>
      <w:r w:rsidRPr="00542C05">
        <w:rPr>
          <w:rFonts w:ascii="Arial" w:hAnsi="Arial" w:cs="Arial"/>
          <w:sz w:val="24"/>
          <w:szCs w:val="24"/>
        </w:rPr>
        <w:t xml:space="preserve">aneurysms and </w:t>
      </w:r>
      <w:r w:rsidRPr="00EB056A">
        <w:rPr>
          <w:rFonts w:ascii="Arial" w:hAnsi="Arial" w:cs="Arial"/>
          <w:sz w:val="24"/>
          <w:szCs w:val="24"/>
        </w:rPr>
        <w:t>induce</w:t>
      </w:r>
      <w:r>
        <w:rPr>
          <w:rFonts w:ascii="Arial" w:hAnsi="Arial" w:cs="Arial"/>
          <w:sz w:val="24"/>
          <w:szCs w:val="24"/>
        </w:rPr>
        <w:t>s</w:t>
      </w:r>
      <w:r w:rsidRPr="00EB056A">
        <w:rPr>
          <w:rFonts w:ascii="Arial" w:hAnsi="Arial" w:cs="Arial"/>
          <w:sz w:val="24"/>
          <w:szCs w:val="24"/>
        </w:rPr>
        <w:t xml:space="preserve"> vascular regeneration.</w:t>
      </w:r>
      <w:r w:rsidR="004A6AD4">
        <w:rPr>
          <w:rFonts w:ascii="Arial" w:hAnsi="Arial" w:cs="Arial"/>
          <w:sz w:val="24"/>
          <w:szCs w:val="24"/>
        </w:rPr>
        <w:t xml:space="preserve"> </w:t>
      </w:r>
      <w:r>
        <w:rPr>
          <w:rFonts w:ascii="Arial" w:hAnsi="Arial" w:cs="Arial"/>
          <w:sz w:val="24"/>
          <w:szCs w:val="24"/>
        </w:rPr>
        <w:t>In these studies, pentanoate hyaluronic acid was synthesized, characterized with proton NMR, and crosslinked into 5, 7.5, and 10% PHA hydrogels.</w:t>
      </w:r>
      <w:r w:rsidR="00DF287C">
        <w:rPr>
          <w:rFonts w:ascii="Arial" w:hAnsi="Arial" w:cs="Arial"/>
          <w:sz w:val="24"/>
          <w:szCs w:val="24"/>
        </w:rPr>
        <w:t xml:space="preserve"> </w:t>
      </w:r>
      <w:r w:rsidR="001B6FD5">
        <w:rPr>
          <w:rFonts w:ascii="Arial" w:hAnsi="Arial" w:cs="Arial"/>
          <w:sz w:val="24"/>
          <w:szCs w:val="24"/>
        </w:rPr>
        <w:t xml:space="preserve">Flow through a 1 mm of diameter catheter of liquid 5 and 7.5% PHA solutions with and without 50 mg of tantalum powder per gram of PHA was laminar, whereas flow of liquid 10% PHA solutions with and without tantalum was turbulent and slow. </w:t>
      </w:r>
      <w:r w:rsidR="009B3D3A">
        <w:rPr>
          <w:rFonts w:ascii="Arial" w:hAnsi="Arial" w:cs="Arial"/>
          <w:sz w:val="24"/>
          <w:szCs w:val="24"/>
        </w:rPr>
        <w:t xml:space="preserve">To enable the visibility of PHA hydrogels in patients, tantalum powder was added inside the hydrogels. X-rays confirmed that 50 mg of tantalum powder per gram of PHA allowed the gels to be seen under PLA and ballistic gels simulating brain tissues and the skull. </w:t>
      </w:r>
      <w:r>
        <w:rPr>
          <w:rFonts w:ascii="Arial" w:hAnsi="Arial" w:cs="Arial"/>
          <w:sz w:val="24"/>
          <w:szCs w:val="24"/>
        </w:rPr>
        <w:t xml:space="preserve">The compressive </w:t>
      </w:r>
      <w:r w:rsidR="008E39A9">
        <w:rPr>
          <w:rFonts w:ascii="Arial" w:hAnsi="Arial" w:cs="Arial"/>
          <w:sz w:val="24"/>
          <w:szCs w:val="24"/>
        </w:rPr>
        <w:t xml:space="preserve">elastic </w:t>
      </w:r>
      <w:r>
        <w:rPr>
          <w:rFonts w:ascii="Arial" w:hAnsi="Arial" w:cs="Arial"/>
          <w:sz w:val="24"/>
          <w:szCs w:val="24"/>
        </w:rPr>
        <w:t xml:space="preserve">moduli of </w:t>
      </w:r>
      <w:r w:rsidR="00E43849">
        <w:rPr>
          <w:rFonts w:ascii="Arial" w:hAnsi="Arial" w:cs="Arial"/>
          <w:sz w:val="24"/>
          <w:szCs w:val="24"/>
        </w:rPr>
        <w:t>5</w:t>
      </w:r>
      <w:r w:rsidR="00174061">
        <w:rPr>
          <w:rFonts w:ascii="Arial" w:hAnsi="Arial" w:cs="Arial"/>
          <w:sz w:val="24"/>
          <w:szCs w:val="24"/>
        </w:rPr>
        <w:t xml:space="preserve"> </w:t>
      </w:r>
      <w:r w:rsidR="00E43849">
        <w:rPr>
          <w:rFonts w:ascii="Arial" w:hAnsi="Arial" w:cs="Arial"/>
          <w:sz w:val="24"/>
          <w:szCs w:val="24"/>
        </w:rPr>
        <w:t>wt%, 7.5</w:t>
      </w:r>
      <w:r w:rsidR="00174061">
        <w:rPr>
          <w:rFonts w:ascii="Arial" w:hAnsi="Arial" w:cs="Arial"/>
          <w:sz w:val="24"/>
          <w:szCs w:val="24"/>
        </w:rPr>
        <w:t xml:space="preserve"> </w:t>
      </w:r>
      <w:r w:rsidR="00E43849">
        <w:rPr>
          <w:rFonts w:ascii="Arial" w:hAnsi="Arial" w:cs="Arial"/>
          <w:sz w:val="24"/>
          <w:szCs w:val="24"/>
        </w:rPr>
        <w:t>wt%, and 10</w:t>
      </w:r>
      <w:r w:rsidR="00174061">
        <w:rPr>
          <w:rFonts w:ascii="Arial" w:hAnsi="Arial" w:cs="Arial"/>
          <w:sz w:val="24"/>
          <w:szCs w:val="24"/>
        </w:rPr>
        <w:t xml:space="preserve"> </w:t>
      </w:r>
      <w:r w:rsidR="00E43849">
        <w:rPr>
          <w:rFonts w:ascii="Arial" w:hAnsi="Arial" w:cs="Arial"/>
          <w:sz w:val="24"/>
          <w:szCs w:val="24"/>
        </w:rPr>
        <w:t xml:space="preserve">wt% PHA </w:t>
      </w:r>
      <w:r>
        <w:rPr>
          <w:rFonts w:ascii="Arial" w:hAnsi="Arial" w:cs="Arial"/>
          <w:sz w:val="24"/>
          <w:szCs w:val="24"/>
        </w:rPr>
        <w:t>hydrogels exhibited increasing moduli with increasing weight percentages</w:t>
      </w:r>
      <w:r w:rsidR="0051318F">
        <w:rPr>
          <w:rFonts w:ascii="Arial" w:hAnsi="Arial" w:cs="Arial"/>
          <w:sz w:val="24"/>
          <w:szCs w:val="24"/>
        </w:rPr>
        <w:t xml:space="preserve"> and were</w:t>
      </w:r>
      <w:r w:rsidR="00E43849">
        <w:rPr>
          <w:rFonts w:ascii="Arial" w:hAnsi="Arial" w:cs="Arial"/>
          <w:sz w:val="24"/>
          <w:szCs w:val="24"/>
        </w:rPr>
        <w:t xml:space="preserve"> respectively</w:t>
      </w:r>
      <w:r w:rsidR="0051318F">
        <w:rPr>
          <w:rFonts w:ascii="Arial" w:hAnsi="Arial" w:cs="Arial"/>
          <w:sz w:val="24"/>
          <w:szCs w:val="24"/>
        </w:rPr>
        <w:t xml:space="preserve"> </w:t>
      </w:r>
      <w:r w:rsidR="009C7D50" w:rsidRPr="009C7D50">
        <w:rPr>
          <w:rFonts w:ascii="Arial" w:hAnsi="Arial" w:cs="Arial"/>
          <w:sz w:val="24"/>
          <w:szCs w:val="24"/>
        </w:rPr>
        <w:t xml:space="preserve">48 ± 15, 68 ± 13, and 97 ± 12 kPa </w:t>
      </w:r>
      <w:r w:rsidR="00BD58F5">
        <w:rPr>
          <w:rFonts w:ascii="Arial" w:hAnsi="Arial" w:cs="Arial"/>
          <w:sz w:val="24"/>
          <w:szCs w:val="24"/>
        </w:rPr>
        <w:t xml:space="preserve">for the no </w:t>
      </w:r>
      <w:r w:rsidR="00E43849">
        <w:rPr>
          <w:rFonts w:ascii="Arial" w:hAnsi="Arial" w:cs="Arial"/>
          <w:sz w:val="24"/>
          <w:szCs w:val="24"/>
        </w:rPr>
        <w:t>tantalum</w:t>
      </w:r>
      <w:r w:rsidR="00BD58F5">
        <w:rPr>
          <w:rFonts w:ascii="Arial" w:hAnsi="Arial" w:cs="Arial"/>
          <w:sz w:val="24"/>
          <w:szCs w:val="24"/>
        </w:rPr>
        <w:t xml:space="preserve"> group, and </w:t>
      </w:r>
      <w:r w:rsidR="009C7D50" w:rsidRPr="009C7D50">
        <w:rPr>
          <w:rFonts w:ascii="Arial" w:hAnsi="Arial" w:cs="Arial"/>
          <w:sz w:val="24"/>
          <w:szCs w:val="24"/>
        </w:rPr>
        <w:t>42 ± 7, 58 ± 10, and 75 ± 22 kPa</w:t>
      </w:r>
      <w:r w:rsidR="009C7D50">
        <w:rPr>
          <w:rFonts w:ascii="Arial" w:hAnsi="Arial" w:cs="Arial"/>
          <w:sz w:val="24"/>
          <w:szCs w:val="24"/>
        </w:rPr>
        <w:t xml:space="preserve"> </w:t>
      </w:r>
      <w:r w:rsidR="00BD58F5">
        <w:rPr>
          <w:rFonts w:ascii="Arial" w:hAnsi="Arial" w:cs="Arial"/>
          <w:sz w:val="24"/>
          <w:szCs w:val="24"/>
        </w:rPr>
        <w:t>for the tantalum group</w:t>
      </w:r>
      <w:r>
        <w:rPr>
          <w:rFonts w:ascii="Arial" w:hAnsi="Arial" w:cs="Arial"/>
          <w:sz w:val="24"/>
          <w:szCs w:val="24"/>
        </w:rPr>
        <w:t>.</w:t>
      </w:r>
      <w:r>
        <w:rPr>
          <w:rFonts w:ascii="Arial" w:hAnsi="Arial" w:cs="Arial"/>
          <w:b/>
          <w:bCs/>
        </w:rPr>
        <w:t xml:space="preserve"> </w:t>
      </w:r>
      <w:r w:rsidR="004A6AD4">
        <w:rPr>
          <w:rFonts w:ascii="Arial" w:hAnsi="Arial" w:cs="Arial"/>
          <w:sz w:val="24"/>
          <w:szCs w:val="24"/>
        </w:rPr>
        <w:t>V</w:t>
      </w:r>
      <w:r w:rsidRPr="00DE4E6A">
        <w:rPr>
          <w:rFonts w:ascii="Arial" w:hAnsi="Arial" w:cs="Arial"/>
          <w:sz w:val="24"/>
          <w:szCs w:val="24"/>
        </w:rPr>
        <w:t>iability of HUVEC</w:t>
      </w:r>
      <w:r w:rsidR="004A6AD4">
        <w:rPr>
          <w:rFonts w:ascii="Arial" w:hAnsi="Arial" w:cs="Arial"/>
          <w:sz w:val="24"/>
          <w:szCs w:val="24"/>
        </w:rPr>
        <w:t>s</w:t>
      </w:r>
      <w:r w:rsidRPr="00DE4E6A">
        <w:rPr>
          <w:rFonts w:ascii="Arial" w:hAnsi="Arial" w:cs="Arial"/>
          <w:sz w:val="24"/>
          <w:szCs w:val="24"/>
        </w:rPr>
        <w:t xml:space="preserve"> at 24 hours in vascular cell medi</w:t>
      </w:r>
      <w:r w:rsidR="00A118E6">
        <w:rPr>
          <w:rFonts w:ascii="Arial" w:hAnsi="Arial" w:cs="Arial"/>
          <w:sz w:val="24"/>
          <w:szCs w:val="24"/>
        </w:rPr>
        <w:t>um</w:t>
      </w:r>
      <w:r w:rsidRPr="00DE4E6A">
        <w:rPr>
          <w:rFonts w:ascii="Arial" w:hAnsi="Arial" w:cs="Arial"/>
          <w:sz w:val="24"/>
          <w:szCs w:val="24"/>
        </w:rPr>
        <w:t xml:space="preserve"> infused with </w:t>
      </w:r>
      <w:r w:rsidRPr="00E650C6">
        <w:rPr>
          <w:rFonts w:ascii="Arial" w:hAnsi="Arial" w:cs="Arial"/>
          <w:sz w:val="24"/>
          <w:szCs w:val="24"/>
        </w:rPr>
        <w:t>5</w:t>
      </w:r>
      <w:r w:rsidR="00174061">
        <w:rPr>
          <w:rFonts w:ascii="Arial" w:hAnsi="Arial" w:cs="Arial"/>
          <w:sz w:val="24"/>
          <w:szCs w:val="24"/>
        </w:rPr>
        <w:t xml:space="preserve"> </w:t>
      </w:r>
      <w:r w:rsidR="004A6AD4">
        <w:rPr>
          <w:rFonts w:ascii="Arial" w:hAnsi="Arial" w:cs="Arial"/>
          <w:sz w:val="24"/>
          <w:szCs w:val="24"/>
        </w:rPr>
        <w:t>wt%</w:t>
      </w:r>
      <w:r w:rsidRPr="00E650C6">
        <w:rPr>
          <w:rFonts w:ascii="Arial" w:hAnsi="Arial" w:cs="Arial"/>
          <w:sz w:val="24"/>
          <w:szCs w:val="24"/>
        </w:rPr>
        <w:t>, 7.5</w:t>
      </w:r>
      <w:r w:rsidR="00174061">
        <w:rPr>
          <w:rFonts w:ascii="Arial" w:hAnsi="Arial" w:cs="Arial"/>
          <w:sz w:val="24"/>
          <w:szCs w:val="24"/>
        </w:rPr>
        <w:t xml:space="preserve"> </w:t>
      </w:r>
      <w:r w:rsidR="004A6AD4">
        <w:rPr>
          <w:rFonts w:ascii="Arial" w:hAnsi="Arial" w:cs="Arial"/>
          <w:sz w:val="24"/>
          <w:szCs w:val="24"/>
        </w:rPr>
        <w:t>wt%</w:t>
      </w:r>
      <w:r w:rsidRPr="00E650C6">
        <w:rPr>
          <w:rFonts w:ascii="Arial" w:hAnsi="Arial" w:cs="Arial"/>
          <w:sz w:val="24"/>
          <w:szCs w:val="24"/>
        </w:rPr>
        <w:t>, and 10</w:t>
      </w:r>
      <w:r w:rsidR="00174061">
        <w:rPr>
          <w:rFonts w:ascii="Arial" w:hAnsi="Arial" w:cs="Arial"/>
          <w:sz w:val="24"/>
          <w:szCs w:val="24"/>
        </w:rPr>
        <w:t xml:space="preserve"> </w:t>
      </w:r>
      <w:r w:rsidR="004A6AD4">
        <w:rPr>
          <w:rFonts w:ascii="Arial" w:hAnsi="Arial" w:cs="Arial"/>
          <w:sz w:val="24"/>
          <w:szCs w:val="24"/>
        </w:rPr>
        <w:t>wt</w:t>
      </w:r>
      <w:r w:rsidRPr="00E650C6">
        <w:rPr>
          <w:rFonts w:ascii="Arial" w:hAnsi="Arial" w:cs="Arial"/>
          <w:sz w:val="24"/>
          <w:szCs w:val="24"/>
        </w:rPr>
        <w:t xml:space="preserve">% </w:t>
      </w:r>
      <w:r w:rsidRPr="00DE4E6A">
        <w:rPr>
          <w:rFonts w:ascii="Arial" w:hAnsi="Arial" w:cs="Arial"/>
          <w:sz w:val="24"/>
          <w:szCs w:val="24"/>
        </w:rPr>
        <w:t>PHA</w:t>
      </w:r>
      <w:r>
        <w:rPr>
          <w:rFonts w:ascii="Arial" w:hAnsi="Arial" w:cs="Arial"/>
          <w:sz w:val="24"/>
          <w:szCs w:val="24"/>
        </w:rPr>
        <w:t xml:space="preserve"> </w:t>
      </w:r>
      <w:r w:rsidRPr="00DE4E6A">
        <w:rPr>
          <w:rFonts w:ascii="Arial" w:hAnsi="Arial" w:cs="Arial"/>
          <w:sz w:val="24"/>
          <w:szCs w:val="24"/>
        </w:rPr>
        <w:t>hydrogels</w:t>
      </w:r>
      <w:r>
        <w:rPr>
          <w:rFonts w:ascii="Arial" w:hAnsi="Arial" w:cs="Arial"/>
          <w:sz w:val="24"/>
          <w:szCs w:val="24"/>
        </w:rPr>
        <w:t>,</w:t>
      </w:r>
      <w:r w:rsidRPr="00DE4E6A">
        <w:rPr>
          <w:rFonts w:ascii="Arial" w:hAnsi="Arial" w:cs="Arial"/>
          <w:sz w:val="24"/>
          <w:szCs w:val="24"/>
        </w:rPr>
        <w:t xml:space="preserve"> </w:t>
      </w:r>
      <w:r>
        <w:rPr>
          <w:rFonts w:ascii="Arial" w:hAnsi="Arial" w:cs="Arial"/>
          <w:sz w:val="24"/>
          <w:szCs w:val="24"/>
        </w:rPr>
        <w:t>without and with 50 mg of tantalum powder per gram of PHA,</w:t>
      </w:r>
      <w:r w:rsidRPr="00DE4E6A">
        <w:rPr>
          <w:rFonts w:ascii="Arial" w:hAnsi="Arial" w:cs="Arial"/>
          <w:sz w:val="24"/>
          <w:szCs w:val="24"/>
        </w:rPr>
        <w:t xml:space="preserve"> </w:t>
      </w:r>
      <w:r w:rsidR="00A30781">
        <w:rPr>
          <w:rFonts w:ascii="Arial" w:hAnsi="Arial" w:cs="Arial"/>
          <w:sz w:val="24"/>
          <w:szCs w:val="24"/>
        </w:rPr>
        <w:t>was</w:t>
      </w:r>
      <w:r w:rsidR="004A6AD4" w:rsidRPr="00DE4E6A">
        <w:rPr>
          <w:rFonts w:ascii="Arial" w:hAnsi="Arial" w:cs="Arial"/>
          <w:sz w:val="24"/>
          <w:szCs w:val="24"/>
        </w:rPr>
        <w:t xml:space="preserve"> </w:t>
      </w:r>
      <w:r w:rsidRPr="00DE4E6A">
        <w:rPr>
          <w:rFonts w:ascii="Arial" w:hAnsi="Arial" w:cs="Arial"/>
          <w:sz w:val="24"/>
          <w:szCs w:val="24"/>
        </w:rPr>
        <w:t>100%.</w:t>
      </w:r>
      <w:r>
        <w:rPr>
          <w:rFonts w:ascii="Arial" w:hAnsi="Arial" w:cs="Arial"/>
          <w:sz w:val="24"/>
          <w:szCs w:val="24"/>
        </w:rPr>
        <w:t xml:space="preserve"> </w:t>
      </w:r>
    </w:p>
    <w:p w14:paraId="6667172F" w14:textId="1BF434DB" w:rsidR="004A6AD4" w:rsidRDefault="007B301D" w:rsidP="00DB24F0">
      <w:pPr>
        <w:spacing w:line="480" w:lineRule="auto"/>
        <w:ind w:firstLine="720"/>
        <w:jc w:val="both"/>
        <w:rPr>
          <w:rFonts w:ascii="Arial" w:hAnsi="Arial" w:cs="Arial"/>
          <w:sz w:val="24"/>
          <w:szCs w:val="24"/>
        </w:rPr>
      </w:pPr>
      <w:r>
        <w:rPr>
          <w:rFonts w:ascii="Arial" w:hAnsi="Arial" w:cs="Arial"/>
          <w:sz w:val="24"/>
          <w:szCs w:val="24"/>
        </w:rPr>
        <w:lastRenderedPageBreak/>
        <w:t>Compressive moduli were measured to evaluate the stiffness of the 5</w:t>
      </w:r>
      <w:r w:rsidR="00174061">
        <w:rPr>
          <w:rFonts w:ascii="Arial" w:hAnsi="Arial" w:cs="Arial"/>
          <w:sz w:val="24"/>
          <w:szCs w:val="24"/>
        </w:rPr>
        <w:t xml:space="preserve"> </w:t>
      </w:r>
      <w:r>
        <w:rPr>
          <w:rFonts w:ascii="Arial" w:hAnsi="Arial" w:cs="Arial"/>
          <w:sz w:val="24"/>
          <w:szCs w:val="24"/>
        </w:rPr>
        <w:t>wt%, 7.5</w:t>
      </w:r>
      <w:r w:rsidR="00174061">
        <w:rPr>
          <w:rFonts w:ascii="Arial" w:hAnsi="Arial" w:cs="Arial"/>
          <w:sz w:val="24"/>
          <w:szCs w:val="24"/>
        </w:rPr>
        <w:t xml:space="preserve"> </w:t>
      </w:r>
      <w:r>
        <w:rPr>
          <w:rFonts w:ascii="Arial" w:hAnsi="Arial" w:cs="Arial"/>
          <w:sz w:val="24"/>
          <w:szCs w:val="24"/>
        </w:rPr>
        <w:t>wt%, and 10</w:t>
      </w:r>
      <w:r w:rsidR="00174061">
        <w:rPr>
          <w:rFonts w:ascii="Arial" w:hAnsi="Arial" w:cs="Arial"/>
          <w:sz w:val="24"/>
          <w:szCs w:val="24"/>
        </w:rPr>
        <w:t xml:space="preserve"> </w:t>
      </w:r>
      <w:r>
        <w:rPr>
          <w:rFonts w:ascii="Arial" w:hAnsi="Arial" w:cs="Arial"/>
          <w:sz w:val="24"/>
          <w:szCs w:val="24"/>
        </w:rPr>
        <w:t>wt% PHA hydrogels and their capacity to reinforce vessels walls.</w:t>
      </w:r>
      <w:r w:rsidRPr="002134AF">
        <w:rPr>
          <w:rFonts w:ascii="Arial" w:hAnsi="Arial" w:cs="Arial"/>
          <w:sz w:val="24"/>
          <w:szCs w:val="24"/>
        </w:rPr>
        <w:t xml:space="preserve"> </w:t>
      </w:r>
      <w:r w:rsidR="006A5C43" w:rsidRPr="002134AF">
        <w:rPr>
          <w:rFonts w:ascii="Arial" w:hAnsi="Arial" w:cs="Arial"/>
          <w:sz w:val="24"/>
          <w:szCs w:val="24"/>
        </w:rPr>
        <w:t>Compressive moduli of 5</w:t>
      </w:r>
      <w:r w:rsidR="00174061">
        <w:rPr>
          <w:rFonts w:ascii="Arial" w:hAnsi="Arial" w:cs="Arial"/>
          <w:sz w:val="24"/>
          <w:szCs w:val="24"/>
        </w:rPr>
        <w:t xml:space="preserve"> </w:t>
      </w:r>
      <w:r w:rsidR="0029509D">
        <w:rPr>
          <w:rFonts w:ascii="Arial" w:hAnsi="Arial" w:cs="Arial"/>
          <w:sz w:val="24"/>
          <w:szCs w:val="24"/>
        </w:rPr>
        <w:t>wt%</w:t>
      </w:r>
      <w:r w:rsidR="006A5C43" w:rsidRPr="002134AF">
        <w:rPr>
          <w:rFonts w:ascii="Arial" w:hAnsi="Arial" w:cs="Arial"/>
          <w:sz w:val="24"/>
          <w:szCs w:val="24"/>
        </w:rPr>
        <w:t>, 7.5</w:t>
      </w:r>
      <w:r w:rsidR="00174061">
        <w:rPr>
          <w:rFonts w:ascii="Arial" w:hAnsi="Arial" w:cs="Arial"/>
          <w:sz w:val="24"/>
          <w:szCs w:val="24"/>
        </w:rPr>
        <w:t xml:space="preserve"> </w:t>
      </w:r>
      <w:r w:rsidR="0029509D">
        <w:rPr>
          <w:rFonts w:ascii="Arial" w:hAnsi="Arial" w:cs="Arial"/>
          <w:sz w:val="24"/>
          <w:szCs w:val="24"/>
        </w:rPr>
        <w:t>wt%</w:t>
      </w:r>
      <w:r w:rsidR="006A5C43" w:rsidRPr="002134AF">
        <w:rPr>
          <w:rFonts w:ascii="Arial" w:hAnsi="Arial" w:cs="Arial"/>
          <w:sz w:val="24"/>
          <w:szCs w:val="24"/>
        </w:rPr>
        <w:t>, and 10</w:t>
      </w:r>
      <w:r w:rsidR="00174061">
        <w:rPr>
          <w:rFonts w:ascii="Arial" w:hAnsi="Arial" w:cs="Arial"/>
          <w:sz w:val="24"/>
          <w:szCs w:val="24"/>
        </w:rPr>
        <w:t xml:space="preserve"> </w:t>
      </w:r>
      <w:r w:rsidR="0029509D">
        <w:rPr>
          <w:rFonts w:ascii="Arial" w:hAnsi="Arial" w:cs="Arial"/>
          <w:sz w:val="24"/>
          <w:szCs w:val="24"/>
        </w:rPr>
        <w:t>wt</w:t>
      </w:r>
      <w:r w:rsidR="006A5C43" w:rsidRPr="002134AF">
        <w:rPr>
          <w:rFonts w:ascii="Arial" w:hAnsi="Arial" w:cs="Arial"/>
          <w:sz w:val="24"/>
          <w:szCs w:val="24"/>
        </w:rPr>
        <w:t>% 40 kDa PHA</w:t>
      </w:r>
      <w:r w:rsidR="006A5C43">
        <w:rPr>
          <w:rFonts w:ascii="Arial" w:hAnsi="Arial" w:cs="Arial"/>
          <w:sz w:val="24"/>
          <w:szCs w:val="24"/>
        </w:rPr>
        <w:t xml:space="preserve"> hydrogels</w:t>
      </w:r>
      <w:r w:rsidR="006A5C43" w:rsidRPr="002134AF">
        <w:rPr>
          <w:rFonts w:ascii="Arial" w:hAnsi="Arial" w:cs="Arial"/>
          <w:sz w:val="24"/>
          <w:szCs w:val="24"/>
        </w:rPr>
        <w:t xml:space="preserve"> increased proportionally to weigh</w:t>
      </w:r>
      <w:r w:rsidR="008E39A9">
        <w:rPr>
          <w:rFonts w:ascii="Arial" w:hAnsi="Arial" w:cs="Arial"/>
          <w:sz w:val="24"/>
          <w:szCs w:val="24"/>
        </w:rPr>
        <w:t>t</w:t>
      </w:r>
      <w:r w:rsidR="006A5C43" w:rsidRPr="002134AF">
        <w:rPr>
          <w:rFonts w:ascii="Arial" w:hAnsi="Arial" w:cs="Arial"/>
          <w:sz w:val="24"/>
          <w:szCs w:val="24"/>
        </w:rPr>
        <w:t xml:space="preserve"> percent</w:t>
      </w:r>
      <w:r w:rsidR="005B01BB">
        <w:rPr>
          <w:rFonts w:ascii="Arial" w:hAnsi="Arial" w:cs="Arial"/>
          <w:sz w:val="24"/>
          <w:szCs w:val="24"/>
        </w:rPr>
        <w:t xml:space="preserve">, </w:t>
      </w:r>
      <w:r w:rsidR="005B01BB" w:rsidRPr="002134AF">
        <w:rPr>
          <w:rFonts w:ascii="Arial" w:hAnsi="Arial" w:cs="Arial"/>
          <w:sz w:val="24"/>
          <w:szCs w:val="24"/>
        </w:rPr>
        <w:t>in a range</w:t>
      </w:r>
      <w:r w:rsidR="005B01BB">
        <w:rPr>
          <w:rFonts w:ascii="Arial" w:hAnsi="Arial" w:cs="Arial"/>
          <w:sz w:val="24"/>
          <w:szCs w:val="24"/>
        </w:rPr>
        <w:t xml:space="preserve"> of 50-100 </w:t>
      </w:r>
      <w:r w:rsidR="005B01BB" w:rsidRPr="002134AF">
        <w:rPr>
          <w:rFonts w:ascii="Arial" w:hAnsi="Arial" w:cs="Arial"/>
          <w:sz w:val="24"/>
          <w:szCs w:val="24"/>
        </w:rPr>
        <w:t>kPa</w:t>
      </w:r>
      <w:r w:rsidR="00F5217D">
        <w:rPr>
          <w:rFonts w:ascii="Arial" w:hAnsi="Arial" w:cs="Arial"/>
          <w:sz w:val="24"/>
          <w:szCs w:val="24"/>
        </w:rPr>
        <w:t>.</w:t>
      </w:r>
      <w:r w:rsidR="00C44795">
        <w:rPr>
          <w:rFonts w:ascii="Arial" w:hAnsi="Arial" w:cs="Arial"/>
          <w:sz w:val="24"/>
          <w:szCs w:val="24"/>
        </w:rPr>
        <w:t xml:space="preserve"> </w:t>
      </w:r>
      <w:r w:rsidR="004A6AD4">
        <w:rPr>
          <w:rFonts w:ascii="Arial" w:hAnsi="Arial" w:cs="Arial"/>
          <w:sz w:val="24"/>
          <w:szCs w:val="24"/>
        </w:rPr>
        <w:t>These results demonstrate</w:t>
      </w:r>
      <w:r w:rsidR="008E39A9">
        <w:rPr>
          <w:rFonts w:ascii="Arial" w:hAnsi="Arial" w:cs="Arial"/>
          <w:sz w:val="24"/>
          <w:szCs w:val="24"/>
        </w:rPr>
        <w:t>d</w:t>
      </w:r>
      <w:r w:rsidR="004A6AD4" w:rsidRPr="00881060">
        <w:rPr>
          <w:rFonts w:ascii="Arial" w:hAnsi="Arial" w:cs="Arial"/>
          <w:sz w:val="24"/>
          <w:szCs w:val="24"/>
        </w:rPr>
        <w:t xml:space="preserve"> that the more crosslinked PHA </w:t>
      </w:r>
      <w:r w:rsidR="008E39A9">
        <w:rPr>
          <w:rFonts w:ascii="Arial" w:hAnsi="Arial" w:cs="Arial"/>
          <w:sz w:val="24"/>
          <w:szCs w:val="24"/>
        </w:rPr>
        <w:t>was</w:t>
      </w:r>
      <w:r w:rsidR="004A6AD4" w:rsidRPr="00881060">
        <w:rPr>
          <w:rFonts w:ascii="Arial" w:hAnsi="Arial" w:cs="Arial"/>
          <w:sz w:val="24"/>
          <w:szCs w:val="24"/>
        </w:rPr>
        <w:t>, the more resistant</w:t>
      </w:r>
      <w:r w:rsidR="004A6AD4">
        <w:rPr>
          <w:rFonts w:ascii="Arial" w:hAnsi="Arial" w:cs="Arial"/>
          <w:sz w:val="24"/>
          <w:szCs w:val="24"/>
        </w:rPr>
        <w:t xml:space="preserve"> to shear stress</w:t>
      </w:r>
      <w:r w:rsidR="004A6AD4" w:rsidRPr="00881060">
        <w:rPr>
          <w:rFonts w:ascii="Arial" w:hAnsi="Arial" w:cs="Arial"/>
          <w:sz w:val="24"/>
          <w:szCs w:val="24"/>
        </w:rPr>
        <w:t xml:space="preserve"> because </w:t>
      </w:r>
      <w:r w:rsidR="004A6AD4">
        <w:rPr>
          <w:rFonts w:ascii="Arial" w:hAnsi="Arial" w:cs="Arial"/>
          <w:sz w:val="24"/>
          <w:szCs w:val="24"/>
        </w:rPr>
        <w:t>more</w:t>
      </w:r>
      <w:r w:rsidR="004A6AD4" w:rsidRPr="00881060">
        <w:rPr>
          <w:rFonts w:ascii="Arial" w:hAnsi="Arial" w:cs="Arial"/>
          <w:sz w:val="24"/>
          <w:szCs w:val="24"/>
        </w:rPr>
        <w:t xml:space="preserve"> chains of PHA </w:t>
      </w:r>
      <w:r w:rsidR="008E39A9">
        <w:rPr>
          <w:rFonts w:ascii="Arial" w:hAnsi="Arial" w:cs="Arial"/>
          <w:sz w:val="24"/>
          <w:szCs w:val="24"/>
        </w:rPr>
        <w:t xml:space="preserve">were </w:t>
      </w:r>
      <w:r w:rsidR="004A6AD4">
        <w:rPr>
          <w:rFonts w:ascii="Arial" w:hAnsi="Arial" w:cs="Arial"/>
          <w:sz w:val="24"/>
          <w:szCs w:val="24"/>
        </w:rPr>
        <w:t xml:space="preserve">bound together creating </w:t>
      </w:r>
      <w:r w:rsidR="004A6AD4" w:rsidRPr="00881060">
        <w:rPr>
          <w:rFonts w:ascii="Arial" w:hAnsi="Arial" w:cs="Arial"/>
          <w:sz w:val="24"/>
          <w:szCs w:val="24"/>
        </w:rPr>
        <w:t xml:space="preserve">more crosslinked </w:t>
      </w:r>
      <w:r w:rsidR="004A6AD4">
        <w:rPr>
          <w:rFonts w:ascii="Arial" w:hAnsi="Arial" w:cs="Arial"/>
          <w:sz w:val="24"/>
          <w:szCs w:val="24"/>
        </w:rPr>
        <w:t>PHA hydrogels</w:t>
      </w:r>
      <w:r w:rsidR="004A6AD4">
        <w:rPr>
          <w:rFonts w:ascii="Arial" w:hAnsi="Arial" w:cs="Arial"/>
          <w:sz w:val="24"/>
          <w:szCs w:val="24"/>
        </w:rPr>
        <w:fldChar w:fldCharType="begin"/>
      </w:r>
      <w:r w:rsidR="00367A15">
        <w:rPr>
          <w:rFonts w:ascii="Arial" w:hAnsi="Arial" w:cs="Arial"/>
          <w:sz w:val="24"/>
          <w:szCs w:val="24"/>
        </w:rPr>
        <w:instrText xml:space="preserve"> ADDIN ZOTERO_ITEM CSL_CITATION {"citationID":"TrajPUCz","properties":{"formattedCitation":"\\super 62\\nosupersub{}","plainCitation":"62","noteIndex":0},"citationItems":[{"id":744,"uris":["http://zotero.org/users/6508478/items/2FMUEAJV"],"itemData":{"id":744,"type":"article-journal","abstract":"Bioprinting is an emerging approach for fabricating cell-laden 3D scaffolds via robotic deposition of cells and biomaterials into custom shapes and patterns to replicate complex tissue architectures. Bioprinting uses hydrogel solutions called bioinks as both cell carriers and structural components, requiring bioinks to be highly printable while providing a robust and cell-friendly microenvironment. Unfortunately, conventional hydrogel bioinks have not been able to meet these requirements and are mechanically weak due to their heterogeneously crosslinked networks and lack of energy dissipation mechanisms. Advanced bioink designs using various methods of dissipating mechanical energy are aimed at developing next-generation cellularized 3D scaffolds to mimic anatomical size, tissue architecture, and tissue-specific functions. These next-generation bioinks need to have high print fidelity and should provide a biocompatible microenvironment along with improved mechanical properties. To design these advanced bioink formulations, it is important to understand the structure–property–function relationships of hydrogel networks. By specifically leveraging biophysical and biochemical characteristics of hydrogel networks, high performance bioinks can be designed to control and direct cell functions. In this review article, current and emerging approaches in hydrogel design and bioink reinforcement techniques are critically evaluated. This bottom-up perspective provides a materials-centric approach to bioink design for 3D bioprinting.","container-title":"Advanced Materials","DOI":"10.1002/adma.201902026","ISSN":"1521-4095","issue":"1","language":"en","page":"1902026","source":"Wiley Online Library","title":"Hydrogel Bioink Reinforcement for Additive Manufacturing: A Focused Review of Emerging Strategies","title-short":"Hydrogel Bioink Reinforcement for Additive Manufacturing","volume":"32","author":[{"family":"Chimene","given":"David"},{"family":"Kaunas","given":"Roland"},{"family":"Gaharwar","given":"Akhilesh K."}],"issued":{"date-parts":[["2020"]]}}}],"schema":"https://github.com/citation-style-language/schema/raw/master/csl-citation.json"} </w:instrText>
      </w:r>
      <w:r w:rsidR="004A6AD4">
        <w:rPr>
          <w:rFonts w:ascii="Arial" w:hAnsi="Arial" w:cs="Arial"/>
          <w:sz w:val="24"/>
          <w:szCs w:val="24"/>
        </w:rPr>
        <w:fldChar w:fldCharType="separate"/>
      </w:r>
      <w:r w:rsidR="00367A15" w:rsidRPr="00367A15">
        <w:rPr>
          <w:rFonts w:ascii="Arial" w:hAnsi="Arial" w:cs="Arial"/>
          <w:sz w:val="24"/>
          <w:szCs w:val="24"/>
          <w:vertAlign w:val="superscript"/>
        </w:rPr>
        <w:t>62</w:t>
      </w:r>
      <w:r w:rsidR="004A6AD4">
        <w:rPr>
          <w:rFonts w:ascii="Arial" w:hAnsi="Arial" w:cs="Arial"/>
          <w:sz w:val="24"/>
          <w:szCs w:val="24"/>
        </w:rPr>
        <w:fldChar w:fldCharType="end"/>
      </w:r>
      <w:r w:rsidR="004A6AD4" w:rsidRPr="00881060">
        <w:rPr>
          <w:rFonts w:ascii="Arial" w:hAnsi="Arial" w:cs="Arial"/>
          <w:sz w:val="24"/>
          <w:szCs w:val="24"/>
        </w:rPr>
        <w:t>.</w:t>
      </w:r>
      <w:r w:rsidR="004A6AD4">
        <w:rPr>
          <w:rFonts w:ascii="Arial" w:hAnsi="Arial" w:cs="Arial"/>
          <w:sz w:val="24"/>
          <w:szCs w:val="24"/>
        </w:rPr>
        <w:t xml:space="preserve"> </w:t>
      </w:r>
      <w:r w:rsidR="004A6AD4" w:rsidRPr="00881060">
        <w:rPr>
          <w:rFonts w:ascii="Arial" w:hAnsi="Arial" w:cs="Arial"/>
          <w:sz w:val="24"/>
          <w:szCs w:val="24"/>
        </w:rPr>
        <w:t xml:space="preserve">Burdick </w:t>
      </w:r>
      <w:r w:rsidR="004A6AD4" w:rsidRPr="00174061">
        <w:rPr>
          <w:rFonts w:ascii="Arial" w:hAnsi="Arial" w:cs="Arial"/>
          <w:i/>
          <w:iCs/>
          <w:sz w:val="24"/>
          <w:szCs w:val="24"/>
        </w:rPr>
        <w:t>et al</w:t>
      </w:r>
      <w:r w:rsidR="004A6AD4" w:rsidRPr="00881060">
        <w:rPr>
          <w:rFonts w:ascii="Arial" w:hAnsi="Arial" w:cs="Arial"/>
          <w:sz w:val="24"/>
          <w:szCs w:val="24"/>
        </w:rPr>
        <w:t>.</w:t>
      </w:r>
      <w:r w:rsidR="00030373">
        <w:rPr>
          <w:rFonts w:ascii="Arial" w:hAnsi="Arial" w:cs="Arial"/>
          <w:sz w:val="24"/>
          <w:szCs w:val="24"/>
        </w:rPr>
        <w:fldChar w:fldCharType="begin"/>
      </w:r>
      <w:r w:rsidR="00030373">
        <w:rPr>
          <w:rFonts w:ascii="Arial" w:hAnsi="Arial" w:cs="Arial"/>
          <w:sz w:val="24"/>
          <w:szCs w:val="24"/>
        </w:rPr>
        <w:instrText xml:space="preserve"> ADDIN ZOTERO_ITEM CSL_CITATION {"citationID":"SCZLT5EJ","properties":{"formattedCitation":"\\super 63\\nosupersub{}","plainCitation":"63","noteIndex":0},"citationItems":[{"id":727,"uris":["http://zotero.org/users/6508478/items/DKE64C6S"],"itemData":{"id":727,"type":"article-journal","abstract":"Hyaluronic acid is a natural polysaccharide found abundantly throughout the body with many desirable properties for application as a biomaterial, including scaffolding for tissue engineering. In this work, hyaluronic acid with molecular weights ranging from 50 to 1100 kDa was modified with methacrylic anhydride and photopolymerized into networks with a wide range of physical properties. With macromer concentrations from 2 to 20 wt %, networks exhibited volumetric swelling ratios ranging from </w:instrText>
      </w:r>
      <w:r w:rsidR="00030373">
        <w:rPr>
          <w:rFonts w:ascii="Cambria Math" w:hAnsi="Cambria Math" w:cs="Cambria Math"/>
          <w:sz w:val="24"/>
          <w:szCs w:val="24"/>
        </w:rPr>
        <w:instrText>∼</w:instrText>
      </w:r>
      <w:r w:rsidR="00030373">
        <w:rPr>
          <w:rFonts w:ascii="Arial" w:hAnsi="Arial" w:cs="Arial"/>
          <w:sz w:val="24"/>
          <w:szCs w:val="24"/>
        </w:rPr>
        <w:instrText xml:space="preserve">42 to 8, compressive moduli ranging from </w:instrText>
      </w:r>
      <w:r w:rsidR="00030373">
        <w:rPr>
          <w:rFonts w:ascii="Cambria Math" w:hAnsi="Cambria Math" w:cs="Cambria Math"/>
          <w:sz w:val="24"/>
          <w:szCs w:val="24"/>
        </w:rPr>
        <w:instrText>∼</w:instrText>
      </w:r>
      <w:r w:rsidR="00030373">
        <w:rPr>
          <w:rFonts w:ascii="Arial" w:hAnsi="Arial" w:cs="Arial"/>
          <w:sz w:val="24"/>
          <w:szCs w:val="24"/>
        </w:rPr>
        <w:instrText xml:space="preserve">2 to over 100 kPa, and degradation times ranging from less than 1 day up to almost 38 days in the presence of 100 U/mL of hyaluronidase. When 3T3-fibroblasts were photoencapsulated in the hydrogels, cells remained viable with low macromer concentrations but decreased sequentially as the macromer concentration increased. Finally, auricular swine chondrocytes produced neocartilage when photoencapsulated in the hyaluronic acid networks. This work presents a next step toward the development of advanced in vivo curable biomaterials.","container-title":"Biomacromolecules","DOI":"10.1021/bm049508a","ISSN":"1525-7797","issue":"1","journalAbbreviation":"Biomacromolecules","note":"publisher: American Chemical Society","page":"386-391","source":"ACS Publications","title":"Controlled Degradation and Mechanical Behavior of Photopolymerized Hyaluronic Acid Networks","volume":"6","author":[{"family":"Burdick","given":"Jason A."},{"family":"Chung","given":"Cindy"},{"family":"Jia","given":"Xinqiao"},{"family":"Randolph","given":"Mark A."},{"family":"Langer","given":"Robert"}],"issued":{"date-parts":[["2005",1,1]]}}}],"schema":"https://github.com/citation-style-language/schema/raw/master/csl-citation.json"} </w:instrText>
      </w:r>
      <w:r w:rsidR="00030373">
        <w:rPr>
          <w:rFonts w:ascii="Arial" w:hAnsi="Arial" w:cs="Arial"/>
          <w:sz w:val="24"/>
          <w:szCs w:val="24"/>
        </w:rPr>
        <w:fldChar w:fldCharType="separate"/>
      </w:r>
      <w:r w:rsidR="00030373" w:rsidRPr="00030373">
        <w:rPr>
          <w:rFonts w:ascii="Arial" w:hAnsi="Arial" w:cs="Arial"/>
          <w:sz w:val="24"/>
          <w:szCs w:val="24"/>
          <w:vertAlign w:val="superscript"/>
        </w:rPr>
        <w:t>63</w:t>
      </w:r>
      <w:r w:rsidR="00030373">
        <w:rPr>
          <w:rFonts w:ascii="Arial" w:hAnsi="Arial" w:cs="Arial"/>
          <w:sz w:val="24"/>
          <w:szCs w:val="24"/>
        </w:rPr>
        <w:fldChar w:fldCharType="end"/>
      </w:r>
      <w:r w:rsidR="004A6AD4" w:rsidRPr="00881060">
        <w:rPr>
          <w:rFonts w:ascii="Arial" w:hAnsi="Arial" w:cs="Arial"/>
          <w:sz w:val="24"/>
          <w:szCs w:val="24"/>
        </w:rPr>
        <w:t xml:space="preserve"> reported that the compressive moduli of 5 and 10% 50 kDa PHA hydrogels were respectively 40 and 75 kPa</w:t>
      </w:r>
      <w:r w:rsidR="004A6AD4">
        <w:rPr>
          <w:rFonts w:ascii="Arial" w:hAnsi="Arial" w:cs="Arial"/>
          <w:sz w:val="24"/>
          <w:szCs w:val="24"/>
        </w:rPr>
        <w:t>, which is coherent with our results</w:t>
      </w:r>
      <w:r w:rsidR="004A6AD4" w:rsidRPr="00881060">
        <w:rPr>
          <w:rFonts w:ascii="Arial" w:hAnsi="Arial" w:cs="Arial"/>
          <w:sz w:val="24"/>
          <w:szCs w:val="24"/>
        </w:rPr>
        <w:t>.</w:t>
      </w:r>
      <w:r w:rsidR="004A6AD4">
        <w:rPr>
          <w:rFonts w:ascii="Arial" w:hAnsi="Arial" w:cs="Arial"/>
          <w:sz w:val="24"/>
          <w:szCs w:val="24"/>
        </w:rPr>
        <w:t xml:space="preserve"> Toh </w:t>
      </w:r>
      <w:r w:rsidR="004A6AD4" w:rsidRPr="00BF4187">
        <w:rPr>
          <w:rFonts w:ascii="Arial" w:hAnsi="Arial" w:cs="Arial"/>
          <w:i/>
          <w:iCs/>
          <w:sz w:val="24"/>
          <w:szCs w:val="24"/>
        </w:rPr>
        <w:t>et al</w:t>
      </w:r>
      <w:r w:rsidR="00585C4C">
        <w:rPr>
          <w:rFonts w:ascii="Arial" w:hAnsi="Arial" w:cs="Arial"/>
          <w:i/>
          <w:iCs/>
          <w:sz w:val="24"/>
          <w:szCs w:val="24"/>
        </w:rPr>
        <w:t>.</w:t>
      </w:r>
      <w:r w:rsidR="00020AAB">
        <w:rPr>
          <w:rFonts w:ascii="Arial" w:hAnsi="Arial" w:cs="Arial"/>
          <w:sz w:val="24"/>
          <w:szCs w:val="24"/>
        </w:rPr>
        <w:fldChar w:fldCharType="begin"/>
      </w:r>
      <w:r w:rsidR="00020AAB">
        <w:rPr>
          <w:rFonts w:ascii="Arial" w:hAnsi="Arial" w:cs="Arial"/>
          <w:sz w:val="24"/>
          <w:szCs w:val="24"/>
        </w:rPr>
        <w:instrText xml:space="preserve"> ADDIN ZOTERO_ITEM CSL_CITATION {"citationID":"uDHEl7HJ","properties":{"formattedCitation":"\\super 64\\nosupersub{}","plainCitation":"64","noteIndex":0},"citationItems":[{"id":752,"uris":["http://zotero.org/users/6508478/items/LN5IZJAQ"],"itemData":{"id":752,"type":"article-journal","abstract":"An injectable and biodegradable hydrogel system comprising hyaluronic acid-tyramine (HA-Tyr) conjugates can safely undergo covalent cross-linking in vivo by the addition of small amounts of peroxidase and hydrogen peroxide (H2O2), with the independent tuning of the gelation rate and degree of cross-linking. Such hydrogel networks with tunable mechanical and degradation properties may provide the additional level of control needed to enhance chondrogenesis and overall cartilage tissue formation in vitro and in vivo. In this study, HA-Tyr hydrogels were explored as biomimetic matrices for caprine mesenchymal stem cells (MSCs) in cartilage tissue engineering. The compressive modulus, equilibrium swelling and degradation rate could be controlled by varying the concentration of H2O2 as the oxidant in the oxidative coupling reaction. Cellular condensation reflected by the increase in effective number density of rounded cells in lacunae was greater in softer hydrogel matrices with lower cross-linking that displayed enhanced scaffold contracture. Conversely, within higher cross-linked matrices, cells adopted a more elongated morphology, with a reduced degree of cellular condensation. Furthermore, the degree of hydrogel cross-linking also modulated matrix biosynthesis and cartilage tissue histogenesis. Lower cross-linked matrix enhanced chondrogenesis with increases in the percentage of cells with chondrocytic morphology; biosynthetic rates of glycosaminoglycan and type II collagen; and hyaline cartilage tissue formation. With increasing cross-linking degree and matrix stiffness, a shift in MSC differentiation toward fibrous phenotypes with the formation of fibrocartilage and fibrous tissues was observed. These findings suggest that the tunable three-dimensional microenvironment of the HA-Tyr hydrogels modulates cellular condensation during chondrogenesis and has a dramatic impact on spatial organization of cells, matrix biosynthesis, and overall cartilage tissue histogenesis.","container-title":"Biomaterials","DOI":"10.1016/j.biomaterials.2012.01.065","ISSN":"0142-9612","issue":"15","journalAbbreviation":"Biomaterials","language":"en","page":"3835-3845","source":"ScienceDirect","title":"Modulation of mesenchymal stem cell chondrogenesis in a tunable hyaluronic acid hydrogel microenvironment","volume":"33","author":[{"family":"Toh","given":"Wei Seong"},{"family":"Lim","given":"Teck Chuan"},{"family":"Kurisawa","given":"Motoichi"},{"family":"Spector","given":"Myron"}],"issued":{"date-parts":[["2012",5,1]]}}}],"schema":"https://github.com/citation-style-language/schema/raw/master/csl-citation.json"} </w:instrText>
      </w:r>
      <w:r w:rsidR="00020AAB">
        <w:rPr>
          <w:rFonts w:ascii="Arial" w:hAnsi="Arial" w:cs="Arial"/>
          <w:sz w:val="24"/>
          <w:szCs w:val="24"/>
        </w:rPr>
        <w:fldChar w:fldCharType="separate"/>
      </w:r>
      <w:r w:rsidR="00020AAB" w:rsidRPr="00367A15">
        <w:rPr>
          <w:rFonts w:ascii="Arial" w:hAnsi="Arial" w:cs="Arial"/>
          <w:sz w:val="24"/>
          <w:szCs w:val="24"/>
          <w:vertAlign w:val="superscript"/>
        </w:rPr>
        <w:t>64</w:t>
      </w:r>
      <w:r w:rsidR="00020AAB">
        <w:rPr>
          <w:rFonts w:ascii="Arial" w:hAnsi="Arial" w:cs="Arial"/>
          <w:sz w:val="24"/>
          <w:szCs w:val="24"/>
        </w:rPr>
        <w:fldChar w:fldCharType="end"/>
      </w:r>
      <w:r w:rsidR="004A6AD4">
        <w:rPr>
          <w:rFonts w:ascii="Arial" w:hAnsi="Arial" w:cs="Arial"/>
          <w:sz w:val="24"/>
          <w:szCs w:val="24"/>
        </w:rPr>
        <w:t xml:space="preserve"> also found that hyaluronic acid hydrogels of increasing weight percent had increasing compressive moduli, though their range was lower than this present study because their crosslinking degrees were lower. </w:t>
      </w:r>
      <w:r w:rsidR="005B01BB">
        <w:rPr>
          <w:rFonts w:ascii="Arial" w:hAnsi="Arial" w:cs="Arial"/>
          <w:sz w:val="24"/>
          <w:szCs w:val="24"/>
        </w:rPr>
        <w:t>C</w:t>
      </w:r>
      <w:r w:rsidR="006A5C43">
        <w:rPr>
          <w:rFonts w:ascii="Arial" w:hAnsi="Arial" w:cs="Arial"/>
          <w:sz w:val="24"/>
          <w:szCs w:val="24"/>
        </w:rPr>
        <w:t>ompressive moduli of</w:t>
      </w:r>
      <w:r w:rsidR="006A5C43" w:rsidRPr="002134AF">
        <w:rPr>
          <w:rFonts w:ascii="Arial" w:hAnsi="Arial" w:cs="Arial"/>
          <w:sz w:val="24"/>
          <w:szCs w:val="24"/>
        </w:rPr>
        <w:t xml:space="preserve"> 5</w:t>
      </w:r>
      <w:r w:rsidR="00174061">
        <w:rPr>
          <w:rFonts w:ascii="Arial" w:hAnsi="Arial" w:cs="Arial"/>
          <w:sz w:val="24"/>
          <w:szCs w:val="24"/>
        </w:rPr>
        <w:t xml:space="preserve"> </w:t>
      </w:r>
      <w:r w:rsidR="0029509D">
        <w:rPr>
          <w:rFonts w:ascii="Arial" w:hAnsi="Arial" w:cs="Arial"/>
          <w:sz w:val="24"/>
          <w:szCs w:val="24"/>
        </w:rPr>
        <w:t>wt%</w:t>
      </w:r>
      <w:r w:rsidR="006A5C43" w:rsidRPr="002134AF">
        <w:rPr>
          <w:rFonts w:ascii="Arial" w:hAnsi="Arial" w:cs="Arial"/>
          <w:sz w:val="24"/>
          <w:szCs w:val="24"/>
        </w:rPr>
        <w:t>, 7.5</w:t>
      </w:r>
      <w:r w:rsidR="00174061">
        <w:rPr>
          <w:rFonts w:ascii="Arial" w:hAnsi="Arial" w:cs="Arial"/>
          <w:sz w:val="24"/>
          <w:szCs w:val="24"/>
        </w:rPr>
        <w:t xml:space="preserve"> </w:t>
      </w:r>
      <w:r w:rsidR="0029509D">
        <w:rPr>
          <w:rFonts w:ascii="Arial" w:hAnsi="Arial" w:cs="Arial"/>
          <w:sz w:val="24"/>
          <w:szCs w:val="24"/>
        </w:rPr>
        <w:t>wt%</w:t>
      </w:r>
      <w:r w:rsidR="006A5C43" w:rsidRPr="002134AF">
        <w:rPr>
          <w:rFonts w:ascii="Arial" w:hAnsi="Arial" w:cs="Arial"/>
          <w:sz w:val="24"/>
          <w:szCs w:val="24"/>
        </w:rPr>
        <w:t>, and 10</w:t>
      </w:r>
      <w:r w:rsidR="00174061">
        <w:rPr>
          <w:rFonts w:ascii="Arial" w:hAnsi="Arial" w:cs="Arial"/>
          <w:sz w:val="24"/>
          <w:szCs w:val="24"/>
        </w:rPr>
        <w:t xml:space="preserve"> </w:t>
      </w:r>
      <w:r w:rsidR="0029509D">
        <w:rPr>
          <w:rFonts w:ascii="Arial" w:hAnsi="Arial" w:cs="Arial"/>
          <w:sz w:val="24"/>
          <w:szCs w:val="24"/>
        </w:rPr>
        <w:t>wt</w:t>
      </w:r>
      <w:r w:rsidR="006A5C43" w:rsidRPr="002134AF">
        <w:rPr>
          <w:rFonts w:ascii="Arial" w:hAnsi="Arial" w:cs="Arial"/>
          <w:sz w:val="24"/>
          <w:szCs w:val="24"/>
        </w:rPr>
        <w:t>% PHA hydrogels with tantalum</w:t>
      </w:r>
      <w:r w:rsidR="005B01BB">
        <w:rPr>
          <w:rFonts w:ascii="Arial" w:hAnsi="Arial" w:cs="Arial"/>
          <w:sz w:val="24"/>
          <w:szCs w:val="24"/>
        </w:rPr>
        <w:t xml:space="preserve"> also increased proportionally to weight percent in the same range, but </w:t>
      </w:r>
      <w:r w:rsidR="00C94A43">
        <w:rPr>
          <w:rFonts w:ascii="Arial" w:hAnsi="Arial" w:cs="Arial"/>
          <w:sz w:val="24"/>
          <w:szCs w:val="24"/>
        </w:rPr>
        <w:t xml:space="preserve">for the same weight </w:t>
      </w:r>
      <w:r w:rsidR="00F364D3">
        <w:rPr>
          <w:rFonts w:ascii="Arial" w:hAnsi="Arial" w:cs="Arial"/>
          <w:sz w:val="24"/>
          <w:szCs w:val="24"/>
        </w:rPr>
        <w:t>percent</w:t>
      </w:r>
      <w:r w:rsidR="00C94A43">
        <w:rPr>
          <w:rFonts w:ascii="Arial" w:hAnsi="Arial" w:cs="Arial"/>
          <w:sz w:val="24"/>
          <w:szCs w:val="24"/>
        </w:rPr>
        <w:t>, each modul</w:t>
      </w:r>
      <w:r w:rsidR="001E4C0C">
        <w:rPr>
          <w:rFonts w:ascii="Arial" w:hAnsi="Arial" w:cs="Arial"/>
          <w:sz w:val="24"/>
          <w:szCs w:val="24"/>
        </w:rPr>
        <w:t>us</w:t>
      </w:r>
      <w:r w:rsidR="00C94A43">
        <w:rPr>
          <w:rFonts w:ascii="Arial" w:hAnsi="Arial" w:cs="Arial"/>
          <w:sz w:val="24"/>
          <w:szCs w:val="24"/>
        </w:rPr>
        <w:t xml:space="preserve"> in the tantalum group was lower than</w:t>
      </w:r>
      <w:r w:rsidR="00F364D3">
        <w:rPr>
          <w:rFonts w:ascii="Arial" w:hAnsi="Arial" w:cs="Arial"/>
          <w:sz w:val="24"/>
          <w:szCs w:val="24"/>
        </w:rPr>
        <w:t xml:space="preserve"> the one of the no tantalum group, although not significantly</w:t>
      </w:r>
      <w:r w:rsidR="006A5C43" w:rsidRPr="002134AF">
        <w:rPr>
          <w:rFonts w:ascii="Arial" w:hAnsi="Arial" w:cs="Arial"/>
          <w:sz w:val="24"/>
          <w:szCs w:val="24"/>
        </w:rPr>
        <w:t>.</w:t>
      </w:r>
      <w:r w:rsidR="006A5C43">
        <w:rPr>
          <w:rFonts w:ascii="Arial" w:hAnsi="Arial" w:cs="Arial"/>
          <w:sz w:val="24"/>
          <w:szCs w:val="24"/>
        </w:rPr>
        <w:t xml:space="preserve"> </w:t>
      </w:r>
      <w:r w:rsidR="00C72660">
        <w:rPr>
          <w:rFonts w:ascii="Arial" w:hAnsi="Arial" w:cs="Arial"/>
          <w:sz w:val="24"/>
          <w:szCs w:val="24"/>
        </w:rPr>
        <w:t xml:space="preserve">Contrary to our results, </w:t>
      </w:r>
      <w:r w:rsidR="00974D53" w:rsidRPr="00411502">
        <w:rPr>
          <w:rFonts w:ascii="Arial" w:hAnsi="Arial" w:cs="Arial"/>
          <w:sz w:val="24"/>
          <w:szCs w:val="24"/>
        </w:rPr>
        <w:t xml:space="preserve">Hu </w:t>
      </w:r>
      <w:r w:rsidR="00C72660" w:rsidRPr="00411502">
        <w:rPr>
          <w:rFonts w:ascii="Arial" w:hAnsi="Arial" w:cs="Arial"/>
          <w:i/>
          <w:iCs/>
          <w:sz w:val="24"/>
          <w:szCs w:val="24"/>
        </w:rPr>
        <w:t>et al</w:t>
      </w:r>
      <w:r w:rsidR="00585C4C">
        <w:rPr>
          <w:rFonts w:ascii="Arial" w:hAnsi="Arial" w:cs="Arial"/>
          <w:i/>
          <w:iCs/>
          <w:sz w:val="24"/>
          <w:szCs w:val="24"/>
        </w:rPr>
        <w:t>.</w:t>
      </w:r>
      <w:r w:rsidR="002E1323">
        <w:rPr>
          <w:rFonts w:ascii="Arial" w:hAnsi="Arial" w:cs="Arial"/>
          <w:sz w:val="24"/>
          <w:szCs w:val="24"/>
        </w:rPr>
        <w:fldChar w:fldCharType="begin"/>
      </w:r>
      <w:r w:rsidR="002E1323">
        <w:rPr>
          <w:rFonts w:ascii="Arial" w:hAnsi="Arial" w:cs="Arial"/>
          <w:sz w:val="24"/>
          <w:szCs w:val="24"/>
        </w:rPr>
        <w:instrText xml:space="preserve"> ADDIN ZOTERO_ITEM CSL_CITATION {"citationID":"IGDOhJvA","properties":{"formattedCitation":"\\super 65\\nosupersub{}","plainCitation":"65","noteIndex":0},"citationItems":[{"id":754,"uris":["http://zotero.org/users/6508478/items/GVJUB2VW"],"itemData":{"id":754,"type":"article-journal","abstract":"Salecan is a linear microbial polysaccharide obtained from the fermentation of Agrobacterium sp. ZX09. Salecan is suitable for the preparation of hydrogels for biomedical applications, given its prominent physicochemical and biological properties. Herein, we described a novel microwave-assisted polymerized composite hydrogel that was comprised of salecan/poly(diacetone acrylamide) (PDAAm) network and tantalum carbide (TaC) nanoparticles. The incorporation of TaC nanoparticles into the composite hydrogels was confirmed by XRD and EDX analysis, and can be engineered as means for structural reinforcement, thus leading to a remarkable improvement in their thermal stability and mechanical properties. Compared to bare salecan/PDAAm hydrogel, &gt;9.3-fold increase in compressive modulus and 7-fold increase in storage modulus were achieved with the addition of 3 mL of TaC nanoparticles dispersion (5%, w/v). More importantly, cytotoxicity results revealed that the composite hydrogels were non-toxic to L929 and 3T3-L1 cells. Cell proliferation and Live/Dead staining demonstrated that salecan/PDAAm/TaC composite hydrogels provided a desired environment for cell adhesion, and allowed proliferation at the normal rate. All the results highlight the value of this system for potential application as cell adhesion material.","container-title":"International Journal of Biological Macromolecules","DOI":"10.1016/j.ijbiomac.2019.05.191","ISSN":"0141-8130","journalAbbreviation":"International Journal of Biological Macromolecules","language":"en","page":"501-511","source":"ScienceDirect","title":"Study of the cell responses in tantalum carbide nanoparticles-enriched polysaccharide composite hydrogel","volume":"135","author":[{"family":"Hu","given":"Xinyu"},{"family":"Wang","given":"Yongmei"},{"family":"Xu","given":"Man"}],"issued":{"date-parts":[["2019",8,15]]}}}],"schema":"https://github.com/citation-style-language/schema/raw/master/csl-citation.json"} </w:instrText>
      </w:r>
      <w:r w:rsidR="002E1323">
        <w:rPr>
          <w:rFonts w:ascii="Arial" w:hAnsi="Arial" w:cs="Arial"/>
          <w:sz w:val="24"/>
          <w:szCs w:val="24"/>
        </w:rPr>
        <w:fldChar w:fldCharType="separate"/>
      </w:r>
      <w:r w:rsidR="002E1323" w:rsidRPr="00367A15">
        <w:rPr>
          <w:rFonts w:ascii="Arial" w:hAnsi="Arial" w:cs="Arial"/>
          <w:sz w:val="24"/>
          <w:szCs w:val="24"/>
          <w:vertAlign w:val="superscript"/>
        </w:rPr>
        <w:t>65</w:t>
      </w:r>
      <w:r w:rsidR="002E1323">
        <w:rPr>
          <w:rFonts w:ascii="Arial" w:hAnsi="Arial" w:cs="Arial"/>
          <w:sz w:val="24"/>
          <w:szCs w:val="24"/>
        </w:rPr>
        <w:fldChar w:fldCharType="end"/>
      </w:r>
      <w:r w:rsidR="00C72660">
        <w:rPr>
          <w:rFonts w:ascii="Arial" w:hAnsi="Arial" w:cs="Arial"/>
          <w:sz w:val="24"/>
          <w:szCs w:val="24"/>
        </w:rPr>
        <w:t xml:space="preserve"> </w:t>
      </w:r>
      <w:r w:rsidR="00BC6886">
        <w:rPr>
          <w:rFonts w:ascii="Arial" w:hAnsi="Arial" w:cs="Arial"/>
          <w:sz w:val="24"/>
          <w:szCs w:val="24"/>
        </w:rPr>
        <w:t xml:space="preserve">found that addition of tantalum </w:t>
      </w:r>
      <w:r w:rsidR="00623A86">
        <w:rPr>
          <w:rFonts w:ascii="Arial" w:hAnsi="Arial" w:cs="Arial"/>
          <w:sz w:val="24"/>
          <w:szCs w:val="24"/>
        </w:rPr>
        <w:t xml:space="preserve">carbide nanoparticles </w:t>
      </w:r>
      <w:r w:rsidR="00BC6886">
        <w:rPr>
          <w:rFonts w:ascii="Arial" w:hAnsi="Arial" w:cs="Arial"/>
          <w:sz w:val="24"/>
          <w:szCs w:val="24"/>
        </w:rPr>
        <w:t xml:space="preserve">to </w:t>
      </w:r>
      <w:r w:rsidR="00623A86" w:rsidRPr="00623A86">
        <w:rPr>
          <w:rFonts w:ascii="Arial" w:hAnsi="Arial" w:cs="Arial"/>
          <w:sz w:val="24"/>
          <w:szCs w:val="24"/>
        </w:rPr>
        <w:t>poly</w:t>
      </w:r>
      <w:r w:rsidR="00623A86">
        <w:rPr>
          <w:rFonts w:ascii="Arial" w:hAnsi="Arial" w:cs="Arial"/>
          <w:sz w:val="24"/>
          <w:szCs w:val="24"/>
        </w:rPr>
        <w:t xml:space="preserve"> </w:t>
      </w:r>
      <w:r w:rsidR="00623A86" w:rsidRPr="00623A86">
        <w:rPr>
          <w:rFonts w:ascii="Arial" w:hAnsi="Arial" w:cs="Arial"/>
          <w:sz w:val="24"/>
          <w:szCs w:val="24"/>
        </w:rPr>
        <w:t xml:space="preserve">diacetone acrylamide </w:t>
      </w:r>
      <w:r w:rsidR="00BC6886">
        <w:rPr>
          <w:rFonts w:ascii="Arial" w:hAnsi="Arial" w:cs="Arial"/>
          <w:sz w:val="24"/>
          <w:szCs w:val="24"/>
        </w:rPr>
        <w:t xml:space="preserve">hydrogels increased their compressive moduli </w:t>
      </w:r>
      <w:r w:rsidR="00787AB8">
        <w:rPr>
          <w:rFonts w:ascii="Arial" w:hAnsi="Arial" w:cs="Arial"/>
          <w:sz w:val="24"/>
          <w:szCs w:val="24"/>
        </w:rPr>
        <w:t>significantly.</w:t>
      </w:r>
      <w:r w:rsidR="00B74710">
        <w:rPr>
          <w:rFonts w:ascii="Arial" w:hAnsi="Arial" w:cs="Arial"/>
          <w:sz w:val="24"/>
          <w:szCs w:val="24"/>
        </w:rPr>
        <w:t xml:space="preserve"> Th</w:t>
      </w:r>
      <w:r w:rsidR="004A6AD4">
        <w:rPr>
          <w:rFonts w:ascii="Arial" w:hAnsi="Arial" w:cs="Arial"/>
          <w:sz w:val="24"/>
          <w:szCs w:val="24"/>
        </w:rPr>
        <w:t>e</w:t>
      </w:r>
      <w:r w:rsidR="00B74710">
        <w:rPr>
          <w:rFonts w:ascii="Arial" w:hAnsi="Arial" w:cs="Arial"/>
          <w:sz w:val="24"/>
          <w:szCs w:val="24"/>
        </w:rPr>
        <w:t xml:space="preserve"> difference </w:t>
      </w:r>
      <w:r w:rsidR="004A6AD4">
        <w:rPr>
          <w:rFonts w:ascii="Arial" w:hAnsi="Arial" w:cs="Arial"/>
          <w:sz w:val="24"/>
          <w:szCs w:val="24"/>
        </w:rPr>
        <w:t xml:space="preserve">between studies </w:t>
      </w:r>
      <w:r w:rsidR="00B74710">
        <w:rPr>
          <w:rFonts w:ascii="Arial" w:hAnsi="Arial" w:cs="Arial"/>
          <w:sz w:val="24"/>
          <w:szCs w:val="24"/>
        </w:rPr>
        <w:t>could be due to the differen</w:t>
      </w:r>
      <w:r w:rsidR="00184061">
        <w:rPr>
          <w:rFonts w:ascii="Arial" w:hAnsi="Arial" w:cs="Arial"/>
          <w:sz w:val="24"/>
          <w:szCs w:val="24"/>
        </w:rPr>
        <w:t>ce of structure and properties of the</w:t>
      </w:r>
      <w:r w:rsidR="00B74710">
        <w:rPr>
          <w:rFonts w:ascii="Arial" w:hAnsi="Arial" w:cs="Arial"/>
          <w:sz w:val="24"/>
          <w:szCs w:val="24"/>
        </w:rPr>
        <w:t xml:space="preserve"> materials used</w:t>
      </w:r>
      <w:r w:rsidR="00CD5D46">
        <w:rPr>
          <w:rFonts w:ascii="Arial" w:hAnsi="Arial" w:cs="Arial"/>
          <w:sz w:val="24"/>
          <w:szCs w:val="24"/>
        </w:rPr>
        <w:t>.</w:t>
      </w:r>
      <w:r w:rsidR="00C72660">
        <w:rPr>
          <w:rFonts w:ascii="Arial" w:hAnsi="Arial" w:cs="Arial"/>
          <w:sz w:val="24"/>
          <w:szCs w:val="24"/>
        </w:rPr>
        <w:t xml:space="preserve"> </w:t>
      </w:r>
    </w:p>
    <w:p w14:paraId="141B7C2E" w14:textId="523BB427" w:rsidR="006A5C43" w:rsidRPr="00881060" w:rsidRDefault="006A5C43" w:rsidP="00DB24F0">
      <w:pPr>
        <w:spacing w:line="480" w:lineRule="auto"/>
        <w:ind w:firstLine="720"/>
        <w:jc w:val="both"/>
        <w:rPr>
          <w:rFonts w:ascii="Arial" w:hAnsi="Arial" w:cs="Arial"/>
          <w:sz w:val="24"/>
          <w:szCs w:val="24"/>
        </w:rPr>
      </w:pPr>
      <w:r>
        <w:rPr>
          <w:rFonts w:ascii="Arial" w:hAnsi="Arial" w:cs="Arial"/>
          <w:sz w:val="24"/>
          <w:szCs w:val="24"/>
        </w:rPr>
        <w:t>Importantly, our experimental c</w:t>
      </w:r>
      <w:r w:rsidRPr="00881060">
        <w:rPr>
          <w:rFonts w:ascii="Arial" w:hAnsi="Arial" w:cs="Arial"/>
          <w:sz w:val="24"/>
          <w:szCs w:val="24"/>
        </w:rPr>
        <w:t xml:space="preserve">ompressive moduli range </w:t>
      </w:r>
      <w:r w:rsidR="008E39A9">
        <w:rPr>
          <w:rFonts w:ascii="Arial" w:hAnsi="Arial" w:cs="Arial"/>
          <w:sz w:val="24"/>
          <w:szCs w:val="24"/>
        </w:rPr>
        <w:t>was</w:t>
      </w:r>
      <w:r w:rsidR="008E39A9" w:rsidRPr="00881060">
        <w:rPr>
          <w:rFonts w:ascii="Arial" w:hAnsi="Arial" w:cs="Arial"/>
          <w:sz w:val="24"/>
          <w:szCs w:val="24"/>
        </w:rPr>
        <w:t xml:space="preserve"> </w:t>
      </w:r>
      <w:r w:rsidRPr="00881060">
        <w:rPr>
          <w:rFonts w:ascii="Arial" w:hAnsi="Arial" w:cs="Arial"/>
          <w:sz w:val="24"/>
          <w:szCs w:val="24"/>
        </w:rPr>
        <w:t xml:space="preserve">similar but slightly superior to brain tissues’ compressive moduli. Rashid </w:t>
      </w:r>
      <w:r w:rsidRPr="006E7531">
        <w:rPr>
          <w:rFonts w:ascii="Arial" w:hAnsi="Arial" w:cs="Arial"/>
          <w:i/>
          <w:iCs/>
          <w:sz w:val="24"/>
          <w:szCs w:val="24"/>
        </w:rPr>
        <w:t>et al</w:t>
      </w:r>
      <w:r w:rsidR="004A6AD4">
        <w:rPr>
          <w:rFonts w:ascii="Arial" w:hAnsi="Arial" w:cs="Arial"/>
          <w:sz w:val="24"/>
          <w:szCs w:val="24"/>
        </w:rPr>
        <w:t>.</w:t>
      </w:r>
      <w:r w:rsidR="002E1323">
        <w:rPr>
          <w:rFonts w:ascii="Arial" w:hAnsi="Arial" w:cs="Arial"/>
          <w:sz w:val="24"/>
          <w:szCs w:val="24"/>
        </w:rPr>
        <w:fldChar w:fldCharType="begin"/>
      </w:r>
      <w:r w:rsidR="002E1323">
        <w:rPr>
          <w:rFonts w:ascii="Arial" w:hAnsi="Arial" w:cs="Arial"/>
          <w:sz w:val="24"/>
          <w:szCs w:val="24"/>
        </w:rPr>
        <w:instrText xml:space="preserve"> ADDIN ZOTERO_ITEM CSL_CITATION {"citationID":"7DaVqLP5","properties":{"formattedCitation":"\\super 66\\nosupersub{}","plainCitation":"66","noteIndex":0},"citationItems":[{"id":3,"uris":["http://zotero.org/users/6508478/items/ZFLHD479"],"itemData":{"id":3,"type":"article-journal","abstract":"Traumatic brain injury (TBI) occurs when local mechanical load exceeds certain tolerance levels for brain tissue. Extensive research has been done previously for brain matter experiencing compression at quasistatic loading; however, limited data is available to model TBI under dynamic impact conditions. In this research, an experimental setup was developed to perform unconfined compression tests and stress relaxation tests at strain rates ≤90/s. The brain tissue showed a stiffer response with increasing strain rates, showing that hyperelastic models are not adequate. Specifically, the compressive nominal stress at 30% strain was 8.83 ± 1.94, 12.8 ± 3.10 and 16.0 ± 1.41 kPa (mean ± SD) at strain rates of 30, 60 and 90/s, respectively. Relaxation tests were also conducted at 10%–50% strain with the average rise time of 10 ms, which can be used to derive time dependent parameters. Numerical simulations were performed using one-term Ogden model with initial shear modulus μo=6.06±1.44, 9.44 ± 2.427 and 12.64 ± 1.227 kPa (mean ± SD) at strain rates of 30, 60 and 90/s, respectively. A separate set of bonded and lubricated tests were also performed under the same test conditions to estimate the friction coefficient μ, by adopting combined experimental–computational approach. The values of μ were 0.1 ± 0.03 and 0.15 ± 0.07 (mean ± SD) at 30 and 90/s strain rates, respectively, indicating that pure slip conditions cannot be achieved in unconfined compression tests even under fully lubricated test conditions. The material parameters obtained in this study will help to develop biofidelic human brain finite element models, which can subsequently be used to predict brain injuries under impact conditions.","container-title":"Journal of the Mechanical Behavior of Biomedical Materials","DOI":"10.1016/j.jmbbm.2012.01.022","ISSN":"1751-6161","journalAbbreviation":"Journal of the Mechanical Behavior of Biomedical Materials","language":"en","page":"23-38","source":"ScienceDirect","title":"Mechanical characterization of brain tissue in compression at dynamic strain rates","volume":"10","author":[{"family":"Rashid","given":"Badar"},{"family":"Destrade","given":"Michel"},{"family":"Gilchrist","given":"Michael D."}],"issued":{"date-parts":[["2012",6,1]]}}}],"schema":"https://github.com/citation-style-language/schema/raw/master/csl-citation.json"} </w:instrText>
      </w:r>
      <w:r w:rsidR="002E1323">
        <w:rPr>
          <w:rFonts w:ascii="Arial" w:hAnsi="Arial" w:cs="Arial"/>
          <w:sz w:val="24"/>
          <w:szCs w:val="24"/>
        </w:rPr>
        <w:fldChar w:fldCharType="separate"/>
      </w:r>
      <w:r w:rsidR="002E1323" w:rsidRPr="002E1323">
        <w:rPr>
          <w:rFonts w:ascii="Arial" w:hAnsi="Arial" w:cs="Arial"/>
          <w:sz w:val="24"/>
          <w:szCs w:val="24"/>
          <w:vertAlign w:val="superscript"/>
        </w:rPr>
        <w:t>66</w:t>
      </w:r>
      <w:r w:rsidR="002E1323">
        <w:rPr>
          <w:rFonts w:ascii="Arial" w:hAnsi="Arial" w:cs="Arial"/>
          <w:sz w:val="24"/>
          <w:szCs w:val="24"/>
        </w:rPr>
        <w:fldChar w:fldCharType="end"/>
      </w:r>
      <w:r w:rsidRPr="00881060">
        <w:rPr>
          <w:rFonts w:ascii="Arial" w:hAnsi="Arial" w:cs="Arial"/>
          <w:sz w:val="24"/>
          <w:szCs w:val="24"/>
        </w:rPr>
        <w:t xml:space="preserve"> found compressive moduli of brain tissue between 10 and 20 kPa, but they were cutting whole brains and analyzing their compressive </w:t>
      </w:r>
      <w:r w:rsidRPr="00881060">
        <w:rPr>
          <w:rFonts w:ascii="Arial" w:hAnsi="Arial" w:cs="Arial"/>
          <w:sz w:val="24"/>
          <w:szCs w:val="24"/>
        </w:rPr>
        <w:lastRenderedPageBreak/>
        <w:t>moduli, not testing vessels</w:t>
      </w:r>
      <w:r>
        <w:rPr>
          <w:rFonts w:ascii="Arial" w:hAnsi="Arial" w:cs="Arial"/>
          <w:sz w:val="24"/>
          <w:szCs w:val="24"/>
        </w:rPr>
        <w:t>. The</w:t>
      </w:r>
      <w:r w:rsidRPr="00881060">
        <w:rPr>
          <w:rFonts w:ascii="Arial" w:hAnsi="Arial" w:cs="Arial"/>
          <w:sz w:val="24"/>
          <w:szCs w:val="24"/>
        </w:rPr>
        <w:t xml:space="preserve"> soft</w:t>
      </w:r>
      <w:r>
        <w:rPr>
          <w:rFonts w:ascii="Arial" w:hAnsi="Arial" w:cs="Arial"/>
          <w:sz w:val="24"/>
          <w:szCs w:val="24"/>
        </w:rPr>
        <w:t>ness of whole brain</w:t>
      </w:r>
      <w:r w:rsidRPr="00881060">
        <w:rPr>
          <w:rFonts w:ascii="Arial" w:hAnsi="Arial" w:cs="Arial"/>
          <w:sz w:val="24"/>
          <w:szCs w:val="24"/>
        </w:rPr>
        <w:t xml:space="preserve"> tissues might decrease the general compressive moduli</w:t>
      </w:r>
      <w:r w:rsidRPr="00881060">
        <w:rPr>
          <w:rFonts w:ascii="Arial" w:hAnsi="Arial" w:cs="Arial"/>
          <w:sz w:val="24"/>
          <w:szCs w:val="24"/>
        </w:rPr>
        <w:fldChar w:fldCharType="begin"/>
      </w:r>
      <w:r w:rsidR="00367A15">
        <w:rPr>
          <w:rFonts w:ascii="Arial" w:hAnsi="Arial" w:cs="Arial"/>
          <w:sz w:val="24"/>
          <w:szCs w:val="24"/>
        </w:rPr>
        <w:instrText xml:space="preserve"> ADDIN ZOTERO_ITEM CSL_CITATION {"citationID":"ZyXuzep1","properties":{"formattedCitation":"\\super 66\\nosupersub{}","plainCitation":"66","noteIndex":0},"citationItems":[{"id":3,"uris":["http://zotero.org/users/6508478/items/ZFLHD479"],"itemData":{"id":3,"type":"article-journal","abstract":"Traumatic brain injury (TBI) occurs when local mechanical load exceeds certain tolerance levels for brain tissue. Extensive research has been done previously for brain matter experiencing compression at quasistatic loading; however, limited data is available to model TBI under dynamic impact conditions. In this research, an experimental setup was developed to perform unconfined compression tests and stress relaxation tests at strain rates ≤90/s. The brain tissue showed a stiffer response with increasing strain rates, showing that hyperelastic models are not adequate. Specifically, the compressive nominal stress at 30% strain was 8.83 ± 1.94, 12.8 ± 3.10 and 16.0 ± 1.41 kPa (mean ± SD) at strain rates of 30, 60 and 90/s, respectively. Relaxation tests were also conducted at 10%–50% strain with the average rise time of 10 ms, which can be used to derive time dependent parameters. Numerical simulations were performed using one-term Ogden model with initial shear modulus μo=6.06±1.44, 9.44 ± 2.427 and 12.64 ± 1.227 kPa (mean ± SD) at strain rates of 30, 60 and 90/s, respectively. A separate set of bonded and lubricated tests were also performed under the same test conditions to estimate the friction coefficient μ, by adopting combined experimental–computational approach. The values of μ were 0.1 ± 0.03 and 0.15 ± 0.07 (mean ± SD) at 30 and 90/s strain rates, respectively, indicating that pure slip conditions cannot be achieved in unconfined compression tests even under fully lubricated test conditions. The material parameters obtained in this study will help to develop biofidelic human brain finite element models, which can subsequently be used to predict brain injuries under impact conditions.","container-title":"Journal of the Mechanical Behavior of Biomedical Materials","DOI":"10.1016/j.jmbbm.2012.01.022","ISSN":"1751-6161","journalAbbreviation":"Journal of the Mechanical Behavior of Biomedical Materials","language":"en","page":"23-38","source":"ScienceDirect","title":"Mechanical characterization of brain tissue in compression at dynamic strain rates","volume":"10","author":[{"family":"Rashid","given":"Badar"},{"family":"Destrade","given":"Michel"},{"family":"Gilchrist","given":"Michael D."}],"issued":{"date-parts":[["2012",6,1]]}}}],"schema":"https://github.com/citation-style-language/schema/raw/master/csl-citation.json"} </w:instrText>
      </w:r>
      <w:r w:rsidRPr="00881060">
        <w:rPr>
          <w:rFonts w:ascii="Arial" w:hAnsi="Arial" w:cs="Arial"/>
          <w:sz w:val="24"/>
          <w:szCs w:val="24"/>
        </w:rPr>
        <w:fldChar w:fldCharType="separate"/>
      </w:r>
      <w:r w:rsidR="00367A15" w:rsidRPr="00367A15">
        <w:rPr>
          <w:rFonts w:ascii="Arial" w:hAnsi="Arial" w:cs="Arial"/>
          <w:sz w:val="24"/>
          <w:szCs w:val="24"/>
          <w:vertAlign w:val="superscript"/>
        </w:rPr>
        <w:t>66</w:t>
      </w:r>
      <w:r w:rsidRPr="00881060">
        <w:rPr>
          <w:rFonts w:ascii="Arial" w:hAnsi="Arial" w:cs="Arial"/>
          <w:sz w:val="24"/>
          <w:szCs w:val="24"/>
        </w:rPr>
        <w:fldChar w:fldCharType="end"/>
      </w:r>
      <w:r w:rsidRPr="00881060">
        <w:rPr>
          <w:rFonts w:ascii="Arial" w:hAnsi="Arial" w:cs="Arial"/>
          <w:sz w:val="24"/>
          <w:szCs w:val="24"/>
        </w:rPr>
        <w:t>.</w:t>
      </w:r>
      <w:r>
        <w:rPr>
          <w:rFonts w:ascii="Arial" w:hAnsi="Arial" w:cs="Arial"/>
          <w:sz w:val="24"/>
          <w:szCs w:val="24"/>
        </w:rPr>
        <w:t xml:space="preserve"> </w:t>
      </w:r>
      <w:r w:rsidR="007A79E6">
        <w:rPr>
          <w:rFonts w:ascii="Arial" w:hAnsi="Arial" w:cs="Arial"/>
          <w:sz w:val="24"/>
          <w:szCs w:val="24"/>
        </w:rPr>
        <w:t xml:space="preserve"> Another study found that </w:t>
      </w:r>
      <w:r w:rsidR="00DB7A69">
        <w:rPr>
          <w:rFonts w:ascii="Arial" w:hAnsi="Arial" w:cs="Arial"/>
          <w:sz w:val="24"/>
          <w:szCs w:val="24"/>
        </w:rPr>
        <w:t>compressive modul</w:t>
      </w:r>
      <w:r w:rsidR="00FC2EC5">
        <w:rPr>
          <w:rFonts w:ascii="Arial" w:hAnsi="Arial" w:cs="Arial"/>
          <w:sz w:val="24"/>
          <w:szCs w:val="24"/>
        </w:rPr>
        <w:t>i</w:t>
      </w:r>
      <w:r w:rsidR="00DB7A69">
        <w:rPr>
          <w:rFonts w:ascii="Arial" w:hAnsi="Arial" w:cs="Arial"/>
          <w:sz w:val="24"/>
          <w:szCs w:val="24"/>
        </w:rPr>
        <w:t xml:space="preserve"> of blood vessels </w:t>
      </w:r>
      <w:r w:rsidR="008E39A9">
        <w:rPr>
          <w:rFonts w:ascii="Arial" w:hAnsi="Arial" w:cs="Arial"/>
          <w:sz w:val="24"/>
          <w:szCs w:val="24"/>
        </w:rPr>
        <w:t xml:space="preserve">were </w:t>
      </w:r>
      <w:r w:rsidR="00DB7A69">
        <w:rPr>
          <w:rFonts w:ascii="Arial" w:hAnsi="Arial" w:cs="Arial"/>
          <w:sz w:val="24"/>
          <w:szCs w:val="24"/>
        </w:rPr>
        <w:t>between 200 and 600 kPa</w:t>
      </w:r>
      <w:r w:rsidR="00E64FFD">
        <w:rPr>
          <w:rFonts w:ascii="Arial" w:hAnsi="Arial" w:cs="Arial"/>
          <w:sz w:val="24"/>
          <w:szCs w:val="24"/>
        </w:rPr>
        <w:fldChar w:fldCharType="begin"/>
      </w:r>
      <w:r w:rsidR="00367A15">
        <w:rPr>
          <w:rFonts w:ascii="Arial" w:hAnsi="Arial" w:cs="Arial"/>
          <w:sz w:val="24"/>
          <w:szCs w:val="24"/>
        </w:rPr>
        <w:instrText xml:space="preserve"> ADDIN ZOTERO_ITEM CSL_CITATION {"citationID":"46CiD3dT","properties":{"formattedCitation":"\\super 67\\nosupersub{}","plainCitation":"67","noteIndex":0},"citationItems":[{"id":756,"uris":["http://zotero.org/users/6508478/items/JSMBK9PE"],"itemData":{"id":756,"type":"article-journal","abstract":"Background:\nBlood vessel mechanics has traditionally been of interest to researchers and clinicians. Changes in mechanical properties of arteries have been associated with various diseases.\n\nObjective:\nTo provide a comprehensive review directed towards understanding the basic biomechanical properties of cerebral arteries under normal and diseased conditions.\n\nMethods:\nLiterature review supplemented by personal knowledge.\n\nResults:\nThe mechanical properties of vascular tissue may depend on several factors including macromolecular volume fraction, molecular orientation, and volume or number of cells such as smooth muscle cells. Mechanical properties of a blood vessel have been characterized using different methods such as in vitro tensile testing, non-invasive ultrasound examination, and mathematical models. Experiments are complicated by the variation in properties and content of materials that make up the vessel wall and more challenging as the size of the vessel of interest decreases. Therapeutic interventions aiming to alter the mechanical response are either pharmaceutical: including calcium channel blockers, angiotensin converting enzyme inhibitors (ACEI), angiotensin receptor blockers (ARB), and β-blockers; or, mechanical interventions such as angioplasty, stent placement, mechanical thrombectomy, or embolization procedures.\n\nConclusion:\nIt is apparent from the literature that macromolecular and cellular mechanics of blood vessels are not fully understood. Therefore, further studies are necessary to better understand contribution of these mechanisms to the overall mechanics of the vascular tissue.","container-title":"Journal of Vascular and Interventional Neurology","ISSN":"1941-5893","issue":"2","journalAbbreviation":"J Vasc Interv Neurol","note":"PMID: 22518247\nPMCID: PMC3317338","page":"155-162","source":"PubMed Central","title":"Mechanical Properties of Normal and Diseased Cerebrovascular System","volume":"2","author":[{"family":"Ebrahimi","given":"Ali P."}],"issued":{"date-parts":[["2009",4]]}}}],"schema":"https://github.com/citation-style-language/schema/raw/master/csl-citation.json"} </w:instrText>
      </w:r>
      <w:r w:rsidR="00E64FFD">
        <w:rPr>
          <w:rFonts w:ascii="Arial" w:hAnsi="Arial" w:cs="Arial"/>
          <w:sz w:val="24"/>
          <w:szCs w:val="24"/>
        </w:rPr>
        <w:fldChar w:fldCharType="separate"/>
      </w:r>
      <w:r w:rsidR="00367A15" w:rsidRPr="00367A15">
        <w:rPr>
          <w:rFonts w:ascii="Arial" w:hAnsi="Arial" w:cs="Arial"/>
          <w:sz w:val="24"/>
          <w:szCs w:val="24"/>
          <w:vertAlign w:val="superscript"/>
        </w:rPr>
        <w:t>67</w:t>
      </w:r>
      <w:r w:rsidR="00E64FFD">
        <w:rPr>
          <w:rFonts w:ascii="Arial" w:hAnsi="Arial" w:cs="Arial"/>
          <w:sz w:val="24"/>
          <w:szCs w:val="24"/>
        </w:rPr>
        <w:fldChar w:fldCharType="end"/>
      </w:r>
      <w:r w:rsidR="00165476">
        <w:rPr>
          <w:rFonts w:ascii="Arial" w:hAnsi="Arial" w:cs="Arial"/>
          <w:sz w:val="24"/>
          <w:szCs w:val="24"/>
        </w:rPr>
        <w:t>.</w:t>
      </w:r>
      <w:r w:rsidR="00C20B52">
        <w:rPr>
          <w:rFonts w:ascii="Arial" w:hAnsi="Arial" w:cs="Arial"/>
          <w:sz w:val="24"/>
          <w:szCs w:val="24"/>
        </w:rPr>
        <w:t xml:space="preserve"> </w:t>
      </w:r>
      <w:r w:rsidR="00165476">
        <w:rPr>
          <w:rFonts w:ascii="Arial" w:hAnsi="Arial" w:cs="Arial"/>
          <w:sz w:val="24"/>
          <w:szCs w:val="24"/>
        </w:rPr>
        <w:t xml:space="preserve">These numbers </w:t>
      </w:r>
      <w:r w:rsidR="008E39A9">
        <w:rPr>
          <w:rFonts w:ascii="Arial" w:hAnsi="Arial" w:cs="Arial"/>
          <w:sz w:val="24"/>
          <w:szCs w:val="24"/>
        </w:rPr>
        <w:t xml:space="preserve">were </w:t>
      </w:r>
      <w:r w:rsidR="00C20B52">
        <w:rPr>
          <w:rFonts w:ascii="Arial" w:hAnsi="Arial" w:cs="Arial"/>
          <w:sz w:val="24"/>
          <w:szCs w:val="24"/>
        </w:rPr>
        <w:t>higher than our results</w:t>
      </w:r>
      <w:r w:rsidR="004A6AD4">
        <w:rPr>
          <w:rFonts w:ascii="Arial" w:hAnsi="Arial" w:cs="Arial"/>
          <w:sz w:val="24"/>
          <w:szCs w:val="24"/>
        </w:rPr>
        <w:t>;</w:t>
      </w:r>
      <w:r w:rsidR="00C20B52">
        <w:rPr>
          <w:rFonts w:ascii="Arial" w:hAnsi="Arial" w:cs="Arial"/>
          <w:sz w:val="24"/>
          <w:szCs w:val="24"/>
        </w:rPr>
        <w:t xml:space="preserve"> </w:t>
      </w:r>
      <w:r w:rsidR="00165476">
        <w:rPr>
          <w:rFonts w:ascii="Arial" w:hAnsi="Arial" w:cs="Arial"/>
          <w:sz w:val="24"/>
          <w:szCs w:val="24"/>
        </w:rPr>
        <w:t xml:space="preserve">however, </w:t>
      </w:r>
      <w:r w:rsidR="004A6AD4">
        <w:rPr>
          <w:rFonts w:ascii="Arial" w:hAnsi="Arial" w:cs="Arial"/>
          <w:sz w:val="24"/>
          <w:szCs w:val="24"/>
        </w:rPr>
        <w:t>the compressive moduli reported</w:t>
      </w:r>
      <w:r w:rsidR="002D27A9">
        <w:rPr>
          <w:rFonts w:ascii="Arial" w:hAnsi="Arial" w:cs="Arial"/>
          <w:sz w:val="24"/>
          <w:szCs w:val="24"/>
        </w:rPr>
        <w:t xml:space="preserve"> </w:t>
      </w:r>
      <w:r w:rsidR="008E39A9">
        <w:rPr>
          <w:rFonts w:ascii="Arial" w:hAnsi="Arial" w:cs="Arial"/>
          <w:sz w:val="24"/>
          <w:szCs w:val="24"/>
        </w:rPr>
        <w:t xml:space="preserve">were </w:t>
      </w:r>
      <w:r w:rsidR="004A6AD4">
        <w:rPr>
          <w:rFonts w:ascii="Arial" w:hAnsi="Arial" w:cs="Arial"/>
          <w:sz w:val="24"/>
          <w:szCs w:val="24"/>
        </w:rPr>
        <w:t xml:space="preserve">the </w:t>
      </w:r>
      <w:r w:rsidR="002D27A9">
        <w:rPr>
          <w:rFonts w:ascii="Arial" w:hAnsi="Arial" w:cs="Arial"/>
          <w:sz w:val="24"/>
          <w:szCs w:val="24"/>
        </w:rPr>
        <w:t>average of the whole body</w:t>
      </w:r>
      <w:r w:rsidR="00FC2EC5">
        <w:rPr>
          <w:rFonts w:ascii="Arial" w:hAnsi="Arial" w:cs="Arial"/>
          <w:sz w:val="24"/>
          <w:szCs w:val="24"/>
        </w:rPr>
        <w:t>,</w:t>
      </w:r>
      <w:r w:rsidR="004B129A">
        <w:rPr>
          <w:rFonts w:ascii="Arial" w:hAnsi="Arial" w:cs="Arial"/>
          <w:sz w:val="24"/>
          <w:szCs w:val="24"/>
        </w:rPr>
        <w:t xml:space="preserve"> where blood flow speed </w:t>
      </w:r>
      <w:r w:rsidR="003E171F">
        <w:rPr>
          <w:rFonts w:ascii="Arial" w:hAnsi="Arial" w:cs="Arial"/>
          <w:sz w:val="24"/>
          <w:szCs w:val="24"/>
        </w:rPr>
        <w:t xml:space="preserve">can be </w:t>
      </w:r>
      <w:r w:rsidR="00F27FAF">
        <w:rPr>
          <w:rFonts w:ascii="Arial" w:hAnsi="Arial" w:cs="Arial"/>
          <w:sz w:val="24"/>
          <w:szCs w:val="24"/>
        </w:rPr>
        <w:t>ten times</w:t>
      </w:r>
      <w:r w:rsidR="004B129A">
        <w:rPr>
          <w:rFonts w:ascii="Arial" w:hAnsi="Arial" w:cs="Arial"/>
          <w:sz w:val="24"/>
          <w:szCs w:val="24"/>
        </w:rPr>
        <w:t xml:space="preserve"> higher than </w:t>
      </w:r>
      <w:r w:rsidR="00456B05">
        <w:rPr>
          <w:rFonts w:ascii="Arial" w:hAnsi="Arial" w:cs="Arial"/>
          <w:sz w:val="24"/>
          <w:szCs w:val="24"/>
        </w:rPr>
        <w:t xml:space="preserve">in </w:t>
      </w:r>
      <w:r w:rsidR="004B129A">
        <w:rPr>
          <w:rFonts w:ascii="Arial" w:hAnsi="Arial" w:cs="Arial"/>
          <w:sz w:val="24"/>
          <w:szCs w:val="24"/>
        </w:rPr>
        <w:t>the brain, which could explain the higher compressive moduli</w:t>
      </w:r>
      <w:r w:rsidR="000E03C0">
        <w:rPr>
          <w:rFonts w:ascii="Arial" w:hAnsi="Arial" w:cs="Arial"/>
          <w:sz w:val="24"/>
          <w:szCs w:val="24"/>
        </w:rPr>
        <w:fldChar w:fldCharType="begin"/>
      </w:r>
      <w:r w:rsidR="00367A15">
        <w:rPr>
          <w:rFonts w:ascii="Arial" w:hAnsi="Arial" w:cs="Arial"/>
          <w:sz w:val="24"/>
          <w:szCs w:val="24"/>
        </w:rPr>
        <w:instrText xml:space="preserve"> ADDIN ZOTERO_ITEM CSL_CITATION {"citationID":"y23pYDJU","properties":{"formattedCitation":"\\super 68,69\\nosupersub{}","plainCitation":"68,69","noteIndex":0},"citationItems":[{"id":708,"uris":["http://zotero.org/users/6508478/items/5STZ2L8Q"],"itemData":{"id":708,"type":"article-journal","abstract":"High-resolution phase–contrast magnetic resonance imaging can now assess flow in proximal and distal cerebral arteries. The aim of this study was to describe how total cerebral blood flow (tCBF) is distributed into the vascular tree with regard to age, sex and anatomic variations. Forty-nine healthy young (mean 25 years) and 45 elderly (mean 71 years) individuals were included. Blood flow rate (BFR) in 21 intra- and extracerebral arteries was measured. Total cerebral blood flow was defined as BFR in the internal carotid plus vertebral arteries and mean cerebral perfusion as tCBF/brain volume. Carotid/vertebral distribution was 72%/28% and was not related to age, sex, or brain volume. Total cerebral blood flow (717±123 mL/min) was distributed to each side as follows: middle cerebral artery (MCA), 21% distal MCA, 6% anterior cerebral artery (ACA), 12%, distal ACA, 4% ophthalmic artery, 2% posterior cerebral artery (PCA), 8% and 20% to basilar artery. Deviating distributions were observed in subjects with ‘fetal' PCA. Blood flow rate in cerebral arteries decreased with increasing age (P&lt;0.05) but not in extracerebral arteries. Mean cerebral perfusion was higher in women (women: 61±8; men: 55±6 mL/min/100 mL, P&lt;0.001). The study describes a new method to outline the flow profile of the cerebral vascular tree, including reference values, and should be used for grading the collateral flow system.","container-title":"Journal of Cerebral Blood Flow &amp; Metabolism","DOI":"10.1038/jcbfm.2014.241","ISSN":"0271-678X","issue":"4","journalAbbreviation":"J Cereb Blood Flow Metab","note":"PMID: 25564234\nPMCID: PMC4420884","page":"648-654","source":"PubMed Central","title":"Blood flow distribution in cerebral arteries","volume":"35","author":[{"family":"Zarrinkoob","given":"Laleh"},{"family":"Ambarki","given":"Khalid"},{"family":"Wåhlin","given":"Anders"},{"family":"Birgander","given":"Richard"},{"family":"Eklund","given":"Anders"},{"family":"Malm","given":"Jan"}],"issued":{"date-parts":[["2015",4]]}}},{"id":759,"uris":["http://zotero.org/users/6508478/items/NQLAARLV"],"itemData":{"id":759,"type":"article-journal","container-title":"RadioGraphics","DOI":"10.1148/radiographics.22.3.g02ma11651","ISSN":"0271-5333, 1527-1323","issue":"3","journalAbbreviation":"RadioGraphics","language":"en","page":"651-671","source":"DOI.org (Crossref)","title":"Cardiovascular Flow Measurement with Phase-Contrast MR Imaging: Basic Facts and Implementation","title-short":"Cardiovascular Flow Measurement with Phase-Contrast MR Imaging","volume":"22","author":[{"family":"Lotz","given":"Joachim"},{"family":"Meier","given":"Christian"},{"family":"Leppert","given":"Andreas"},{"family":"Galanski","given":"Michael"}],"issued":{"date-parts":[["2002",5]]}}}],"schema":"https://github.com/citation-style-language/schema/raw/master/csl-citation.json"} </w:instrText>
      </w:r>
      <w:r w:rsidR="000E03C0">
        <w:rPr>
          <w:rFonts w:ascii="Arial" w:hAnsi="Arial" w:cs="Arial"/>
          <w:sz w:val="24"/>
          <w:szCs w:val="24"/>
        </w:rPr>
        <w:fldChar w:fldCharType="separate"/>
      </w:r>
      <w:r w:rsidR="00367A15" w:rsidRPr="00367A15">
        <w:rPr>
          <w:rFonts w:ascii="Arial" w:hAnsi="Arial" w:cs="Arial"/>
          <w:sz w:val="24"/>
          <w:szCs w:val="24"/>
          <w:vertAlign w:val="superscript"/>
        </w:rPr>
        <w:t>68,69</w:t>
      </w:r>
      <w:r w:rsidR="000E03C0">
        <w:rPr>
          <w:rFonts w:ascii="Arial" w:hAnsi="Arial" w:cs="Arial"/>
          <w:sz w:val="24"/>
          <w:szCs w:val="24"/>
        </w:rPr>
        <w:fldChar w:fldCharType="end"/>
      </w:r>
      <w:r w:rsidR="00DB7A69">
        <w:rPr>
          <w:rFonts w:ascii="Arial" w:hAnsi="Arial" w:cs="Arial"/>
          <w:sz w:val="24"/>
          <w:szCs w:val="24"/>
        </w:rPr>
        <w:t>.</w:t>
      </w:r>
    </w:p>
    <w:p w14:paraId="7D77B7AA" w14:textId="029C79F9" w:rsidR="006A5C43" w:rsidRPr="00881060" w:rsidRDefault="00CA41A9" w:rsidP="006A5C43">
      <w:pPr>
        <w:spacing w:line="480" w:lineRule="auto"/>
        <w:ind w:firstLine="720"/>
        <w:jc w:val="both"/>
        <w:rPr>
          <w:rFonts w:ascii="Arial" w:hAnsi="Arial" w:cs="Arial"/>
          <w:sz w:val="24"/>
          <w:szCs w:val="24"/>
        </w:rPr>
      </w:pPr>
      <w:r>
        <w:rPr>
          <w:rFonts w:ascii="Arial" w:hAnsi="Arial" w:cs="Arial"/>
          <w:sz w:val="24"/>
          <w:szCs w:val="24"/>
        </w:rPr>
        <w:t xml:space="preserve">Water absorption was measured to calculate the maximal fluid intake of PHA hydrogels to later include this parameter in our calculations of the quantity of PHA to inject in hydrogels. </w:t>
      </w:r>
      <w:r w:rsidR="007E149D">
        <w:rPr>
          <w:rFonts w:ascii="Arial" w:hAnsi="Arial" w:cs="Arial"/>
          <w:sz w:val="24"/>
          <w:szCs w:val="24"/>
        </w:rPr>
        <w:t>Water a</w:t>
      </w:r>
      <w:r w:rsidR="006A5C43" w:rsidRPr="00881060">
        <w:rPr>
          <w:rFonts w:ascii="Arial" w:hAnsi="Arial" w:cs="Arial"/>
          <w:sz w:val="24"/>
          <w:szCs w:val="24"/>
        </w:rPr>
        <w:t>bsor</w:t>
      </w:r>
      <w:r w:rsidR="006F6321">
        <w:rPr>
          <w:rFonts w:ascii="Arial" w:hAnsi="Arial" w:cs="Arial"/>
          <w:sz w:val="24"/>
          <w:szCs w:val="24"/>
        </w:rPr>
        <w:t>ption</w:t>
      </w:r>
      <w:r w:rsidR="006A5C43">
        <w:rPr>
          <w:rFonts w:ascii="Arial" w:hAnsi="Arial" w:cs="Arial"/>
          <w:sz w:val="24"/>
          <w:szCs w:val="24"/>
        </w:rPr>
        <w:t xml:space="preserve">, which was measured as the </w:t>
      </w:r>
      <w:r w:rsidR="006A5C43" w:rsidRPr="00881060">
        <w:rPr>
          <w:rFonts w:ascii="Arial" w:hAnsi="Arial" w:cs="Arial"/>
          <w:sz w:val="24"/>
          <w:szCs w:val="24"/>
        </w:rPr>
        <w:t>swollen weight</w:t>
      </w:r>
      <w:r w:rsidR="006A5C43">
        <w:rPr>
          <w:rFonts w:ascii="Arial" w:hAnsi="Arial" w:cs="Arial"/>
          <w:sz w:val="24"/>
          <w:szCs w:val="24"/>
        </w:rPr>
        <w:t xml:space="preserve"> of the hydrogel relative to its</w:t>
      </w:r>
      <w:r w:rsidR="006A5C43" w:rsidRPr="00881060">
        <w:rPr>
          <w:rFonts w:ascii="Arial" w:hAnsi="Arial" w:cs="Arial"/>
          <w:sz w:val="24"/>
          <w:szCs w:val="24"/>
        </w:rPr>
        <w:t xml:space="preserve"> fabricated weight</w:t>
      </w:r>
      <w:r w:rsidR="006A5C43">
        <w:rPr>
          <w:rFonts w:ascii="Arial" w:hAnsi="Arial" w:cs="Arial"/>
          <w:sz w:val="24"/>
          <w:szCs w:val="24"/>
        </w:rPr>
        <w:t>,</w:t>
      </w:r>
      <w:r w:rsidR="006A5C43" w:rsidRPr="00881060">
        <w:rPr>
          <w:rFonts w:ascii="Arial" w:hAnsi="Arial" w:cs="Arial"/>
          <w:sz w:val="24"/>
          <w:szCs w:val="24"/>
        </w:rPr>
        <w:t xml:space="preserve"> increased with weight percent </w:t>
      </w:r>
      <w:r w:rsidR="006A5C43">
        <w:rPr>
          <w:rFonts w:ascii="Arial" w:hAnsi="Arial" w:cs="Arial"/>
          <w:sz w:val="24"/>
          <w:szCs w:val="24"/>
        </w:rPr>
        <w:t>in</w:t>
      </w:r>
      <w:r w:rsidR="006A5C43" w:rsidRPr="00881060">
        <w:rPr>
          <w:rFonts w:ascii="Arial" w:hAnsi="Arial" w:cs="Arial"/>
          <w:sz w:val="24"/>
          <w:szCs w:val="24"/>
        </w:rPr>
        <w:t xml:space="preserve"> 5, 7.5, and 10% PHA hydrogels. </w:t>
      </w:r>
      <w:r w:rsidR="006A5C43">
        <w:rPr>
          <w:rFonts w:ascii="Arial" w:hAnsi="Arial" w:cs="Arial"/>
          <w:sz w:val="24"/>
          <w:szCs w:val="24"/>
        </w:rPr>
        <w:t>The s</w:t>
      </w:r>
      <w:r w:rsidR="006A5C43" w:rsidRPr="00881060">
        <w:rPr>
          <w:rFonts w:ascii="Arial" w:hAnsi="Arial" w:cs="Arial"/>
          <w:sz w:val="24"/>
          <w:szCs w:val="24"/>
        </w:rPr>
        <w:t xml:space="preserve">ame trend </w:t>
      </w:r>
      <w:r w:rsidR="006A5C43">
        <w:rPr>
          <w:rFonts w:ascii="Arial" w:hAnsi="Arial" w:cs="Arial"/>
          <w:sz w:val="24"/>
          <w:szCs w:val="24"/>
        </w:rPr>
        <w:t xml:space="preserve">was observed </w:t>
      </w:r>
      <w:r w:rsidR="006A5C43" w:rsidRPr="00881060">
        <w:rPr>
          <w:rFonts w:ascii="Arial" w:hAnsi="Arial" w:cs="Arial"/>
          <w:sz w:val="24"/>
          <w:szCs w:val="24"/>
        </w:rPr>
        <w:t>for 5, 7.5, and 10% PHA hydrogels with tantalum</w:t>
      </w:r>
      <w:r w:rsidR="00A37562">
        <w:rPr>
          <w:rFonts w:ascii="Arial" w:hAnsi="Arial" w:cs="Arial"/>
          <w:sz w:val="24"/>
          <w:szCs w:val="24"/>
        </w:rPr>
        <w:t xml:space="preserve"> and the results had the same order of magnitude</w:t>
      </w:r>
      <w:r w:rsidR="006A5C43" w:rsidRPr="00881060">
        <w:rPr>
          <w:rFonts w:ascii="Arial" w:hAnsi="Arial" w:cs="Arial"/>
          <w:sz w:val="24"/>
          <w:szCs w:val="24"/>
        </w:rPr>
        <w:t>.</w:t>
      </w:r>
      <w:r w:rsidR="0080506F">
        <w:rPr>
          <w:rFonts w:ascii="Arial" w:hAnsi="Arial" w:cs="Arial"/>
          <w:sz w:val="24"/>
          <w:szCs w:val="24"/>
        </w:rPr>
        <w:t xml:space="preserve"> These findings correlate with the fact that the more crosslinked hydrogels are, the more it structure has </w:t>
      </w:r>
      <w:r w:rsidR="004A6AD4">
        <w:rPr>
          <w:rFonts w:ascii="Arial" w:hAnsi="Arial" w:cs="Arial"/>
          <w:sz w:val="24"/>
          <w:szCs w:val="24"/>
        </w:rPr>
        <w:t>pores</w:t>
      </w:r>
      <w:r w:rsidR="0080506F">
        <w:rPr>
          <w:rFonts w:ascii="Arial" w:hAnsi="Arial" w:cs="Arial"/>
          <w:sz w:val="24"/>
          <w:szCs w:val="24"/>
        </w:rPr>
        <w:t xml:space="preserve"> in which water can be stored</w:t>
      </w:r>
      <w:r w:rsidR="00C423D3">
        <w:rPr>
          <w:rFonts w:ascii="Arial" w:hAnsi="Arial" w:cs="Arial"/>
          <w:sz w:val="24"/>
          <w:szCs w:val="24"/>
        </w:rPr>
        <w:fldChar w:fldCharType="begin"/>
      </w:r>
      <w:r w:rsidR="00367A15">
        <w:rPr>
          <w:rFonts w:ascii="Arial" w:hAnsi="Arial" w:cs="Arial"/>
          <w:sz w:val="24"/>
          <w:szCs w:val="24"/>
        </w:rPr>
        <w:instrText xml:space="preserve"> ADDIN ZOTERO_ITEM CSL_CITATION {"citationID":"I7Wd2zK9","properties":{"formattedCitation":"\\super 64\\nosupersub{}","plainCitation":"64","noteIndex":0},"citationItems":[{"id":752,"uris":["http://zotero.org/users/6508478/items/LN5IZJAQ"],"itemData":{"id":752,"type":"article-journal","abstract":"An injectable and biodegradable hydrogel system comprising hyaluronic acid-tyramine (HA-Tyr) conjugates can safely undergo covalent cross-linking in vivo by the addition of small amounts of peroxidase and hydrogen peroxide (H2O2), with the independent tuning of the gelation rate and degree of cross-linking. Such hydrogel networks with tunable mechanical and degradation properties may provide the additional level of control needed to enhance chondrogenesis and overall cartilage tissue formation in vitro and in vivo. In this study, HA-Tyr hydrogels were explored as biomimetic matrices for caprine mesenchymal stem cells (MSCs) in cartilage tissue engineering. The compressive modulus, equilibrium swelling and degradation rate could be controlled by varying the concentration of H2O2 as the oxidant in the oxidative coupling reaction. Cellular condensation reflected by the increase in effective number density of rounded cells in lacunae was greater in softer hydrogel matrices with lower cross-linking that displayed enhanced scaffold contracture. Conversely, within higher cross-linked matrices, cells adopted a more elongated morphology, with a reduced degree of cellular condensation. Furthermore, the degree of hydrogel cross-linking also modulated matrix biosynthesis and cartilage tissue histogenesis. Lower cross-linked matrix enhanced chondrogenesis with increases in the percentage of cells with chondrocytic morphology; biosynthetic rates of glycosaminoglycan and type II collagen; and hyaline cartilage tissue formation. With increasing cross-linking degree and matrix stiffness, a shift in MSC differentiation toward fibrous phenotypes with the formation of fibrocartilage and fibrous tissues was observed. These findings suggest that the tunable three-dimensional microenvironment of the HA-Tyr hydrogels modulates cellular condensation during chondrogenesis and has a dramatic impact on spatial organization of cells, matrix biosynthesis, and overall cartilage tissue histogenesis.","container-title":"Biomaterials","DOI":"10.1016/j.biomaterials.2012.01.065","ISSN":"0142-9612","issue":"15","journalAbbreviation":"Biomaterials","language":"en","page":"3835-3845","source":"ScienceDirect","title":"Modulation of mesenchymal stem cell chondrogenesis in a tunable hyaluronic acid hydrogel microenvironment","volume":"33","author":[{"family":"Toh","given":"Wei Seong"},{"family":"Lim","given":"Teck Chuan"},{"family":"Kurisawa","given":"Motoichi"},{"family":"Spector","given":"Myron"}],"issued":{"date-parts":[["2012",5,1]]}}}],"schema":"https://github.com/citation-style-language/schema/raw/master/csl-citation.json"} </w:instrText>
      </w:r>
      <w:r w:rsidR="00C423D3">
        <w:rPr>
          <w:rFonts w:ascii="Arial" w:hAnsi="Arial" w:cs="Arial"/>
          <w:sz w:val="24"/>
          <w:szCs w:val="24"/>
        </w:rPr>
        <w:fldChar w:fldCharType="separate"/>
      </w:r>
      <w:r w:rsidR="00367A15" w:rsidRPr="00367A15">
        <w:rPr>
          <w:rFonts w:ascii="Arial" w:hAnsi="Arial" w:cs="Arial"/>
          <w:sz w:val="24"/>
          <w:szCs w:val="24"/>
          <w:vertAlign w:val="superscript"/>
        </w:rPr>
        <w:t>64</w:t>
      </w:r>
      <w:r w:rsidR="00C423D3">
        <w:rPr>
          <w:rFonts w:ascii="Arial" w:hAnsi="Arial" w:cs="Arial"/>
          <w:sz w:val="24"/>
          <w:szCs w:val="24"/>
        </w:rPr>
        <w:fldChar w:fldCharType="end"/>
      </w:r>
      <w:r w:rsidR="0080506F">
        <w:rPr>
          <w:rFonts w:ascii="Arial" w:hAnsi="Arial" w:cs="Arial"/>
          <w:sz w:val="24"/>
          <w:szCs w:val="24"/>
        </w:rPr>
        <w:t>.</w:t>
      </w:r>
      <w:r w:rsidR="006A5C43" w:rsidRPr="00881060">
        <w:rPr>
          <w:rFonts w:ascii="Arial" w:hAnsi="Arial" w:cs="Arial"/>
          <w:sz w:val="24"/>
          <w:szCs w:val="24"/>
        </w:rPr>
        <w:t xml:space="preserve"> </w:t>
      </w:r>
      <w:r w:rsidR="006A5C43">
        <w:rPr>
          <w:rFonts w:ascii="Arial" w:hAnsi="Arial" w:cs="Arial"/>
          <w:sz w:val="24"/>
          <w:szCs w:val="24"/>
        </w:rPr>
        <w:t>These results allow</w:t>
      </w:r>
      <w:r w:rsidR="006A5C43" w:rsidRPr="00881060">
        <w:rPr>
          <w:rFonts w:ascii="Arial" w:hAnsi="Arial" w:cs="Arial"/>
          <w:sz w:val="24"/>
          <w:szCs w:val="24"/>
        </w:rPr>
        <w:t xml:space="preserve"> </w:t>
      </w:r>
      <w:r w:rsidR="004A6AD4">
        <w:rPr>
          <w:rFonts w:ascii="Arial" w:hAnsi="Arial" w:cs="Arial"/>
          <w:sz w:val="24"/>
          <w:szCs w:val="24"/>
        </w:rPr>
        <w:t>for the determination</w:t>
      </w:r>
      <w:r w:rsidR="006A5C43" w:rsidRPr="00881060">
        <w:rPr>
          <w:rFonts w:ascii="Arial" w:hAnsi="Arial" w:cs="Arial"/>
          <w:sz w:val="24"/>
          <w:szCs w:val="24"/>
        </w:rPr>
        <w:t xml:space="preserve"> how much </w:t>
      </w:r>
      <w:r w:rsidR="00D57519">
        <w:rPr>
          <w:rFonts w:ascii="Arial" w:hAnsi="Arial" w:cs="Arial"/>
          <w:sz w:val="24"/>
          <w:szCs w:val="24"/>
        </w:rPr>
        <w:t xml:space="preserve">fluid </w:t>
      </w:r>
      <w:r w:rsidR="00B14F26">
        <w:rPr>
          <w:rFonts w:ascii="Arial" w:hAnsi="Arial" w:cs="Arial"/>
          <w:sz w:val="24"/>
          <w:szCs w:val="24"/>
        </w:rPr>
        <w:t>can be absorbed by</w:t>
      </w:r>
      <w:r w:rsidR="00D57519">
        <w:rPr>
          <w:rFonts w:ascii="Arial" w:hAnsi="Arial" w:cs="Arial"/>
          <w:sz w:val="24"/>
          <w:szCs w:val="24"/>
        </w:rPr>
        <w:t xml:space="preserve"> </w:t>
      </w:r>
      <w:r w:rsidR="006A5C43" w:rsidRPr="00881060">
        <w:rPr>
          <w:rFonts w:ascii="Arial" w:hAnsi="Arial" w:cs="Arial"/>
          <w:sz w:val="24"/>
          <w:szCs w:val="24"/>
        </w:rPr>
        <w:t>PHA</w:t>
      </w:r>
      <w:r w:rsidR="004A6AD4">
        <w:rPr>
          <w:rFonts w:ascii="Arial" w:hAnsi="Arial" w:cs="Arial"/>
          <w:sz w:val="24"/>
          <w:szCs w:val="24"/>
        </w:rPr>
        <w:t xml:space="preserve"> hydrogel</w:t>
      </w:r>
      <w:r w:rsidR="006A5C43" w:rsidRPr="00881060">
        <w:rPr>
          <w:rFonts w:ascii="Arial" w:hAnsi="Arial" w:cs="Arial"/>
          <w:sz w:val="24"/>
          <w:szCs w:val="24"/>
        </w:rPr>
        <w:t xml:space="preserve">. </w:t>
      </w:r>
      <w:r w:rsidR="004A6AD4">
        <w:rPr>
          <w:rFonts w:ascii="Arial" w:hAnsi="Arial" w:cs="Arial"/>
          <w:sz w:val="24"/>
          <w:szCs w:val="24"/>
        </w:rPr>
        <w:t>As PHA is expected to behave the same way in blood because PBS and blood have similar pH and main ionic constituants</w:t>
      </w:r>
      <w:r w:rsidR="004A6AD4">
        <w:rPr>
          <w:rFonts w:ascii="Arial" w:hAnsi="Arial" w:cs="Arial"/>
          <w:sz w:val="24"/>
          <w:szCs w:val="24"/>
        </w:rPr>
        <w:fldChar w:fldCharType="begin"/>
      </w:r>
      <w:r w:rsidR="00367A15">
        <w:rPr>
          <w:rFonts w:ascii="Arial" w:hAnsi="Arial" w:cs="Arial"/>
          <w:sz w:val="24"/>
          <w:szCs w:val="24"/>
        </w:rPr>
        <w:instrText xml:space="preserve"> ADDIN ZOTERO_ITEM CSL_CITATION {"citationID":"NBXIrSew","properties":{"formattedCitation":"\\super 70\\nosupersub{}","plainCitation":"70","noteIndex":0},"citationItems":[{"id":767,"uris":["http://zotero.org/users/6508478/items/5JIJ5PQ2"],"itemData":{"id":767,"type":"article-journal","abstract":"Determination of physiological concentrations of glucose in whole blood or blood serum using infrared (IR) spectrometry is complicated due to combined effects of spectral variations caused by fluctuations in temperature, pH and other blood constituents with overlapping spectra. In order to initiate systematic examination of these effects, we studied the effects of temperature and pH changes on the spectral variation of phosphate buffered saline (PBS) solutions and glucose doped PBS solutions in vitro. We observed that temperature and pH variations in the glucose doped PBS solutions cause significant changes in absorbance recorded with a Fourier transform infrared/attenuated total reflectance apparatus in the spectral region which contains information about glucose. Primary blood constituents which may interfere with the IR spectrophotometric measurement of glucose in serum were identified. Blood serum solutions were simulated by mixing glucose and the primary interfering constituents in their physiological concentrations with PBS. The feasibility of accurate prediction of physiological glucose concentration in simulated serum solutions covering physiological variations of blood constituents was assessed by applying univariate techniques, multivariate statistical methods and artificial neural networks (ANN) to their mid-IR spectra. Multivariate methods based on partial least squares, principal component regression and ANN produced calibration models with smaller standard errors of prediction (SEP) of 16.9, 18.8 and 18.8 mg dl-1, respectively, compared with univariate methods based on peak height and area determinations which yielded a smallest SEP of 40.1 mg dl-1. We conclude that in spite of physiological variations of major interfering constituents, physiological glucose concentration in aqueous multicomponent mixtures such as blood serum may be predicted with sufficient accuracy for clinical applications using multivariate chemometric techniques.","container-title":"Vibrational Spectroscopy","DOI":"10.1016/0924-2031(93)E0059-B","ISSN":"0924-2031","issue":"3","journalAbbreviation":"Vibrational Spectroscopy","language":"en","page":"363-378","source":"ScienceDirect","title":"Glucose determination in simulated blood serum solutions by Fourier transform infrared spectroscopy: investigation of spectral interferences","title-short":"Glucose determination in simulated blood serum solutions by Fourier transform infrared spectroscopy","volume":"6","author":[{"family":"Bhandare","given":"Prashant"},{"family":"Mendelson","given":"Yitzhak"},{"family":"Stohr","given":"Erich"},{"family":"Peura","given":"Robert A."}],"issued":{"date-parts":[["1994",3,1]]}}}],"schema":"https://github.com/citation-style-language/schema/raw/master/csl-citation.json"} </w:instrText>
      </w:r>
      <w:r w:rsidR="004A6AD4">
        <w:rPr>
          <w:rFonts w:ascii="Arial" w:hAnsi="Arial" w:cs="Arial"/>
          <w:sz w:val="24"/>
          <w:szCs w:val="24"/>
        </w:rPr>
        <w:fldChar w:fldCharType="separate"/>
      </w:r>
      <w:r w:rsidR="00367A15" w:rsidRPr="00367A15">
        <w:rPr>
          <w:rFonts w:ascii="Arial" w:hAnsi="Arial" w:cs="Arial"/>
          <w:sz w:val="24"/>
          <w:szCs w:val="24"/>
          <w:vertAlign w:val="superscript"/>
        </w:rPr>
        <w:t>70</w:t>
      </w:r>
      <w:r w:rsidR="004A6AD4">
        <w:rPr>
          <w:rFonts w:ascii="Arial" w:hAnsi="Arial" w:cs="Arial"/>
          <w:sz w:val="24"/>
          <w:szCs w:val="24"/>
        </w:rPr>
        <w:fldChar w:fldCharType="end"/>
      </w:r>
      <w:r w:rsidR="004A6AD4">
        <w:rPr>
          <w:rFonts w:ascii="Arial" w:hAnsi="Arial" w:cs="Arial"/>
          <w:sz w:val="24"/>
          <w:szCs w:val="24"/>
        </w:rPr>
        <w:t>, PBS was utilized to determine water absorbance in these studies.</w:t>
      </w:r>
      <w:r w:rsidR="004A6AD4" w:rsidRPr="00881060">
        <w:rPr>
          <w:rFonts w:ascii="Arial" w:hAnsi="Arial" w:cs="Arial"/>
          <w:sz w:val="24"/>
          <w:szCs w:val="24"/>
        </w:rPr>
        <w:t xml:space="preserve"> </w:t>
      </w:r>
      <w:r w:rsidR="006A5C43" w:rsidRPr="00881060">
        <w:rPr>
          <w:rFonts w:ascii="Arial" w:hAnsi="Arial" w:cs="Arial"/>
          <w:sz w:val="24"/>
          <w:szCs w:val="24"/>
        </w:rPr>
        <w:t xml:space="preserve">For instance, PHA 10% </w:t>
      </w:r>
      <w:r w:rsidR="007D386D">
        <w:rPr>
          <w:rFonts w:ascii="Arial" w:hAnsi="Arial" w:cs="Arial"/>
          <w:sz w:val="24"/>
          <w:szCs w:val="24"/>
        </w:rPr>
        <w:t>have an absorption rate of</w:t>
      </w:r>
      <w:r w:rsidR="007D386D" w:rsidRPr="00881060">
        <w:rPr>
          <w:rFonts w:ascii="Arial" w:hAnsi="Arial" w:cs="Arial"/>
          <w:sz w:val="24"/>
          <w:szCs w:val="24"/>
        </w:rPr>
        <w:t xml:space="preserve"> </w:t>
      </w:r>
      <w:r w:rsidR="006A5C43" w:rsidRPr="00881060">
        <w:rPr>
          <w:rFonts w:ascii="Arial" w:hAnsi="Arial" w:cs="Arial"/>
          <w:sz w:val="24"/>
          <w:szCs w:val="24"/>
        </w:rPr>
        <w:t>2.5</w:t>
      </w:r>
      <w:r w:rsidR="007D386D">
        <w:rPr>
          <w:rFonts w:ascii="Arial" w:hAnsi="Arial" w:cs="Arial"/>
          <w:sz w:val="24"/>
          <w:szCs w:val="24"/>
        </w:rPr>
        <w:t>.</w:t>
      </w:r>
      <w:r w:rsidR="006A5C43" w:rsidRPr="00881060">
        <w:rPr>
          <w:rFonts w:ascii="Arial" w:hAnsi="Arial" w:cs="Arial"/>
          <w:sz w:val="24"/>
          <w:szCs w:val="24"/>
        </w:rPr>
        <w:t xml:space="preserve"> Thus,</w:t>
      </w:r>
      <w:r w:rsidR="004A6AD4">
        <w:rPr>
          <w:rFonts w:ascii="Arial" w:hAnsi="Arial" w:cs="Arial"/>
          <w:sz w:val="24"/>
          <w:szCs w:val="24"/>
        </w:rPr>
        <w:t xml:space="preserve"> when delivering the PHA hydrogel, it is expected that</w:t>
      </w:r>
      <w:r w:rsidR="006A5C43" w:rsidRPr="00881060">
        <w:rPr>
          <w:rFonts w:ascii="Arial" w:hAnsi="Arial" w:cs="Arial"/>
          <w:sz w:val="24"/>
          <w:szCs w:val="24"/>
        </w:rPr>
        <w:t xml:space="preserve"> the quantity of 10% PHA to inject in a patient’s aneurism </w:t>
      </w:r>
      <w:r w:rsidR="00012BAB">
        <w:rPr>
          <w:rFonts w:ascii="Arial" w:hAnsi="Arial" w:cs="Arial"/>
          <w:sz w:val="24"/>
          <w:szCs w:val="24"/>
        </w:rPr>
        <w:t>must</w:t>
      </w:r>
      <w:r w:rsidR="00012BAB" w:rsidRPr="00881060">
        <w:rPr>
          <w:rFonts w:ascii="Arial" w:hAnsi="Arial" w:cs="Arial"/>
          <w:sz w:val="24"/>
          <w:szCs w:val="24"/>
        </w:rPr>
        <w:t xml:space="preserve"> </w:t>
      </w:r>
      <w:r w:rsidR="006A5C43" w:rsidRPr="00881060">
        <w:rPr>
          <w:rFonts w:ascii="Arial" w:hAnsi="Arial" w:cs="Arial"/>
          <w:sz w:val="24"/>
          <w:szCs w:val="24"/>
        </w:rPr>
        <w:t>be diminished by 2.5 times</w:t>
      </w:r>
      <w:r w:rsidR="004A6AD4">
        <w:rPr>
          <w:rFonts w:ascii="Arial" w:hAnsi="Arial" w:cs="Arial"/>
          <w:sz w:val="24"/>
          <w:szCs w:val="24"/>
        </w:rPr>
        <w:t xml:space="preserve"> to prevent overpopulating the aneurysm site with material</w:t>
      </w:r>
      <w:r w:rsidR="006A5C43" w:rsidRPr="00881060">
        <w:rPr>
          <w:rFonts w:ascii="Arial" w:hAnsi="Arial" w:cs="Arial"/>
          <w:sz w:val="24"/>
          <w:szCs w:val="24"/>
        </w:rPr>
        <w:t xml:space="preserve">. </w:t>
      </w:r>
    </w:p>
    <w:p w14:paraId="74CDF57B" w14:textId="4686DB66" w:rsidR="006A5C43" w:rsidRPr="00881060" w:rsidRDefault="00121DC8" w:rsidP="004A6AD4">
      <w:pPr>
        <w:spacing w:line="480" w:lineRule="auto"/>
        <w:ind w:firstLine="720"/>
        <w:jc w:val="both"/>
        <w:rPr>
          <w:rFonts w:ascii="Arial" w:hAnsi="Arial" w:cs="Arial"/>
          <w:sz w:val="24"/>
          <w:szCs w:val="24"/>
        </w:rPr>
      </w:pPr>
      <w:r>
        <w:rPr>
          <w:rFonts w:ascii="Arial" w:hAnsi="Arial" w:cs="Arial"/>
          <w:sz w:val="24"/>
          <w:szCs w:val="24"/>
        </w:rPr>
        <w:lastRenderedPageBreak/>
        <w:t xml:space="preserve">Similarly to water absorption, swelling ratio was measured to evaluate the total fluid intake of PHA between its swollen and dry forms.  </w:t>
      </w:r>
      <w:r w:rsidR="00234D9B">
        <w:rPr>
          <w:rFonts w:ascii="Arial" w:hAnsi="Arial" w:cs="Arial"/>
          <w:sz w:val="24"/>
          <w:szCs w:val="24"/>
        </w:rPr>
        <w:t>T</w:t>
      </w:r>
      <w:r w:rsidR="006A5C43" w:rsidRPr="00881060">
        <w:rPr>
          <w:rFonts w:ascii="Arial" w:hAnsi="Arial" w:cs="Arial"/>
          <w:sz w:val="24"/>
          <w:szCs w:val="24"/>
        </w:rPr>
        <w:t>he swelling ratio</w:t>
      </w:r>
      <w:r w:rsidR="004A6AD4">
        <w:rPr>
          <w:rFonts w:ascii="Arial" w:hAnsi="Arial" w:cs="Arial"/>
          <w:sz w:val="24"/>
          <w:szCs w:val="24"/>
        </w:rPr>
        <w:t>, which was calculated from the</w:t>
      </w:r>
      <w:r w:rsidR="006A5C43" w:rsidRPr="00881060">
        <w:rPr>
          <w:rFonts w:ascii="Arial" w:hAnsi="Arial" w:cs="Arial"/>
          <w:sz w:val="24"/>
          <w:szCs w:val="24"/>
        </w:rPr>
        <w:t xml:space="preserve"> swollen weight </w:t>
      </w:r>
      <w:r w:rsidR="004A6AD4">
        <w:rPr>
          <w:rFonts w:ascii="Arial" w:hAnsi="Arial" w:cs="Arial"/>
          <w:sz w:val="24"/>
          <w:szCs w:val="24"/>
        </w:rPr>
        <w:t>of the hydrogel minus the</w:t>
      </w:r>
      <w:r w:rsidR="006A5C43" w:rsidRPr="00881060">
        <w:rPr>
          <w:rFonts w:ascii="Arial" w:hAnsi="Arial" w:cs="Arial"/>
          <w:sz w:val="24"/>
          <w:szCs w:val="24"/>
        </w:rPr>
        <w:t xml:space="preserve"> dry weight </w:t>
      </w:r>
      <w:r w:rsidR="004A6AD4">
        <w:rPr>
          <w:rFonts w:ascii="Arial" w:hAnsi="Arial" w:cs="Arial"/>
          <w:sz w:val="24"/>
          <w:szCs w:val="24"/>
        </w:rPr>
        <w:t xml:space="preserve">of the hydrogel divided by the </w:t>
      </w:r>
      <w:r w:rsidR="006A5C43" w:rsidRPr="00881060">
        <w:rPr>
          <w:rFonts w:ascii="Arial" w:hAnsi="Arial" w:cs="Arial"/>
          <w:sz w:val="24"/>
          <w:szCs w:val="24"/>
        </w:rPr>
        <w:t>dry weight</w:t>
      </w:r>
      <w:r w:rsidR="004A6AD4">
        <w:rPr>
          <w:rFonts w:ascii="Arial" w:hAnsi="Arial" w:cs="Arial"/>
          <w:sz w:val="24"/>
          <w:szCs w:val="24"/>
        </w:rPr>
        <w:t xml:space="preserve">, </w:t>
      </w:r>
      <w:r w:rsidR="006A5C43" w:rsidRPr="00881060">
        <w:rPr>
          <w:rFonts w:ascii="Arial" w:hAnsi="Arial" w:cs="Arial"/>
          <w:sz w:val="24"/>
          <w:szCs w:val="24"/>
        </w:rPr>
        <w:t xml:space="preserve">of 5%, 7.5%, and 10% percent weight PHA hydrogels </w:t>
      </w:r>
      <w:r w:rsidR="00BB5174">
        <w:rPr>
          <w:rFonts w:ascii="Arial" w:hAnsi="Arial" w:cs="Arial"/>
          <w:sz w:val="24"/>
          <w:szCs w:val="24"/>
        </w:rPr>
        <w:t>w</w:t>
      </w:r>
      <w:r w:rsidR="006A5C43" w:rsidRPr="00881060">
        <w:rPr>
          <w:rFonts w:ascii="Arial" w:hAnsi="Arial" w:cs="Arial"/>
          <w:sz w:val="24"/>
          <w:szCs w:val="24"/>
        </w:rPr>
        <w:t>ithout tantalum, exhibited decreasing moduli with increasing weight percentages</w:t>
      </w:r>
      <w:r w:rsidR="00BC65D7">
        <w:rPr>
          <w:rFonts w:ascii="Arial" w:hAnsi="Arial" w:cs="Arial"/>
          <w:sz w:val="24"/>
          <w:szCs w:val="24"/>
        </w:rPr>
        <w:t>. These results were</w:t>
      </w:r>
      <w:r w:rsidR="00860330">
        <w:rPr>
          <w:rFonts w:ascii="Arial" w:hAnsi="Arial" w:cs="Arial"/>
          <w:sz w:val="24"/>
          <w:szCs w:val="24"/>
        </w:rPr>
        <w:t xml:space="preserve"> expected because t</w:t>
      </w:r>
      <w:r w:rsidR="00BC65D7">
        <w:rPr>
          <w:rFonts w:ascii="Arial" w:hAnsi="Arial" w:cs="Arial"/>
          <w:sz w:val="24"/>
          <w:szCs w:val="24"/>
        </w:rPr>
        <w:t xml:space="preserve">his ratio includes dry PHA which </w:t>
      </w:r>
      <w:r w:rsidR="007C6002">
        <w:rPr>
          <w:rFonts w:ascii="Arial" w:hAnsi="Arial" w:cs="Arial"/>
          <w:sz w:val="24"/>
          <w:szCs w:val="24"/>
        </w:rPr>
        <w:t xml:space="preserve">doesn’t have water and indicates that more PHA is crosslinked, the more its organized structure allows water to be withdrawn from it, but also the more it can re-absorb water. </w:t>
      </w:r>
      <w:r w:rsidR="004A6AD4" w:rsidRPr="00881060">
        <w:rPr>
          <w:rFonts w:ascii="Arial" w:hAnsi="Arial" w:cs="Arial"/>
          <w:sz w:val="24"/>
          <w:szCs w:val="24"/>
        </w:rPr>
        <w:t xml:space="preserve">Burdick </w:t>
      </w:r>
      <w:r w:rsidR="004A6AD4" w:rsidRPr="00525779">
        <w:rPr>
          <w:rFonts w:ascii="Arial" w:hAnsi="Arial" w:cs="Arial"/>
          <w:i/>
          <w:iCs/>
          <w:sz w:val="24"/>
          <w:szCs w:val="24"/>
        </w:rPr>
        <w:t>et al</w:t>
      </w:r>
      <w:r w:rsidR="004A6AD4" w:rsidRPr="00881060">
        <w:rPr>
          <w:rFonts w:ascii="Arial" w:hAnsi="Arial" w:cs="Arial"/>
          <w:sz w:val="24"/>
          <w:szCs w:val="24"/>
        </w:rPr>
        <w:t>.</w:t>
      </w:r>
      <w:r w:rsidR="00714DC3" w:rsidRPr="00881060">
        <w:rPr>
          <w:rFonts w:ascii="Arial" w:hAnsi="Arial" w:cs="Arial"/>
          <w:sz w:val="24"/>
          <w:szCs w:val="24"/>
        </w:rPr>
        <w:fldChar w:fldCharType="begin"/>
      </w:r>
      <w:r w:rsidR="00714DC3">
        <w:rPr>
          <w:rFonts w:ascii="Arial" w:hAnsi="Arial" w:cs="Arial"/>
          <w:sz w:val="24"/>
          <w:szCs w:val="24"/>
        </w:rPr>
        <w:instrText xml:space="preserve"> ADDIN ZOTERO_ITEM CSL_CITATION {"citationID":"lA1H2AUq","properties":{"formattedCitation":"\\super 63\\nosupersub{}","plainCitation":"63","noteIndex":0},"citationItems":[{"id":727,"uris":["http://zotero.org/users/6508478/items/DKE64C6S"],"itemData":{"id":727,"type":"article-journal","abstract":"Hyaluronic acid is a natural polysaccharide found abundantly throughout the body with many desirable properties for application as a biomaterial, including scaffolding for tissue engineering. In this work, hyaluronic acid with molecular weights ranging from 50 to 1100 kDa was modified with methacrylic anhydride and photopolymerized into networks with a wide range of physical properties. With macromer concentrations from 2 to 20 wt %, networks exhibited volumetric swelling ratios ranging from </w:instrText>
      </w:r>
      <w:r w:rsidR="00714DC3">
        <w:rPr>
          <w:rFonts w:ascii="Cambria Math" w:hAnsi="Cambria Math" w:cs="Cambria Math"/>
          <w:sz w:val="24"/>
          <w:szCs w:val="24"/>
        </w:rPr>
        <w:instrText>∼</w:instrText>
      </w:r>
      <w:r w:rsidR="00714DC3">
        <w:rPr>
          <w:rFonts w:ascii="Arial" w:hAnsi="Arial" w:cs="Arial"/>
          <w:sz w:val="24"/>
          <w:szCs w:val="24"/>
        </w:rPr>
        <w:instrText xml:space="preserve">42 to 8, compressive moduli ranging from </w:instrText>
      </w:r>
      <w:r w:rsidR="00714DC3">
        <w:rPr>
          <w:rFonts w:ascii="Cambria Math" w:hAnsi="Cambria Math" w:cs="Cambria Math"/>
          <w:sz w:val="24"/>
          <w:szCs w:val="24"/>
        </w:rPr>
        <w:instrText>∼</w:instrText>
      </w:r>
      <w:r w:rsidR="00714DC3">
        <w:rPr>
          <w:rFonts w:ascii="Arial" w:hAnsi="Arial" w:cs="Arial"/>
          <w:sz w:val="24"/>
          <w:szCs w:val="24"/>
        </w:rPr>
        <w:instrText xml:space="preserve">2 to over 100 kPa, and degradation times ranging from less than 1 day up to almost 38 days in the presence of 100 U/mL of hyaluronidase. When 3T3-fibroblasts were photoencapsulated in the hydrogels, cells remained viable with low macromer concentrations but decreased sequentially as the macromer concentration increased. Finally, auricular swine chondrocytes produced neocartilage when photoencapsulated in the hyaluronic acid networks. This work presents a next step toward the development of advanced in vivo curable biomaterials.","container-title":"Biomacromolecules","DOI":"10.1021/bm049508a","ISSN":"1525-7797","issue":"1","journalAbbreviation":"Biomacromolecules","note":"publisher: American Chemical Society","page":"386-391","source":"ACS Publications","title":"Controlled Degradation and Mechanical Behavior of Photopolymerized Hyaluronic Acid Networks","volume":"6","author":[{"family":"Burdick","given":"Jason A."},{"family":"Chung","given":"Cindy"},{"family":"Jia","given":"Xinqiao"},{"family":"Randolph","given":"Mark A."},{"family":"Langer","given":"Robert"}],"issued":{"date-parts":[["2005",1,1]]}}}],"schema":"https://github.com/citation-style-language/schema/raw/master/csl-citation.json"} </w:instrText>
      </w:r>
      <w:r w:rsidR="00714DC3" w:rsidRPr="00881060">
        <w:rPr>
          <w:rFonts w:ascii="Arial" w:hAnsi="Arial" w:cs="Arial"/>
          <w:sz w:val="24"/>
          <w:szCs w:val="24"/>
        </w:rPr>
        <w:fldChar w:fldCharType="separate"/>
      </w:r>
      <w:r w:rsidR="00714DC3" w:rsidRPr="00367A15">
        <w:rPr>
          <w:rFonts w:ascii="Arial" w:hAnsi="Arial" w:cs="Arial"/>
          <w:sz w:val="24"/>
          <w:szCs w:val="24"/>
          <w:vertAlign w:val="superscript"/>
        </w:rPr>
        <w:t>63</w:t>
      </w:r>
      <w:r w:rsidR="00714DC3" w:rsidRPr="00881060">
        <w:rPr>
          <w:rFonts w:ascii="Arial" w:hAnsi="Arial" w:cs="Arial"/>
          <w:sz w:val="24"/>
          <w:szCs w:val="24"/>
        </w:rPr>
        <w:fldChar w:fldCharType="end"/>
      </w:r>
      <w:r w:rsidR="004A6AD4" w:rsidRPr="00881060">
        <w:rPr>
          <w:rFonts w:ascii="Arial" w:hAnsi="Arial" w:cs="Arial"/>
          <w:sz w:val="24"/>
          <w:szCs w:val="24"/>
        </w:rPr>
        <w:t>, reported that the swelling ratio of 5, 10 and 20% 50 kDa PHA hydrogels were decreasing with increasing weight percentages.</w:t>
      </w:r>
      <w:r w:rsidR="00BB5174">
        <w:rPr>
          <w:rFonts w:ascii="Arial" w:hAnsi="Arial" w:cs="Arial"/>
          <w:sz w:val="24"/>
          <w:szCs w:val="24"/>
        </w:rPr>
        <w:t xml:space="preserve"> </w:t>
      </w:r>
      <w:r w:rsidR="00A62500">
        <w:rPr>
          <w:rFonts w:ascii="Arial" w:hAnsi="Arial" w:cs="Arial"/>
          <w:sz w:val="24"/>
          <w:szCs w:val="24"/>
        </w:rPr>
        <w:t xml:space="preserve">The swelling ratio of </w:t>
      </w:r>
      <w:r w:rsidR="00735523" w:rsidRPr="00881060">
        <w:rPr>
          <w:rFonts w:ascii="Arial" w:hAnsi="Arial" w:cs="Arial"/>
          <w:sz w:val="24"/>
          <w:szCs w:val="24"/>
        </w:rPr>
        <w:t>5</w:t>
      </w:r>
      <w:r w:rsidR="00174061">
        <w:rPr>
          <w:rFonts w:ascii="Arial" w:hAnsi="Arial" w:cs="Arial"/>
          <w:sz w:val="24"/>
          <w:szCs w:val="24"/>
        </w:rPr>
        <w:t xml:space="preserve"> </w:t>
      </w:r>
      <w:r w:rsidR="002F305F">
        <w:rPr>
          <w:rFonts w:ascii="Arial" w:hAnsi="Arial" w:cs="Arial"/>
          <w:sz w:val="24"/>
          <w:szCs w:val="24"/>
        </w:rPr>
        <w:t>wt</w:t>
      </w:r>
      <w:r w:rsidR="00735523" w:rsidRPr="00881060">
        <w:rPr>
          <w:rFonts w:ascii="Arial" w:hAnsi="Arial" w:cs="Arial"/>
          <w:sz w:val="24"/>
          <w:szCs w:val="24"/>
        </w:rPr>
        <w:t>%</w:t>
      </w:r>
      <w:r w:rsidR="002F305F">
        <w:rPr>
          <w:rFonts w:ascii="Arial" w:hAnsi="Arial" w:cs="Arial"/>
          <w:sz w:val="24"/>
          <w:szCs w:val="24"/>
        </w:rPr>
        <w:t xml:space="preserve"> compared to the</w:t>
      </w:r>
      <w:r w:rsidR="00735523" w:rsidRPr="00881060">
        <w:rPr>
          <w:rFonts w:ascii="Arial" w:hAnsi="Arial" w:cs="Arial"/>
          <w:sz w:val="24"/>
          <w:szCs w:val="24"/>
        </w:rPr>
        <w:t xml:space="preserve"> 7.5</w:t>
      </w:r>
      <w:r w:rsidR="00174061">
        <w:rPr>
          <w:rFonts w:ascii="Arial" w:hAnsi="Arial" w:cs="Arial"/>
          <w:sz w:val="24"/>
          <w:szCs w:val="24"/>
        </w:rPr>
        <w:t xml:space="preserve"> </w:t>
      </w:r>
      <w:r w:rsidR="002F305F">
        <w:rPr>
          <w:rFonts w:ascii="Arial" w:hAnsi="Arial" w:cs="Arial"/>
          <w:sz w:val="24"/>
          <w:szCs w:val="24"/>
        </w:rPr>
        <w:t>wt</w:t>
      </w:r>
      <w:r w:rsidR="00735523" w:rsidRPr="00881060">
        <w:rPr>
          <w:rFonts w:ascii="Arial" w:hAnsi="Arial" w:cs="Arial"/>
          <w:sz w:val="24"/>
          <w:szCs w:val="24"/>
        </w:rPr>
        <w:t xml:space="preserve">%, and </w:t>
      </w:r>
      <w:r w:rsidR="002F305F">
        <w:rPr>
          <w:rFonts w:ascii="Arial" w:hAnsi="Arial" w:cs="Arial"/>
          <w:sz w:val="24"/>
          <w:szCs w:val="24"/>
        </w:rPr>
        <w:t>the 5</w:t>
      </w:r>
      <w:r w:rsidR="00174061">
        <w:rPr>
          <w:rFonts w:ascii="Arial" w:hAnsi="Arial" w:cs="Arial"/>
          <w:sz w:val="24"/>
          <w:szCs w:val="24"/>
        </w:rPr>
        <w:t xml:space="preserve"> </w:t>
      </w:r>
      <w:r w:rsidR="002F305F">
        <w:rPr>
          <w:rFonts w:ascii="Arial" w:hAnsi="Arial" w:cs="Arial"/>
          <w:sz w:val="24"/>
          <w:szCs w:val="24"/>
        </w:rPr>
        <w:t xml:space="preserve">wt% compared to the </w:t>
      </w:r>
      <w:r w:rsidR="00735523" w:rsidRPr="00881060">
        <w:rPr>
          <w:rFonts w:ascii="Arial" w:hAnsi="Arial" w:cs="Arial"/>
          <w:sz w:val="24"/>
          <w:szCs w:val="24"/>
        </w:rPr>
        <w:t>10</w:t>
      </w:r>
      <w:r w:rsidR="00174061">
        <w:rPr>
          <w:rFonts w:ascii="Arial" w:hAnsi="Arial" w:cs="Arial"/>
          <w:sz w:val="24"/>
          <w:szCs w:val="24"/>
        </w:rPr>
        <w:t xml:space="preserve"> </w:t>
      </w:r>
      <w:r w:rsidR="002F305F">
        <w:rPr>
          <w:rFonts w:ascii="Arial" w:hAnsi="Arial" w:cs="Arial"/>
          <w:sz w:val="24"/>
          <w:szCs w:val="24"/>
        </w:rPr>
        <w:t>wt</w:t>
      </w:r>
      <w:r w:rsidR="00735523" w:rsidRPr="00881060">
        <w:rPr>
          <w:rFonts w:ascii="Arial" w:hAnsi="Arial" w:cs="Arial"/>
          <w:sz w:val="24"/>
          <w:szCs w:val="24"/>
        </w:rPr>
        <w:t xml:space="preserve">% PHA hydrogels </w:t>
      </w:r>
      <w:r w:rsidR="00735523">
        <w:rPr>
          <w:rFonts w:ascii="Arial" w:hAnsi="Arial" w:cs="Arial"/>
          <w:sz w:val="24"/>
          <w:szCs w:val="24"/>
        </w:rPr>
        <w:t>with 50 mg of tantalum per mL of PHA</w:t>
      </w:r>
      <w:r w:rsidR="002F305F">
        <w:rPr>
          <w:rFonts w:ascii="Arial" w:hAnsi="Arial" w:cs="Arial"/>
          <w:sz w:val="24"/>
          <w:szCs w:val="24"/>
        </w:rPr>
        <w:t>,</w:t>
      </w:r>
      <w:r w:rsidR="00A62500">
        <w:rPr>
          <w:rFonts w:ascii="Arial" w:hAnsi="Arial" w:cs="Arial"/>
          <w:sz w:val="24"/>
          <w:szCs w:val="24"/>
        </w:rPr>
        <w:t xml:space="preserve"> </w:t>
      </w:r>
      <w:r w:rsidR="002F305F">
        <w:rPr>
          <w:rFonts w:ascii="Arial" w:hAnsi="Arial" w:cs="Arial"/>
          <w:sz w:val="24"/>
          <w:szCs w:val="24"/>
        </w:rPr>
        <w:t>were also decreasing with increasing crosslinking rate, which is coherent to the results of the no tantalum group</w:t>
      </w:r>
      <w:r w:rsidR="00A62500">
        <w:rPr>
          <w:rFonts w:ascii="Arial" w:hAnsi="Arial" w:cs="Arial"/>
          <w:sz w:val="24"/>
          <w:szCs w:val="24"/>
        </w:rPr>
        <w:t>.</w:t>
      </w:r>
      <w:r w:rsidR="006A5C43">
        <w:rPr>
          <w:rFonts w:ascii="Arial" w:hAnsi="Arial" w:cs="Arial"/>
          <w:sz w:val="24"/>
          <w:szCs w:val="24"/>
        </w:rPr>
        <w:t xml:space="preserve"> </w:t>
      </w:r>
      <w:r w:rsidR="00B353EB">
        <w:rPr>
          <w:rFonts w:ascii="Arial" w:hAnsi="Arial" w:cs="Arial"/>
          <w:sz w:val="24"/>
          <w:szCs w:val="24"/>
        </w:rPr>
        <w:t>The swelling ratio</w:t>
      </w:r>
      <w:r w:rsidR="006A5C43" w:rsidRPr="00881060">
        <w:rPr>
          <w:rFonts w:ascii="Arial" w:hAnsi="Arial" w:cs="Arial"/>
          <w:sz w:val="24"/>
          <w:szCs w:val="24"/>
        </w:rPr>
        <w:t xml:space="preserve"> </w:t>
      </w:r>
      <w:r w:rsidR="006A5C43">
        <w:rPr>
          <w:rFonts w:ascii="Arial" w:hAnsi="Arial" w:cs="Arial"/>
          <w:sz w:val="24"/>
          <w:szCs w:val="24"/>
        </w:rPr>
        <w:t>helps to determine</w:t>
      </w:r>
      <w:r w:rsidR="006A5C43" w:rsidRPr="00881060">
        <w:rPr>
          <w:rFonts w:ascii="Arial" w:hAnsi="Arial" w:cs="Arial"/>
          <w:sz w:val="24"/>
          <w:szCs w:val="24"/>
        </w:rPr>
        <w:t xml:space="preserve"> how much PHA hydrogels swell from their dry form</w:t>
      </w:r>
      <w:r w:rsidR="006A5C43">
        <w:rPr>
          <w:rFonts w:ascii="Arial" w:hAnsi="Arial" w:cs="Arial"/>
          <w:sz w:val="24"/>
          <w:szCs w:val="24"/>
        </w:rPr>
        <w:t xml:space="preserve"> to</w:t>
      </w:r>
      <w:r w:rsidR="006A5C43" w:rsidRPr="00881060">
        <w:rPr>
          <w:rFonts w:ascii="Arial" w:hAnsi="Arial" w:cs="Arial"/>
          <w:sz w:val="24"/>
          <w:szCs w:val="24"/>
        </w:rPr>
        <w:t xml:space="preserve"> calculat</w:t>
      </w:r>
      <w:r w:rsidR="006A5C43">
        <w:rPr>
          <w:rFonts w:ascii="Arial" w:hAnsi="Arial" w:cs="Arial"/>
          <w:sz w:val="24"/>
          <w:szCs w:val="24"/>
        </w:rPr>
        <w:t>e</w:t>
      </w:r>
      <w:r w:rsidR="006A5C43" w:rsidRPr="00881060">
        <w:rPr>
          <w:rFonts w:ascii="Arial" w:hAnsi="Arial" w:cs="Arial"/>
          <w:sz w:val="24"/>
          <w:szCs w:val="24"/>
        </w:rPr>
        <w:t xml:space="preserve"> the </w:t>
      </w:r>
      <w:r w:rsidR="006A5C43">
        <w:rPr>
          <w:rFonts w:ascii="Arial" w:hAnsi="Arial" w:cs="Arial"/>
          <w:sz w:val="24"/>
          <w:szCs w:val="24"/>
        </w:rPr>
        <w:t xml:space="preserve">amount </w:t>
      </w:r>
      <w:r w:rsidR="006A5C43" w:rsidRPr="00881060">
        <w:rPr>
          <w:rFonts w:ascii="Arial" w:hAnsi="Arial" w:cs="Arial"/>
          <w:sz w:val="24"/>
          <w:szCs w:val="24"/>
        </w:rPr>
        <w:t xml:space="preserve">PHA </w:t>
      </w:r>
      <w:r w:rsidR="004A6AD4">
        <w:rPr>
          <w:rFonts w:ascii="Arial" w:hAnsi="Arial" w:cs="Arial"/>
          <w:sz w:val="24"/>
          <w:szCs w:val="24"/>
        </w:rPr>
        <w:t>that needs to</w:t>
      </w:r>
      <w:r w:rsidR="006A5C43">
        <w:rPr>
          <w:rFonts w:ascii="Arial" w:hAnsi="Arial" w:cs="Arial"/>
          <w:sz w:val="24"/>
          <w:szCs w:val="24"/>
        </w:rPr>
        <w:t xml:space="preserve"> be</w:t>
      </w:r>
      <w:r w:rsidR="006A5C43" w:rsidRPr="00881060">
        <w:rPr>
          <w:rFonts w:ascii="Arial" w:hAnsi="Arial" w:cs="Arial"/>
          <w:sz w:val="24"/>
          <w:szCs w:val="24"/>
        </w:rPr>
        <w:t xml:space="preserve"> ma</w:t>
      </w:r>
      <w:r w:rsidR="006A5C43">
        <w:rPr>
          <w:rFonts w:ascii="Arial" w:hAnsi="Arial" w:cs="Arial"/>
          <w:sz w:val="24"/>
          <w:szCs w:val="24"/>
        </w:rPr>
        <w:t xml:space="preserve">de </w:t>
      </w:r>
      <w:r w:rsidR="006A5C43" w:rsidRPr="00881060">
        <w:rPr>
          <w:rFonts w:ascii="Arial" w:hAnsi="Arial" w:cs="Arial"/>
          <w:sz w:val="24"/>
          <w:szCs w:val="24"/>
        </w:rPr>
        <w:t>for storage and shippin</w:t>
      </w:r>
      <w:r w:rsidR="006A5C43">
        <w:rPr>
          <w:rFonts w:ascii="Arial" w:hAnsi="Arial" w:cs="Arial"/>
          <w:sz w:val="24"/>
          <w:szCs w:val="24"/>
        </w:rPr>
        <w:t xml:space="preserve">g. </w:t>
      </w:r>
    </w:p>
    <w:p w14:paraId="1C4F7249" w14:textId="5BD74B04" w:rsidR="006A5C43" w:rsidRPr="00881060" w:rsidRDefault="00373EEF" w:rsidP="006A5C43">
      <w:pPr>
        <w:spacing w:line="480" w:lineRule="auto"/>
        <w:ind w:firstLine="720"/>
        <w:jc w:val="both"/>
        <w:rPr>
          <w:rFonts w:ascii="Arial" w:hAnsi="Arial" w:cs="Arial"/>
          <w:sz w:val="24"/>
          <w:szCs w:val="24"/>
        </w:rPr>
      </w:pPr>
      <w:r>
        <w:rPr>
          <w:rFonts w:ascii="Arial" w:hAnsi="Arial" w:cs="Arial"/>
          <w:sz w:val="24"/>
          <w:szCs w:val="24"/>
        </w:rPr>
        <w:t xml:space="preserve">The liquid solution of PHA/LAP/DTT must have a good flow through a surgical catheter to be delivered to the site of an aneurysm, flow that is indicated by PHA hydrogels viscosity. </w:t>
      </w:r>
      <w:r w:rsidR="00D06C50">
        <w:rPr>
          <w:rFonts w:ascii="Arial" w:hAnsi="Arial" w:cs="Arial"/>
          <w:sz w:val="24"/>
          <w:szCs w:val="24"/>
        </w:rPr>
        <w:t>The viscosity of 5</w:t>
      </w:r>
      <w:r w:rsidR="00174061">
        <w:rPr>
          <w:rFonts w:ascii="Arial" w:hAnsi="Arial" w:cs="Arial"/>
          <w:sz w:val="24"/>
          <w:szCs w:val="24"/>
        </w:rPr>
        <w:t xml:space="preserve"> </w:t>
      </w:r>
      <w:r w:rsidR="00D06C50">
        <w:rPr>
          <w:rFonts w:ascii="Arial" w:hAnsi="Arial" w:cs="Arial"/>
          <w:sz w:val="24"/>
          <w:szCs w:val="24"/>
        </w:rPr>
        <w:t>wt%, 7.5</w:t>
      </w:r>
      <w:r w:rsidR="00174061">
        <w:rPr>
          <w:rFonts w:ascii="Arial" w:hAnsi="Arial" w:cs="Arial"/>
          <w:sz w:val="24"/>
          <w:szCs w:val="24"/>
        </w:rPr>
        <w:t xml:space="preserve"> </w:t>
      </w:r>
      <w:r w:rsidR="00D06C50">
        <w:rPr>
          <w:rFonts w:ascii="Arial" w:hAnsi="Arial" w:cs="Arial"/>
          <w:sz w:val="24"/>
          <w:szCs w:val="24"/>
        </w:rPr>
        <w:t>wt%, and 10</w:t>
      </w:r>
      <w:r w:rsidR="00174061">
        <w:rPr>
          <w:rFonts w:ascii="Arial" w:hAnsi="Arial" w:cs="Arial"/>
          <w:sz w:val="24"/>
          <w:szCs w:val="24"/>
        </w:rPr>
        <w:t xml:space="preserve"> </w:t>
      </w:r>
      <w:r w:rsidR="00D06C50">
        <w:rPr>
          <w:rFonts w:ascii="Arial" w:hAnsi="Arial" w:cs="Arial"/>
          <w:sz w:val="24"/>
          <w:szCs w:val="24"/>
        </w:rPr>
        <w:t xml:space="preserve">wt% PHA hydrogels increased with increasing weight percent and respectively was </w:t>
      </w:r>
      <w:r w:rsidR="00374E8C">
        <w:rPr>
          <w:rFonts w:ascii="Arial" w:hAnsi="Arial" w:cs="Arial"/>
          <w:sz w:val="24"/>
          <w:szCs w:val="24"/>
        </w:rPr>
        <w:t>shear rate of 10 s</w:t>
      </w:r>
      <w:r w:rsidR="00374E8C" w:rsidRPr="00481768">
        <w:rPr>
          <w:rFonts w:ascii="Arial" w:hAnsi="Arial" w:cs="Arial"/>
          <w:sz w:val="24"/>
          <w:szCs w:val="24"/>
          <w:vertAlign w:val="superscript"/>
        </w:rPr>
        <w:t>-1</w:t>
      </w:r>
      <w:r w:rsidR="00374E8C">
        <w:rPr>
          <w:rFonts w:ascii="Arial" w:hAnsi="Arial" w:cs="Arial"/>
          <w:sz w:val="24"/>
          <w:szCs w:val="24"/>
        </w:rPr>
        <w:t xml:space="preserve"> 0</w:t>
      </w:r>
      <w:r w:rsidR="00800D8F" w:rsidRPr="00800D8F">
        <w:rPr>
          <w:rFonts w:ascii="Arial" w:hAnsi="Arial" w:cs="Arial"/>
          <w:sz w:val="24"/>
          <w:szCs w:val="24"/>
        </w:rPr>
        <w:t>0.053</w:t>
      </w:r>
      <w:r w:rsidR="00800D8F">
        <w:rPr>
          <w:rFonts w:ascii="Arial" w:hAnsi="Arial" w:cs="Arial"/>
          <w:sz w:val="24"/>
          <w:szCs w:val="24"/>
        </w:rPr>
        <w:t xml:space="preserve"> </w:t>
      </w:r>
      <w:r w:rsidR="00800D8F" w:rsidRPr="00800D8F">
        <w:rPr>
          <w:rFonts w:ascii="Arial" w:hAnsi="Arial" w:cs="Arial"/>
          <w:sz w:val="24"/>
          <w:szCs w:val="24"/>
        </w:rPr>
        <w:t>±</w:t>
      </w:r>
      <w:r w:rsidR="00800D8F">
        <w:rPr>
          <w:rFonts w:ascii="Arial" w:hAnsi="Arial" w:cs="Arial"/>
          <w:sz w:val="24"/>
          <w:szCs w:val="24"/>
        </w:rPr>
        <w:t xml:space="preserve"> </w:t>
      </w:r>
      <w:r w:rsidR="00800D8F" w:rsidRPr="00800D8F">
        <w:rPr>
          <w:rFonts w:ascii="Arial" w:hAnsi="Arial" w:cs="Arial"/>
          <w:sz w:val="24"/>
          <w:szCs w:val="24"/>
        </w:rPr>
        <w:t>0.015 Pa.s, 0.161</w:t>
      </w:r>
      <w:r w:rsidR="00800D8F">
        <w:rPr>
          <w:rFonts w:ascii="Arial" w:hAnsi="Arial" w:cs="Arial"/>
          <w:sz w:val="24"/>
          <w:szCs w:val="24"/>
        </w:rPr>
        <w:t xml:space="preserve"> </w:t>
      </w:r>
      <w:r w:rsidR="00800D8F" w:rsidRPr="00800D8F">
        <w:rPr>
          <w:rFonts w:ascii="Arial" w:hAnsi="Arial" w:cs="Arial"/>
          <w:sz w:val="24"/>
          <w:szCs w:val="24"/>
        </w:rPr>
        <w:t>±</w:t>
      </w:r>
      <w:r w:rsidR="00800D8F">
        <w:rPr>
          <w:rFonts w:ascii="Arial" w:hAnsi="Arial" w:cs="Arial"/>
          <w:sz w:val="24"/>
          <w:szCs w:val="24"/>
        </w:rPr>
        <w:t xml:space="preserve"> </w:t>
      </w:r>
      <w:r w:rsidR="00800D8F" w:rsidRPr="00800D8F">
        <w:rPr>
          <w:rFonts w:ascii="Arial" w:hAnsi="Arial" w:cs="Arial"/>
          <w:sz w:val="24"/>
          <w:szCs w:val="24"/>
        </w:rPr>
        <w:t>0.012 Pa.s, and 0.391</w:t>
      </w:r>
      <w:r w:rsidR="00800D8F">
        <w:rPr>
          <w:rFonts w:ascii="Arial" w:hAnsi="Arial" w:cs="Arial"/>
          <w:sz w:val="24"/>
          <w:szCs w:val="24"/>
        </w:rPr>
        <w:t xml:space="preserve"> </w:t>
      </w:r>
      <w:r w:rsidR="00800D8F" w:rsidRPr="00800D8F">
        <w:rPr>
          <w:rFonts w:ascii="Arial" w:hAnsi="Arial" w:cs="Arial"/>
          <w:sz w:val="24"/>
          <w:szCs w:val="24"/>
        </w:rPr>
        <w:t>±</w:t>
      </w:r>
      <w:r w:rsidR="00800D8F">
        <w:rPr>
          <w:rFonts w:ascii="Arial" w:hAnsi="Arial" w:cs="Arial"/>
          <w:sz w:val="24"/>
          <w:szCs w:val="24"/>
        </w:rPr>
        <w:t xml:space="preserve"> </w:t>
      </w:r>
      <w:r w:rsidR="00800D8F" w:rsidRPr="00800D8F">
        <w:rPr>
          <w:rFonts w:ascii="Arial" w:hAnsi="Arial" w:cs="Arial"/>
          <w:sz w:val="24"/>
          <w:szCs w:val="24"/>
        </w:rPr>
        <w:t>0.047</w:t>
      </w:r>
      <w:r w:rsidR="002C1EAE">
        <w:rPr>
          <w:rFonts w:ascii="Arial" w:hAnsi="Arial" w:cs="Arial"/>
          <w:sz w:val="24"/>
          <w:szCs w:val="24"/>
        </w:rPr>
        <w:t xml:space="preserve">. </w:t>
      </w:r>
      <w:r w:rsidR="00933637">
        <w:rPr>
          <w:rFonts w:ascii="Arial" w:hAnsi="Arial" w:cs="Arial"/>
          <w:sz w:val="24"/>
          <w:szCs w:val="24"/>
        </w:rPr>
        <w:t xml:space="preserve"> K</w:t>
      </w:r>
      <w:r w:rsidR="008E39A9">
        <w:rPr>
          <w:rFonts w:ascii="Arial" w:hAnsi="Arial" w:cs="Arial"/>
          <w:sz w:val="24"/>
          <w:szCs w:val="24"/>
        </w:rPr>
        <w:t>i</w:t>
      </w:r>
      <w:r w:rsidR="00933637">
        <w:rPr>
          <w:rFonts w:ascii="Arial" w:hAnsi="Arial" w:cs="Arial"/>
          <w:sz w:val="24"/>
          <w:szCs w:val="24"/>
        </w:rPr>
        <w:t xml:space="preserve">yotake </w:t>
      </w:r>
      <w:r w:rsidR="00933637" w:rsidRPr="00174061">
        <w:rPr>
          <w:rFonts w:ascii="Arial" w:hAnsi="Arial" w:cs="Arial"/>
          <w:i/>
          <w:iCs/>
          <w:sz w:val="24"/>
          <w:szCs w:val="24"/>
        </w:rPr>
        <w:t>et al</w:t>
      </w:r>
      <w:r w:rsidR="00585C4C">
        <w:rPr>
          <w:rFonts w:ascii="Arial" w:hAnsi="Arial" w:cs="Arial"/>
          <w:i/>
          <w:iCs/>
          <w:sz w:val="24"/>
          <w:szCs w:val="24"/>
        </w:rPr>
        <w:t>.</w:t>
      </w:r>
      <w:r w:rsidR="00714DC3">
        <w:rPr>
          <w:rFonts w:ascii="Arial" w:hAnsi="Arial" w:cs="Arial"/>
          <w:sz w:val="24"/>
          <w:szCs w:val="24"/>
        </w:rPr>
        <w:fldChar w:fldCharType="begin"/>
      </w:r>
      <w:r w:rsidR="00714DC3">
        <w:rPr>
          <w:rFonts w:ascii="Arial" w:hAnsi="Arial" w:cs="Arial"/>
          <w:sz w:val="24"/>
          <w:szCs w:val="24"/>
        </w:rPr>
        <w:instrText xml:space="preserve"> ADDIN ZOTERO_ITEM CSL_CITATION {"citationID":"G9hi63Tk","properties":{"formattedCitation":"\\super 61\\nosupersub{}","plainCitation":"61","noteIndex":0},"citationItems":[{"id":679,"uris":["http://zotero.org/users/6508478/items/V72YLJE4"],"itemData":{"id":679,"type":"webpage","title":"Conductive and injectable hyaluronic acid/gelatin/gold nanorod hydrogels for enhanced surgical translation and bioprinting - Kiyotake - 2022 - Journal of Biomedical Materials Research Part A - Wiley Online Library","URL":"https://onlinelibrary.wiley.com/doi/abs/10.1002/jbm.a.37294","accessed":{"date-parts":[["2022",2,16]]}}}],"schema":"https://github.com/citation-style-language/schema/raw/master/csl-citation.json"} </w:instrText>
      </w:r>
      <w:r w:rsidR="00714DC3">
        <w:rPr>
          <w:rFonts w:ascii="Arial" w:hAnsi="Arial" w:cs="Arial"/>
          <w:sz w:val="24"/>
          <w:szCs w:val="24"/>
        </w:rPr>
        <w:fldChar w:fldCharType="separate"/>
      </w:r>
      <w:r w:rsidR="00714DC3" w:rsidRPr="00367A15">
        <w:rPr>
          <w:rFonts w:ascii="Arial" w:hAnsi="Arial" w:cs="Arial"/>
          <w:sz w:val="24"/>
          <w:szCs w:val="24"/>
          <w:vertAlign w:val="superscript"/>
        </w:rPr>
        <w:t>61</w:t>
      </w:r>
      <w:r w:rsidR="00714DC3">
        <w:rPr>
          <w:rFonts w:ascii="Arial" w:hAnsi="Arial" w:cs="Arial"/>
          <w:sz w:val="24"/>
          <w:szCs w:val="24"/>
        </w:rPr>
        <w:fldChar w:fldCharType="end"/>
      </w:r>
      <w:r w:rsidR="00933637">
        <w:rPr>
          <w:rFonts w:ascii="Arial" w:hAnsi="Arial" w:cs="Arial"/>
          <w:sz w:val="24"/>
          <w:szCs w:val="24"/>
        </w:rPr>
        <w:t xml:space="preserve"> found</w:t>
      </w:r>
      <w:r w:rsidR="00980AEC">
        <w:rPr>
          <w:rFonts w:ascii="Arial" w:hAnsi="Arial" w:cs="Arial"/>
          <w:sz w:val="24"/>
          <w:szCs w:val="24"/>
        </w:rPr>
        <w:t xml:space="preserve"> </w:t>
      </w:r>
      <w:r w:rsidR="007E4C89">
        <w:rPr>
          <w:rFonts w:ascii="Arial" w:hAnsi="Arial" w:cs="Arial"/>
          <w:sz w:val="24"/>
          <w:szCs w:val="24"/>
        </w:rPr>
        <w:t xml:space="preserve">a similar </w:t>
      </w:r>
      <w:r w:rsidR="00980AEC">
        <w:rPr>
          <w:rFonts w:ascii="Arial" w:hAnsi="Arial" w:cs="Arial"/>
          <w:sz w:val="24"/>
          <w:szCs w:val="24"/>
        </w:rPr>
        <w:t xml:space="preserve">viscosity </w:t>
      </w:r>
      <w:r w:rsidR="007E4C89">
        <w:rPr>
          <w:rFonts w:ascii="Arial" w:hAnsi="Arial" w:cs="Arial"/>
          <w:sz w:val="24"/>
          <w:szCs w:val="24"/>
        </w:rPr>
        <w:t xml:space="preserve">of 8 Pa.s </w:t>
      </w:r>
      <w:r w:rsidR="00980AEC">
        <w:rPr>
          <w:rFonts w:ascii="Arial" w:hAnsi="Arial" w:cs="Arial"/>
          <w:sz w:val="24"/>
          <w:szCs w:val="24"/>
        </w:rPr>
        <w:t>at a shear rate of 10 s</w:t>
      </w:r>
      <w:r w:rsidR="00980AEC" w:rsidRPr="00834360">
        <w:rPr>
          <w:rFonts w:ascii="Arial" w:hAnsi="Arial" w:cs="Arial"/>
          <w:sz w:val="24"/>
          <w:szCs w:val="24"/>
          <w:vertAlign w:val="superscript"/>
        </w:rPr>
        <w:t>-1</w:t>
      </w:r>
      <w:r w:rsidR="007E4C89">
        <w:rPr>
          <w:rFonts w:ascii="Arial" w:hAnsi="Arial" w:cs="Arial"/>
          <w:sz w:val="24"/>
          <w:szCs w:val="24"/>
          <w:vertAlign w:val="superscript"/>
        </w:rPr>
        <w:t xml:space="preserve"> </w:t>
      </w:r>
      <w:r w:rsidR="007E4C89">
        <w:rPr>
          <w:rFonts w:ascii="Arial" w:hAnsi="Arial" w:cs="Arial"/>
          <w:sz w:val="24"/>
          <w:szCs w:val="24"/>
        </w:rPr>
        <w:t>for 4</w:t>
      </w:r>
      <w:r w:rsidR="00174061">
        <w:rPr>
          <w:rFonts w:ascii="Arial" w:hAnsi="Arial" w:cs="Arial"/>
          <w:sz w:val="24"/>
          <w:szCs w:val="24"/>
        </w:rPr>
        <w:t xml:space="preserve"> </w:t>
      </w:r>
      <w:r w:rsidR="007E4C89">
        <w:rPr>
          <w:rFonts w:ascii="Arial" w:hAnsi="Arial" w:cs="Arial"/>
          <w:sz w:val="24"/>
          <w:szCs w:val="24"/>
        </w:rPr>
        <w:t>wt% PHA hydrogels</w:t>
      </w:r>
      <w:r w:rsidR="00367A15">
        <w:rPr>
          <w:rFonts w:ascii="Arial" w:hAnsi="Arial" w:cs="Arial"/>
          <w:sz w:val="24"/>
          <w:szCs w:val="24"/>
        </w:rPr>
        <w:t xml:space="preserve">. Kim </w:t>
      </w:r>
      <w:r w:rsidR="00367A15" w:rsidRPr="00714DC3">
        <w:rPr>
          <w:rFonts w:ascii="Arial" w:hAnsi="Arial" w:cs="Arial"/>
          <w:i/>
          <w:iCs/>
          <w:sz w:val="24"/>
          <w:szCs w:val="24"/>
        </w:rPr>
        <w:lastRenderedPageBreak/>
        <w:t>et al</w:t>
      </w:r>
      <w:r w:rsidR="00585C4C">
        <w:rPr>
          <w:rFonts w:ascii="Arial" w:hAnsi="Arial" w:cs="Arial"/>
          <w:sz w:val="24"/>
          <w:szCs w:val="24"/>
        </w:rPr>
        <w:t>.</w:t>
      </w:r>
      <w:r w:rsidR="00714DC3">
        <w:rPr>
          <w:rFonts w:ascii="Arial" w:hAnsi="Arial" w:cs="Arial"/>
          <w:sz w:val="24"/>
          <w:szCs w:val="24"/>
        </w:rPr>
        <w:fldChar w:fldCharType="begin"/>
      </w:r>
      <w:r w:rsidR="00714DC3">
        <w:rPr>
          <w:rFonts w:ascii="Arial" w:hAnsi="Arial" w:cs="Arial"/>
          <w:sz w:val="24"/>
          <w:szCs w:val="24"/>
        </w:rPr>
        <w:instrText xml:space="preserve"> ADDIN ZOTERO_ITEM CSL_CITATION {"citationID":"RDEYpR5K","properties":{"formattedCitation":"\\super 71\\nosupersub{}","plainCitation":"71","noteIndex":0},"citationItems":[{"id":769,"uris":["http://zotero.org/users/6508478/items/9WCBBJ8A"],"itemData":{"id":769,"type":"article-journal","abstract":"Objectives\nTo investigate the effects of the molecular weight of hyaluronic acid on its viscosity and enzymatic activities of lysozyme and peroxidase in solution and on the hydroxyapatite surface.\nDesign\nHyaluronic acids of four different molecular weights (10 kDa, 100 kDa, 1 MDa, and 2 MDa), hen egg-white lysozyme, bovine lactoperoxidase, and human whole saliva were used. Viscosity values of hyaluronic acids were measured using a cone-and-plate viscometer at six different concentrations (0.1–5.0 mg/mL). Enzymatic activities of lysozyme and peroxidase were examined by hydrolysis of fluorescein-labeled Micrococcus lysodeikticus and oxidation of fluorogenic 2′,7′-dichlorofluorescein to fluorescing 2′,7′-dichlorofluorescein, respectively.\nResults\nIn solution assays, only 2 MDa-hyaluronic acid significantly inhibited lysozyme activities in saliva. In surface assays, hyaluronic acids inhibited lysozyme and peroxidase activities; the inhibitory activities were more apparent with high-molecular-weight ones in saliva than in purified enzymes. The 100 kDa-hyaluronic acid at 5.0 mg/mL, 1 MDa-one at 0.5 mg/mL, and 2 MDa-one at 0.2 mg/mL showed viscosity values similar to those of human whole saliva at a shear rate range required for normal oral functions. The differences among the influences of the three conditions on the enzymatic activities were not statistically significant.\nConclusions\nHigh-molecular-weight hyaluronic acids at low concentration and low-molecular-weight ones at high concentration showed viscosity values similar to those of human whole saliva. Inhibitory effects of hyaluronic acids on lysozyme and peroxidase activities were more significant with high-molecular-weight ones on the surface and in saliva compared with in solution and on purified enzymes.","container-title":"Archives of Oral Biology","DOI":"10.1016/j.archoralbio.2018.02.007","ISSN":"0003-9969","journalAbbreviation":"Archives of Oral Biology","language":"en","page":"55-64","source":"ScienceDirect","title":"Effects of molecular weight of hyaluronic acid on its viscosity and enzymatic activities of lysozyme and peroxidase","volume":"89","author":[{"family":"Kim","given":"Jihoon"},{"family":"Chang","given":"Ji-Youn"},{"family":"Kim","given":"Yoon-Young"},{"family":"Kim","given":"Moon-Jong"},{"family":"Kho","given":"Hong-Seop"}],"issued":{"date-parts":[["2018",5,1]]}}}],"schema":"https://github.com/citation-style-language/schema/raw/master/csl-citation.json"} </w:instrText>
      </w:r>
      <w:r w:rsidR="00714DC3">
        <w:rPr>
          <w:rFonts w:ascii="Arial" w:hAnsi="Arial" w:cs="Arial"/>
          <w:sz w:val="24"/>
          <w:szCs w:val="24"/>
        </w:rPr>
        <w:fldChar w:fldCharType="separate"/>
      </w:r>
      <w:r w:rsidR="00714DC3" w:rsidRPr="00367A15">
        <w:rPr>
          <w:rFonts w:ascii="Arial" w:hAnsi="Arial" w:cs="Arial"/>
          <w:sz w:val="24"/>
          <w:szCs w:val="24"/>
          <w:vertAlign w:val="superscript"/>
        </w:rPr>
        <w:t>71</w:t>
      </w:r>
      <w:r w:rsidR="00714DC3">
        <w:rPr>
          <w:rFonts w:ascii="Arial" w:hAnsi="Arial" w:cs="Arial"/>
          <w:sz w:val="24"/>
          <w:szCs w:val="24"/>
        </w:rPr>
        <w:fldChar w:fldCharType="end"/>
      </w:r>
      <w:r w:rsidR="00367A15">
        <w:rPr>
          <w:rFonts w:ascii="Arial" w:hAnsi="Arial" w:cs="Arial"/>
          <w:sz w:val="24"/>
          <w:szCs w:val="24"/>
        </w:rPr>
        <w:t xml:space="preserve"> found that viscosity of HA hydrogels increased with increasing weight percent.</w:t>
      </w:r>
      <w:r w:rsidR="00980AEC">
        <w:rPr>
          <w:rFonts w:ascii="Arial" w:hAnsi="Arial" w:cs="Arial"/>
          <w:sz w:val="24"/>
          <w:szCs w:val="24"/>
        </w:rPr>
        <w:t xml:space="preserve"> </w:t>
      </w:r>
      <w:r w:rsidR="004A6AD4">
        <w:rPr>
          <w:rFonts w:ascii="Arial" w:hAnsi="Arial" w:cs="Arial"/>
          <w:sz w:val="24"/>
          <w:szCs w:val="24"/>
        </w:rPr>
        <w:t>Viscosity</w:t>
      </w:r>
      <w:r w:rsidR="002C1EAE">
        <w:rPr>
          <w:rFonts w:ascii="Arial" w:hAnsi="Arial" w:cs="Arial"/>
          <w:sz w:val="24"/>
          <w:szCs w:val="24"/>
        </w:rPr>
        <w:t xml:space="preserve"> results correlated with the fact that 5</w:t>
      </w:r>
      <w:r w:rsidR="00174061">
        <w:rPr>
          <w:rFonts w:ascii="Arial" w:hAnsi="Arial" w:cs="Arial"/>
          <w:sz w:val="24"/>
          <w:szCs w:val="24"/>
        </w:rPr>
        <w:t xml:space="preserve"> </w:t>
      </w:r>
      <w:r w:rsidR="002C1EAE">
        <w:rPr>
          <w:rFonts w:ascii="Arial" w:hAnsi="Arial" w:cs="Arial"/>
          <w:sz w:val="24"/>
          <w:szCs w:val="24"/>
        </w:rPr>
        <w:t>wt% and 7.5</w:t>
      </w:r>
      <w:r w:rsidR="00174061">
        <w:rPr>
          <w:rFonts w:ascii="Arial" w:hAnsi="Arial" w:cs="Arial"/>
          <w:sz w:val="24"/>
          <w:szCs w:val="24"/>
        </w:rPr>
        <w:t xml:space="preserve"> </w:t>
      </w:r>
      <w:r w:rsidR="002C1EAE">
        <w:rPr>
          <w:rFonts w:ascii="Arial" w:hAnsi="Arial" w:cs="Arial"/>
          <w:sz w:val="24"/>
          <w:szCs w:val="24"/>
        </w:rPr>
        <w:t>wt% PHA hydrogel</w:t>
      </w:r>
      <w:r w:rsidR="004A6AD4">
        <w:rPr>
          <w:rFonts w:ascii="Arial" w:hAnsi="Arial" w:cs="Arial"/>
          <w:sz w:val="24"/>
          <w:szCs w:val="24"/>
        </w:rPr>
        <w:t xml:space="preserve"> solutions</w:t>
      </w:r>
      <w:r w:rsidR="002C1EAE">
        <w:rPr>
          <w:rFonts w:ascii="Arial" w:hAnsi="Arial" w:cs="Arial"/>
          <w:sz w:val="24"/>
          <w:szCs w:val="24"/>
        </w:rPr>
        <w:t xml:space="preserve"> could flow </w:t>
      </w:r>
      <w:r w:rsidR="004A6AD4">
        <w:rPr>
          <w:rFonts w:ascii="Arial" w:hAnsi="Arial" w:cs="Arial"/>
          <w:sz w:val="24"/>
          <w:szCs w:val="24"/>
        </w:rPr>
        <w:t xml:space="preserve">easily </w:t>
      </w:r>
      <w:r w:rsidR="002C1EAE">
        <w:rPr>
          <w:rFonts w:ascii="Arial" w:hAnsi="Arial" w:cs="Arial"/>
          <w:sz w:val="24"/>
          <w:szCs w:val="24"/>
        </w:rPr>
        <w:t>through a 1 mm of diameter cathe</w:t>
      </w:r>
      <w:r w:rsidR="004A6AD4">
        <w:rPr>
          <w:rFonts w:ascii="Arial" w:hAnsi="Arial" w:cs="Arial"/>
          <w:sz w:val="24"/>
          <w:szCs w:val="24"/>
        </w:rPr>
        <w:t>te</w:t>
      </w:r>
      <w:r w:rsidR="002C1EAE">
        <w:rPr>
          <w:rFonts w:ascii="Arial" w:hAnsi="Arial" w:cs="Arial"/>
          <w:sz w:val="24"/>
          <w:szCs w:val="24"/>
        </w:rPr>
        <w:t>r, whereas 10</w:t>
      </w:r>
      <w:r w:rsidR="00174061">
        <w:rPr>
          <w:rFonts w:ascii="Arial" w:hAnsi="Arial" w:cs="Arial"/>
          <w:sz w:val="24"/>
          <w:szCs w:val="24"/>
        </w:rPr>
        <w:t xml:space="preserve"> </w:t>
      </w:r>
      <w:r w:rsidR="002C1EAE">
        <w:rPr>
          <w:rFonts w:ascii="Arial" w:hAnsi="Arial" w:cs="Arial"/>
          <w:sz w:val="24"/>
          <w:szCs w:val="24"/>
        </w:rPr>
        <w:t>wt% PHA hydrogel</w:t>
      </w:r>
      <w:r w:rsidR="004A6AD4">
        <w:rPr>
          <w:rFonts w:ascii="Arial" w:hAnsi="Arial" w:cs="Arial"/>
          <w:sz w:val="24"/>
          <w:szCs w:val="24"/>
        </w:rPr>
        <w:t xml:space="preserve"> solutions</w:t>
      </w:r>
      <w:r w:rsidR="002C1EAE">
        <w:rPr>
          <w:rFonts w:ascii="Arial" w:hAnsi="Arial" w:cs="Arial"/>
          <w:sz w:val="24"/>
          <w:szCs w:val="24"/>
        </w:rPr>
        <w:t xml:space="preserve"> </w:t>
      </w:r>
      <w:r w:rsidR="004A6AD4">
        <w:rPr>
          <w:rFonts w:ascii="Arial" w:hAnsi="Arial" w:cs="Arial"/>
          <w:sz w:val="24"/>
          <w:szCs w:val="24"/>
        </w:rPr>
        <w:t>were more difficult to deliver through the catheter</w:t>
      </w:r>
      <w:r w:rsidR="002C1EAE">
        <w:rPr>
          <w:rFonts w:ascii="Arial" w:hAnsi="Arial" w:cs="Arial"/>
          <w:sz w:val="24"/>
          <w:szCs w:val="24"/>
        </w:rPr>
        <w:t>.</w:t>
      </w:r>
      <w:r w:rsidR="006A5C43" w:rsidRPr="00881060">
        <w:rPr>
          <w:rFonts w:ascii="Arial" w:hAnsi="Arial" w:cs="Arial"/>
          <w:sz w:val="24"/>
          <w:szCs w:val="24"/>
        </w:rPr>
        <w:t xml:space="preserve"> </w:t>
      </w:r>
      <w:r w:rsidR="004A6AD4">
        <w:rPr>
          <w:rFonts w:ascii="Arial" w:hAnsi="Arial" w:cs="Arial"/>
          <w:sz w:val="24"/>
          <w:szCs w:val="24"/>
        </w:rPr>
        <w:t xml:space="preserve">As such, we believe </w:t>
      </w:r>
      <w:r w:rsidR="006A5C43" w:rsidRPr="00881060">
        <w:rPr>
          <w:rFonts w:ascii="Arial" w:hAnsi="Arial" w:cs="Arial"/>
          <w:sz w:val="24"/>
          <w:szCs w:val="24"/>
        </w:rPr>
        <w:t>that 5</w:t>
      </w:r>
      <w:r w:rsidR="00174061">
        <w:rPr>
          <w:rFonts w:ascii="Arial" w:hAnsi="Arial" w:cs="Arial"/>
          <w:sz w:val="24"/>
          <w:szCs w:val="24"/>
        </w:rPr>
        <w:t xml:space="preserve"> </w:t>
      </w:r>
      <w:r w:rsidR="00374E8C">
        <w:rPr>
          <w:rFonts w:ascii="Arial" w:hAnsi="Arial" w:cs="Arial"/>
          <w:sz w:val="24"/>
          <w:szCs w:val="24"/>
        </w:rPr>
        <w:t>wt%</w:t>
      </w:r>
      <w:r w:rsidR="006A5C43" w:rsidRPr="00881060">
        <w:rPr>
          <w:rFonts w:ascii="Arial" w:hAnsi="Arial" w:cs="Arial"/>
          <w:sz w:val="24"/>
          <w:szCs w:val="24"/>
        </w:rPr>
        <w:t xml:space="preserve"> and 7.5</w:t>
      </w:r>
      <w:r w:rsidR="00174061">
        <w:rPr>
          <w:rFonts w:ascii="Arial" w:hAnsi="Arial" w:cs="Arial"/>
          <w:sz w:val="24"/>
          <w:szCs w:val="24"/>
        </w:rPr>
        <w:t xml:space="preserve"> </w:t>
      </w:r>
      <w:r w:rsidR="00374E8C">
        <w:rPr>
          <w:rFonts w:ascii="Arial" w:hAnsi="Arial" w:cs="Arial"/>
          <w:sz w:val="24"/>
          <w:szCs w:val="24"/>
        </w:rPr>
        <w:t>wt</w:t>
      </w:r>
      <w:r w:rsidR="006A5C43" w:rsidRPr="00881060">
        <w:rPr>
          <w:rFonts w:ascii="Arial" w:hAnsi="Arial" w:cs="Arial"/>
          <w:sz w:val="24"/>
          <w:szCs w:val="24"/>
        </w:rPr>
        <w:t>% PHA liquid hydrogels c</w:t>
      </w:r>
      <w:r w:rsidR="002C1EAE">
        <w:rPr>
          <w:rFonts w:ascii="Arial" w:hAnsi="Arial" w:cs="Arial"/>
          <w:sz w:val="24"/>
          <w:szCs w:val="24"/>
        </w:rPr>
        <w:t>ould</w:t>
      </w:r>
      <w:r w:rsidR="006A5C43" w:rsidRPr="00881060">
        <w:rPr>
          <w:rFonts w:ascii="Arial" w:hAnsi="Arial" w:cs="Arial"/>
          <w:sz w:val="24"/>
          <w:szCs w:val="24"/>
        </w:rPr>
        <w:t xml:space="preserve"> be </w:t>
      </w:r>
      <w:r w:rsidR="004A6AD4">
        <w:rPr>
          <w:rFonts w:ascii="Arial" w:hAnsi="Arial" w:cs="Arial"/>
          <w:sz w:val="24"/>
          <w:szCs w:val="24"/>
        </w:rPr>
        <w:t>easily delivered</w:t>
      </w:r>
      <w:r w:rsidR="004A6AD4" w:rsidRPr="00881060">
        <w:rPr>
          <w:rFonts w:ascii="Arial" w:hAnsi="Arial" w:cs="Arial"/>
          <w:sz w:val="24"/>
          <w:szCs w:val="24"/>
        </w:rPr>
        <w:t xml:space="preserve"> </w:t>
      </w:r>
      <w:r w:rsidR="006A5C43" w:rsidRPr="00881060">
        <w:rPr>
          <w:rFonts w:ascii="Arial" w:hAnsi="Arial" w:cs="Arial"/>
          <w:sz w:val="24"/>
          <w:szCs w:val="24"/>
        </w:rPr>
        <w:t xml:space="preserve">into </w:t>
      </w:r>
      <w:r w:rsidR="004A6AD4">
        <w:rPr>
          <w:rFonts w:ascii="Arial" w:hAnsi="Arial" w:cs="Arial"/>
          <w:sz w:val="24"/>
          <w:szCs w:val="24"/>
        </w:rPr>
        <w:t>aneurysm sites</w:t>
      </w:r>
      <w:r w:rsidR="004A6AD4" w:rsidRPr="00881060">
        <w:rPr>
          <w:rFonts w:ascii="Arial" w:hAnsi="Arial" w:cs="Arial"/>
          <w:sz w:val="24"/>
          <w:szCs w:val="24"/>
        </w:rPr>
        <w:t xml:space="preserve"> </w:t>
      </w:r>
      <w:r w:rsidR="006A5C43" w:rsidRPr="00881060">
        <w:rPr>
          <w:rFonts w:ascii="Arial" w:hAnsi="Arial" w:cs="Arial"/>
          <w:sz w:val="24"/>
          <w:szCs w:val="24"/>
        </w:rPr>
        <w:t xml:space="preserve">and crosslinked </w:t>
      </w:r>
      <w:r w:rsidR="004A6AD4">
        <w:rPr>
          <w:rFonts w:ascii="Arial" w:hAnsi="Arial" w:cs="Arial"/>
          <w:sz w:val="24"/>
          <w:szCs w:val="24"/>
        </w:rPr>
        <w:t>in place</w:t>
      </w:r>
      <w:r w:rsidR="006A5C43" w:rsidRPr="00881060">
        <w:rPr>
          <w:rFonts w:ascii="Arial" w:hAnsi="Arial" w:cs="Arial"/>
          <w:sz w:val="24"/>
          <w:szCs w:val="24"/>
        </w:rPr>
        <w:t xml:space="preserve">. However, </w:t>
      </w:r>
      <w:r w:rsidR="004A6AD4">
        <w:rPr>
          <w:rFonts w:ascii="Arial" w:hAnsi="Arial" w:cs="Arial"/>
          <w:sz w:val="24"/>
          <w:szCs w:val="24"/>
        </w:rPr>
        <w:t xml:space="preserve">delivery of </w:t>
      </w:r>
      <w:r w:rsidR="006A5C43" w:rsidRPr="00881060">
        <w:rPr>
          <w:rFonts w:ascii="Arial" w:hAnsi="Arial" w:cs="Arial"/>
          <w:sz w:val="24"/>
          <w:szCs w:val="24"/>
        </w:rPr>
        <w:t>10</w:t>
      </w:r>
      <w:r w:rsidR="00174061">
        <w:rPr>
          <w:rFonts w:ascii="Arial" w:hAnsi="Arial" w:cs="Arial"/>
          <w:sz w:val="24"/>
          <w:szCs w:val="24"/>
        </w:rPr>
        <w:t xml:space="preserve"> </w:t>
      </w:r>
      <w:r w:rsidR="00374E8C">
        <w:rPr>
          <w:rFonts w:ascii="Arial" w:hAnsi="Arial" w:cs="Arial"/>
          <w:sz w:val="24"/>
          <w:szCs w:val="24"/>
        </w:rPr>
        <w:t>wt</w:t>
      </w:r>
      <w:r w:rsidR="006A5C43" w:rsidRPr="00881060">
        <w:rPr>
          <w:rFonts w:ascii="Arial" w:hAnsi="Arial" w:cs="Arial"/>
          <w:sz w:val="24"/>
          <w:szCs w:val="24"/>
        </w:rPr>
        <w:t xml:space="preserve">% PHA </w:t>
      </w:r>
      <w:r w:rsidR="004A6AD4">
        <w:rPr>
          <w:rFonts w:ascii="Arial" w:hAnsi="Arial" w:cs="Arial"/>
          <w:sz w:val="24"/>
          <w:szCs w:val="24"/>
        </w:rPr>
        <w:t xml:space="preserve">solutions may prove more </w:t>
      </w:r>
      <w:r w:rsidR="00826613">
        <w:rPr>
          <w:rFonts w:ascii="Arial" w:hAnsi="Arial" w:cs="Arial"/>
          <w:sz w:val="24"/>
          <w:szCs w:val="24"/>
        </w:rPr>
        <w:t>challenging</w:t>
      </w:r>
      <w:r w:rsidR="00826613" w:rsidRPr="00881060">
        <w:rPr>
          <w:rFonts w:ascii="Arial" w:hAnsi="Arial" w:cs="Arial"/>
          <w:sz w:val="24"/>
          <w:szCs w:val="24"/>
        </w:rPr>
        <w:t xml:space="preserve"> and</w:t>
      </w:r>
      <w:r w:rsidR="004A6AD4">
        <w:rPr>
          <w:rFonts w:ascii="Arial" w:hAnsi="Arial" w:cs="Arial"/>
          <w:sz w:val="24"/>
          <w:szCs w:val="24"/>
        </w:rPr>
        <w:t xml:space="preserve"> </w:t>
      </w:r>
      <w:r w:rsidR="006A5C43">
        <w:rPr>
          <w:rFonts w:ascii="Arial" w:hAnsi="Arial" w:cs="Arial"/>
          <w:sz w:val="24"/>
          <w:szCs w:val="24"/>
        </w:rPr>
        <w:t>would</w:t>
      </w:r>
      <w:r w:rsidR="004A6AD4">
        <w:rPr>
          <w:rFonts w:ascii="Arial" w:hAnsi="Arial" w:cs="Arial"/>
          <w:sz w:val="24"/>
          <w:szCs w:val="24"/>
        </w:rPr>
        <w:t xml:space="preserve"> likely</w:t>
      </w:r>
      <w:r w:rsidR="006A5C43">
        <w:rPr>
          <w:rFonts w:ascii="Arial" w:hAnsi="Arial" w:cs="Arial"/>
          <w:sz w:val="24"/>
          <w:szCs w:val="24"/>
        </w:rPr>
        <w:t xml:space="preserve"> </w:t>
      </w:r>
      <w:r w:rsidR="006A5C43" w:rsidRPr="00881060">
        <w:rPr>
          <w:rFonts w:ascii="Arial" w:hAnsi="Arial" w:cs="Arial"/>
          <w:sz w:val="24"/>
          <w:szCs w:val="24"/>
        </w:rPr>
        <w:t xml:space="preserve">need </w:t>
      </w:r>
      <w:r w:rsidR="006A5C43">
        <w:rPr>
          <w:rFonts w:ascii="Arial" w:hAnsi="Arial" w:cs="Arial"/>
          <w:sz w:val="24"/>
          <w:szCs w:val="24"/>
        </w:rPr>
        <w:t xml:space="preserve">chemicals that modify its </w:t>
      </w:r>
      <w:r w:rsidR="006A5C43" w:rsidRPr="00881060">
        <w:rPr>
          <w:rFonts w:ascii="Arial" w:hAnsi="Arial" w:cs="Arial"/>
          <w:sz w:val="24"/>
          <w:szCs w:val="24"/>
        </w:rPr>
        <w:t xml:space="preserve">viscosity </w:t>
      </w:r>
      <w:r w:rsidR="006A5C43">
        <w:rPr>
          <w:rFonts w:ascii="Arial" w:hAnsi="Arial" w:cs="Arial"/>
          <w:sz w:val="24"/>
          <w:szCs w:val="24"/>
        </w:rPr>
        <w:t>to b</w:t>
      </w:r>
      <w:r w:rsidR="004A6AD4">
        <w:rPr>
          <w:rFonts w:ascii="Arial" w:hAnsi="Arial" w:cs="Arial"/>
          <w:sz w:val="24"/>
          <w:szCs w:val="24"/>
        </w:rPr>
        <w:t>e useful in clinic</w:t>
      </w:r>
      <w:r w:rsidR="006A5C43">
        <w:rPr>
          <w:rFonts w:ascii="Arial" w:hAnsi="Arial" w:cs="Arial"/>
          <w:sz w:val="24"/>
          <w:szCs w:val="24"/>
        </w:rPr>
        <w:t>.</w:t>
      </w:r>
    </w:p>
    <w:p w14:paraId="2EE02513" w14:textId="47FFF2B7" w:rsidR="006A5C43" w:rsidRPr="00881060" w:rsidRDefault="0091255F" w:rsidP="006A5C43">
      <w:pPr>
        <w:spacing w:line="480" w:lineRule="auto"/>
        <w:ind w:firstLine="720"/>
        <w:jc w:val="both"/>
        <w:rPr>
          <w:rFonts w:ascii="Arial" w:hAnsi="Arial" w:cs="Arial"/>
          <w:sz w:val="24"/>
          <w:szCs w:val="24"/>
        </w:rPr>
      </w:pPr>
      <w:r>
        <w:rPr>
          <w:rFonts w:ascii="Arial" w:hAnsi="Arial" w:cs="Arial"/>
          <w:sz w:val="24"/>
          <w:szCs w:val="24"/>
        </w:rPr>
        <w:t>Correct placement</w:t>
      </w:r>
      <w:r w:rsidR="007F5176">
        <w:rPr>
          <w:rFonts w:ascii="Arial" w:hAnsi="Arial" w:cs="Arial"/>
          <w:sz w:val="24"/>
          <w:szCs w:val="24"/>
        </w:rPr>
        <w:t xml:space="preserve"> of PHA hydrogels</w:t>
      </w:r>
      <w:r>
        <w:rPr>
          <w:rFonts w:ascii="Arial" w:hAnsi="Arial" w:cs="Arial"/>
          <w:sz w:val="24"/>
          <w:szCs w:val="24"/>
        </w:rPr>
        <w:t xml:space="preserve"> in aneurysms</w:t>
      </w:r>
      <w:r w:rsidR="007F5176">
        <w:rPr>
          <w:rFonts w:ascii="Arial" w:hAnsi="Arial" w:cs="Arial"/>
          <w:sz w:val="24"/>
          <w:szCs w:val="24"/>
        </w:rPr>
        <w:t xml:space="preserve"> was ass</w:t>
      </w:r>
      <w:r w:rsidR="008E39A9">
        <w:rPr>
          <w:rFonts w:ascii="Arial" w:hAnsi="Arial" w:cs="Arial"/>
          <w:sz w:val="24"/>
          <w:szCs w:val="24"/>
        </w:rPr>
        <w:t>ess</w:t>
      </w:r>
      <w:r w:rsidR="007F5176">
        <w:rPr>
          <w:rFonts w:ascii="Arial" w:hAnsi="Arial" w:cs="Arial"/>
          <w:sz w:val="24"/>
          <w:szCs w:val="24"/>
        </w:rPr>
        <w:t>ed</w:t>
      </w:r>
      <w:r>
        <w:rPr>
          <w:rFonts w:ascii="Arial" w:hAnsi="Arial" w:cs="Arial"/>
          <w:sz w:val="24"/>
          <w:szCs w:val="24"/>
        </w:rPr>
        <w:t xml:space="preserve"> with dental X-rays of PHA hydrogels</w:t>
      </w:r>
      <w:r w:rsidR="007F5176">
        <w:rPr>
          <w:rFonts w:ascii="Arial" w:hAnsi="Arial" w:cs="Arial"/>
          <w:sz w:val="24"/>
          <w:szCs w:val="24"/>
        </w:rPr>
        <w:t>.</w:t>
      </w:r>
      <w:r>
        <w:rPr>
          <w:rFonts w:ascii="Arial" w:hAnsi="Arial" w:cs="Arial"/>
          <w:sz w:val="24"/>
          <w:szCs w:val="24"/>
        </w:rPr>
        <w:t xml:space="preserve"> </w:t>
      </w:r>
      <w:r w:rsidR="008300DE">
        <w:rPr>
          <w:rFonts w:ascii="Arial" w:hAnsi="Arial" w:cs="Arial"/>
          <w:sz w:val="24"/>
          <w:szCs w:val="24"/>
        </w:rPr>
        <w:t>Our x-ray images of 10</w:t>
      </w:r>
      <w:r w:rsidR="00174061">
        <w:rPr>
          <w:rFonts w:ascii="Arial" w:hAnsi="Arial" w:cs="Arial"/>
          <w:sz w:val="24"/>
          <w:szCs w:val="24"/>
        </w:rPr>
        <w:t xml:space="preserve"> </w:t>
      </w:r>
      <w:r w:rsidR="008300DE">
        <w:rPr>
          <w:rFonts w:ascii="Arial" w:hAnsi="Arial" w:cs="Arial"/>
          <w:sz w:val="24"/>
          <w:szCs w:val="24"/>
        </w:rPr>
        <w:t xml:space="preserve">wt% PHA hydrogels with </w:t>
      </w:r>
      <w:r w:rsidR="001B66D6">
        <w:rPr>
          <w:rFonts w:ascii="Arial" w:hAnsi="Arial" w:cs="Arial"/>
          <w:sz w:val="24"/>
          <w:szCs w:val="24"/>
        </w:rPr>
        <w:t xml:space="preserve">5 or </w:t>
      </w:r>
      <w:r w:rsidR="008300DE">
        <w:rPr>
          <w:rFonts w:ascii="Arial" w:hAnsi="Arial" w:cs="Arial"/>
          <w:sz w:val="24"/>
          <w:szCs w:val="24"/>
        </w:rPr>
        <w:t>50 mg Ta/mL showed that t</w:t>
      </w:r>
      <w:r w:rsidR="006A5C43" w:rsidRPr="00881060">
        <w:rPr>
          <w:rFonts w:ascii="Arial" w:hAnsi="Arial" w:cs="Arial"/>
          <w:sz w:val="24"/>
          <w:szCs w:val="24"/>
        </w:rPr>
        <w:t xml:space="preserve">antalum flakes are visible in </w:t>
      </w:r>
      <w:r w:rsidR="005026FC">
        <w:rPr>
          <w:rFonts w:ascii="Arial" w:hAnsi="Arial" w:cs="Arial"/>
          <w:sz w:val="24"/>
          <w:szCs w:val="24"/>
        </w:rPr>
        <w:t xml:space="preserve">x-rays pictures of these </w:t>
      </w:r>
      <w:r w:rsidR="006A5C43" w:rsidRPr="00881060">
        <w:rPr>
          <w:rFonts w:ascii="Arial" w:hAnsi="Arial" w:cs="Arial"/>
          <w:sz w:val="24"/>
          <w:szCs w:val="24"/>
        </w:rPr>
        <w:t>hydrogels</w:t>
      </w:r>
      <w:r w:rsidR="00A95F7C">
        <w:rPr>
          <w:rFonts w:ascii="Arial" w:hAnsi="Arial" w:cs="Arial"/>
          <w:sz w:val="24"/>
          <w:szCs w:val="24"/>
        </w:rPr>
        <w:t>, whereas PHA hydrogels without tantalum could</w:t>
      </w:r>
      <w:r w:rsidR="008E39A9">
        <w:rPr>
          <w:rFonts w:ascii="Arial" w:hAnsi="Arial" w:cs="Arial"/>
          <w:sz w:val="24"/>
          <w:szCs w:val="24"/>
        </w:rPr>
        <w:t xml:space="preserve"> not</w:t>
      </w:r>
      <w:r w:rsidR="00A95F7C">
        <w:rPr>
          <w:rFonts w:ascii="Arial" w:hAnsi="Arial" w:cs="Arial"/>
          <w:sz w:val="24"/>
          <w:szCs w:val="24"/>
        </w:rPr>
        <w:t xml:space="preserve"> be </w:t>
      </w:r>
      <w:r w:rsidR="00D62625">
        <w:rPr>
          <w:rFonts w:ascii="Arial" w:hAnsi="Arial" w:cs="Arial"/>
          <w:sz w:val="24"/>
          <w:szCs w:val="24"/>
        </w:rPr>
        <w:t>differentiated from the background</w:t>
      </w:r>
      <w:r w:rsidR="004F005C">
        <w:rPr>
          <w:rFonts w:ascii="Arial" w:hAnsi="Arial" w:cs="Arial"/>
          <w:sz w:val="24"/>
          <w:szCs w:val="24"/>
        </w:rPr>
        <w:t>. However,</w:t>
      </w:r>
      <w:r w:rsidR="006A5C43" w:rsidRPr="00881060">
        <w:rPr>
          <w:rFonts w:ascii="Arial" w:hAnsi="Arial" w:cs="Arial"/>
          <w:sz w:val="24"/>
          <w:szCs w:val="24"/>
        </w:rPr>
        <w:t xml:space="preserve"> </w:t>
      </w:r>
      <w:r w:rsidR="008300DE">
        <w:rPr>
          <w:rFonts w:ascii="Arial" w:hAnsi="Arial" w:cs="Arial"/>
          <w:sz w:val="24"/>
          <w:szCs w:val="24"/>
        </w:rPr>
        <w:t>when 10</w:t>
      </w:r>
      <w:r w:rsidR="00174061">
        <w:rPr>
          <w:rFonts w:ascii="Arial" w:hAnsi="Arial" w:cs="Arial"/>
          <w:sz w:val="24"/>
          <w:szCs w:val="24"/>
        </w:rPr>
        <w:t xml:space="preserve"> </w:t>
      </w:r>
      <w:r w:rsidR="008300DE">
        <w:rPr>
          <w:rFonts w:ascii="Arial" w:hAnsi="Arial" w:cs="Arial"/>
          <w:sz w:val="24"/>
          <w:szCs w:val="24"/>
        </w:rPr>
        <w:t xml:space="preserve">wt% PHA </w:t>
      </w:r>
      <w:r w:rsidR="001B66D6">
        <w:rPr>
          <w:rFonts w:ascii="Arial" w:hAnsi="Arial" w:cs="Arial"/>
          <w:sz w:val="24"/>
          <w:szCs w:val="24"/>
        </w:rPr>
        <w:t>hydrogels</w:t>
      </w:r>
      <w:r w:rsidR="004F005C">
        <w:rPr>
          <w:rFonts w:ascii="Arial" w:hAnsi="Arial" w:cs="Arial"/>
          <w:sz w:val="24"/>
          <w:szCs w:val="24"/>
        </w:rPr>
        <w:t xml:space="preserve"> </w:t>
      </w:r>
      <w:r w:rsidR="008300DE">
        <w:rPr>
          <w:rFonts w:ascii="Arial" w:hAnsi="Arial" w:cs="Arial"/>
          <w:sz w:val="24"/>
          <w:szCs w:val="24"/>
        </w:rPr>
        <w:t xml:space="preserve">with 5 mg Ta/mL are covered </w:t>
      </w:r>
      <w:r w:rsidR="006A5C43" w:rsidRPr="00881060">
        <w:rPr>
          <w:rFonts w:ascii="Arial" w:hAnsi="Arial" w:cs="Arial"/>
          <w:sz w:val="24"/>
          <w:szCs w:val="24"/>
        </w:rPr>
        <w:t xml:space="preserve">with ballistic gels and PLA </w:t>
      </w:r>
      <w:r w:rsidR="0006447A">
        <w:rPr>
          <w:rFonts w:ascii="Arial" w:hAnsi="Arial" w:cs="Arial"/>
          <w:sz w:val="24"/>
          <w:szCs w:val="24"/>
        </w:rPr>
        <w:t>to</w:t>
      </w:r>
      <w:r w:rsidR="008300DE">
        <w:rPr>
          <w:rFonts w:ascii="Arial" w:hAnsi="Arial" w:cs="Arial"/>
          <w:sz w:val="24"/>
          <w:szCs w:val="24"/>
        </w:rPr>
        <w:t xml:space="preserve"> simulate brain tissues and the skul</w:t>
      </w:r>
      <w:r w:rsidR="001B66D6">
        <w:rPr>
          <w:rFonts w:ascii="Arial" w:hAnsi="Arial" w:cs="Arial"/>
          <w:sz w:val="24"/>
          <w:szCs w:val="24"/>
        </w:rPr>
        <w:t>l</w:t>
      </w:r>
      <w:r w:rsidR="00373BB6">
        <w:rPr>
          <w:rFonts w:ascii="Arial" w:hAnsi="Arial" w:cs="Arial"/>
          <w:sz w:val="24"/>
          <w:szCs w:val="24"/>
        </w:rPr>
        <w:fldChar w:fldCharType="begin"/>
      </w:r>
      <w:r w:rsidR="00367A15">
        <w:rPr>
          <w:rFonts w:ascii="Arial" w:hAnsi="Arial" w:cs="Arial"/>
          <w:sz w:val="24"/>
          <w:szCs w:val="24"/>
        </w:rPr>
        <w:instrText xml:space="preserve"> ADDIN ZOTERO_ITEM CSL_CITATION {"citationID":"dhWpaaiu","properties":{"formattedCitation":"\\super 72\\nosupersub{}","plainCitation":"72","noteIndex":0},"citationItems":[{"id":738,"uris":["http://zotero.org/users/6508478/items/Y2PJ4YMD"],"itemData":{"id":738,"type":"article-journal","abstract":"Phantoms are essential tools for clinical training, surgical planning and the development of novel medical devices. However, it is challenging to create anatomically accurate head phantoms with realistic brain imaging properties because standard fabrication methods are not optimized to replicate any patient-specific anatomical detail and 3D printing materials are not optimized for imaging properties. In order to test and validate a novel navigation system for use during brain tumor surgery, an anatomically accurate phantom with realistic imaging and mechanical properties was required. Therefore, a phantom was developed using real patient data as input and 3D printing of molds to fabricate a patient-specific head phantom comprising the skull, brain and tumor with both ultrasound and X-ray contrast. The phantom also had mechanical properties that allowed the phantom tissue to be manipulated in a similar manner to how human brain tissue is handled during surgery. The phantom was successfully tested during a surgical simulation in a virtual operating room. The phantom fabrication method uses commercially available materials and is easy to reproduce. The 3D printing files can be readily shared, and the technique can be adapted to encompass many different types of tumor.","container-title":"JoVE (Journal of Visualized Experiments)","DOI":"10.3791/61344","ISSN":"1940-087X","issue":"161","language":"en","page":"e61344","source":"www.jove.com","title":"Patient-Specific Polyvinyl Alcohol Phantom Fabrication with Ultrasound and X-Ray Contrast for Brain Tumor Surgery Planning","author":[{"family":"Mackle","given":"Eleanor C."},{"family":"Shapey","given":"Jonathan"},{"family":"Maneas","given":"Efthymios"},{"family":"Saeed","given":"Shakeel R."},{"family":"Bradford","given":"Robert"},{"family":"Ourselin","given":"Sebastien"},{"family":"Vercauteren","given":"Tom"},{"family":"Desjardins","given":"Adrien E."}],"issued":{"date-parts":[["2020",7,14]]}}}],"schema":"https://github.com/citation-style-language/schema/raw/master/csl-citation.json"} </w:instrText>
      </w:r>
      <w:r w:rsidR="00373BB6">
        <w:rPr>
          <w:rFonts w:ascii="Arial" w:hAnsi="Arial" w:cs="Arial"/>
          <w:sz w:val="24"/>
          <w:szCs w:val="24"/>
        </w:rPr>
        <w:fldChar w:fldCharType="separate"/>
      </w:r>
      <w:r w:rsidR="00367A15" w:rsidRPr="00367A15">
        <w:rPr>
          <w:rFonts w:ascii="Arial" w:hAnsi="Arial" w:cs="Arial"/>
          <w:sz w:val="24"/>
          <w:szCs w:val="24"/>
          <w:vertAlign w:val="superscript"/>
        </w:rPr>
        <w:t>72</w:t>
      </w:r>
      <w:r w:rsidR="00373BB6">
        <w:rPr>
          <w:rFonts w:ascii="Arial" w:hAnsi="Arial" w:cs="Arial"/>
          <w:sz w:val="24"/>
          <w:szCs w:val="24"/>
        </w:rPr>
        <w:fldChar w:fldCharType="end"/>
      </w:r>
      <w:r w:rsidR="0006447A">
        <w:rPr>
          <w:rFonts w:ascii="Arial" w:hAnsi="Arial" w:cs="Arial"/>
          <w:sz w:val="24"/>
          <w:szCs w:val="24"/>
        </w:rPr>
        <w:t xml:space="preserve">, tantalum flakes are barely visible, whereas </w:t>
      </w:r>
      <w:r w:rsidR="004A6AD4">
        <w:rPr>
          <w:rFonts w:ascii="Arial" w:hAnsi="Arial" w:cs="Arial"/>
          <w:sz w:val="24"/>
          <w:szCs w:val="24"/>
        </w:rPr>
        <w:t xml:space="preserve">tantalum flakes </w:t>
      </w:r>
      <w:r w:rsidR="0006447A">
        <w:rPr>
          <w:rFonts w:ascii="Arial" w:hAnsi="Arial" w:cs="Arial"/>
          <w:sz w:val="24"/>
          <w:szCs w:val="24"/>
        </w:rPr>
        <w:t>are visible in 10</w:t>
      </w:r>
      <w:r w:rsidR="00174061">
        <w:rPr>
          <w:rFonts w:ascii="Arial" w:hAnsi="Arial" w:cs="Arial"/>
          <w:sz w:val="24"/>
          <w:szCs w:val="24"/>
        </w:rPr>
        <w:t xml:space="preserve"> </w:t>
      </w:r>
      <w:r w:rsidR="0006447A">
        <w:rPr>
          <w:rFonts w:ascii="Arial" w:hAnsi="Arial" w:cs="Arial"/>
          <w:sz w:val="24"/>
          <w:szCs w:val="24"/>
        </w:rPr>
        <w:t>wt% PHA hydrogels with 50 mg Ta/mL</w:t>
      </w:r>
      <w:r w:rsidR="006A5C43" w:rsidRPr="00881060">
        <w:rPr>
          <w:rFonts w:ascii="Arial" w:hAnsi="Arial" w:cs="Arial"/>
          <w:sz w:val="24"/>
          <w:szCs w:val="24"/>
        </w:rPr>
        <w:t>.</w:t>
      </w:r>
      <w:r w:rsidR="0006447A">
        <w:rPr>
          <w:rFonts w:ascii="Arial" w:hAnsi="Arial" w:cs="Arial"/>
          <w:sz w:val="24"/>
          <w:szCs w:val="24"/>
        </w:rPr>
        <w:t xml:space="preserve"> The </w:t>
      </w:r>
      <w:r w:rsidR="005026FC">
        <w:rPr>
          <w:rFonts w:ascii="Arial" w:hAnsi="Arial" w:cs="Arial"/>
          <w:sz w:val="24"/>
          <w:szCs w:val="24"/>
        </w:rPr>
        <w:t>comparison of the intensity per mm</w:t>
      </w:r>
      <w:r w:rsidR="005026FC" w:rsidRPr="00834360">
        <w:rPr>
          <w:rFonts w:ascii="Arial" w:hAnsi="Arial" w:cs="Arial"/>
          <w:sz w:val="24"/>
          <w:szCs w:val="24"/>
          <w:vertAlign w:val="superscript"/>
        </w:rPr>
        <w:t>2</w:t>
      </w:r>
      <w:r w:rsidR="005026FC">
        <w:rPr>
          <w:rFonts w:ascii="Arial" w:hAnsi="Arial" w:cs="Arial"/>
          <w:sz w:val="24"/>
          <w:szCs w:val="24"/>
        </w:rPr>
        <w:t xml:space="preserve"> of tantalum flakes</w:t>
      </w:r>
      <w:r w:rsidR="0006447A">
        <w:rPr>
          <w:rFonts w:ascii="Arial" w:hAnsi="Arial" w:cs="Arial"/>
          <w:sz w:val="24"/>
          <w:szCs w:val="24"/>
        </w:rPr>
        <w:t xml:space="preserve"> showed that the intensity of tantalum flakes in the 50 mg/mL group was </w:t>
      </w:r>
      <w:r w:rsidR="00E9337E">
        <w:rPr>
          <w:rFonts w:ascii="Arial" w:hAnsi="Arial" w:cs="Arial"/>
          <w:sz w:val="24"/>
          <w:szCs w:val="24"/>
        </w:rPr>
        <w:t>2.5 greater</w:t>
      </w:r>
      <w:r w:rsidR="0006447A">
        <w:rPr>
          <w:rFonts w:ascii="Arial" w:hAnsi="Arial" w:cs="Arial"/>
          <w:sz w:val="24"/>
          <w:szCs w:val="24"/>
        </w:rPr>
        <w:t xml:space="preserve"> compared to the intensity of the Ta flakes in the 5 mg/mL group. </w:t>
      </w:r>
      <w:r w:rsidR="008A44E8">
        <w:rPr>
          <w:rFonts w:ascii="Arial" w:hAnsi="Arial" w:cs="Arial"/>
          <w:sz w:val="24"/>
          <w:szCs w:val="24"/>
        </w:rPr>
        <w:t>Other studies used 138 mg/mL to 240 mg/mL of tantalum to image rat and rabbit blood vessels</w:t>
      </w:r>
      <w:r w:rsidR="004A6AD4">
        <w:rPr>
          <w:rFonts w:ascii="Arial" w:hAnsi="Arial" w:cs="Arial"/>
          <w:sz w:val="24"/>
          <w:szCs w:val="24"/>
        </w:rPr>
        <w:t>;</w:t>
      </w:r>
      <w:r w:rsidR="008A44E8">
        <w:rPr>
          <w:rFonts w:ascii="Arial" w:hAnsi="Arial" w:cs="Arial"/>
          <w:sz w:val="24"/>
          <w:szCs w:val="24"/>
        </w:rPr>
        <w:t xml:space="preserve"> however</w:t>
      </w:r>
      <w:r w:rsidR="004A6AD4">
        <w:rPr>
          <w:rFonts w:ascii="Arial" w:hAnsi="Arial" w:cs="Arial"/>
          <w:sz w:val="24"/>
          <w:szCs w:val="24"/>
        </w:rPr>
        <w:t>, in these studies, tantalum was</w:t>
      </w:r>
      <w:r w:rsidR="008A44E8">
        <w:rPr>
          <w:rFonts w:ascii="Arial" w:hAnsi="Arial" w:cs="Arial"/>
          <w:sz w:val="24"/>
          <w:szCs w:val="24"/>
        </w:rPr>
        <w:t xml:space="preserve"> directly injected in</w:t>
      </w:r>
      <w:r w:rsidR="004A6AD4">
        <w:rPr>
          <w:rFonts w:ascii="Arial" w:hAnsi="Arial" w:cs="Arial"/>
          <w:sz w:val="24"/>
          <w:szCs w:val="24"/>
        </w:rPr>
        <w:t>to the</w:t>
      </w:r>
      <w:r w:rsidR="008A44E8">
        <w:rPr>
          <w:rFonts w:ascii="Arial" w:hAnsi="Arial" w:cs="Arial"/>
          <w:sz w:val="24"/>
          <w:szCs w:val="24"/>
        </w:rPr>
        <w:t xml:space="preserve"> blood</w:t>
      </w:r>
      <w:r w:rsidR="004A6AD4">
        <w:rPr>
          <w:rFonts w:ascii="Arial" w:hAnsi="Arial" w:cs="Arial"/>
          <w:sz w:val="24"/>
          <w:szCs w:val="24"/>
        </w:rPr>
        <w:t>stream</w:t>
      </w:r>
      <w:r w:rsidR="008A44E8">
        <w:rPr>
          <w:rFonts w:ascii="Arial" w:hAnsi="Arial" w:cs="Arial"/>
          <w:sz w:val="24"/>
          <w:szCs w:val="24"/>
        </w:rPr>
        <w:t>, which diluted</w:t>
      </w:r>
      <w:r w:rsidR="004A6AD4">
        <w:rPr>
          <w:rFonts w:ascii="Arial" w:hAnsi="Arial" w:cs="Arial"/>
          <w:sz w:val="24"/>
          <w:szCs w:val="24"/>
        </w:rPr>
        <w:t xml:space="preserve"> the material</w:t>
      </w:r>
      <w:r w:rsidR="008A44E8">
        <w:rPr>
          <w:rFonts w:ascii="Arial" w:hAnsi="Arial" w:cs="Arial"/>
          <w:sz w:val="24"/>
          <w:szCs w:val="24"/>
        </w:rPr>
        <w:t xml:space="preserve"> by a factor ten. </w:t>
      </w:r>
      <w:r w:rsidR="004A6AD4">
        <w:rPr>
          <w:rFonts w:ascii="Arial" w:hAnsi="Arial" w:cs="Arial"/>
          <w:sz w:val="24"/>
          <w:szCs w:val="24"/>
        </w:rPr>
        <w:t>Thus, the</w:t>
      </w:r>
      <w:r w:rsidR="008A44E8">
        <w:rPr>
          <w:rFonts w:ascii="Arial" w:hAnsi="Arial" w:cs="Arial"/>
          <w:sz w:val="24"/>
          <w:szCs w:val="24"/>
        </w:rPr>
        <w:t xml:space="preserve"> actual tantalum concentrations in blood were between 14 and 25 mg/mL</w:t>
      </w:r>
      <w:r w:rsidR="00C97A49">
        <w:rPr>
          <w:rFonts w:ascii="Arial" w:hAnsi="Arial" w:cs="Arial"/>
          <w:sz w:val="24"/>
          <w:szCs w:val="24"/>
        </w:rPr>
        <w:t xml:space="preserve">, which is the </w:t>
      </w:r>
      <w:r w:rsidR="00C97A49">
        <w:rPr>
          <w:rFonts w:ascii="Arial" w:hAnsi="Arial" w:cs="Arial"/>
          <w:sz w:val="24"/>
          <w:szCs w:val="24"/>
        </w:rPr>
        <w:lastRenderedPageBreak/>
        <w:t>same order of magnitude tha</w:t>
      </w:r>
      <w:r w:rsidR="003105A9">
        <w:rPr>
          <w:rFonts w:ascii="Arial" w:hAnsi="Arial" w:cs="Arial"/>
          <w:sz w:val="24"/>
          <w:szCs w:val="24"/>
        </w:rPr>
        <w:t>n</w:t>
      </w:r>
      <w:r w:rsidR="00C97A49">
        <w:rPr>
          <w:rFonts w:ascii="Arial" w:hAnsi="Arial" w:cs="Arial"/>
          <w:sz w:val="24"/>
          <w:szCs w:val="24"/>
        </w:rPr>
        <w:t xml:space="preserve"> ours</w:t>
      </w:r>
      <w:r w:rsidR="003105A9">
        <w:rPr>
          <w:rFonts w:ascii="Arial" w:hAnsi="Arial" w:cs="Arial"/>
          <w:sz w:val="24"/>
          <w:szCs w:val="24"/>
        </w:rPr>
        <w:fldChar w:fldCharType="begin"/>
      </w:r>
      <w:r w:rsidR="00030373">
        <w:rPr>
          <w:rFonts w:ascii="Arial" w:hAnsi="Arial" w:cs="Arial"/>
          <w:sz w:val="24"/>
          <w:szCs w:val="24"/>
        </w:rPr>
        <w:instrText xml:space="preserve"> ADDIN ZOTERO_ITEM CSL_CITATION {"citationID":"a8Ui83m0","properties":{"formattedCitation":"\\super 56\\uc0\\u8211{}59\\nosupersub{}","plainCitation":"56–59","noteIndex":0},"citationItems":[{"id":28,"uris":["http://zotero.org/users/6508478/items/AXDKZN5W"],"itemData":{"id":28,"type":"book","abstract":"Introduction\nCurrent clinically-approved computed tomography (CT) contrast agents employ iodinated small molecules that are used to highlight vascular anatomy and pathology. (Cormode 2013) However, iodinated compounds have poor imaging efficacy in large patients and their use is contraindicated in a growing population of renally impaired patients who are hypersensitive to these contrast agents. (Cormode 2013) Nanoparticles have been explored as a potential new class of CT contrast agents. (Garcia 2014) In order to be clinically translatable as contrast agents, nanoparticles must have controlled physiochemical parameters and appropriate biological safety profiles. (Jakhmola 2012 &amp; Garcia 2014) Tantalum oxide nanoparticles (TaO NPs) have high potential as CT contrast agents because of their promising biocompatibility and good radiopacity. (Bonitatibus 2010 &amp; Torres 2012) In this study, we have identified a &lt;5nm zwitterion-coated TaO nanoparticle that exhibits promising physiochemical, biological and CT imaging performance.\nMethods and Results\nA phosphonate-coated TaO NP (PHS, Bonitatibus 2010), a zwitterionic mixed siloxane-coated TaO NP (ZMS, Bonitatibus 2012) and a single-ligand zwitterion-coated TaO NP (CZ) were synthesized. Compared to the previously reported physiochemical properties of PHS, zwitterion-coated nanoparticles (ZMS, CZ) show lower viscosities at higher concentrations. (Figure 1a,b) To test organ retention of each TaO NP, naive rats were intravenously injected with the anticipated clinical dose (400 mg Ta/kg bodyweight) of each TaO NP. One week after injection, organs known to retain nanoparticles (liver, kidney and spleen) were removed and measured for Ta content (% injected dose/organ) by combustion followed by inductively-coupled plasma spectroscopy. Zwitterionic nanoparticles showed lower tantalum organ retention than PHS; CZ showing the lowest retention. (Figure 1c) To explore the safety performance of these nanoparticles, rats were intravenously injected with 3x anticipated clinical dose (1500 mg Ta/kg bodyweight) of each nanoparticle. To evaluate potential renal toxicity, kidneys were collected (day 7), sectioned, stained by H&amp;E, and scored by a toxicologic pathologist (Charles River Labs). The kidney pathology that is observed with PHS was not observed by the zwitterionic nanoparticles (ZMS, CZ). (Figure 1d)\nTantalum-based contrast agents can provide improved vascular contrast and allow reduced radiation dose especially in larger patients. In Figure 1e, we show the image contrast produced by tantalum compared to iodine at the range of x-ray tube voltages (kVp) used in CT imaging. 80 kVp is used to scan the smallest adult patients. Tantalum provides higher image contrast than other elements at 100-140 kVp and could be used to improve image quality or to reduce radiation and/or contrast agent dose in most patients, with the highest improvement at 140 kVp, which is required for large patients.\nConclusions\nIn summary, zwitterionic coated TaO nanoparticles (ZMS, CZ) exhibit the best physiochemical, retention and safety profiles. These TaO nanoparticles may also reduce the radiation dose for CT imaging in larger patients.","note":"DOI: 10.13140/RG.2.1.3352.3687","source":"ResearchGate","title":"Physiochemical, biological, and imaging performance of zwitterionic-coated TaO nanoparticles as CT contrast agents","author":[{"family":"Roberts","given":"Jeannette"},{"family":"Bonitatibus","given":"Peter"},{"family":"Butts","given":"Matthew"},{"family":"Colborn","given":"Robert"},{"family":"Edic","given":"Peter"},{"family":"Fitzgerald","given":"Paul"},{"family":"Lambert","given":"Jack"},{"family":"Marino","given":"Michael"},{"family":"Torres","given":"Andrew"},{"family":"Yeh","given":"Benjamin"}],"issued":{"date-parts":[["2015",9,24]]}}},{"id":29,"uris":["http://zotero.org/users/6508478/items/CB7YJJQ6"],"itemData":{"id":29,"type":"article-journal","abstract":"To assess the ability of dual-energy CT (DECT) to separate intravenous contrast of bowel wall from intraluminal contrast, we scanned 16 rabbits on a clinical DECT scanner: n=3 using only iodinated intravenous contrast; and n=13 double-contrast enhanced scans using iodinated intravenous contrast and experimental enteric non-iodinated contrast agents in the bowel lumen (5 bismuth-, 4 tungsten-, and 4 tantalum-based). Representative image pairs from conventional CT images and DECT iodine density maps of small bowel (116 pairs from 232 images) were viewed by four abdominal imaging attending radiologists to independently score each comparison pair on a visual analog scale (−100 to +100%) for: 1) preference in small bowel wall visualization; and 2) preference in completeness of intraluminal enteric contrast subtraction. Median small bowel wall visualization was scored 39 and 42 percentage points (95% CI: 30–44% and 36–45%, p&lt;0.001 both) higher at double-contrast DECT than at conventional CT with enteric tungsten and tantalum contrast, respectively. Median small bowel wall visualization at double-contrast DECT was scored 29 and 35 percentage points (95% CI: 20–35% and 33–39%, p&lt;0.001 both) higher with enteric tungsten and tantalum, respectively, than with bismuth contrast. Median completeness of intraluminal enteric contrast subtraction in double-contrast DECT iodine density maps was scored 28 and 29 percentage points (95% CI: 15–31% and 28–33%, p&lt;0.001 both) higher with enteric tungsten and tantalum, respectively, than with bismuth contrast. Results suggest that in vivo double-contrast DECT with iodinated intravenous and either tantalum- or tungsten-based enteric contrast provide better visualization of small bowel than conventional CT.","container-title":"Contrast media &amp; molecular imaging","DOI":"10.1002/cmmi.1687","ISSN":"1555-4309","issue":"4","journalAbbreviation":"Contrast Media Mol Imaging","note":"PMID: 26892945\nPMCID: PMC4969129","page":"254-261","source":"PubMed Central","title":"In vivo comparison of tantalum, tungsten, and bismuth enteric contrast agents to complement intravenous iodine for double-contrast dual-energy CT of the bowel","volume":"11","author":[{"family":"Rathnayake","given":"Samira"},{"family":"Mongan","given":"John"},{"family":"Torres","given":"Andrew S."},{"family":"Colborn","given":"Robert"},{"family":"Gao","given":"Dong-Wei"},{"family":"Yeh","given":"Benjamin M"},{"family":"Fu","given":"Yanjun"}],"issued":{"date-parts":[["2016",7]]}}},{"id":26,"uris":["http://zotero.org/users/6508478/items/ZRK4HGSE"],"itemData":{"id":26,"type":"article-journal","abstract":"Objectives\nTo produce and evaluate a proposed computed tomography (CT) contrast\nagent based on carboxybetaine zwitterionic (CZ) coated soluble tantalum\noxide nanoparticles (CZ-TaO NPs). We chose tantalum to provide superior\nimaging performance compared to current iodine-based clinical CT contrast\nagents. We developed the CZ coating to provide biological and physical\nperformance similar to that of current iodinated contrast agents. The aim of\nthis study was to evaluate the imaging, biological, and physicochemical\nperformance of this proposed contrast agent compared to clinically-used\niodinated agents.\n\nMaterials and Methods\nWe evaluated CT imaging performance of our CZ-TaO NPs compared to an\niodinated agent in live rats, imaged centrally-located within a\ntissue-equivalent plastic phantom that simulated a large patient. To\nevaluate vascular contrast enhancement, we scanned the rats’ great\nvessels at high temporal resolution during and following contrast agent\ninjection. We performed several in vivo CZ-TaO NP studies\nin healthy rats to evaluate tolerability. These studies included injecting\nthe agent at the anticipated clinical dose (ACD) and at 3 times and 6 times\nthe ACD, followed by longitudinal hematology to assess impact to blood cells\nand organ function (from 4 hours to 1 week). Kidney histological analysis\nwas performed 48 hours after injection at 3 times the ACD. We measured the\nelimination half-life of CZ-TaO NPs from blood, and we monitored acute\nkidney injury biomarkers with a kidney injury assay using urine collected\nfrom 4 hours to 1 week. We measured tantalum retention in individual organs\nand in the whole carcass 48 hours after injection at ACD. CZ-TaO NPs were\nsynthesized and analyzed in detail. We used multi-dimensional nuclear\nmagnetic resonance (NMR) to determine surface functionality of the\nnanoparticles. We measured nanoparticle size and solution properties\n(osmolality and viscosity) of the agent over a range of tantalum\nconcentrations, including the high concentrations required for standard\nclinical CT imaging.\n\nResults\nCT imaging studies demonstrated image contrast improvement of\napproximately 40–50% using CZ-TaO NPs compared with an\niodinated agent injected at the same mass concentration. Blood and organ\nanalyses showed no adverse effects following injection in healthy\nnaïve rats at 3 times the ACD. Retention of tantalum at 48 hours\nafter injection was less than 2% of the injected dose in the whole\ncarcass, which very closely matched the reported retention of existing\ncommercial iodine-based contrast agents. Urine analysis of sensitive markers\nfor acute kidney injury showed no responses at 1 week following injection at\n3 times the ACD; however, a moderate response in the neutrophil\ngelatinase-associated lipocalin (NGAL) biomarker was measured at 24 and 48\nhours. Compared to other tantalum oxide nanoparticles reported in the\nliterature, CZ-TaO NPs had relatively low osmolality and viscosity at\nconcentrations &gt;200 mg Ta/mL, and were similar in these physical\nproperties to dimeric iodine-based contrast agents.\n\nConclusions\nWe found that a CZ-TaO NP-based contrast agent is potentially viable\nfor general-purpose clinical CT imaging. Our results suggest that such an\nagent can be formulated with clinically-viable physicochemical properties,\ncan be biologically safe and cleared rapidly in urine, and can provide\nsubstantially improved image contrast at CT compared to current iodinated\nagents.","container-title":"Investigative radiology","DOI":"10.1097/RLI.0000000000000279","ISSN":"0020-9996","issue":"12","journalAbbreviation":"Invest Radiol","note":"PMID: 27115702\nPMCID: PMC5079849","page":"786-796","source":"PubMed Central","title":"A proposed CT contrast agent using carboxybetaine zwitterionic tantalum oxide nanoparticles: Imaging, biological, and physicochemical performance","title-short":"A proposed CT contrast agent using carboxybetaine zwitterionic tantalum oxide nanoparticles","volume":"51","author":[{"family":"FitzGerald","given":"Paul F."},{"family":"Butts","given":"Matthew D."},{"family":"Roberts","given":"Jeannette C."},{"family":"Colborn","given":"Robert E."},{"family":"Torres","given":"Andrew S."},{"family":"Lee","given":"Brian D."},{"family":"Yeh","given":"Benjamin M."},{"family":"Bonitatibus","given":"Peter J."}],"issued":{"date-parts":[["2016",12]]}}},{"id":30,"uris":["http://zotero.org/users/6508478/items/UVDGIKSD"],"itemData":{"id":30,"type":"patent","abstract":"The present invention is generally directed to core/shell nanoparticles, wherein such core/shell nanoparticles comprise a nanoparticle core and a nanoshell disposed about the nanoparticle core such that, in the aggregate, they form a core/shell nanoparticle that is operable for use as an imaging agent in X-ray/computed tomography (CT). Typically, such core/shell nanoparticle-based X-ray CT imaging agents further comprise a targeting species for targeting the imaging agent to diseased sites.","language":"en","title":"Tantalum oxide nanoparticles as imaging agents for x-ray/ computed tomography and methods for making same","URL":"https://patents.google.com/patent/WO2008092059A2/en","accessed":{"date-parts":[["2021",6,7]]},"issued":{"date-parts":[["2008",1,25]]}}}],"schema":"https://github.com/citation-style-language/schema/raw/master/csl-citation.json"} </w:instrText>
      </w:r>
      <w:r w:rsidR="003105A9">
        <w:rPr>
          <w:rFonts w:ascii="Arial" w:hAnsi="Arial" w:cs="Arial"/>
          <w:sz w:val="24"/>
          <w:szCs w:val="24"/>
        </w:rPr>
        <w:fldChar w:fldCharType="separate"/>
      </w:r>
      <w:r w:rsidR="00030373" w:rsidRPr="00030373">
        <w:rPr>
          <w:rFonts w:ascii="Arial" w:hAnsi="Arial" w:cs="Arial"/>
          <w:sz w:val="24"/>
          <w:szCs w:val="24"/>
          <w:vertAlign w:val="superscript"/>
        </w:rPr>
        <w:t>56–59</w:t>
      </w:r>
      <w:r w:rsidR="003105A9">
        <w:rPr>
          <w:rFonts w:ascii="Arial" w:hAnsi="Arial" w:cs="Arial"/>
          <w:sz w:val="24"/>
          <w:szCs w:val="24"/>
        </w:rPr>
        <w:fldChar w:fldCharType="end"/>
      </w:r>
      <w:r w:rsidR="00C97A49">
        <w:rPr>
          <w:rFonts w:ascii="Arial" w:hAnsi="Arial" w:cs="Arial"/>
          <w:sz w:val="24"/>
          <w:szCs w:val="24"/>
        </w:rPr>
        <w:t>.</w:t>
      </w:r>
      <w:r w:rsidR="00C97A49" w:rsidRPr="00881060">
        <w:rPr>
          <w:rFonts w:ascii="Arial" w:hAnsi="Arial" w:cs="Arial"/>
          <w:sz w:val="24"/>
          <w:szCs w:val="24"/>
        </w:rPr>
        <w:t xml:space="preserve"> It</w:t>
      </w:r>
      <w:r w:rsidR="006A5C43" w:rsidRPr="00881060">
        <w:rPr>
          <w:rFonts w:ascii="Arial" w:hAnsi="Arial" w:cs="Arial"/>
          <w:sz w:val="24"/>
          <w:szCs w:val="24"/>
        </w:rPr>
        <w:t xml:space="preserve"> means that our material </w:t>
      </w:r>
      <w:r w:rsidR="006B7ED0">
        <w:rPr>
          <w:rFonts w:ascii="Arial" w:hAnsi="Arial" w:cs="Arial"/>
          <w:sz w:val="24"/>
          <w:szCs w:val="24"/>
        </w:rPr>
        <w:t>must</w:t>
      </w:r>
      <w:r w:rsidR="006B7ED0" w:rsidRPr="00881060">
        <w:rPr>
          <w:rFonts w:ascii="Arial" w:hAnsi="Arial" w:cs="Arial"/>
          <w:sz w:val="24"/>
          <w:szCs w:val="24"/>
        </w:rPr>
        <w:t xml:space="preserve"> </w:t>
      </w:r>
      <w:r w:rsidR="006A5C43" w:rsidRPr="00881060">
        <w:rPr>
          <w:rFonts w:ascii="Arial" w:hAnsi="Arial" w:cs="Arial"/>
          <w:sz w:val="24"/>
          <w:szCs w:val="24"/>
        </w:rPr>
        <w:t xml:space="preserve">be seen </w:t>
      </w:r>
      <w:r w:rsidR="006A5C43" w:rsidRPr="00525779">
        <w:rPr>
          <w:rFonts w:ascii="Arial" w:hAnsi="Arial" w:cs="Arial"/>
          <w:i/>
          <w:iCs/>
          <w:sz w:val="24"/>
          <w:szCs w:val="24"/>
        </w:rPr>
        <w:t>in vivo</w:t>
      </w:r>
      <w:r w:rsidR="006A5C43" w:rsidRPr="00881060">
        <w:rPr>
          <w:rFonts w:ascii="Arial" w:hAnsi="Arial" w:cs="Arial"/>
          <w:sz w:val="24"/>
          <w:szCs w:val="24"/>
        </w:rPr>
        <w:t xml:space="preserve"> through the skull and brain tissues. </w:t>
      </w:r>
      <w:r w:rsidR="006A5C43">
        <w:rPr>
          <w:rFonts w:ascii="Arial" w:hAnsi="Arial" w:cs="Arial"/>
          <w:sz w:val="24"/>
          <w:szCs w:val="24"/>
        </w:rPr>
        <w:t>Thus,</w:t>
      </w:r>
      <w:r w:rsidR="006A5C43" w:rsidRPr="00881060">
        <w:rPr>
          <w:rFonts w:ascii="Arial" w:hAnsi="Arial" w:cs="Arial"/>
          <w:sz w:val="24"/>
          <w:szCs w:val="24"/>
        </w:rPr>
        <w:t xml:space="preserve"> we </w:t>
      </w:r>
      <w:r w:rsidR="0063003B">
        <w:rPr>
          <w:rFonts w:ascii="Arial" w:hAnsi="Arial" w:cs="Arial"/>
          <w:sz w:val="24"/>
          <w:szCs w:val="24"/>
        </w:rPr>
        <w:t>could</w:t>
      </w:r>
      <w:r w:rsidR="0063003B" w:rsidRPr="00881060">
        <w:rPr>
          <w:rFonts w:ascii="Arial" w:hAnsi="Arial" w:cs="Arial"/>
          <w:sz w:val="24"/>
          <w:szCs w:val="24"/>
        </w:rPr>
        <w:t xml:space="preserve"> </w:t>
      </w:r>
      <w:r w:rsidR="006A5C43" w:rsidRPr="00881060">
        <w:rPr>
          <w:rFonts w:ascii="Arial" w:hAnsi="Arial" w:cs="Arial"/>
          <w:sz w:val="24"/>
          <w:szCs w:val="24"/>
        </w:rPr>
        <w:t>monitor the injection non-invasively and provide follow</w:t>
      </w:r>
      <w:r w:rsidR="003F59F9">
        <w:rPr>
          <w:rFonts w:ascii="Arial" w:hAnsi="Arial" w:cs="Arial"/>
          <w:sz w:val="24"/>
          <w:szCs w:val="24"/>
        </w:rPr>
        <w:t>-</w:t>
      </w:r>
      <w:r w:rsidR="006A5C43" w:rsidRPr="00881060">
        <w:rPr>
          <w:rFonts w:ascii="Arial" w:hAnsi="Arial" w:cs="Arial"/>
          <w:sz w:val="24"/>
          <w:szCs w:val="24"/>
        </w:rPr>
        <w:t xml:space="preserve">up to </w:t>
      </w:r>
      <w:r w:rsidR="003F59F9">
        <w:rPr>
          <w:rFonts w:ascii="Arial" w:hAnsi="Arial" w:cs="Arial"/>
          <w:sz w:val="24"/>
          <w:szCs w:val="24"/>
        </w:rPr>
        <w:t>determine</w:t>
      </w:r>
      <w:r w:rsidR="003F59F9" w:rsidRPr="00881060">
        <w:rPr>
          <w:rFonts w:ascii="Arial" w:hAnsi="Arial" w:cs="Arial"/>
          <w:sz w:val="24"/>
          <w:szCs w:val="24"/>
        </w:rPr>
        <w:t xml:space="preserve"> </w:t>
      </w:r>
      <w:r w:rsidR="00C232C8">
        <w:rPr>
          <w:rFonts w:ascii="Arial" w:hAnsi="Arial" w:cs="Arial"/>
          <w:sz w:val="24"/>
          <w:szCs w:val="24"/>
        </w:rPr>
        <w:t>whether</w:t>
      </w:r>
      <w:r w:rsidR="0063003B" w:rsidRPr="00881060">
        <w:rPr>
          <w:rFonts w:ascii="Arial" w:hAnsi="Arial" w:cs="Arial"/>
          <w:sz w:val="24"/>
          <w:szCs w:val="24"/>
        </w:rPr>
        <w:t xml:space="preserve"> </w:t>
      </w:r>
      <w:r w:rsidR="006A5C43" w:rsidRPr="00881060">
        <w:rPr>
          <w:rFonts w:ascii="Arial" w:hAnsi="Arial" w:cs="Arial"/>
          <w:sz w:val="24"/>
          <w:szCs w:val="24"/>
        </w:rPr>
        <w:t xml:space="preserve">the treatment </w:t>
      </w:r>
      <w:r w:rsidR="0063003B">
        <w:rPr>
          <w:rFonts w:ascii="Arial" w:hAnsi="Arial" w:cs="Arial"/>
          <w:sz w:val="24"/>
          <w:szCs w:val="24"/>
        </w:rPr>
        <w:t>was</w:t>
      </w:r>
      <w:r w:rsidR="0063003B" w:rsidRPr="00881060">
        <w:rPr>
          <w:rFonts w:ascii="Arial" w:hAnsi="Arial" w:cs="Arial"/>
          <w:sz w:val="24"/>
          <w:szCs w:val="24"/>
        </w:rPr>
        <w:t xml:space="preserve"> </w:t>
      </w:r>
      <w:r w:rsidR="006A5C43" w:rsidRPr="00881060">
        <w:rPr>
          <w:rFonts w:ascii="Arial" w:hAnsi="Arial" w:cs="Arial"/>
          <w:sz w:val="24"/>
          <w:szCs w:val="24"/>
        </w:rPr>
        <w:t>working.</w:t>
      </w:r>
      <w:r w:rsidR="00AC29AD">
        <w:rPr>
          <w:rFonts w:ascii="Arial" w:hAnsi="Arial" w:cs="Arial"/>
          <w:sz w:val="24"/>
          <w:szCs w:val="24"/>
        </w:rPr>
        <w:t xml:space="preserve"> </w:t>
      </w:r>
      <w:r w:rsidR="00D807CD">
        <w:rPr>
          <w:rFonts w:ascii="Arial" w:hAnsi="Arial" w:cs="Arial"/>
          <w:sz w:val="24"/>
          <w:szCs w:val="24"/>
        </w:rPr>
        <w:t xml:space="preserve">    </w:t>
      </w:r>
    </w:p>
    <w:p w14:paraId="67FB1979" w14:textId="3EDCFAEE" w:rsidR="006A5C43" w:rsidRPr="004643F2" w:rsidRDefault="00E577E2" w:rsidP="006A5C43">
      <w:pPr>
        <w:spacing w:line="480" w:lineRule="auto"/>
        <w:ind w:firstLine="720"/>
        <w:jc w:val="both"/>
        <w:rPr>
          <w:rFonts w:ascii="Arial" w:hAnsi="Arial" w:cs="Arial"/>
          <w:sz w:val="24"/>
          <w:szCs w:val="24"/>
        </w:rPr>
      </w:pPr>
      <w:r>
        <w:rPr>
          <w:rFonts w:ascii="Arial" w:hAnsi="Arial" w:cs="Arial"/>
          <w:sz w:val="24"/>
          <w:szCs w:val="24"/>
        </w:rPr>
        <w:t>PHA hydrogels need to be compati</w:t>
      </w:r>
      <w:r w:rsidR="000B6608">
        <w:rPr>
          <w:rFonts w:ascii="Arial" w:hAnsi="Arial" w:cs="Arial"/>
          <w:sz w:val="24"/>
          <w:szCs w:val="24"/>
        </w:rPr>
        <w:t>b</w:t>
      </w:r>
      <w:r>
        <w:rPr>
          <w:rFonts w:ascii="Arial" w:hAnsi="Arial" w:cs="Arial"/>
          <w:sz w:val="24"/>
          <w:szCs w:val="24"/>
        </w:rPr>
        <w:t xml:space="preserve">le with HUVEC because blood vessels are coated with these cells. </w:t>
      </w:r>
      <w:r w:rsidR="006A5C43">
        <w:rPr>
          <w:rFonts w:ascii="Arial" w:hAnsi="Arial" w:cs="Arial"/>
          <w:sz w:val="24"/>
          <w:szCs w:val="24"/>
        </w:rPr>
        <w:t xml:space="preserve"> Our results </w:t>
      </w:r>
      <w:r w:rsidR="004A6AD4">
        <w:rPr>
          <w:rFonts w:ascii="Arial" w:hAnsi="Arial" w:cs="Arial"/>
          <w:sz w:val="24"/>
          <w:szCs w:val="24"/>
        </w:rPr>
        <w:t>demo</w:t>
      </w:r>
      <w:r>
        <w:rPr>
          <w:rFonts w:ascii="Arial" w:hAnsi="Arial" w:cs="Arial"/>
          <w:sz w:val="24"/>
          <w:szCs w:val="24"/>
        </w:rPr>
        <w:t>n</w:t>
      </w:r>
      <w:r w:rsidR="004A6AD4">
        <w:rPr>
          <w:rFonts w:ascii="Arial" w:hAnsi="Arial" w:cs="Arial"/>
          <w:sz w:val="24"/>
          <w:szCs w:val="24"/>
        </w:rPr>
        <w:t xml:space="preserve">strate </w:t>
      </w:r>
      <w:r w:rsidR="006A5C43">
        <w:rPr>
          <w:rFonts w:ascii="Arial" w:hAnsi="Arial" w:cs="Arial"/>
          <w:sz w:val="24"/>
          <w:szCs w:val="24"/>
        </w:rPr>
        <w:t>that</w:t>
      </w:r>
      <w:r w:rsidR="006A5C43" w:rsidRPr="00881060">
        <w:rPr>
          <w:rFonts w:ascii="Arial" w:hAnsi="Arial" w:cs="Arial"/>
          <w:sz w:val="24"/>
          <w:szCs w:val="24"/>
        </w:rPr>
        <w:t xml:space="preserve"> HUVEC</w:t>
      </w:r>
      <w:r w:rsidR="004A6AD4">
        <w:rPr>
          <w:rFonts w:ascii="Arial" w:hAnsi="Arial" w:cs="Arial"/>
          <w:sz w:val="24"/>
          <w:szCs w:val="24"/>
        </w:rPr>
        <w:t>s</w:t>
      </w:r>
      <w:r w:rsidR="006A5C43" w:rsidRPr="00881060">
        <w:rPr>
          <w:rFonts w:ascii="Arial" w:hAnsi="Arial" w:cs="Arial"/>
          <w:sz w:val="24"/>
          <w:szCs w:val="24"/>
        </w:rPr>
        <w:t xml:space="preserve"> in contact </w:t>
      </w:r>
      <w:r w:rsidR="006A5C43">
        <w:rPr>
          <w:rFonts w:ascii="Arial" w:hAnsi="Arial" w:cs="Arial"/>
          <w:sz w:val="24"/>
          <w:szCs w:val="24"/>
        </w:rPr>
        <w:t>for</w:t>
      </w:r>
      <w:r w:rsidR="006A5C43" w:rsidRPr="00881060">
        <w:rPr>
          <w:rFonts w:ascii="Arial" w:hAnsi="Arial" w:cs="Arial"/>
          <w:sz w:val="24"/>
          <w:szCs w:val="24"/>
        </w:rPr>
        <w:t xml:space="preserve"> 24</w:t>
      </w:r>
      <w:r w:rsidR="006A5C43">
        <w:rPr>
          <w:rFonts w:ascii="Arial" w:hAnsi="Arial" w:cs="Arial"/>
          <w:sz w:val="24"/>
          <w:szCs w:val="24"/>
        </w:rPr>
        <w:t xml:space="preserve"> </w:t>
      </w:r>
      <w:r w:rsidR="006A5C43" w:rsidRPr="00881060">
        <w:rPr>
          <w:rFonts w:ascii="Arial" w:hAnsi="Arial" w:cs="Arial"/>
          <w:sz w:val="24"/>
          <w:szCs w:val="24"/>
        </w:rPr>
        <w:t>h</w:t>
      </w:r>
      <w:r w:rsidR="006A5C43">
        <w:rPr>
          <w:rFonts w:ascii="Arial" w:hAnsi="Arial" w:cs="Arial"/>
          <w:sz w:val="24"/>
          <w:szCs w:val="24"/>
        </w:rPr>
        <w:t>ours</w:t>
      </w:r>
      <w:r w:rsidR="006A5C43" w:rsidRPr="00881060">
        <w:rPr>
          <w:rFonts w:ascii="Arial" w:hAnsi="Arial" w:cs="Arial"/>
          <w:sz w:val="24"/>
          <w:szCs w:val="24"/>
        </w:rPr>
        <w:t xml:space="preserve"> with cell medi</w:t>
      </w:r>
      <w:r w:rsidR="00A118E6">
        <w:rPr>
          <w:rFonts w:ascii="Arial" w:hAnsi="Arial" w:cs="Arial"/>
          <w:sz w:val="24"/>
          <w:szCs w:val="24"/>
        </w:rPr>
        <w:t>um</w:t>
      </w:r>
      <w:r w:rsidR="006A5C43" w:rsidRPr="00881060">
        <w:rPr>
          <w:rFonts w:ascii="Arial" w:hAnsi="Arial" w:cs="Arial"/>
          <w:sz w:val="24"/>
          <w:szCs w:val="24"/>
        </w:rPr>
        <w:t xml:space="preserve"> infused with our material had a survival rate </w:t>
      </w:r>
      <w:r w:rsidR="00486332">
        <w:rPr>
          <w:rFonts w:ascii="Arial" w:hAnsi="Arial" w:cs="Arial"/>
          <w:sz w:val="24"/>
          <w:szCs w:val="24"/>
        </w:rPr>
        <w:t>of a</w:t>
      </w:r>
      <w:r w:rsidR="006A5C43" w:rsidRPr="00881060">
        <w:rPr>
          <w:rFonts w:ascii="Arial" w:hAnsi="Arial" w:cs="Arial"/>
          <w:sz w:val="24"/>
          <w:szCs w:val="24"/>
        </w:rPr>
        <w:t xml:space="preserve"> 100%.</w:t>
      </w:r>
      <w:r w:rsidR="006A5C43">
        <w:rPr>
          <w:rFonts w:ascii="Arial" w:hAnsi="Arial" w:cs="Arial"/>
          <w:sz w:val="24"/>
          <w:szCs w:val="24"/>
        </w:rPr>
        <w:t xml:space="preserve"> </w:t>
      </w:r>
      <w:r w:rsidR="006A5C43" w:rsidRPr="00881060">
        <w:rPr>
          <w:rFonts w:ascii="Arial" w:hAnsi="Arial" w:cs="Arial"/>
          <w:sz w:val="24"/>
          <w:szCs w:val="24"/>
        </w:rPr>
        <w:t>It means that our material does not induce cell death</w:t>
      </w:r>
      <w:r w:rsidR="00E164C9">
        <w:rPr>
          <w:rFonts w:ascii="Arial" w:hAnsi="Arial" w:cs="Arial"/>
          <w:sz w:val="24"/>
          <w:szCs w:val="24"/>
        </w:rPr>
        <w:t xml:space="preserve"> </w:t>
      </w:r>
      <w:r w:rsidR="00E164C9" w:rsidRPr="00834360">
        <w:rPr>
          <w:rFonts w:ascii="Arial" w:hAnsi="Arial" w:cs="Arial"/>
          <w:i/>
          <w:iCs/>
          <w:sz w:val="24"/>
          <w:szCs w:val="24"/>
        </w:rPr>
        <w:t>in vitro</w:t>
      </w:r>
      <w:r w:rsidR="006A5C43" w:rsidRPr="00881060">
        <w:rPr>
          <w:rFonts w:ascii="Arial" w:hAnsi="Arial" w:cs="Arial"/>
          <w:sz w:val="24"/>
          <w:szCs w:val="24"/>
        </w:rPr>
        <w:t>.</w:t>
      </w:r>
      <w:r w:rsidR="006A5C43">
        <w:rPr>
          <w:rFonts w:ascii="Arial" w:hAnsi="Arial" w:cs="Arial"/>
          <w:sz w:val="24"/>
          <w:szCs w:val="24"/>
        </w:rPr>
        <w:t xml:space="preserve"> </w:t>
      </w:r>
      <w:r w:rsidR="004A6AD4">
        <w:rPr>
          <w:rFonts w:ascii="Arial" w:hAnsi="Arial" w:cs="Arial"/>
          <w:sz w:val="24"/>
          <w:szCs w:val="24"/>
        </w:rPr>
        <w:t xml:space="preserve">Kim </w:t>
      </w:r>
      <w:r w:rsidR="004A6AD4" w:rsidRPr="00525779">
        <w:rPr>
          <w:rFonts w:ascii="Arial" w:hAnsi="Arial" w:cs="Arial"/>
          <w:i/>
          <w:iCs/>
          <w:sz w:val="24"/>
          <w:szCs w:val="24"/>
        </w:rPr>
        <w:t>et a</w:t>
      </w:r>
      <w:r w:rsidR="004A6AD4" w:rsidRPr="00C81313">
        <w:rPr>
          <w:rFonts w:ascii="Arial" w:hAnsi="Arial" w:cs="Arial"/>
          <w:i/>
          <w:iCs/>
          <w:sz w:val="24"/>
          <w:szCs w:val="24"/>
        </w:rPr>
        <w:t>l</w:t>
      </w:r>
      <w:r w:rsidR="00585C4C">
        <w:rPr>
          <w:rFonts w:ascii="Arial" w:hAnsi="Arial" w:cs="Arial"/>
          <w:i/>
          <w:iCs/>
          <w:sz w:val="24"/>
          <w:szCs w:val="24"/>
        </w:rPr>
        <w:t>.</w:t>
      </w:r>
      <w:r w:rsidR="00C81313">
        <w:rPr>
          <w:rFonts w:ascii="Arial" w:hAnsi="Arial" w:cs="Arial"/>
          <w:sz w:val="24"/>
          <w:szCs w:val="24"/>
        </w:rPr>
        <w:fldChar w:fldCharType="begin"/>
      </w:r>
      <w:r w:rsidR="00C81313">
        <w:rPr>
          <w:rFonts w:ascii="Arial" w:hAnsi="Arial" w:cs="Arial"/>
          <w:sz w:val="24"/>
          <w:szCs w:val="24"/>
        </w:rPr>
        <w:instrText xml:space="preserve"> ADDIN ZOTERO_ITEM CSL_CITATION {"citationID":"EspkBJSd","properties":{"formattedCitation":"\\super 73\\nosupersub{}","plainCitation":"73","noteIndex":0},"citationItems":[{"id":762,"uris":["http://zotero.org/users/6508478/items/4HRU7PE8"],"itemData":{"id":762,"type":"article-journal","abstract":"Acrylated hyaluronic acid (HA) was used as a scaffold for bone morphogenic protein-2 (BMP-2) and human mesenchymal stem cells (hMSCs) for rat calvarial defect regeneration. HA was acrylated by two-step reactions: (1) introduction of an amine group using adipic acid dihydrazide (ADH); (2) acrylation by N-acryloxysuccinimide. Tetrathiolated poly(ethylene) glycol (PEG-SH4) was used as a cross-linker by a Michael-type addition reaction and the hydrogel was formed within 10min under physiological conditions. This hydrogel is degraded completely by 100U/ml hyaluronidase in vitro. hMSCs and/or BMP-2 was added during gelation. Cellular viability in vitro was increased up to 55% in the hydrogels with BMP-2 compared with the control. For in vivo calvarial defect regeneration, five different samples (i.e., control, hydrogel, hydrogel with BMP-2, hydrogel with MSCs, and hydrogel with BMP-2 and MSCs) were implanted for 4 weeks. The histological results demonstrated that the hydrogels with BMP-2 and MSCs had the highest expression of osteocalcin and mature bone formation with vascular markers, such as CD31 and vascular endothelial growth factors, compared with the other samples. This study demonstrated that HA base hydrogel can be used for cell and growth factor carriers for tissue regeneration.","container-title":"Biomaterials","DOI":"10.1016/j.biomaterials.2006.11.050","ISSN":"0142-9612","issue":"10","journalAbbreviation":"Biomaterials","language":"en","page":"1830-1837","source":"ScienceDirect","title":"Bone regeneration using hyaluronic acid-based hydrogel with bone morphogenic protein-2 and human mesenchymal stem cells","volume":"28","author":[{"family":"Kim","given":"Jungju"},{"family":"Kim","given":"In Sook"},{"family":"Cho","given":"Tae Hyung"},{"family":"Lee","given":"Kyu Back"},{"family":"Hwang","given":"Soon Jung"},{"family":"Tae","given":"Giyoong"},{"family":"Noh","given":"Insup"},{"family":"Lee","given":"Sang Hoon"},{"family":"Park","given":"Yongdoo"},{"family":"Sun","given":"Kyung"}],"issued":{"date-parts":[["2007",4,1]]}}}],"schema":"https://github.com/citation-style-language/schema/raw/master/csl-citation.json"} </w:instrText>
      </w:r>
      <w:r w:rsidR="00C81313">
        <w:rPr>
          <w:rFonts w:ascii="Arial" w:hAnsi="Arial" w:cs="Arial"/>
          <w:sz w:val="24"/>
          <w:szCs w:val="24"/>
        </w:rPr>
        <w:fldChar w:fldCharType="separate"/>
      </w:r>
      <w:r w:rsidR="00C81313" w:rsidRPr="00367A15">
        <w:rPr>
          <w:rFonts w:ascii="Arial" w:hAnsi="Arial" w:cs="Arial"/>
          <w:sz w:val="24"/>
          <w:szCs w:val="24"/>
          <w:vertAlign w:val="superscript"/>
        </w:rPr>
        <w:t>73</w:t>
      </w:r>
      <w:r w:rsidR="00C81313">
        <w:rPr>
          <w:rFonts w:ascii="Arial" w:hAnsi="Arial" w:cs="Arial"/>
          <w:sz w:val="24"/>
          <w:szCs w:val="24"/>
        </w:rPr>
        <w:fldChar w:fldCharType="end"/>
      </w:r>
      <w:r w:rsidR="004A6AD4">
        <w:rPr>
          <w:rFonts w:ascii="Arial" w:hAnsi="Arial" w:cs="Arial"/>
          <w:sz w:val="24"/>
          <w:szCs w:val="24"/>
        </w:rPr>
        <w:t xml:space="preserve"> put mesenchymal stem cells in HA hydrogels and reported a viability of 72% after two days. </w:t>
      </w:r>
      <w:r w:rsidR="006B2666">
        <w:rPr>
          <w:rFonts w:ascii="Arial" w:hAnsi="Arial" w:cs="Arial"/>
          <w:sz w:val="24"/>
          <w:szCs w:val="24"/>
        </w:rPr>
        <w:t xml:space="preserve">Kang </w:t>
      </w:r>
      <w:r w:rsidR="006B2666" w:rsidRPr="00525779">
        <w:rPr>
          <w:rFonts w:ascii="Arial" w:hAnsi="Arial" w:cs="Arial"/>
          <w:i/>
          <w:iCs/>
          <w:sz w:val="24"/>
          <w:szCs w:val="24"/>
        </w:rPr>
        <w:t>et al</w:t>
      </w:r>
      <w:r w:rsidR="006B2666">
        <w:rPr>
          <w:rFonts w:ascii="Arial" w:hAnsi="Arial" w:cs="Arial"/>
          <w:sz w:val="24"/>
          <w:szCs w:val="24"/>
        </w:rPr>
        <w:t>.</w:t>
      </w:r>
      <w:r w:rsidR="006B2666">
        <w:rPr>
          <w:rFonts w:ascii="Arial" w:hAnsi="Arial" w:cs="Arial"/>
          <w:sz w:val="24"/>
          <w:szCs w:val="24"/>
        </w:rPr>
        <w:fldChar w:fldCharType="begin"/>
      </w:r>
      <w:r w:rsidR="006B2666">
        <w:rPr>
          <w:rFonts w:ascii="Arial" w:hAnsi="Arial" w:cs="Arial"/>
          <w:sz w:val="24"/>
          <w:szCs w:val="24"/>
        </w:rPr>
        <w:instrText xml:space="preserve"> ADDIN ZOTERO_ITEM CSL_CITATION {"citationID":"dlM80riC","properties":{"formattedCitation":"\\super 74\\nosupersub{}","plainCitation":"74","noteIndex":0},"citationItems":[{"id":783,"uris":["http://zotero.org/users/6508478/items/3CNPPWUZ"],"itemData":{"id":783,"type":"article-journal","abstract":"Porous tantalum (Ta) implants are highly corrosion resistant and biocompatible, and they possess significantly better initial stability than that of conventional titanium (Ti) implants. During loading wear, Ta nanoparticles (Ta-NPs) that were deposited on the surface of a porous Ta implant are inevitably released and come into direct contact with peri-implant osteoblasts. The wear debris may influence cell behavior and implant stabilization. However, the interaction of Ta-NPs with osteoblasts has not been clearly investigated. This study aimed to investigate the effect of Ta-NPs on cell proliferation and their underlying mechanism. The Cell Counting Kit-8 (CCK-8) assay was used to measure the cell viability of MC3T3-E1 mouse osteoblasts and showed that Ta-NP treatment could increase cell viability. Then, confocal microscopy, Western blotting, and transmission electron microscopy were used to confirm the autophagy induced by Ta-NPs, and evidence of autophagy induction was observed as positive LC3 puncta, high-LC3-II expression, and autophagic vesicle ultrastructures. The CCK-8 assay revealed that the cell viability was further increased and decreased by the application of an autophagy inducer and inhibitor, respectively. In addition, pre-treatment with autophagy inhibitor 3-methyladenine (3-MA) inhibited the Ta-NP-induced autophagy. These results indicate that the Ta-NPs can promote cell proliferation, that an autophagy inducer can further strengthen this effect and that an autophagy inhibitor can weaken this effect. In conclusion, autophagy was involved in Ta-NP-induced cell proliferation and had a promoting effect.","container-title":"International Journal of Nanomedicine","DOI":"10.2147/IJN.S136281","ISSN":"1176-9114","journalAbbreviation":"Int J Nanomedicine","note":"PMID: 28652735\nPMCID: PMC5473603","page":"4323-4333","source":"PubMed Central","title":"Involvement of autophagy in tantalum nanoparticle-induced osteoblast proliferation","volume":"12","author":[{"family":"Kang","given":"Chengrong"},{"family":"Wei","given":"Limin"},{"family":"Song","given":"Bin"},{"family":"Chen","given":"Liangjiao"},{"family":"Liu","given":"Jia"},{"family":"Deng","given":"Bin"},{"family":"Pan","given":"Xuan"},{"family":"Shao","given":"Longquan"}],"issued":{"date-parts":[["2017",6,7]]}}}],"schema":"https://github.com/citation-style-language/schema/raw/master/csl-citation.json"} </w:instrText>
      </w:r>
      <w:r w:rsidR="006B2666">
        <w:rPr>
          <w:rFonts w:ascii="Arial" w:hAnsi="Arial" w:cs="Arial"/>
          <w:sz w:val="24"/>
          <w:szCs w:val="24"/>
        </w:rPr>
        <w:fldChar w:fldCharType="separate"/>
      </w:r>
      <w:r w:rsidR="006B2666" w:rsidRPr="006B2666">
        <w:rPr>
          <w:rFonts w:ascii="Arial" w:hAnsi="Arial" w:cs="Arial"/>
          <w:sz w:val="24"/>
          <w:szCs w:val="24"/>
          <w:vertAlign w:val="superscript"/>
        </w:rPr>
        <w:t>74</w:t>
      </w:r>
      <w:r w:rsidR="006B2666">
        <w:rPr>
          <w:rFonts w:ascii="Arial" w:hAnsi="Arial" w:cs="Arial"/>
          <w:sz w:val="24"/>
          <w:szCs w:val="24"/>
        </w:rPr>
        <w:fldChar w:fldCharType="end"/>
      </w:r>
      <w:r w:rsidR="006B2666">
        <w:rPr>
          <w:rFonts w:ascii="Arial" w:hAnsi="Arial" w:cs="Arial"/>
          <w:sz w:val="24"/>
          <w:szCs w:val="24"/>
        </w:rPr>
        <w:t xml:space="preserve"> showed that osteoblasts treated with 10 </w:t>
      </w:r>
      <w:r w:rsidR="006B2666" w:rsidRPr="006B2666">
        <w:rPr>
          <w:rFonts w:ascii="Arial" w:hAnsi="Arial" w:cs="Arial"/>
          <w:sz w:val="24"/>
          <w:szCs w:val="24"/>
        </w:rPr>
        <w:t>μg/mL</w:t>
      </w:r>
      <w:r w:rsidR="006B2666">
        <w:rPr>
          <w:rFonts w:ascii="Arial" w:hAnsi="Arial" w:cs="Arial"/>
          <w:sz w:val="24"/>
          <w:szCs w:val="24"/>
        </w:rPr>
        <w:t xml:space="preserve"> of tantalum nanoparticles had a 20% increased viability, compared to non-treated osteoblasts. </w:t>
      </w:r>
      <w:r w:rsidR="00486332">
        <w:rPr>
          <w:rFonts w:ascii="Arial" w:hAnsi="Arial" w:cs="Arial"/>
          <w:sz w:val="24"/>
          <w:szCs w:val="24"/>
        </w:rPr>
        <w:t>Measures of cell area showed that average areas of 5</w:t>
      </w:r>
      <w:r w:rsidR="00174061">
        <w:rPr>
          <w:rFonts w:ascii="Arial" w:hAnsi="Arial" w:cs="Arial"/>
          <w:sz w:val="24"/>
          <w:szCs w:val="24"/>
        </w:rPr>
        <w:t xml:space="preserve"> </w:t>
      </w:r>
      <w:r w:rsidR="00486332">
        <w:rPr>
          <w:rFonts w:ascii="Arial" w:hAnsi="Arial" w:cs="Arial"/>
          <w:sz w:val="24"/>
          <w:szCs w:val="24"/>
        </w:rPr>
        <w:t>wt%, 7.5</w:t>
      </w:r>
      <w:r w:rsidR="00174061">
        <w:rPr>
          <w:rFonts w:ascii="Arial" w:hAnsi="Arial" w:cs="Arial"/>
          <w:sz w:val="24"/>
          <w:szCs w:val="24"/>
        </w:rPr>
        <w:t xml:space="preserve"> </w:t>
      </w:r>
      <w:r w:rsidR="00486332">
        <w:rPr>
          <w:rFonts w:ascii="Arial" w:hAnsi="Arial" w:cs="Arial"/>
          <w:sz w:val="24"/>
          <w:szCs w:val="24"/>
        </w:rPr>
        <w:t>wt%, and 10</w:t>
      </w:r>
      <w:r w:rsidR="00174061">
        <w:rPr>
          <w:rFonts w:ascii="Arial" w:hAnsi="Arial" w:cs="Arial"/>
          <w:sz w:val="24"/>
          <w:szCs w:val="24"/>
        </w:rPr>
        <w:t xml:space="preserve"> </w:t>
      </w:r>
      <w:r w:rsidR="00486332">
        <w:rPr>
          <w:rFonts w:ascii="Arial" w:hAnsi="Arial" w:cs="Arial"/>
          <w:sz w:val="24"/>
          <w:szCs w:val="24"/>
        </w:rPr>
        <w:t xml:space="preserve">wt% PHA hydrogels without tantalum have cell areas that are at least two times smaller than cells </w:t>
      </w:r>
      <w:r w:rsidR="004A6AD4">
        <w:rPr>
          <w:rFonts w:ascii="Arial" w:hAnsi="Arial" w:cs="Arial"/>
          <w:sz w:val="24"/>
          <w:szCs w:val="24"/>
        </w:rPr>
        <w:t>treated with controls only</w:t>
      </w:r>
      <w:r w:rsidR="00486332">
        <w:rPr>
          <w:rFonts w:ascii="Arial" w:hAnsi="Arial" w:cs="Arial"/>
          <w:sz w:val="24"/>
          <w:szCs w:val="24"/>
        </w:rPr>
        <w:t>.</w:t>
      </w:r>
      <w:r w:rsidR="00F736A0">
        <w:rPr>
          <w:rFonts w:ascii="Arial" w:hAnsi="Arial" w:cs="Arial"/>
          <w:sz w:val="24"/>
          <w:szCs w:val="24"/>
        </w:rPr>
        <w:t xml:space="preserve"> However, </w:t>
      </w:r>
      <w:r w:rsidR="004A6AD4">
        <w:rPr>
          <w:rFonts w:ascii="Arial" w:hAnsi="Arial" w:cs="Arial"/>
          <w:sz w:val="24"/>
          <w:szCs w:val="24"/>
        </w:rPr>
        <w:t>the</w:t>
      </w:r>
      <w:r w:rsidR="00F736A0">
        <w:rPr>
          <w:rFonts w:ascii="Arial" w:hAnsi="Arial" w:cs="Arial"/>
          <w:sz w:val="24"/>
          <w:szCs w:val="24"/>
        </w:rPr>
        <w:t xml:space="preserve"> areas of </w:t>
      </w:r>
      <w:r w:rsidR="004A6AD4">
        <w:rPr>
          <w:rFonts w:ascii="Arial" w:hAnsi="Arial" w:cs="Arial"/>
          <w:sz w:val="24"/>
          <w:szCs w:val="24"/>
        </w:rPr>
        <w:t>HUVECs</w:t>
      </w:r>
      <w:r w:rsidR="00F736A0">
        <w:rPr>
          <w:rFonts w:ascii="Arial" w:hAnsi="Arial" w:cs="Arial"/>
          <w:sz w:val="24"/>
          <w:szCs w:val="24"/>
        </w:rPr>
        <w:t xml:space="preserve"> treated with PHA</w:t>
      </w:r>
      <w:r w:rsidR="004A6AD4">
        <w:rPr>
          <w:rFonts w:ascii="Arial" w:hAnsi="Arial" w:cs="Arial"/>
          <w:sz w:val="24"/>
          <w:szCs w:val="24"/>
        </w:rPr>
        <w:t xml:space="preserve"> hydrogels</w:t>
      </w:r>
      <w:r w:rsidR="00F736A0">
        <w:rPr>
          <w:rFonts w:ascii="Arial" w:hAnsi="Arial" w:cs="Arial"/>
          <w:sz w:val="24"/>
          <w:szCs w:val="24"/>
        </w:rPr>
        <w:t xml:space="preserve"> </w:t>
      </w:r>
      <w:r w:rsidR="004A6AD4">
        <w:rPr>
          <w:rFonts w:ascii="Arial" w:hAnsi="Arial" w:cs="Arial"/>
          <w:sz w:val="24"/>
          <w:szCs w:val="24"/>
        </w:rPr>
        <w:t>containing</w:t>
      </w:r>
      <w:r w:rsidR="00F736A0">
        <w:rPr>
          <w:rFonts w:ascii="Arial" w:hAnsi="Arial" w:cs="Arial"/>
          <w:sz w:val="24"/>
          <w:szCs w:val="24"/>
        </w:rPr>
        <w:t xml:space="preserve"> tantalum were </w:t>
      </w:r>
      <w:r w:rsidR="004A6AD4">
        <w:rPr>
          <w:rFonts w:ascii="Arial" w:hAnsi="Arial" w:cs="Arial"/>
          <w:sz w:val="24"/>
          <w:szCs w:val="24"/>
        </w:rPr>
        <w:t xml:space="preserve">similar to the areas of </w:t>
      </w:r>
      <w:r w:rsidR="00F736A0">
        <w:rPr>
          <w:rFonts w:ascii="Arial" w:hAnsi="Arial" w:cs="Arial"/>
          <w:sz w:val="24"/>
          <w:szCs w:val="24"/>
        </w:rPr>
        <w:t xml:space="preserve">cells </w:t>
      </w:r>
      <w:r w:rsidR="004A6AD4">
        <w:rPr>
          <w:rFonts w:ascii="Arial" w:hAnsi="Arial" w:cs="Arial"/>
          <w:sz w:val="24"/>
          <w:szCs w:val="24"/>
        </w:rPr>
        <w:t>exposed to medi</w:t>
      </w:r>
      <w:r w:rsidR="00F502D2">
        <w:rPr>
          <w:rFonts w:ascii="Arial" w:hAnsi="Arial" w:cs="Arial"/>
          <w:sz w:val="24"/>
          <w:szCs w:val="24"/>
        </w:rPr>
        <w:t>um</w:t>
      </w:r>
      <w:r w:rsidR="004A6AD4">
        <w:rPr>
          <w:rFonts w:ascii="Arial" w:hAnsi="Arial" w:cs="Arial"/>
          <w:sz w:val="24"/>
          <w:szCs w:val="24"/>
        </w:rPr>
        <w:t xml:space="preserve"> only</w:t>
      </w:r>
      <w:r w:rsidR="00F736A0">
        <w:rPr>
          <w:rFonts w:ascii="Arial" w:hAnsi="Arial" w:cs="Arial"/>
          <w:sz w:val="24"/>
          <w:szCs w:val="24"/>
        </w:rPr>
        <w:t>.</w:t>
      </w:r>
      <w:r w:rsidR="00265491">
        <w:rPr>
          <w:rFonts w:ascii="Arial" w:hAnsi="Arial" w:cs="Arial"/>
          <w:sz w:val="24"/>
          <w:szCs w:val="24"/>
        </w:rPr>
        <w:t xml:space="preserve"> These results might mean that the </w:t>
      </w:r>
      <w:r w:rsidR="00945126">
        <w:rPr>
          <w:rFonts w:ascii="Arial" w:hAnsi="Arial" w:cs="Arial"/>
          <w:sz w:val="24"/>
          <w:szCs w:val="24"/>
        </w:rPr>
        <w:t>presence</w:t>
      </w:r>
      <w:r w:rsidR="00265491">
        <w:rPr>
          <w:rFonts w:ascii="Arial" w:hAnsi="Arial" w:cs="Arial"/>
          <w:sz w:val="24"/>
          <w:szCs w:val="24"/>
        </w:rPr>
        <w:t xml:space="preserve"> of PHA reduces cell area</w:t>
      </w:r>
      <w:r w:rsidR="001808B8">
        <w:rPr>
          <w:rFonts w:ascii="Arial" w:hAnsi="Arial" w:cs="Arial"/>
          <w:sz w:val="24"/>
          <w:szCs w:val="24"/>
        </w:rPr>
        <w:t xml:space="preserve">, but </w:t>
      </w:r>
      <w:r w:rsidR="005A5555">
        <w:rPr>
          <w:rFonts w:ascii="Arial" w:hAnsi="Arial" w:cs="Arial"/>
          <w:sz w:val="24"/>
          <w:szCs w:val="24"/>
        </w:rPr>
        <w:t>cells area</w:t>
      </w:r>
      <w:r w:rsidR="001808B8">
        <w:rPr>
          <w:rFonts w:ascii="Arial" w:hAnsi="Arial" w:cs="Arial"/>
          <w:sz w:val="24"/>
          <w:szCs w:val="24"/>
        </w:rPr>
        <w:t xml:space="preserve"> </w:t>
      </w:r>
      <w:r w:rsidR="005A5555">
        <w:rPr>
          <w:rFonts w:ascii="Arial" w:hAnsi="Arial" w:cs="Arial"/>
          <w:sz w:val="24"/>
          <w:szCs w:val="24"/>
        </w:rPr>
        <w:t xml:space="preserve">may </w:t>
      </w:r>
      <w:r w:rsidR="001808B8">
        <w:rPr>
          <w:rFonts w:ascii="Arial" w:hAnsi="Arial" w:cs="Arial"/>
          <w:sz w:val="24"/>
          <w:szCs w:val="24"/>
        </w:rPr>
        <w:t xml:space="preserve">also be </w:t>
      </w:r>
      <w:r w:rsidR="005A5555">
        <w:rPr>
          <w:rFonts w:ascii="Arial" w:hAnsi="Arial" w:cs="Arial"/>
          <w:sz w:val="24"/>
          <w:szCs w:val="24"/>
        </w:rPr>
        <w:t xml:space="preserve">smaller </w:t>
      </w:r>
      <w:r w:rsidR="005D51BB">
        <w:rPr>
          <w:rFonts w:ascii="Arial" w:hAnsi="Arial" w:cs="Arial"/>
          <w:sz w:val="24"/>
          <w:szCs w:val="24"/>
        </w:rPr>
        <w:t>because the cells are dividing</w:t>
      </w:r>
      <w:r w:rsidR="006A5C43" w:rsidRPr="006C773F">
        <w:rPr>
          <w:rFonts w:ascii="Arial" w:hAnsi="Arial" w:cs="Arial"/>
          <w:sz w:val="24"/>
          <w:szCs w:val="24"/>
        </w:rPr>
        <w:t>.</w:t>
      </w:r>
      <w:r w:rsidR="00A11373">
        <w:rPr>
          <w:rFonts w:ascii="Arial" w:hAnsi="Arial" w:cs="Arial"/>
          <w:sz w:val="24"/>
          <w:szCs w:val="24"/>
        </w:rPr>
        <w:t xml:space="preserve"> </w:t>
      </w:r>
      <w:r w:rsidR="004643F2">
        <w:rPr>
          <w:rFonts w:ascii="Arial" w:hAnsi="Arial" w:cs="Arial"/>
          <w:sz w:val="24"/>
          <w:szCs w:val="24"/>
        </w:rPr>
        <w:t xml:space="preserve">Balla </w:t>
      </w:r>
      <w:r w:rsidR="004643F2">
        <w:rPr>
          <w:rFonts w:ascii="Arial" w:hAnsi="Arial" w:cs="Arial"/>
          <w:i/>
          <w:iCs/>
          <w:sz w:val="24"/>
          <w:szCs w:val="24"/>
        </w:rPr>
        <w:t>et al.</w:t>
      </w:r>
      <w:r w:rsidR="004643F2">
        <w:rPr>
          <w:rFonts w:ascii="Arial" w:hAnsi="Arial" w:cs="Arial"/>
          <w:i/>
          <w:iCs/>
          <w:sz w:val="24"/>
          <w:szCs w:val="24"/>
        </w:rPr>
        <w:fldChar w:fldCharType="begin"/>
      </w:r>
      <w:r w:rsidR="00C16201">
        <w:rPr>
          <w:rFonts w:ascii="Arial" w:hAnsi="Arial" w:cs="Arial"/>
          <w:i/>
          <w:iCs/>
          <w:sz w:val="24"/>
          <w:szCs w:val="24"/>
        </w:rPr>
        <w:instrText xml:space="preserve"> ADDIN ZOTERO_ITEM CSL_CITATION {"citationID":"qfoqAVPk","properties":{"formattedCitation":"\\super 75\\nosupersub{}","plainCitation":"75","noteIndex":0},"citationItems":[{"id":791,"uris":["http://zotero.org/users/6508478/items/L4DWCKP2"],"itemData":{"id":791,"type":"article-journal","abstract":"The relatively high cost of manufacturing and the inability to produce modular implants have limited the acceptance of tantalum, in spite of its excellent in vitro and in vivo biocompatibility. In this article, we report how to process Ta to create net-shape porous structures with varying porosity using Laser Engineered Net Shaping (LENS™) for the first time. Porous Ta samples with relative densities between 45% and 73% have been successfully fabricated and characterized for their mechanical properties. In vitro cell materials interactions, using a human fetal osteoblast cell line, have been assessed on these porous Ta structures and compared with porous Ti control samples. The results show that the Young’s modulus of porous Ta can be tailored between 1.5 and 20GPa by changing the pore volume fraction between 27% and 55%. In vitro biocompatibility in terms of MTT assay and immunochemistry study showed excellent cellular adherence, growth and differentiation with abundant extracellular matrix formation on porous Ta structures compared to porous Ti control. These results indicate that porous Ta structures can promote enhanced/early biological fixation. The enhanced in vitro cell–material interactions on the porous Ta surface are attributed to its chemistry, its high wettability and its greater surface energy relative to porous Ti. Our results show that these laser-processed porous Ta structures can find numerous applications, particularly among older patients, for metallic implants because of their excellent bioactivity.","container-title":"Acta Biomaterialia","DOI":"10.1016/j.actbio.2010.01.046","ISSN":"1742-7061","issue":"8","journalAbbreviation":"Acta Biomaterialia","language":"en","page":"3349-3359","source":"ScienceDirect","title":"Porous tantalum structures for bone implants: Fabrication, mechanical and in vitro biological properties","title-short":"Porous tantalum structures for bone implants","volume":"6","author":[{"family":"Balla","given":"Vamsi Krishna"},{"family":"Bodhak","given":"Subhadip"},{"family":"Bose","given":"Susmita"},{"family":"Bandyopadhyay","given":"Amit"}],"issued":{"date-parts":[["2010",8,1]]}}}],"schema":"https://github.com/citation-style-language/schema/raw/master/csl-citation.json"} </w:instrText>
      </w:r>
      <w:r w:rsidR="004643F2">
        <w:rPr>
          <w:rFonts w:ascii="Arial" w:hAnsi="Arial" w:cs="Arial"/>
          <w:i/>
          <w:iCs/>
          <w:sz w:val="24"/>
          <w:szCs w:val="24"/>
        </w:rPr>
        <w:fldChar w:fldCharType="separate"/>
      </w:r>
      <w:r w:rsidR="00C16201" w:rsidRPr="00C16201">
        <w:rPr>
          <w:rFonts w:ascii="Arial" w:hAnsi="Arial" w:cs="Arial"/>
          <w:sz w:val="24"/>
          <w:szCs w:val="24"/>
          <w:vertAlign w:val="superscript"/>
        </w:rPr>
        <w:t>75</w:t>
      </w:r>
      <w:r w:rsidR="004643F2">
        <w:rPr>
          <w:rFonts w:ascii="Arial" w:hAnsi="Arial" w:cs="Arial"/>
          <w:i/>
          <w:iCs/>
          <w:sz w:val="24"/>
          <w:szCs w:val="24"/>
        </w:rPr>
        <w:fldChar w:fldCharType="end"/>
      </w:r>
      <w:r w:rsidR="004643F2">
        <w:rPr>
          <w:rFonts w:ascii="Arial" w:hAnsi="Arial" w:cs="Arial"/>
          <w:sz w:val="24"/>
          <w:szCs w:val="24"/>
        </w:rPr>
        <w:t xml:space="preserve"> studied the morphology of human fetal osteoblasts cultivated on porous tantalum</w:t>
      </w:r>
      <w:r w:rsidR="00C16201">
        <w:rPr>
          <w:rFonts w:ascii="Arial" w:hAnsi="Arial" w:cs="Arial"/>
          <w:sz w:val="24"/>
          <w:szCs w:val="24"/>
        </w:rPr>
        <w:t xml:space="preserve">, and found that cells had a traditional shape, were spread, and formed cellular micro-extensions as filopodia. </w:t>
      </w:r>
      <w:r w:rsidR="00315B27">
        <w:rPr>
          <w:rFonts w:ascii="Arial" w:hAnsi="Arial" w:cs="Arial"/>
          <w:sz w:val="24"/>
          <w:szCs w:val="24"/>
        </w:rPr>
        <w:t xml:space="preserve"> </w:t>
      </w:r>
    </w:p>
    <w:p w14:paraId="1BA91A26" w14:textId="77777777" w:rsidR="004A6AD4" w:rsidRPr="006C773F" w:rsidRDefault="004A6AD4" w:rsidP="006A5C43">
      <w:pPr>
        <w:spacing w:line="480" w:lineRule="auto"/>
        <w:ind w:firstLine="720"/>
        <w:jc w:val="both"/>
        <w:rPr>
          <w:rFonts w:ascii="Arial" w:hAnsi="Arial" w:cs="Arial"/>
          <w:sz w:val="24"/>
          <w:szCs w:val="24"/>
        </w:rPr>
      </w:pPr>
    </w:p>
    <w:p w14:paraId="54CFD891" w14:textId="328C128F" w:rsidR="002307BE" w:rsidRDefault="001D53F7" w:rsidP="00834360">
      <w:pPr>
        <w:pStyle w:val="Titre1"/>
        <w:spacing w:after="240" w:line="480" w:lineRule="auto"/>
        <w:jc w:val="both"/>
      </w:pPr>
      <w:bookmarkStart w:id="106" w:name="_Toc106903241"/>
      <w:r>
        <w:rPr>
          <w:rFonts w:ascii="Arial" w:hAnsi="Arial" w:cs="Arial"/>
          <w:b/>
          <w:bCs/>
          <w:color w:val="auto"/>
        </w:rPr>
        <w:lastRenderedPageBreak/>
        <w:t>Chapter 3: Conclusions and recommendations</w:t>
      </w:r>
      <w:bookmarkEnd w:id="106"/>
      <w:r w:rsidR="00DE327E" w:rsidRPr="00EB056A">
        <w:rPr>
          <w:rFonts w:ascii="Arial" w:hAnsi="Arial" w:cs="Arial"/>
          <w:b/>
          <w:bCs/>
          <w:color w:val="auto"/>
        </w:rPr>
        <w:t xml:space="preserve"> </w:t>
      </w:r>
    </w:p>
    <w:p w14:paraId="02BC6541" w14:textId="4849757B" w:rsidR="002307BE" w:rsidRDefault="002307BE" w:rsidP="00834360">
      <w:pPr>
        <w:pStyle w:val="Titre1"/>
        <w:spacing w:after="240"/>
      </w:pPr>
      <w:bookmarkStart w:id="107" w:name="_Toc106903242"/>
      <w:r w:rsidRPr="00EB056A">
        <w:rPr>
          <w:rFonts w:ascii="Arial" w:hAnsi="Arial" w:cs="Arial"/>
          <w:b/>
          <w:bCs/>
          <w:color w:val="000000" w:themeColor="text1"/>
          <w:sz w:val="24"/>
          <w:szCs w:val="24"/>
        </w:rPr>
        <w:t>3.1 Conclusions</w:t>
      </w:r>
      <w:bookmarkEnd w:id="107"/>
    </w:p>
    <w:p w14:paraId="773ADC4A" w14:textId="056A5C48" w:rsidR="002307BE" w:rsidRDefault="00DA45A4" w:rsidP="00F502D2">
      <w:pPr>
        <w:spacing w:line="480" w:lineRule="auto"/>
        <w:ind w:firstLine="720"/>
        <w:jc w:val="both"/>
        <w:rPr>
          <w:rFonts w:ascii="Arial" w:hAnsi="Arial" w:cs="Arial"/>
          <w:sz w:val="24"/>
          <w:szCs w:val="24"/>
        </w:rPr>
      </w:pPr>
      <w:r w:rsidRPr="00DE4E6A">
        <w:rPr>
          <w:rFonts w:ascii="Arial" w:hAnsi="Arial" w:cs="Arial"/>
          <w:sz w:val="24"/>
          <w:szCs w:val="24"/>
        </w:rPr>
        <w:t xml:space="preserve">Brain aneurysms are deformations of brain blood vessel walls. In the United States, </w:t>
      </w:r>
      <w:r w:rsidR="004977D2">
        <w:rPr>
          <w:rFonts w:ascii="Arial" w:hAnsi="Arial" w:cs="Arial"/>
          <w:sz w:val="24"/>
          <w:szCs w:val="24"/>
        </w:rPr>
        <w:t>one</w:t>
      </w:r>
      <w:r w:rsidRPr="00DE4E6A">
        <w:rPr>
          <w:rFonts w:ascii="Arial" w:hAnsi="Arial" w:cs="Arial"/>
          <w:sz w:val="24"/>
          <w:szCs w:val="24"/>
        </w:rPr>
        <w:t xml:space="preserve"> out of 50 people have at least one unruptured aneurysm, with up to 50% of rupture hazard depending on the location of the aneurysm</w:t>
      </w:r>
      <w:r w:rsidRPr="00DE4E6A">
        <w:rPr>
          <w:rFonts w:ascii="Arial" w:hAnsi="Arial" w:cs="Arial"/>
          <w:sz w:val="24"/>
          <w:szCs w:val="24"/>
        </w:rPr>
        <w:fldChar w:fldCharType="begin"/>
      </w:r>
      <w:r w:rsidR="005B4F59">
        <w:rPr>
          <w:rFonts w:ascii="Arial" w:hAnsi="Arial" w:cs="Arial"/>
          <w:sz w:val="24"/>
          <w:szCs w:val="24"/>
        </w:rPr>
        <w:instrText xml:space="preserve"> ADDIN ZOTERO_ITEM CSL_CITATION {"citationID":"fnv16bwl","properties":{"formattedCitation":"\\super 1,2\\nosupersub{}","plainCitation":"1,2","noteIndex":0},"citationItems":[{"id":20,"uris":["http://zotero.org/users/6508478/items/G28ISB97"],"itemData":{"id":20,"type":"article-journal","abstract":"Ideal management of unruptured intracranial aneurysms (UIAs) and ruptured intracranial aneurysms (RIAs) is a controversial issue. Over the last few decades, a significant paradigm shift has occurred away from open microsurgical clipping toward endovascular coil embolization. Multiple studies have been performed with mixed results. Some studies suggest that endovascular treatment produces better clinical and functional outcomes, but is associated with increased need for retreatment. Other studies report increased durability in aneurysms treated with microsurgical clipping, but that clipping may be associated with worse functional outcomes in some cases. Further complicating the dialogue are variable costs associated with different treatment modalities, including country-dependent cost differences. Here we provide a review of some of the major studies comparing open surgery versus endovascular treatment for both RIAs and UIAs to distill their key findings and corresponding implications for clinical practice. We relate these research results to our institution's experience with RIAs and UIAs and describe our approach to treatment of these conditions. Finally, we discuss implications of the paradigm shift for both open and endovascular surgery, including educational initiatives directed toward preserving important microsurgical tenets in the setting of diminishing surgical volume.","container-title":"World Neurosurgery","DOI":"10.1016/j.wneu.2019.12.127","ISSN":"1878-8750","journalAbbreviation":"World Neurosurgery","language":"en","page":"17-27","source":"ScienceDirect","title":"Surgical Versus Endovascular Management of Ruptured and Unruptured Intracranial Aneurysms: Emergent Issues and Future Directions","title-short":"Surgical Versus Endovascular Management of Ruptured and Unruptured Intracranial Aneurysms","volume":"136","author":[{"family":"Abecassis","given":"Isaac Josh"},{"family":"Zeeshan","given":"Qazi"},{"family":"Ghodke","given":"Basavaraj V."},{"family":"Levitt","given":"Michael R."},{"family":"Ellenbogen","given":"Richard G."},{"family":"Sekhar","given":"Laligam N."}],"issued":{"date-parts":[["2020",4,1]]}}},{"id":17,"uris":["http://zotero.org/users/6508478/items/DYNB9T7V"],"itemData":{"id":17,"type":"post-weblog","abstract":"An estimated 6.5 million people in the United States have an unruptured brain aneurysm, or 1 in 50 people. The annual rate of rupture is approximately 8 – 10 per 100,000 people. About 30,000 people in the United States suffer a brain aneurysm rupture each year. A brain aneurysm ruptures every 18 minutes. Women are … Continue reading \"Statistics and Facts\"","container-title":"Brain Aneurysm Foundation","language":"en","title":"Statistics and Facts","URL":"https://bafound.org/about-brain-aneurysms/brain-aneurysm-basics/brain-aneurysm-statistics-and-facts/","accessed":{"date-parts":[["2021",6,21]]}}}],"schema":"https://github.com/citation-style-language/schema/raw/master/csl-citation.json"} </w:instrText>
      </w:r>
      <w:r w:rsidRPr="00DE4E6A">
        <w:rPr>
          <w:rFonts w:ascii="Arial" w:hAnsi="Arial" w:cs="Arial"/>
          <w:sz w:val="24"/>
          <w:szCs w:val="24"/>
        </w:rPr>
        <w:fldChar w:fldCharType="separate"/>
      </w:r>
      <w:r w:rsidRPr="00DE4E6A">
        <w:rPr>
          <w:rFonts w:ascii="Arial" w:hAnsi="Arial" w:cs="Arial"/>
          <w:sz w:val="24"/>
          <w:szCs w:val="28"/>
          <w:vertAlign w:val="superscript"/>
        </w:rPr>
        <w:t>1,2</w:t>
      </w:r>
      <w:r w:rsidRPr="00DE4E6A">
        <w:rPr>
          <w:rFonts w:ascii="Arial" w:hAnsi="Arial" w:cs="Arial"/>
          <w:sz w:val="24"/>
          <w:szCs w:val="24"/>
        </w:rPr>
        <w:fldChar w:fldCharType="end"/>
      </w:r>
      <w:r w:rsidRPr="00DE4E6A">
        <w:rPr>
          <w:rFonts w:ascii="Arial" w:hAnsi="Arial" w:cs="Arial"/>
          <w:sz w:val="24"/>
          <w:szCs w:val="24"/>
        </w:rPr>
        <w:t>. Aneurysm rupture causes brain hemorrhages that are lethal for half of the patients or lead to brain function losses for two third of  the surviving patients</w:t>
      </w:r>
      <w:r w:rsidRPr="00DE4E6A">
        <w:rPr>
          <w:rFonts w:ascii="Arial" w:hAnsi="Arial" w:cs="Arial"/>
          <w:sz w:val="24"/>
          <w:szCs w:val="24"/>
        </w:rPr>
        <w:fldChar w:fldCharType="begin"/>
      </w:r>
      <w:r w:rsidR="005B4F59">
        <w:rPr>
          <w:rFonts w:ascii="Arial" w:hAnsi="Arial" w:cs="Arial"/>
          <w:sz w:val="24"/>
          <w:szCs w:val="24"/>
        </w:rPr>
        <w:instrText xml:space="preserve"> ADDIN ZOTERO_ITEM CSL_CITATION {"citationID":"Vmrg8MpX","properties":{"formattedCitation":"\\super 2\\nosupersub{}","plainCitation":"2","noteIndex":0},"citationItems":[{"id":17,"uris":["http://zotero.org/users/6508478/items/DYNB9T7V"],"itemData":{"id":17,"type":"post-weblog","abstract":"An estimated 6.5 million people in the United States have an unruptured brain aneurysm, or 1 in 50 people. The annual rate of rupture is approximately 8 – 10 per 100,000 people. About 30,000 people in the United States suffer a brain aneurysm rupture each year. A brain aneurysm ruptures every 18 minutes. Women are … Continue reading \"Statistics and Facts\"","container-title":"Brain Aneurysm Foundation","language":"en","title":"Statistics and Facts","URL":"https://bafound.org/about-brain-aneurysms/brain-aneurysm-basics/brain-aneurysm-statistics-and-facts/","accessed":{"date-parts":[["2021",6,21]]}}}],"schema":"https://github.com/citation-style-language/schema/raw/master/csl-citation.json"} </w:instrText>
      </w:r>
      <w:r w:rsidRPr="00DE4E6A">
        <w:rPr>
          <w:rFonts w:ascii="Arial" w:hAnsi="Arial" w:cs="Arial"/>
          <w:sz w:val="24"/>
          <w:szCs w:val="24"/>
        </w:rPr>
        <w:fldChar w:fldCharType="separate"/>
      </w:r>
      <w:r w:rsidRPr="00DE4E6A">
        <w:rPr>
          <w:rFonts w:ascii="Arial" w:hAnsi="Arial" w:cs="Arial"/>
          <w:sz w:val="24"/>
          <w:szCs w:val="28"/>
          <w:vertAlign w:val="superscript"/>
        </w:rPr>
        <w:t>2</w:t>
      </w:r>
      <w:r w:rsidRPr="00DE4E6A">
        <w:rPr>
          <w:rFonts w:ascii="Arial" w:hAnsi="Arial" w:cs="Arial"/>
          <w:sz w:val="24"/>
          <w:szCs w:val="24"/>
        </w:rPr>
        <w:fldChar w:fldCharType="end"/>
      </w:r>
      <w:r w:rsidRPr="00DE4E6A">
        <w:rPr>
          <w:rFonts w:ascii="Arial" w:hAnsi="Arial" w:cs="Arial"/>
          <w:sz w:val="24"/>
          <w:szCs w:val="24"/>
        </w:rPr>
        <w:t>. Current treatments as surgical clip and coils allow partial aneurysm occlusion and partial blood vessel wall reconstruction and these treatments stay in the patient ad vitam, thus having a high risk of vessel wall inflammation</w:t>
      </w:r>
      <w:r w:rsidRPr="00DE4E6A">
        <w:rPr>
          <w:rFonts w:ascii="Arial" w:hAnsi="Arial" w:cs="Arial"/>
          <w:sz w:val="24"/>
          <w:szCs w:val="24"/>
        </w:rPr>
        <w:fldChar w:fldCharType="begin"/>
      </w:r>
      <w:r w:rsidR="005B4F59">
        <w:rPr>
          <w:rFonts w:ascii="Arial" w:hAnsi="Arial" w:cs="Arial"/>
          <w:sz w:val="24"/>
          <w:szCs w:val="24"/>
        </w:rPr>
        <w:instrText xml:space="preserve"> ADDIN ZOTERO_ITEM CSL_CITATION {"citationID":"bUIOW9y2","properties":{"formattedCitation":"\\super 4,25,32\\nosupersub{}","plainCitation":"4,25,32","noteIndex":0},"citationItems":[{"id":6,"uris":["http://zotero.org/users/6508478/items/JVVJZL89"],"itemData":{"id":6,"type":"article-journal","abstract":"BACKGROUND: Previous analyses of the International Subarachnoid Aneurysm Trial (ISAT) cohort have reported on the risks of recurrent subarachnoid haemorrhage and death or dependency for a minimum of 5 years and up to a maximum of 14 years after treatment of a ruptured intracranial aneurysm with either neurosurgical clipping or endovascular coiling. At 1 year there was a 7% absolute and a 24% relative risk reduction of death and dependency in the coiling group compared with the clipping group, but the medium-term results showed the increased need for re-treatment of the target aneurysm in the patients given coiling. We report the long-term follow-up of patients in this UK cohort.\nMETHODS: In ISAT, patients were randomly allocated to either neurosurgical clipping or endovascular coiling after a subarachnoid haemorrhage, assuming treatment equipoise, between Sept 12, 1994, and May 1, 2002. We followed up 1644 patients in 22 UK neurosurgical centres for death and clinical outcomes for 10·0-18·5 years. We assessed dependency as self-reported modified Rankin scale score obtained through yearly questionnaires. Data for recurrent aneurysms and rebleeding events were collected from questionnaires and from hospital and general practitioner records. The Office for National Statistics supplied data on deaths. This study is registered, number ISRCTN49866681.\nFINDINGS: At 10 years, 674 (83%) of 809 patients allocated endovascular coiling and 657 (79%) of 835 patients allocated neurosurgical clipping were alive (odds ratio [OR] 1·35, 95% CI 1·06-1·73). Of 1003 individuals who returned a questionnaire at 10 years, 435 (82%) patients treated with endovascular coiling and 370 (78%) patients treated with neurosurgical clipping were independent (modified Rankin scale score 0-2; OR 1·25; 95% CI 0·92-1·71). Patients in the endovascular treatment group were more likely to be alive and independent at 10 years than were patients in the neurosurgery group (OR 1·34, 95% CI 1·07-1·67). 33 patients had a recurrent subarachnoid haemorrhage more than 1 year after their initial haemorrhage (17 from the target aneurysm).\nINTERPRETATION: Although rates of increased dependency alone did not differ between groups, the probability of death or dependency was significantly greater in the neurosurgical group than in the endovascular group. Rebleeding was more likely after endovascular coiling than after neurosurgical clipping, but the risk was small and the probability of disability-free survival was significantly greater in the endovascular group than in the neurosurgical group at 10 years.\nFUNDING: UK Medical Research Council.","container-title":"Lancet (London, England)","DOI":"10.1016/S0140-6736(14)60975-2","ISSN":"1474-547X","issue":"9969","journalAbbreviation":"Lancet","language":"eng","note":"PMID: 25465111\nPMCID: PMC4356153","page":"691-697","source":"PubMed","title":"The durability of endovascular coiling versus neurosurgical clipping of ruptured cerebral aneurysms: 18 year follow-up of the UK cohort of the International Subarachnoid Aneurysm Trial (ISAT)","title-short":"The durability of endovascular coiling versus neurosurgical clipping of ruptured cerebral aneurysms","volume":"385","author":[{"family":"Molyneux","given":"Andrew J."},{"family":"Birks","given":"Jacqueline"},{"family":"Clarke","given":"Alison"},{"family":"Sneade","given":"Mary"},{"family":"Kerr","given":"Richard S. C."}],"issued":{"date-parts":[["2015",2,21]]}}},{"id":45,"uris":["http://zotero.org/users/6508478/items/MX5VEDG7"],"itemData":{"id":45,"type":"article-journal","abstract":"Intracranial aneurysm is a leading cause of stroke. Its treatment has evolved over the past 2 decades. This review summarizes the treatment strategies for intracranial aneurysms from 3 different perspectives: open surgery approach, transluminal treatment approach, and new technologies being used or trialed. We introduce most of the available treatment techniques in detail, including contralateral clipping, wrapping and clipping, double catheters assisting coiling and waffle-cone technique, and so on. Data from major trials such as Analysis of Treatment by Endovascular approach of Non-ruptured Aneurysms (ATENA), Internal Subarachnoid Trial (ISAT), Clinical and Anatomical Results in the Treatment of Ruptured Intracranial Aneurysms (CLARITY), and Barrow Ruptured Aneurysm Trial (BRAT) as well as information from other clinical reports and local experience are reviewed to suggest a clinical pathway for treating different types of intracranial aneurysms. It will be a valuable supplement to the current existing guidelines. We hope it could help assisting real-time decision-making in clinical practices and also encourage advancements in managing the disease.","container-title":"Angiology","DOI":"10.1177/0003319717700503","ISSN":"0003-3197","issue":"1","journalAbbreviation":"Angiology","language":"en","page":"17-30","source":"SAGE Journals","title":"Current Treatment Strategies for Intracranial Aneurysms: An Overview","title-short":"Current Treatment Strategies for Intracranial Aneurysms","volume":"69","author":[{"family":"Zhao","given":"Junjie"},{"family":"Lin","given":"Hao"},{"family":"Summers","given":"Richard"},{"family":"Yang","given":"Mingmin"},{"family":"Cousins","given":"Brian G."},{"family":"Tsui","given":"Janice"}],"issued":{"date-parts":[["2018",1,1]]}}},{"id":1,"uris":["http://zotero.org/users/6508478/items/4A727H54"],"itemData":{"id":1,"type":"article-journal","abstract":"Background Flow diversion (FD) has emerged as superior minimally invasive therapy for cerebral aneurysms. However, aneurysms of small peripheral vessel segments have not yet been adequately treatable. More specifically, currently established devices necessitate large microcatheters which impede atraumatic maneuvering. The Silk Vista Baby (SVB), a novel flow diverter, offers the as yet unique feature of deliverability via a 0.017 inch microcatheter. This study reports our first experience with the SVB in challenging intracranial vessels employing a vessel-specific tailored microcatheter strategy.\nMaterials and methods 25 patients (27 aneurysms) were prospectively included. A total of 30 SVBs were employed, predominantly targeting demanding aneurysms of the anterior communicating artery complex. The efficacy of the FD was assessed using two-dimensional vector-based perfusion and conventional digital subtraction angiography (DSA) after implantation and at the first follow-up at 3 months. The first follow-up was available in 22 patients.\nResults All devices were implanted without technical or clinical complications. Eleven treatments were performed using the recommended Headway 17. In 14 interventions the even more maneuverable Excelsior SL10 was used, which was previously tried and tested for safety ’in vitro’ as an alternative delivery system. Aneurysmal influx was strongly reduced after implantation. All parent vessels remained patent. 17/27 aneurysms were completely occluded at first follow-up (</w:instrText>
      </w:r>
      <w:r w:rsidR="005B4F59">
        <w:rPr>
          <w:rFonts w:ascii="Cambria Math" w:hAnsi="Cambria Math" w:cs="Cambria Math"/>
          <w:sz w:val="24"/>
          <w:szCs w:val="24"/>
        </w:rPr>
        <w:instrText>∼</w:instrText>
      </w:r>
      <w:r w:rsidR="005B4F59">
        <w:rPr>
          <w:rFonts w:ascii="Arial" w:hAnsi="Arial" w:cs="Arial"/>
          <w:sz w:val="24"/>
          <w:szCs w:val="24"/>
        </w:rPr>
        <w:instrText xml:space="preserve">2.7 months), 6/27 aneurysms showed decreased influx or delayed washout and one remained unchanged. In three cases follow-up DSAs are remaining.\nConclusions SVB provides enhanced controllability in vulnerable segments beyond the circle of Willis. Smaller variants (2.25 mm and 2.75 mm) can safely be implanted via the superiorly navigable Excelsior SL10. Hence, the SVB represents the next evolutionary step in minimally invasive treatment of cerebral aneurysms.","container-title":"Journal of NeuroInterventional Surgery","DOI":"10.1136/neurintsurg-2019-014840","ISSN":"1759-8478, 1759-8486","issue":"12","language":"en","note":"PMID: 31088939","page":"1227-1234","source":"jnis.bmj.com","title":"Flow diversion beyond the circle of Willis: endovascular aneurysm treatment in peripheral cerebral arteries employing a novel low-profile flow diverting stent","title-short":"Flow diversion beyond the circle of Willis","volume":"11","author":[{"family":"Schob","given":"Stefan"},{"family":"Hoffmann","given":"Karl-Titus"},{"family":"Richter","given":"Cindy"},{"family":"Bhogal","given":"Pervinder"},{"family":"Köhlert","given":"Katharina"},{"family":"Planitzer","given":"Uwe"},{"family":"Ziganshyna","given":"Svitlana"},{"family":"Lindner","given":"Dirk"},{"family":"Scherlach","given":"Cordula"},{"family":"Nestler","given":"Ulf"},{"family":"Meixensberger","given":"Jürgen"},{"family":"Quäschling","given":"Ulf"}],"issued":{"date-parts":[["2019",12,1]]}}}],"schema":"https://github.com/citation-style-language/schema/raw/master/csl-citation.json"} </w:instrText>
      </w:r>
      <w:r w:rsidRPr="00DE4E6A">
        <w:rPr>
          <w:rFonts w:ascii="Arial" w:hAnsi="Arial" w:cs="Arial"/>
          <w:sz w:val="24"/>
          <w:szCs w:val="24"/>
        </w:rPr>
        <w:fldChar w:fldCharType="separate"/>
      </w:r>
      <w:r w:rsidR="00766016" w:rsidRPr="00766016">
        <w:rPr>
          <w:rFonts w:ascii="Arial" w:hAnsi="Arial" w:cs="Arial"/>
          <w:sz w:val="24"/>
          <w:szCs w:val="24"/>
          <w:vertAlign w:val="superscript"/>
        </w:rPr>
        <w:t>4,25,32</w:t>
      </w:r>
      <w:r w:rsidRPr="00DE4E6A">
        <w:rPr>
          <w:rFonts w:ascii="Arial" w:hAnsi="Arial" w:cs="Arial"/>
          <w:sz w:val="24"/>
          <w:szCs w:val="24"/>
        </w:rPr>
        <w:fldChar w:fldCharType="end"/>
      </w:r>
      <w:r w:rsidRPr="00DE4E6A">
        <w:rPr>
          <w:rFonts w:ascii="Arial" w:hAnsi="Arial" w:cs="Arial"/>
          <w:sz w:val="24"/>
          <w:szCs w:val="24"/>
        </w:rPr>
        <w:t>.</w:t>
      </w:r>
      <w:r w:rsidR="004977D2">
        <w:rPr>
          <w:rFonts w:ascii="Arial" w:hAnsi="Arial" w:cs="Arial"/>
          <w:sz w:val="24"/>
          <w:szCs w:val="24"/>
        </w:rPr>
        <w:t xml:space="preserve"> </w:t>
      </w:r>
      <w:r w:rsidR="004977D2" w:rsidRPr="004977D2">
        <w:rPr>
          <w:rFonts w:ascii="Arial" w:hAnsi="Arial" w:cs="Arial"/>
          <w:sz w:val="24"/>
          <w:szCs w:val="24"/>
        </w:rPr>
        <w:t xml:space="preserve">To address these issues, our approach is catheter-based delivery of an injectable, hyaluronic acid-based material that is compatible with radiographic and magnetic resonance medical imaging techniques. This material can be used to plug saccular brain aneurysms and induce vascular regeneration. To assess whether PHA hydrogel matches the compressive resistance of vessel walls, compressive moduli of 5, 7.5, and 10% PHA hydrogels without or with 50 mg of Ta per g of PHA were measured. The compressive moduli of 5, 7.5, and 10% PHA hydrogels without or with 50 mg of Ta per g of PHA increased with weight percent and were comprised within a 50 to 100 kPa range, which is the range of brain tissues’ compressive moduli. There was no significant difference between the compressive moduli of PHA hydrogels with or without tantalum powder. To verify the biocompatibility of PHA hydrogels with blood vessels, the cell viability of human umbilical vein endothelial cells </w:t>
      </w:r>
      <w:r w:rsidR="004977D2" w:rsidRPr="004977D2">
        <w:rPr>
          <w:rFonts w:ascii="Arial" w:hAnsi="Arial" w:cs="Arial"/>
          <w:sz w:val="24"/>
          <w:szCs w:val="24"/>
        </w:rPr>
        <w:lastRenderedPageBreak/>
        <w:t>(HUVEC) in contact with medi</w:t>
      </w:r>
      <w:r w:rsidR="00F502D2">
        <w:rPr>
          <w:rFonts w:ascii="Arial" w:hAnsi="Arial" w:cs="Arial"/>
          <w:sz w:val="24"/>
          <w:szCs w:val="24"/>
        </w:rPr>
        <w:t>um</w:t>
      </w:r>
      <w:r w:rsidR="004977D2" w:rsidRPr="004977D2">
        <w:rPr>
          <w:rFonts w:ascii="Arial" w:hAnsi="Arial" w:cs="Arial"/>
          <w:sz w:val="24"/>
          <w:szCs w:val="24"/>
        </w:rPr>
        <w:t xml:space="preserve"> infused for 24 hours with 5, 7.5, and 10% PHA hydrogels without or with 50 mg of Ta per g of PHA was quantified. The viability of HUVEC exposed to 5, 7.5, and 10% PHA hydrogels without or with 50 mg of Ta per g of PHA was a 100%. These data point out that injectable 5 and 7.5% PHA hydrogels with compressive moduli </w:t>
      </w:r>
      <w:r w:rsidR="00884962" w:rsidRPr="004977D2">
        <w:rPr>
          <w:rFonts w:ascii="Arial" w:hAnsi="Arial" w:cs="Arial"/>
          <w:sz w:val="24"/>
          <w:szCs w:val="24"/>
        </w:rPr>
        <w:t>like</w:t>
      </w:r>
      <w:r w:rsidR="004977D2" w:rsidRPr="004977D2">
        <w:rPr>
          <w:rFonts w:ascii="Arial" w:hAnsi="Arial" w:cs="Arial"/>
          <w:sz w:val="24"/>
          <w:szCs w:val="24"/>
        </w:rPr>
        <w:t xml:space="preserve"> brain tissues and good viability with endothelial cells can be made to potentially plug brain aneurysms.</w:t>
      </w:r>
      <w:r w:rsidR="007C3A72">
        <w:rPr>
          <w:rFonts w:ascii="Arial" w:hAnsi="Arial" w:cs="Arial"/>
          <w:sz w:val="24"/>
          <w:szCs w:val="24"/>
        </w:rPr>
        <w:t xml:space="preserve"> </w:t>
      </w:r>
    </w:p>
    <w:p w14:paraId="0FA68004" w14:textId="6A06E039" w:rsidR="007C3A72" w:rsidRPr="00EB056A" w:rsidRDefault="007C3A72" w:rsidP="00525779">
      <w:pPr>
        <w:spacing w:line="480" w:lineRule="auto"/>
        <w:ind w:firstLine="720"/>
        <w:jc w:val="both"/>
        <w:rPr>
          <w:rFonts w:ascii="Arial" w:hAnsi="Arial" w:cs="Arial"/>
          <w:color w:val="000000" w:themeColor="text1"/>
          <w:sz w:val="20"/>
          <w:szCs w:val="20"/>
        </w:rPr>
      </w:pPr>
      <w:r>
        <w:rPr>
          <w:rFonts w:ascii="Arial" w:hAnsi="Arial" w:cs="Arial"/>
          <w:sz w:val="24"/>
          <w:szCs w:val="24"/>
        </w:rPr>
        <w:t>To conclude, we proposed a possible brain aneurysm treatment that</w:t>
      </w:r>
      <w:r w:rsidR="00B779F2">
        <w:rPr>
          <w:rFonts w:ascii="Arial" w:hAnsi="Arial" w:cs="Arial"/>
          <w:sz w:val="24"/>
          <w:szCs w:val="24"/>
        </w:rPr>
        <w:t xml:space="preserve"> can be injected in brain aneurysms via a microcatheter without opening patients’ skulls,</w:t>
      </w:r>
      <w:r>
        <w:rPr>
          <w:rFonts w:ascii="Arial" w:hAnsi="Arial" w:cs="Arial"/>
          <w:sz w:val="24"/>
          <w:szCs w:val="24"/>
        </w:rPr>
        <w:t xml:space="preserve"> </w:t>
      </w:r>
      <w:r w:rsidR="00B779F2">
        <w:rPr>
          <w:rFonts w:ascii="Arial" w:hAnsi="Arial" w:cs="Arial"/>
          <w:sz w:val="24"/>
          <w:szCs w:val="24"/>
        </w:rPr>
        <w:t xml:space="preserve">can be imaged with X-rays to ensure correct placement, has a compressive resistance close to blood vessels’ resistance, and </w:t>
      </w:r>
      <w:r>
        <w:rPr>
          <w:rFonts w:ascii="Arial" w:hAnsi="Arial" w:cs="Arial"/>
          <w:sz w:val="24"/>
          <w:szCs w:val="24"/>
        </w:rPr>
        <w:t>has a high cell viability</w:t>
      </w:r>
      <w:r w:rsidR="00B779F2">
        <w:rPr>
          <w:rFonts w:ascii="Arial" w:hAnsi="Arial" w:cs="Arial"/>
          <w:sz w:val="24"/>
          <w:szCs w:val="24"/>
        </w:rPr>
        <w:t>.</w:t>
      </w:r>
    </w:p>
    <w:p w14:paraId="792C7817" w14:textId="2A2FC8A9" w:rsidR="009A25B2" w:rsidRDefault="002307BE" w:rsidP="00663627">
      <w:pPr>
        <w:pStyle w:val="Titre1"/>
        <w:spacing w:line="480" w:lineRule="auto"/>
      </w:pPr>
      <w:bookmarkStart w:id="108" w:name="_Toc106903243"/>
      <w:r w:rsidRPr="00EB056A">
        <w:rPr>
          <w:rFonts w:ascii="Arial" w:hAnsi="Arial" w:cs="Arial"/>
          <w:b/>
          <w:bCs/>
          <w:color w:val="000000" w:themeColor="text1"/>
          <w:sz w:val="24"/>
          <w:szCs w:val="24"/>
        </w:rPr>
        <w:t>3.2 Recommendations</w:t>
      </w:r>
      <w:bookmarkEnd w:id="108"/>
    </w:p>
    <w:p w14:paraId="1FC35655" w14:textId="0E6999E6" w:rsidR="0047091A" w:rsidRDefault="0047091A" w:rsidP="0047091A">
      <w:pPr>
        <w:spacing w:line="480" w:lineRule="auto"/>
        <w:rPr>
          <w:rFonts w:ascii="Arial" w:eastAsiaTheme="majorEastAsia" w:hAnsi="Arial" w:cs="Arial"/>
          <w:sz w:val="24"/>
          <w:szCs w:val="24"/>
        </w:rPr>
      </w:pPr>
      <w:r>
        <w:rPr>
          <w:rFonts w:ascii="Arial" w:eastAsiaTheme="majorEastAsia" w:hAnsi="Arial" w:cs="Arial"/>
          <w:sz w:val="24"/>
          <w:szCs w:val="24"/>
        </w:rPr>
        <w:tab/>
        <w:t xml:space="preserve">This study has shown promising results for the treatment of brain aneurysms with a minimally invasive method that promotes cell regeneration. However, further research is required to validate some results and test the treatment </w:t>
      </w:r>
      <w:r w:rsidRPr="0047091A">
        <w:rPr>
          <w:rFonts w:ascii="Arial" w:eastAsiaTheme="majorEastAsia" w:hAnsi="Arial" w:cs="Arial"/>
          <w:i/>
          <w:iCs/>
          <w:sz w:val="24"/>
          <w:szCs w:val="24"/>
        </w:rPr>
        <w:t>in vivo</w:t>
      </w:r>
      <w:r>
        <w:rPr>
          <w:rFonts w:ascii="Arial" w:eastAsiaTheme="majorEastAsia" w:hAnsi="Arial" w:cs="Arial"/>
          <w:sz w:val="24"/>
          <w:szCs w:val="24"/>
        </w:rPr>
        <w:t>.</w:t>
      </w:r>
    </w:p>
    <w:p w14:paraId="5B62539B" w14:textId="3FA15F4A" w:rsidR="00396EFC" w:rsidRDefault="0047091A" w:rsidP="00F502D2">
      <w:pPr>
        <w:spacing w:line="480" w:lineRule="auto"/>
        <w:jc w:val="both"/>
        <w:rPr>
          <w:rFonts w:ascii="Arial" w:eastAsiaTheme="majorEastAsia" w:hAnsi="Arial" w:cs="Arial"/>
          <w:sz w:val="24"/>
          <w:szCs w:val="24"/>
        </w:rPr>
      </w:pPr>
      <w:r>
        <w:rPr>
          <w:rFonts w:ascii="Arial" w:eastAsiaTheme="majorEastAsia" w:hAnsi="Arial" w:cs="Arial"/>
          <w:sz w:val="24"/>
          <w:szCs w:val="24"/>
        </w:rPr>
        <w:tab/>
        <w:t xml:space="preserve">First, </w:t>
      </w:r>
      <w:r w:rsidR="00985D9B">
        <w:rPr>
          <w:rFonts w:ascii="Arial" w:eastAsiaTheme="majorEastAsia" w:hAnsi="Arial" w:cs="Arial"/>
          <w:sz w:val="24"/>
          <w:szCs w:val="24"/>
        </w:rPr>
        <w:t xml:space="preserve">the assessment of HUVEC proliferation by comparing cell growth over time </w:t>
      </w:r>
      <w:r w:rsidR="007579B2">
        <w:rPr>
          <w:rFonts w:ascii="Arial" w:eastAsiaTheme="majorEastAsia" w:hAnsi="Arial" w:cs="Arial"/>
          <w:sz w:val="24"/>
          <w:szCs w:val="24"/>
        </w:rPr>
        <w:t>would</w:t>
      </w:r>
      <w:r w:rsidR="00985D9B">
        <w:rPr>
          <w:rFonts w:ascii="Arial" w:eastAsiaTheme="majorEastAsia" w:hAnsi="Arial" w:cs="Arial"/>
          <w:sz w:val="24"/>
          <w:szCs w:val="24"/>
        </w:rPr>
        <w:t xml:space="preserve"> highlight PHA’s impact on cell growth and our treatment’s capacity to enhance cell regeneration. </w:t>
      </w:r>
      <w:r w:rsidR="00AD6263">
        <w:rPr>
          <w:rFonts w:ascii="Arial" w:eastAsiaTheme="majorEastAsia" w:hAnsi="Arial" w:cs="Arial"/>
          <w:sz w:val="24"/>
          <w:szCs w:val="24"/>
        </w:rPr>
        <w:t>To earn more information on cell regeneration, a scratch assay can be done. It consists in cultivating cells in contact with PHA infused medi</w:t>
      </w:r>
      <w:r w:rsidR="00F502D2">
        <w:rPr>
          <w:rFonts w:ascii="Arial" w:eastAsiaTheme="majorEastAsia" w:hAnsi="Arial" w:cs="Arial"/>
          <w:sz w:val="24"/>
          <w:szCs w:val="24"/>
        </w:rPr>
        <w:t>um</w:t>
      </w:r>
      <w:r w:rsidR="00AD6263">
        <w:rPr>
          <w:rFonts w:ascii="Arial" w:eastAsiaTheme="majorEastAsia" w:hAnsi="Arial" w:cs="Arial"/>
          <w:sz w:val="24"/>
          <w:szCs w:val="24"/>
        </w:rPr>
        <w:t>,</w:t>
      </w:r>
      <w:r w:rsidR="00985D9B">
        <w:rPr>
          <w:rFonts w:ascii="Arial" w:eastAsiaTheme="majorEastAsia" w:hAnsi="Arial" w:cs="Arial"/>
          <w:sz w:val="24"/>
          <w:szCs w:val="24"/>
        </w:rPr>
        <w:t xml:space="preserve"> </w:t>
      </w:r>
      <w:r w:rsidR="00AD6263">
        <w:rPr>
          <w:rFonts w:ascii="Arial" w:eastAsiaTheme="majorEastAsia" w:hAnsi="Arial" w:cs="Arial"/>
          <w:sz w:val="24"/>
          <w:szCs w:val="24"/>
        </w:rPr>
        <w:t xml:space="preserve">scratching the cells to form a line, and observing how fast the line is filled with cells compared to the same experiment with cells that were not in contact with </w:t>
      </w:r>
      <w:r w:rsidR="00AD6263">
        <w:rPr>
          <w:rFonts w:ascii="Arial" w:eastAsiaTheme="majorEastAsia" w:hAnsi="Arial" w:cs="Arial"/>
          <w:sz w:val="24"/>
          <w:szCs w:val="24"/>
        </w:rPr>
        <w:lastRenderedPageBreak/>
        <w:t>PHA.</w:t>
      </w:r>
      <w:r w:rsidR="00862792">
        <w:rPr>
          <w:rFonts w:ascii="Arial" w:eastAsiaTheme="majorEastAsia" w:hAnsi="Arial" w:cs="Arial"/>
          <w:sz w:val="24"/>
          <w:szCs w:val="24"/>
        </w:rPr>
        <w:t xml:space="preserve"> The expected results would be to see that PHA hydrogels enhance cell proliferation.</w:t>
      </w:r>
    </w:p>
    <w:p w14:paraId="0441CD72" w14:textId="3AD464FF" w:rsidR="0047091A" w:rsidRDefault="00AD6263" w:rsidP="00525779">
      <w:pPr>
        <w:spacing w:line="480" w:lineRule="auto"/>
        <w:jc w:val="both"/>
        <w:rPr>
          <w:rFonts w:ascii="Arial" w:eastAsiaTheme="majorEastAsia" w:hAnsi="Arial" w:cs="Arial"/>
          <w:sz w:val="24"/>
          <w:szCs w:val="24"/>
        </w:rPr>
      </w:pPr>
      <w:r>
        <w:rPr>
          <w:rFonts w:ascii="Arial" w:eastAsiaTheme="majorEastAsia" w:hAnsi="Arial" w:cs="Arial"/>
          <w:sz w:val="24"/>
          <w:szCs w:val="24"/>
        </w:rPr>
        <w:t xml:space="preserve"> </w:t>
      </w:r>
      <w:r w:rsidR="0050404D">
        <w:rPr>
          <w:rFonts w:ascii="Arial" w:eastAsiaTheme="majorEastAsia" w:hAnsi="Arial" w:cs="Arial"/>
          <w:sz w:val="24"/>
          <w:szCs w:val="24"/>
        </w:rPr>
        <w:tab/>
      </w:r>
      <w:r w:rsidR="00396EFC">
        <w:rPr>
          <w:rFonts w:ascii="Arial" w:eastAsiaTheme="majorEastAsia" w:hAnsi="Arial" w:cs="Arial"/>
          <w:sz w:val="24"/>
          <w:szCs w:val="24"/>
        </w:rPr>
        <w:t xml:space="preserve">Furthermore, the evaluation of PHA hydrogels degradation </w:t>
      </w:r>
      <w:r w:rsidR="007579B2">
        <w:rPr>
          <w:rFonts w:ascii="Arial" w:eastAsiaTheme="majorEastAsia" w:hAnsi="Arial" w:cs="Arial"/>
          <w:sz w:val="24"/>
          <w:szCs w:val="24"/>
        </w:rPr>
        <w:t xml:space="preserve">would confirm that PHA disappear progressively, along with the </w:t>
      </w:r>
      <w:r w:rsidR="004844C4">
        <w:rPr>
          <w:rFonts w:ascii="Arial" w:eastAsiaTheme="majorEastAsia" w:hAnsi="Arial" w:cs="Arial"/>
          <w:sz w:val="24"/>
          <w:szCs w:val="24"/>
        </w:rPr>
        <w:t>disappearance</w:t>
      </w:r>
      <w:r w:rsidR="007579B2">
        <w:rPr>
          <w:rFonts w:ascii="Arial" w:eastAsiaTheme="majorEastAsia" w:hAnsi="Arial" w:cs="Arial"/>
          <w:sz w:val="24"/>
          <w:szCs w:val="24"/>
        </w:rPr>
        <w:t xml:space="preserve"> of the aneurysm and the reformation of the blood vessel well. To test this property,</w:t>
      </w:r>
      <w:r w:rsidR="00EC620A">
        <w:rPr>
          <w:rFonts w:ascii="Arial" w:eastAsiaTheme="majorEastAsia" w:hAnsi="Arial" w:cs="Arial"/>
          <w:sz w:val="24"/>
          <w:szCs w:val="24"/>
        </w:rPr>
        <w:t xml:space="preserve"> it could be interesting to crosslink PHA in an aneurysm model and then expose it to a constant flow of water with the speed of blood flow in one of the main cerebral </w:t>
      </w:r>
      <w:r w:rsidR="0050404D">
        <w:rPr>
          <w:rFonts w:ascii="Arial" w:eastAsiaTheme="majorEastAsia" w:hAnsi="Arial" w:cs="Arial"/>
          <w:sz w:val="24"/>
          <w:szCs w:val="24"/>
        </w:rPr>
        <w:t>arteries and</w:t>
      </w:r>
      <w:r w:rsidR="00EC620A">
        <w:rPr>
          <w:rFonts w:ascii="Arial" w:eastAsiaTheme="majorEastAsia" w:hAnsi="Arial" w:cs="Arial"/>
          <w:sz w:val="24"/>
          <w:szCs w:val="24"/>
        </w:rPr>
        <w:t xml:space="preserve"> monitor the degradation time of PHA. </w:t>
      </w:r>
      <w:r w:rsidR="007579B2">
        <w:rPr>
          <w:rFonts w:ascii="Arial" w:eastAsiaTheme="majorEastAsia" w:hAnsi="Arial" w:cs="Arial"/>
          <w:sz w:val="24"/>
          <w:szCs w:val="24"/>
        </w:rPr>
        <w:t xml:space="preserve"> </w:t>
      </w:r>
    </w:p>
    <w:p w14:paraId="6F6EA7CC" w14:textId="111D0D8D" w:rsidR="001234E8" w:rsidRPr="003B7652" w:rsidRDefault="002F5738" w:rsidP="00543C7B">
      <w:pPr>
        <w:spacing w:line="480" w:lineRule="auto"/>
        <w:ind w:firstLine="720"/>
        <w:jc w:val="both"/>
        <w:rPr>
          <w:rFonts w:ascii="Arial" w:eastAsiaTheme="majorEastAsia" w:hAnsi="Arial" w:cs="Arial"/>
          <w:sz w:val="32"/>
          <w:szCs w:val="32"/>
        </w:rPr>
      </w:pPr>
      <w:r>
        <w:rPr>
          <w:rFonts w:ascii="Arial" w:eastAsiaTheme="majorEastAsia" w:hAnsi="Arial" w:cs="Arial"/>
          <w:sz w:val="24"/>
          <w:szCs w:val="24"/>
        </w:rPr>
        <w:t xml:space="preserve">Finally, it is necessary to test this treatment in </w:t>
      </w:r>
      <w:r w:rsidR="007F50A4">
        <w:rPr>
          <w:rFonts w:ascii="Arial" w:eastAsiaTheme="majorEastAsia" w:hAnsi="Arial" w:cs="Arial"/>
          <w:sz w:val="24"/>
          <w:szCs w:val="24"/>
        </w:rPr>
        <w:t>an aneurysm</w:t>
      </w:r>
      <w:r>
        <w:rPr>
          <w:rFonts w:ascii="Arial" w:eastAsiaTheme="majorEastAsia" w:hAnsi="Arial" w:cs="Arial"/>
          <w:sz w:val="24"/>
          <w:szCs w:val="24"/>
        </w:rPr>
        <w:t xml:space="preserve"> model, either in vivo if all the required authorization</w:t>
      </w:r>
      <w:r w:rsidR="00543C7B">
        <w:rPr>
          <w:rFonts w:ascii="Arial" w:eastAsiaTheme="majorEastAsia" w:hAnsi="Arial" w:cs="Arial"/>
          <w:sz w:val="24"/>
          <w:szCs w:val="24"/>
        </w:rPr>
        <w:t>s</w:t>
      </w:r>
      <w:r>
        <w:rPr>
          <w:rFonts w:ascii="Arial" w:eastAsiaTheme="majorEastAsia" w:hAnsi="Arial" w:cs="Arial"/>
          <w:sz w:val="24"/>
          <w:szCs w:val="24"/>
        </w:rPr>
        <w:t xml:space="preserve"> are obtained, or in a 3D bio-printed model.</w:t>
      </w:r>
      <w:r w:rsidR="007F50A4">
        <w:rPr>
          <w:rFonts w:ascii="Arial" w:eastAsiaTheme="majorEastAsia" w:hAnsi="Arial" w:cs="Arial"/>
          <w:sz w:val="24"/>
          <w:szCs w:val="24"/>
        </w:rPr>
        <w:t xml:space="preserve"> </w:t>
      </w:r>
      <w:r w:rsidR="00543C7B">
        <w:rPr>
          <w:rFonts w:ascii="Arial" w:eastAsiaTheme="majorEastAsia" w:hAnsi="Arial" w:cs="Arial"/>
          <w:sz w:val="24"/>
          <w:szCs w:val="24"/>
        </w:rPr>
        <w:t>In the literature, most animal</w:t>
      </w:r>
      <w:r w:rsidR="00A5556C">
        <w:rPr>
          <w:rFonts w:ascii="Arial" w:eastAsiaTheme="majorEastAsia" w:hAnsi="Arial" w:cs="Arial"/>
          <w:sz w:val="24"/>
          <w:szCs w:val="24"/>
        </w:rPr>
        <w:t>s</w:t>
      </w:r>
      <w:r w:rsidR="00FF548E">
        <w:rPr>
          <w:rFonts w:ascii="Arial" w:eastAsiaTheme="majorEastAsia" w:hAnsi="Arial" w:cs="Arial"/>
          <w:sz w:val="24"/>
          <w:szCs w:val="24"/>
        </w:rPr>
        <w:t xml:space="preserve"> used to make</w:t>
      </w:r>
      <w:r w:rsidR="00543C7B">
        <w:rPr>
          <w:rFonts w:ascii="Arial" w:eastAsiaTheme="majorEastAsia" w:hAnsi="Arial" w:cs="Arial"/>
          <w:sz w:val="24"/>
          <w:szCs w:val="24"/>
        </w:rPr>
        <w:t xml:space="preserve"> aneurysm</w:t>
      </w:r>
      <w:r w:rsidR="00FF548E">
        <w:rPr>
          <w:rFonts w:ascii="Arial" w:eastAsiaTheme="majorEastAsia" w:hAnsi="Arial" w:cs="Arial"/>
          <w:sz w:val="24"/>
          <w:szCs w:val="24"/>
        </w:rPr>
        <w:t xml:space="preserve"> models were</w:t>
      </w:r>
      <w:r w:rsidR="00543C7B">
        <w:rPr>
          <w:rFonts w:ascii="Arial" w:eastAsiaTheme="majorEastAsia" w:hAnsi="Arial" w:cs="Arial"/>
          <w:sz w:val="24"/>
          <w:szCs w:val="24"/>
        </w:rPr>
        <w:t xml:space="preserve"> </w:t>
      </w:r>
      <w:r w:rsidR="00C732C9">
        <w:rPr>
          <w:rFonts w:ascii="Arial" w:eastAsiaTheme="majorEastAsia" w:hAnsi="Arial" w:cs="Arial"/>
          <w:sz w:val="24"/>
          <w:szCs w:val="24"/>
        </w:rPr>
        <w:t>rabbits</w:t>
      </w:r>
      <w:r w:rsidR="00C732C9">
        <w:rPr>
          <w:rFonts w:ascii="Arial" w:eastAsiaTheme="majorEastAsia" w:hAnsi="Arial" w:cs="Arial"/>
          <w:sz w:val="24"/>
          <w:szCs w:val="24"/>
        </w:rPr>
        <w:fldChar w:fldCharType="begin"/>
      </w:r>
      <w:r w:rsidR="00C16201">
        <w:rPr>
          <w:rFonts w:ascii="Arial" w:eastAsiaTheme="majorEastAsia" w:hAnsi="Arial" w:cs="Arial"/>
          <w:sz w:val="24"/>
          <w:szCs w:val="24"/>
        </w:rPr>
        <w:instrText xml:space="preserve"> ADDIN ZOTERO_ITEM CSL_CITATION {"citationID":"U4rwtNKI","properties":{"formattedCitation":"\\super 76,77\\nosupersub{}","plainCitation":"76,77","noteIndex":0},"citationItems":[{"id":788,"uris":["http://zotero.org/users/6508478/items/Y9NEDLSQ"],"itemData":{"id":788,"type":"article-journal","abstract":"Object The use of liquid embolic agents for endovascular treatment of cerebral aneurysms is evolving. The authors' aim was to evaluate the use of Onyx HD-500 in an experimental aneurysm model and to obtain histological and angiographic long-term results. Methods Ten aneurysms were created using an elastase model in rabbits. The aneurysms were embolized using Onyx in combination with an inflated balloon. One animal died 1 day after embolization. The animals were divided into 2 different groups. The animals in the first group (4 rabbits) were killed at 3 months and those in the second group (5 rabbits) were killed at 6 months after embolization. A venous control angiogram was obtained, and the aneurysms were examined histologically. Results In both groups control angiograms demonstrated that all aneurysms were completely occluded. There were no signs of recanalization. Migration of Onyx was seen in 4 animals, leading to the death of 1. Histological examination not only proved the aneurysms to be occluded but also demonstrated a thin layer of endothelium at the neck of the aneurysm. The histological result was identical in both groups. Conclusions This is the first study reporting the formation of a neointima over the neck of aneurysms embolized with Onyx in a rabbit model. Although the technique is challenging and migration of the liquid embolic agent cannot always be prevented, Onyx has a great potential to achieve a durable occlusion of aneurysms.","container-title":"Journal of Neurosurgery","DOI":"10.3171/JNS/2008/109/7/0077","ISSN":"1933-0693, 0022-3085","issue":"1","language":"en_US","note":"publisher: American Association of Neurological Surgeons\nsection: Journal of Neurosurgery","page":"77-82","source":"thejns-org.ezproxy.lib.ou.edu","title":"Onyx in an experimental aneurysm model: histological and angiographic results: Laboratory investigation","title-short":"Onyx in an experimental aneurysm model","volume":"109","author":[{"family":"Struffert","given":"Tobias"},{"family":"Roth","given":"Christian"},{"family":"Romeike","given":"Bernd"},{"family":"Grunwald","given":"Iris O."},{"family":"Reith","given":"Wolfgang"}],"issued":{"date-parts":[["2008",7,1]]}}},{"id":786,"uris":["http://zotero.org/users/6508478/items/37HWVQ7I"],"itemData":{"id":786,"type":"article-journal","abstract":"BACKGROUND AND PURPOSE: Liquid embolic agents may have potential as a therapeutic option to reconstruct a defective vessel wall. We evaluated the feasibility of transarterial glue embolization in surgically constructed carotid artery aneurysms., METHODS: Reconstruction of arterial wall defects with use of glue casts was performed in 16 surgically constructed aneurysms of carotid arteries in rabbits. Via the transfemoral route, glue was injected without balloon protection through a microcatheter into the aneurysmal sac with (n = 8) and without (n = 8) a framework of coils. To identify safe and effective methods, four concentrations (28%, 33%, 40%, 50%) of glue-iodized oil mixtures were used in four aneurysms each. Immediate (n = 16) and 2-month follow-up (n = 10) postembolization angiograms were obtained to evaluate the residual aneurysmal sac and the carotid artery patency., RESULTS: Continuous column injection of glue was possible in all aneurysms, without fragmented migration of the injected glue cast. Catheter sticking or breakage did not occur during catheter retrieval. Glue embolization without a framework of coils (n = 8) resulted in complete obliteration of the aneurysmal sac in five aneurysms and incomplete obliteration with a small residual lumen in three. Two aneurysms resulted in carotid occlusion after catheter removal. A follow-up angiogram (n = 4) showed decreased residual lumen in two aneurysms, no change in the complete aneurysm occlusion in one, and carotid occlusion in one. Glue embolization with a coil framework (n = 8) resulted in complete obliteration of the aneurysmal sac in six aneurysms and incomplete obliteration with a small residual lumen in two. A small amount of spillage occurred in one owing to the improper position of the microcatheter caused by a difficult neck angle to the parent artery. Follow-up angiograms (n = 6) showed decreased residual lumen in one of two aneurysms and no change of the complete occlusion in five of six aneurysms., CONCLUSION: Effective glue embolization into the aneurysmal sac is technically feasible. Microcatheter position within the aneurysm, concentration of glue, and direction of the aneurysmal neck angle all must be considered. With a coil framework, glue injection was more complete, without deformity or spillage of the glue from the aneurysm.","container-title":"AJNR: American Journal of Neuroradiology","ISSN":"0195-6108","issue":"8","journalAbbreviation":"AJNR Am J Neuroradiol","note":"PMID: 13679265\nPMCID: PMC7973981","page":"1532-1539","source":"PubMed Central","title":"Technical Feasibility of Embolizing Aneurysms with Glue (n-butyl 2-cyanoacrylate): Experimental Study in Rabbits","title-short":"Technical Feasibility of Embolizing Aneurysms with Glue (n-butyl 2-cyanoacrylate)","volume":"24","author":[{"family":"Suh","given":"Dae Chul"},{"family":"Kim","given":"Kil Soo"},{"family":"Lim","given":"Soo Mee"},{"family":"Shi","given":"Hai Bin"},{"family":"Choi","given":"Choong Gon"},{"family":"Lee","given":"Ho Kyu"},{"family":"Seo","given":"Dong Man"}],"issued":{"date-parts":[["2003",9]]}}}],"schema":"https://github.com/citation-style-language/schema/raw/master/csl-citation.json"} </w:instrText>
      </w:r>
      <w:r w:rsidR="00C732C9">
        <w:rPr>
          <w:rFonts w:ascii="Arial" w:eastAsiaTheme="majorEastAsia" w:hAnsi="Arial" w:cs="Arial"/>
          <w:sz w:val="24"/>
          <w:szCs w:val="24"/>
        </w:rPr>
        <w:fldChar w:fldCharType="separate"/>
      </w:r>
      <w:r w:rsidR="00C16201" w:rsidRPr="00C16201">
        <w:rPr>
          <w:rFonts w:ascii="Arial" w:hAnsi="Arial" w:cs="Arial"/>
          <w:sz w:val="24"/>
          <w:szCs w:val="24"/>
          <w:vertAlign w:val="superscript"/>
        </w:rPr>
        <w:t>76,77</w:t>
      </w:r>
      <w:r w:rsidR="00C732C9">
        <w:rPr>
          <w:rFonts w:ascii="Arial" w:eastAsiaTheme="majorEastAsia" w:hAnsi="Arial" w:cs="Arial"/>
          <w:sz w:val="24"/>
          <w:szCs w:val="24"/>
        </w:rPr>
        <w:fldChar w:fldCharType="end"/>
      </w:r>
      <w:r w:rsidR="00C732C9">
        <w:rPr>
          <w:rFonts w:ascii="Arial" w:eastAsiaTheme="majorEastAsia" w:hAnsi="Arial" w:cs="Arial"/>
          <w:sz w:val="24"/>
          <w:szCs w:val="24"/>
        </w:rPr>
        <w:t xml:space="preserve">, </w:t>
      </w:r>
      <w:r w:rsidR="00543C7B">
        <w:rPr>
          <w:rFonts w:ascii="Arial" w:eastAsiaTheme="majorEastAsia" w:hAnsi="Arial" w:cs="Arial"/>
          <w:sz w:val="24"/>
          <w:szCs w:val="24"/>
        </w:rPr>
        <w:t>rats</w:t>
      </w:r>
      <w:r w:rsidR="00FF548E">
        <w:rPr>
          <w:rFonts w:ascii="Arial" w:eastAsiaTheme="majorEastAsia" w:hAnsi="Arial" w:cs="Arial"/>
          <w:sz w:val="24"/>
          <w:szCs w:val="24"/>
        </w:rPr>
        <w:fldChar w:fldCharType="begin"/>
      </w:r>
      <w:r w:rsidR="00C16201">
        <w:rPr>
          <w:rFonts w:ascii="Arial" w:eastAsiaTheme="majorEastAsia" w:hAnsi="Arial" w:cs="Arial"/>
          <w:sz w:val="24"/>
          <w:szCs w:val="24"/>
        </w:rPr>
        <w:instrText xml:space="preserve"> ADDIN ZOTERO_ITEM CSL_CITATION {"citationID":"gb0otCVA","properties":{"formattedCitation":"\\super 78,79\\nosupersub{}","plainCitation":"78,79","noteIndex":0},"citationItems":[{"id":778,"uris":["http://zotero.org/users/6508478/items/YE32D9LR"],"itemData":{"id":778,"type":"article-journal","abstract":"To explore if there is phenotypic switching in the vascular smooth muscle cells (vSMCs) of rat thoracic aortic aneurysms and the role it plays in the process of aneurysm formation.Male SD white rats were assigned randomly to the aneurysm group (AG) and control group (CG). The animal aneurysm model was obtained by soaking the peri-adventitia with porcine pancreatic elastase (PPE). The rats in the CG were given saline to provide contrast. A vascular ultrasound was used to monitor the diameter of the aneurysm. Specimens were stained with haematoxylin and eosin (HE), and α-SMA, SM-MHC, matrix metalloproteinase (MMP)-2 and MMP-9 were detected with immunohistochemistry staining. α-SMA, SM-MHC, MMP-2 and MMP-9 were conducted with western blot. vSMCs taken from the descending aorta of both of the CG and AG were separated and cultured until Passage 3. 3-(4,5-Dimethylthiazol-2-yl)-2,5-diphenyltetrazolium bromide (MTT) method were used to analyse cell proliferation. Western blot was used to evaluate MMP-2, MMP-9 expression and flow cytometry was employed to assess cell apoptosis.Vascular ultrasound showed obvious dilatation of soaked descending aorta. HE staining showed thickening of thoracic aorta and disarrangement of cells after soaking with PPE. Immunohistochemistry staining showed high expression of MMP-2 and MMP-9 but low expression of SM-MHC and α-SMA in the AG. Tissue western blot analysis of the AG showed that the protein gray value was high in MMP-2 and MMP-9, but low in α-SMA and SM-MHC, which had statistical differences compared with CG with a P-value of &amp;lt;0.05. MTT analysis showed vSMC proliferation activity was higher in the AG than in the CG. Flow cytometry analysis revealed that cell apoptosis between the control and aneurysm groups had significant statistical differences.There is vSMC phenotypic switching in animal models as seen through the rat thoracic aortic aneurysms. This may play an important role in the formation of aneurysms. Our findings are relevant to human aneurysms and may be conducive in the research of aortic aneurysm pathology and treatment.","container-title":"Interactive CardioVascular and Thoracic Surgery","DOI":"10.1093/icvts/ivv074","ISSN":"1569-9293","issue":"1","journalAbbreviation":"Interactive CardioVascular and Thoracic Surgery","page":"62-70","source":"Silverchair","title":"Phenotypic switching of vascular smooth muscle cells in animal model of rat thoracic aortic aneurysm","volume":"21","author":[{"family":"Mao","given":"Naihui"},{"family":"Gu","given":"Tianxiang"},{"family":"Shi","given":"Enyi"},{"family":"Zhang","given":"Guangwei"},{"family":"Yu","given":"Lei"},{"family":"Wang","given":"Chun"}],"issued":{"date-parts":[["2015",7,1]]}}},{"id":161,"uris":["http://zotero.org/users/6508478/items/IVB923EI"],"itemData":{"id":161,"type":"article-journal","abstract":"The waste sugarcane dry leaves were utilized as the reinforcement with the epoxy matrix to prepare the sugarcane dry leaves reinforced polymer composites (SDLRPCs). The tensile, compressive, impact and flexural tests were conducted following respective ASTM standards. The proportion of SDL in SDLRPCs for the most effective fiber–matrix interaction was determined. The statistical analysis has confirmed that the error in experimental results was within the specified limits. The resistance to natural weathering of SDLRPCs were evaluated following ASTM D5338-11. The effect of weathering on tensile strength was also investigated. The scanning electron microscopy (SEM) micrographs revealed reasons for fracture of SDLRPC samples during mechanical testing. It was noticed that the biodegradability corresponds with resistance to natural weathering; more biodegradable wood plastic composites were having the lesser resistance to natural weathering. The micromechanical finite element (FE) model coupled with the numerical homogenization technique (NHT) was constituted to predict the elastic properties of SDLRPCs. The micro-scale stress analysis revealed that the von Mises stress for SDLRPC was up to 267% higher than the pure epoxy. The transient/static micro-mechanical models were constituted to predict the tensile, compressive, impact, and flexural behavior of SDLRPCs. The developed models were found in-line with the experimental data.","container-title":"Construction and Building Materials","DOI":"10.1016/j.conbuildmat.2020.120785","ISSN":"0950-0618","journalAbbreviation":"Construction and Building Materials","language":"en","page":"120785","source":"ScienceDirect","title":"Experimental and numerical study on mechanical behavior and resistance to natural weathering of sugarcane leave reinforced polymer composite","volume":"262","author":[{"family":"Ji Yadav","given":"Shiv Kumar"},{"family":"Vedrtnam","given":"Ajitanshu"},{"family":"Gunwant","given":"Dheeraj"}],"issued":{"date-parts":[["2020",11,30]]}}}],"schema":"https://github.com/citation-style-language/schema/raw/master/csl-citation.json"} </w:instrText>
      </w:r>
      <w:r w:rsidR="00FF548E">
        <w:rPr>
          <w:rFonts w:ascii="Arial" w:eastAsiaTheme="majorEastAsia" w:hAnsi="Arial" w:cs="Arial"/>
          <w:sz w:val="24"/>
          <w:szCs w:val="24"/>
        </w:rPr>
        <w:fldChar w:fldCharType="separate"/>
      </w:r>
      <w:r w:rsidR="00C16201" w:rsidRPr="00C16201">
        <w:rPr>
          <w:rFonts w:ascii="Arial" w:hAnsi="Arial" w:cs="Arial"/>
          <w:sz w:val="24"/>
          <w:szCs w:val="24"/>
          <w:vertAlign w:val="superscript"/>
        </w:rPr>
        <w:t>78,79</w:t>
      </w:r>
      <w:r w:rsidR="00FF548E">
        <w:rPr>
          <w:rFonts w:ascii="Arial" w:eastAsiaTheme="majorEastAsia" w:hAnsi="Arial" w:cs="Arial"/>
          <w:sz w:val="24"/>
          <w:szCs w:val="24"/>
        </w:rPr>
        <w:fldChar w:fldCharType="end"/>
      </w:r>
      <w:r w:rsidR="00C732C9">
        <w:rPr>
          <w:rFonts w:ascii="Arial" w:eastAsiaTheme="majorEastAsia" w:hAnsi="Arial" w:cs="Arial"/>
          <w:sz w:val="24"/>
          <w:szCs w:val="24"/>
        </w:rPr>
        <w:t>,</w:t>
      </w:r>
      <w:r w:rsidR="00543C7B">
        <w:rPr>
          <w:rFonts w:ascii="Arial" w:eastAsiaTheme="majorEastAsia" w:hAnsi="Arial" w:cs="Arial"/>
          <w:sz w:val="24"/>
          <w:szCs w:val="24"/>
        </w:rPr>
        <w:t xml:space="preserve"> and pigs</w:t>
      </w:r>
      <w:r w:rsidR="00FF548E">
        <w:rPr>
          <w:rFonts w:ascii="Arial" w:eastAsiaTheme="majorEastAsia" w:hAnsi="Arial" w:cs="Arial"/>
          <w:sz w:val="24"/>
          <w:szCs w:val="24"/>
        </w:rPr>
        <w:fldChar w:fldCharType="begin"/>
      </w:r>
      <w:r w:rsidR="00C16201">
        <w:rPr>
          <w:rFonts w:ascii="Arial" w:eastAsiaTheme="majorEastAsia" w:hAnsi="Arial" w:cs="Arial"/>
          <w:sz w:val="24"/>
          <w:szCs w:val="24"/>
        </w:rPr>
        <w:instrText xml:space="preserve"> ADDIN ZOTERO_ITEM CSL_CITATION {"citationID":"ibSwtQ9e","properties":{"formattedCitation":"\\super 80\\uc0\\u8211{}82\\nosupersub{}","plainCitation":"80–82","noteIndex":0},"citationItems":[{"id":781,"uris":["http://zotero.org/users/6508478/items/594FCWBR"],"itemData":{"id":781,"type":"article-journal","abstract":"Objectives\nUsing maximum diameter of an abdominal aortic aneurysm (AAA) alone for management can lead to delayed interventions or unnecessary urgent repairs. AAA stiffness plays an important role in its expansion and rupture. In vivo aortic magnetic resonance elastography (MRE) was developed to spatially measure AAA stiffness in previous pilot studies and has not been thoroughly validated and evaluated for its potential clinical value. This study aims to evaluate non-invasive in vivo aortic MRE-derived stiffness in an AAA porcine model and investigate the relationships between MRE-derived AAA stiffness and (1) histopathology, (2) uniaxial tensile test and (3) burst testing for assessing MRE’s potential in evaluating AAA rupture risk.\n\nMaterials and Methods\nAAA was induced in 31 Yorkshire pigs (n=226 stiffness measurements). Animals were randomly divided into three cohorts: 2-week (2W), 4-week (4W) and 4-week-burst (4WB). Aortic MRE was sequentially performed. Histopathologic analyses were performed to quantify elastin, collagen and mineral densities. Uniaxial tensile test and burst testing were conducted to measure peak stress and burst pressure for assessing the ultimate wall strength.\n\nResults\nMRE-derived AAA stiffness was significantly higher than the normal aorta. Significant reduction in elastin and collagen densities as well as increased mineralization were observed in AAAs. Uniaxial tensile test and burst testing revealed reduced ultimate wall strength. MRE-derived aortic stiffness correlated to elastin density (ρ=−0.68; P&lt;0.0001; n=60) and mineralization (ρ=0.59; P&lt;0.0001; n=60). Inverse correlations were observed between aortic stiffness and peak stress (ρ=−0.32; P=0.0495; n=38) as well as burst pressure (ρ=−0.55; P=0.0116; n=20).\n\nConclusions\nNon-invasive in vivo aortic MRE successfully detected aortic wall stiffening confirming the extracellular matrix (ECM) remodeling observed in the histopathologic analyses. These mural changes diminished wall strength. Inverse correlation between MRE-derived aortic stiffness and aortic wall strength suggests that MRE-derived stiffness can be a potential biomarker for clinically assessing AAA wall status and rupture potential.","container-title":"Investigative radiology","DOI":"10.1097/RLI.0000000000000660","ISSN":"0020-9996","issue":"7","journalAbbreviation":"Invest Radiol","note":"PMID: 32520516\nPMCID: PMC7295098","page":"463-472","source":"PubMed Central","title":"In Vivo Aortic Magnetic Resonance Elastography in Abdominal Aortic Aneurysm: A Validation in An Animal Model","title-short":"In Vivo Aortic Magnetic Resonance Elastography in Abdominal Aortic Aneurysm","volume":"55","author":[{"family":"Dong","given":"Huiming"},{"family":"Russell","given":"Duncan S."},{"family":"Litsky","given":"Alan S."},{"family":"Joseph","given":"Matthew E."},{"family":"Mo","given":"Xiaokui"},{"family":"White","given":"Richard D."},{"family":"Kolipaka","given":"Arunark"}],"issued":{"date-parts":[["2020",7]]}}},{"id":772,"uris":["http://zotero.org/users/6508478/items/FNKNYVUZ"],"itemData":{"id":772,"type":"article-journal","abstract":"&lt;i&gt;Background:&lt;/i&gt; Many studies have been performed in order to model abdominal aortic aneurysm (AAA) in an experimental animal, most commonly in small laboratory animals. In our study, we tried to find the best AAA model in a pig by using various mechanical and enzymatic mechanisms. &lt;i&gt;Methods:&lt;/i&gt; Twenty-two pigs were operated on. We combined 3 mechanisms of creating an AAA, using an intraluminal infusion of porcine pancreatic elastase into the abdominal aortic segment, application of plastic cuff below the renal arteries causing turbulent blood flow, and inserting a patch into the longitudinal aortotomy. &lt;i&gt;Results:&lt;/i&gt; We found different results in different groups according to the mechanisms used. In group A, with a combination of the intraluminal elastase infusion and application of a stenosing cuff, AAA developed in all 7 animals (100%). In this group, we also found the largest histological changes in the abdominal aorta samples. &lt;i&gt;Conclusion:&lt;/i&gt; The use of intraluminal pancreatic elastase infusion, together with increased turbulent flow caused by the stenosing cuff, seems to be the best model of AAA in pigs. This model is suitable for further research in the etiopathology of AAA. In fact, it is the first successful approach to a large-caliber native aneurysm model.","container-title":"Journal of Vascular Research","DOI":"10.1159/000135659","ISSN":"1018-1172, 1423-0135","issue":"1","journalAbbreviation":"JVR","language":"english","note":"publisher: Karger Publishers\nPMID: 18515969","page":"1-5","source":"www-karger-com.ezproxy.lib.ou.edu","title":"Optimization of the Model of Abdominal Aortic Aneurysm – Experiment in an Animal Model","volume":"46","author":[{"family":"Moláček","given":"Jiří"},{"family":"Třeška","given":"Vladislav"},{"family":"Kobr","given":"Jiří"},{"family":"Čertík","given":"Bohuslav"},{"family":"Skalický","given":"Tomáš"},{"family":"Kuntscher","given":"Vilém"},{"family":"Křížková","given":"Věra"}],"issued":{"date-parts":[["2009"]]}}},{"id":776,"uris":["http://zotero.org/users/6508478/items/43W69PJC"],"itemData":{"id":776,"type":"article-journal","abstract":"The purpose of this study was to develop anabdominal aortic aneurysm model that more closely resembles themorphology of human aneurysms with potential for further growth of thesac. An infrarenal abdominal aortic aneurysm (AAA) model was createdwith a double-layered peritoneal patch in 27 domestic swine. The patch,measuring in average from 6 to 12 cm in length and from 2 to 3 cm inwidth, was sutured to the edge of an aortotomy. Pre- and postsurgicaldigital subtraction aortograms (DSA) were obtained to document theappearance and dimensions of the aneurysm. All animals were followedwith DSA for up to 5 months. Laparoscopic examination enhanced by theuse of laparoscopic ultrasound was also carried out in 2 animals toassess the aneurysm at 30 and 60 days following surgery. Histologicalexamination was performed on 4 animals. All the animals that underwentthe surgical creation of the AAA survived the surgical procedure.Postsurgical DSA demonstrated the presence of the AAA in all animals,defined as more than 50% increase in diameter. The aneurysmal meandiameter increased from the baseline of 10.27 ± 1.24 to 16.69± 2.29 mm immediately after surgery, to 27.6 ± 6.59 mm at 14days, 32.45 ± 8.76 mm at 30 days (p &lt;0.01), and subsequently decreased to 25.98 ± 3.75 mm at 60days. A total of 15 animals died of aneurysmal rupture that occurredmore frequently in the long aneurysms (≥6 cm in length) than the shortaneurysms (&lt;6 cm in length) during the first 2 weeks after surgery(p &lt; 0.05). No rupture occurred beyond 16 daysafter surgery. Four animals survived and underwent 60-day angiographicfollow-up. Laparoscopic follow-up showed strong pulses, a reddishexternal appearance and undetectable suture lines on the aneurysmalwall. On pathology, the patches were well incorporated into the aorticwall, the luminal wall appeared almost completely endothelialized, andcellular and matrix proliferation were noted in the aneurysmal wall. Areproducible technique for the creation of an infrarenal AAA model wasdeveloped using a peritoneal patch in swine. The aneurysm model provedto have potential for further growth of the sac and a tendency torupture. Because of the growth potential, this might be a better modelthan those with a noncompliant aneurysmal wall for the preclinicalevaluation of stent-graft devices.","container-title":"CardioVascular and Interventional Radiology","DOI":"10.1007/s00270-002-2598-1","ISSN":"1432-086X","issue":"2","journalAbbreviation":"CVIR","language":"en","page":"168-176","source":"Springer Link","title":"An Animal Model of Abdominal Aortic Aneurysm Created withPeritoneal Patch: Technique and Initial Results","title-short":"An Animal Model of Abdominal Aortic Aneurysm Created withPeritoneal Patch","volume":"26","author":[{"family":"Maynar","given":"Manuel"},{"family":"Qian","given":"Zhong"},{"family":"Hernandez","given":"Javier"},{"family":"Sun","given":"Fei"},{"family":"DeMiguel","given":"Carmen"},{"family":"Crisostomo","given":"Veronica"},{"family":"Usón","given":"Jesus"},{"family":"Pineda","given":"Luis-Fernando"},{"family":"Espinoza","given":"Carmen G."},{"family":"Castañeda","given":"Wilfrido R."}],"issued":{"date-parts":[["2003",4,1]]}}}],"schema":"https://github.com/citation-style-language/schema/raw/master/csl-citation.json"} </w:instrText>
      </w:r>
      <w:r w:rsidR="00FF548E">
        <w:rPr>
          <w:rFonts w:ascii="Arial" w:eastAsiaTheme="majorEastAsia" w:hAnsi="Arial" w:cs="Arial"/>
          <w:sz w:val="24"/>
          <w:szCs w:val="24"/>
        </w:rPr>
        <w:fldChar w:fldCharType="separate"/>
      </w:r>
      <w:r w:rsidR="00C16201" w:rsidRPr="00C16201">
        <w:rPr>
          <w:rFonts w:ascii="Arial" w:hAnsi="Arial" w:cs="Arial"/>
          <w:sz w:val="24"/>
          <w:szCs w:val="24"/>
          <w:vertAlign w:val="superscript"/>
        </w:rPr>
        <w:t>80–82</w:t>
      </w:r>
      <w:r w:rsidR="00FF548E">
        <w:rPr>
          <w:rFonts w:ascii="Arial" w:eastAsiaTheme="majorEastAsia" w:hAnsi="Arial" w:cs="Arial"/>
          <w:sz w:val="24"/>
          <w:szCs w:val="24"/>
        </w:rPr>
        <w:fldChar w:fldCharType="end"/>
      </w:r>
      <w:r w:rsidR="00543C7B">
        <w:rPr>
          <w:rFonts w:ascii="Arial" w:eastAsiaTheme="majorEastAsia" w:hAnsi="Arial" w:cs="Arial"/>
          <w:sz w:val="24"/>
          <w:szCs w:val="24"/>
        </w:rPr>
        <w:t>.</w:t>
      </w:r>
      <w:r w:rsidR="00A5556C">
        <w:rPr>
          <w:rFonts w:ascii="Arial" w:eastAsiaTheme="majorEastAsia" w:hAnsi="Arial" w:cs="Arial"/>
          <w:sz w:val="24"/>
          <w:szCs w:val="24"/>
        </w:rPr>
        <w:t xml:space="preserve"> Regardless of the animal used, the aneurysm</w:t>
      </w:r>
      <w:r w:rsidR="003917C2">
        <w:rPr>
          <w:rFonts w:ascii="Arial" w:eastAsiaTheme="majorEastAsia" w:hAnsi="Arial" w:cs="Arial"/>
          <w:sz w:val="24"/>
          <w:szCs w:val="24"/>
        </w:rPr>
        <w:t>s</w:t>
      </w:r>
      <w:r w:rsidR="00A5556C">
        <w:rPr>
          <w:rFonts w:ascii="Arial" w:eastAsiaTheme="majorEastAsia" w:hAnsi="Arial" w:cs="Arial"/>
          <w:sz w:val="24"/>
          <w:szCs w:val="24"/>
        </w:rPr>
        <w:t xml:space="preserve"> w</w:t>
      </w:r>
      <w:r w:rsidR="003917C2">
        <w:rPr>
          <w:rFonts w:ascii="Arial" w:eastAsiaTheme="majorEastAsia" w:hAnsi="Arial" w:cs="Arial"/>
          <w:sz w:val="24"/>
          <w:szCs w:val="24"/>
        </w:rPr>
        <w:t>ere</w:t>
      </w:r>
      <w:r w:rsidR="00A5556C">
        <w:rPr>
          <w:rFonts w:ascii="Arial" w:eastAsiaTheme="majorEastAsia" w:hAnsi="Arial" w:cs="Arial"/>
          <w:sz w:val="24"/>
          <w:szCs w:val="24"/>
        </w:rPr>
        <w:t xml:space="preserve"> </w:t>
      </w:r>
      <w:r w:rsidR="00335F71">
        <w:rPr>
          <w:rFonts w:ascii="Arial" w:eastAsiaTheme="majorEastAsia" w:hAnsi="Arial" w:cs="Arial"/>
          <w:sz w:val="24"/>
          <w:szCs w:val="24"/>
        </w:rPr>
        <w:t>induced by infusion with elastase which concentration and origin varied depending on the model</w:t>
      </w:r>
      <w:r w:rsidR="00335F71">
        <w:rPr>
          <w:rFonts w:ascii="Arial" w:eastAsiaTheme="majorEastAsia" w:hAnsi="Arial" w:cs="Arial"/>
          <w:sz w:val="24"/>
          <w:szCs w:val="24"/>
        </w:rPr>
        <w:fldChar w:fldCharType="begin"/>
      </w:r>
      <w:r w:rsidR="00C16201">
        <w:rPr>
          <w:rFonts w:ascii="Arial" w:eastAsiaTheme="majorEastAsia" w:hAnsi="Arial" w:cs="Arial"/>
          <w:sz w:val="24"/>
          <w:szCs w:val="24"/>
        </w:rPr>
        <w:instrText xml:space="preserve"> ADDIN ZOTERO_ITEM CSL_CITATION {"citationID":"sRNRtwNq","properties":{"formattedCitation":"\\super 76,78,79\\nosupersub{}","plainCitation":"76,78,79","noteIndex":0},"citationItems":[{"id":788,"uris":["http://zotero.org/users/6508478/items/Y9NEDLSQ"],"itemData":{"id":788,"type":"article-journal","abstract":"Object The use of liquid embolic agents for endovascular treatment of cerebral aneurysms is evolving. The authors' aim was to evaluate the use of Onyx HD-500 in an experimental aneurysm model and to obtain histological and angiographic long-term results. Methods Ten aneurysms were created using an elastase model in rabbits. The aneurysms were embolized using Onyx in combination with an inflated balloon. One animal died 1 day after embolization. The animals were divided into 2 different groups. The animals in the first group (4 rabbits) were killed at 3 months and those in the second group (5 rabbits) were killed at 6 months after embolization. A venous control angiogram was obtained, and the aneurysms were examined histologically. Results In both groups control angiograms demonstrated that all aneurysms were completely occluded. There were no signs of recanalization. Migration of Onyx was seen in 4 animals, leading to the death of 1. Histological examination not only proved the aneurysms to be occluded but also demonstrated a thin layer of endothelium at the neck of the aneurysm. The histological result was identical in both groups. Conclusions This is the first study reporting the formation of a neointima over the neck of aneurysms embolized with Onyx in a rabbit model. Although the technique is challenging and migration of the liquid embolic agent cannot always be prevented, Onyx has a great potential to achieve a durable occlusion of aneurysms.","container-title":"Journal of Neurosurgery","DOI":"10.3171/JNS/2008/109/7/0077","ISSN":"1933-0693, 0022-3085","issue":"1","language":"en_US","note":"publisher: American Association of Neurological Surgeons\nsection: Journal of Neurosurgery","page":"77-82","source":"thejns-org.ezproxy.lib.ou.edu","title":"Onyx in an experimental aneurysm model: histological and angiographic results: Laboratory investigation","title-short":"Onyx in an experimental aneurysm model","volume":"109","author":[{"family":"Struffert","given":"Tobias"},{"family":"Roth","given":"Christian"},{"family":"Romeike","given":"Bernd"},{"family":"Grunwald","given":"Iris O."},{"family":"Reith","given":"Wolfgang"}],"issued":{"date-parts":[["2008",7,1]]}}},{"id":778,"uris":["http://zotero.org/users/6508478/items/YE32D9LR"],"itemData":{"id":778,"type":"article-journal","abstract":"To explore if there is phenotypic switching in the vascular smooth muscle cells (vSMCs) of rat thoracic aortic aneurysms and the role it plays in the process of aneurysm formation.Male SD white rats were assigned randomly to the aneurysm group (AG) and control group (CG). The animal aneurysm model was obtained by soaking the peri-adventitia with porcine pancreatic elastase (PPE). The rats in the CG were given saline to provide contrast. A vascular ultrasound was used to monitor the diameter of the aneurysm. Specimens were stained with haematoxylin and eosin (HE), and α-SMA, SM-MHC, matrix metalloproteinase (MMP)-2 and MMP-9 were detected with immunohistochemistry staining. α-SMA, SM-MHC, MMP-2 and MMP-9 were conducted with western blot. vSMCs taken from the descending aorta of both of the CG and AG were separated and cultured until Passage 3. 3-(4,5-Dimethylthiazol-2-yl)-2,5-diphenyltetrazolium bromide (MTT) method were used to analyse cell proliferation. Western blot was used to evaluate MMP-2, MMP-9 expression and flow cytometry was employed to assess cell apoptosis.Vascular ultrasound showed obvious dilatation of soaked descending aorta. HE staining showed thickening of thoracic aorta and disarrangement of cells after soaking with PPE. Immunohistochemistry staining showed high expression of MMP-2 and MMP-9 but low expression of SM-MHC and α-SMA in the AG. Tissue western blot analysis of the AG showed that the protein gray value was high in MMP-2 and MMP-9, but low in α-SMA and SM-MHC, which had statistical differences compared with CG with a P-value of &amp;lt;0.05. MTT analysis showed vSMC proliferation activity was higher in the AG than in the CG. Flow cytometry analysis revealed that cell apoptosis between the control and aneurysm groups had significant statistical differences.There is vSMC phenotypic switching in animal models as seen through the rat thoracic aortic aneurysms. This may play an important role in the formation of aneurysms. Our findings are relevant to human aneurysms and may be conducive in the research of aortic aneurysm pathology and treatment.","container-title":"Interactive CardioVascular and Thoracic Surgery","DOI":"10.1093/icvts/ivv074","ISSN":"1569-9293","issue":"1","journalAbbreviation":"Interactive CardioVascular and Thoracic Surgery","page":"62-70","source":"Silverchair","title":"Phenotypic switching of vascular smooth muscle cells in animal model of rat thoracic aortic aneurysm","volume":"21","author":[{"family":"Mao","given":"Naihui"},{"family":"Gu","given":"Tianxiang"},{"family":"Shi","given":"Enyi"},{"family":"Zhang","given":"Guangwei"},{"family":"Yu","given":"Lei"},{"family":"Wang","given":"Chun"}],"issued":{"date-parts":[["2015",7,1]]}}},{"id":161,"uris":["http://zotero.org/users/6508478/items/IVB923EI"],"itemData":{"id":161,"type":"article-journal","abstract":"The waste sugarcane dry leaves were utilized as the reinforcement with the epoxy matrix to prepare the sugarcane dry leaves reinforced polymer composites (SDLRPCs). The tensile, compressive, impact and flexural tests were conducted following respective ASTM standards. The proportion of SDL in SDLRPCs for the most effective fiber–matrix interaction was determined. The statistical analysis has confirmed that the error in experimental results was within the specified limits. The resistance to natural weathering of SDLRPCs were evaluated following ASTM D5338-11. The effect of weathering on tensile strength was also investigated. The scanning electron microscopy (SEM) micrographs revealed reasons for fracture of SDLRPC samples during mechanical testing. It was noticed that the biodegradability corresponds with resistance to natural weathering; more biodegradable wood plastic composites were having the lesser resistance to natural weathering. The micromechanical finite element (FE) model coupled with the numerical homogenization technique (NHT) was constituted to predict the elastic properties of SDLRPCs. The micro-scale stress analysis revealed that the von Mises stress for SDLRPC was up to 267% higher than the pure epoxy. The transient/static micro-mechanical models were constituted to predict the tensile, compressive, impact, and flexural behavior of SDLRPCs. The developed models were found in-line with the experimental data.","container-title":"Construction and Building Materials","DOI":"10.1016/j.conbuildmat.2020.120785","ISSN":"0950-0618","journalAbbreviation":"Construction and Building Materials","language":"en","page":"120785","source":"ScienceDirect","title":"Experimental and numerical study on mechanical behavior and resistance to natural weathering of sugarcane leave reinforced polymer composite","volume":"262","author":[{"family":"Ji Yadav","given":"Shiv Kumar"},{"family":"Vedrtnam","given":"Ajitanshu"},{"family":"Gunwant","given":"Dheeraj"}],"issued":{"date-parts":[["2020",11,30]]}}}],"schema":"https://github.com/citation-style-language/schema/raw/master/csl-citation.json"} </w:instrText>
      </w:r>
      <w:r w:rsidR="00335F71">
        <w:rPr>
          <w:rFonts w:ascii="Arial" w:eastAsiaTheme="majorEastAsia" w:hAnsi="Arial" w:cs="Arial"/>
          <w:sz w:val="24"/>
          <w:szCs w:val="24"/>
        </w:rPr>
        <w:fldChar w:fldCharType="separate"/>
      </w:r>
      <w:r w:rsidR="00C16201" w:rsidRPr="00C16201">
        <w:rPr>
          <w:rFonts w:ascii="Arial" w:hAnsi="Arial" w:cs="Arial"/>
          <w:sz w:val="24"/>
          <w:szCs w:val="24"/>
          <w:vertAlign w:val="superscript"/>
        </w:rPr>
        <w:t>76,78,79</w:t>
      </w:r>
      <w:r w:rsidR="00335F71">
        <w:rPr>
          <w:rFonts w:ascii="Arial" w:eastAsiaTheme="majorEastAsia" w:hAnsi="Arial" w:cs="Arial"/>
          <w:sz w:val="24"/>
          <w:szCs w:val="24"/>
        </w:rPr>
        <w:fldChar w:fldCharType="end"/>
      </w:r>
      <w:r w:rsidR="00335F71">
        <w:rPr>
          <w:rFonts w:ascii="Arial" w:eastAsiaTheme="majorEastAsia" w:hAnsi="Arial" w:cs="Arial"/>
          <w:sz w:val="24"/>
          <w:szCs w:val="24"/>
        </w:rPr>
        <w:t>, or mechanically induced</w:t>
      </w:r>
      <w:r w:rsidR="00BC737A">
        <w:rPr>
          <w:rFonts w:ascii="Arial" w:eastAsiaTheme="majorEastAsia" w:hAnsi="Arial" w:cs="Arial"/>
          <w:sz w:val="24"/>
          <w:szCs w:val="24"/>
        </w:rPr>
        <w:t xml:space="preserve"> by cutting an artery and inserting</w:t>
      </w:r>
      <w:r w:rsidR="00072C5E">
        <w:rPr>
          <w:rFonts w:ascii="Arial" w:eastAsiaTheme="majorEastAsia" w:hAnsi="Arial" w:cs="Arial"/>
          <w:sz w:val="24"/>
          <w:szCs w:val="24"/>
        </w:rPr>
        <w:t xml:space="preserve"> a clamp or</w:t>
      </w:r>
      <w:r w:rsidR="00BC737A">
        <w:rPr>
          <w:rFonts w:ascii="Arial" w:eastAsiaTheme="majorEastAsia" w:hAnsi="Arial" w:cs="Arial"/>
          <w:sz w:val="24"/>
          <w:szCs w:val="24"/>
        </w:rPr>
        <w:t xml:space="preserve"> a patch of another organ to form the aneurysm sac</w:t>
      </w:r>
      <w:r w:rsidR="00BC737A">
        <w:rPr>
          <w:rFonts w:ascii="Arial" w:eastAsiaTheme="majorEastAsia" w:hAnsi="Arial" w:cs="Arial"/>
          <w:sz w:val="24"/>
          <w:szCs w:val="24"/>
        </w:rPr>
        <w:fldChar w:fldCharType="begin"/>
      </w:r>
      <w:r w:rsidR="00C16201">
        <w:rPr>
          <w:rFonts w:ascii="Arial" w:eastAsiaTheme="majorEastAsia" w:hAnsi="Arial" w:cs="Arial"/>
          <w:sz w:val="24"/>
          <w:szCs w:val="24"/>
        </w:rPr>
        <w:instrText xml:space="preserve"> ADDIN ZOTERO_ITEM CSL_CITATION {"citationID":"u3GcVtN9","properties":{"formattedCitation":"\\super 77,82\\nosupersub{}","plainCitation":"77,82","noteIndex":0},"citationItems":[{"id":786,"uris":["http://zotero.org/users/6508478/items/37HWVQ7I"],"itemData":{"id":786,"type":"article-journal","abstract":"BACKGROUND AND PURPOSE: Liquid embolic agents may have potential as a therapeutic option to reconstruct a defective vessel wall. We evaluated the feasibility of transarterial glue embolization in surgically constructed carotid artery aneurysms., METHODS: Reconstruction of arterial wall defects with use of glue casts was performed in 16 surgically constructed aneurysms of carotid arteries in rabbits. Via the transfemoral route, glue was injected without balloon protection through a microcatheter into the aneurysmal sac with (n = 8) and without (n = 8) a framework of coils. To identify safe and effective methods, four concentrations (28%, 33%, 40%, 50%) of glue-iodized oil mixtures were used in four aneurysms each. Immediate (n = 16) and 2-month follow-up (n = 10) postembolization angiograms were obtained to evaluate the residual aneurysmal sac and the carotid artery patency., RESULTS: Continuous column injection of glue was possible in all aneurysms, without fragmented migration of the injected glue cast. Catheter sticking or breakage did not occur during catheter retrieval. Glue embolization without a framework of coils (n = 8) resulted in complete obliteration of the aneurysmal sac in five aneurysms and incomplete obliteration with a small residual lumen in three. Two aneurysms resulted in carotid occlusion after catheter removal. A follow-up angiogram (n = 4) showed decreased residual lumen in two aneurysms, no change in the complete aneurysm occlusion in one, and carotid occlusion in one. Glue embolization with a coil framework (n = 8) resulted in complete obliteration of the aneurysmal sac in six aneurysms and incomplete obliteration with a small residual lumen in two. A small amount of spillage occurred in one owing to the improper position of the microcatheter caused by a difficult neck angle to the parent artery. Follow-up angiograms (n = 6) showed decreased residual lumen in one of two aneurysms and no change of the complete occlusion in five of six aneurysms., CONCLUSION: Effective glue embolization into the aneurysmal sac is technically feasible. Microcatheter position within the aneurysm, concentration of glue, and direction of the aneurysmal neck angle all must be considered. With a coil framework, glue injection was more complete, without deformity or spillage of the glue from the aneurysm.","container-title":"AJNR: American Journal of Neuroradiology","ISSN":"0195-6108","issue":"8","journalAbbreviation":"AJNR Am J Neuroradiol","note":"PMID: 13679265\nPMCID: PMC7973981","page":"1532-1539","source":"PubMed Central","title":"Technical Feasibility of Embolizing Aneurysms with Glue (n-butyl 2-cyanoacrylate): Experimental Study in Rabbits","title-short":"Technical Feasibility of Embolizing Aneurysms with Glue (n-butyl 2-cyanoacrylate)","volume":"24","author":[{"family":"Suh","given":"Dae Chul"},{"family":"Kim","given":"Kil Soo"},{"family":"Lim","given":"Soo Mee"},{"family":"Shi","given":"Hai Bin"},{"family":"Choi","given":"Choong Gon"},{"family":"Lee","given":"Ho Kyu"},{"family":"Seo","given":"Dong Man"}],"issued":{"date-parts":[["2003",9]]}}},{"id":776,"uris":["http://zotero.org/users/6508478/items/43W69PJC"],"itemData":{"id":776,"type":"article-journal","abstract":"The purpose of this study was to develop anabdominal aortic aneurysm model that more closely resembles themorphology of human aneurysms with potential for further growth of thesac. An infrarenal abdominal aortic aneurysm (AAA) model was createdwith a double-layered peritoneal patch in 27 domestic swine. The patch,measuring in average from 6 to 12 cm in length and from 2 to 3 cm inwidth, was sutured to the edge of an aortotomy. Pre- and postsurgicaldigital subtraction aortograms (DSA) were obtained to document theappearance and dimensions of the aneurysm. All animals were followedwith DSA for up to 5 months. Laparoscopic examination enhanced by theuse of laparoscopic ultrasound was also carried out in 2 animals toassess the aneurysm at 30 and 60 days following surgery. Histologicalexamination was performed on 4 animals. All the animals that underwentthe surgical creation of the AAA survived the surgical procedure.Postsurgical DSA demonstrated the presence of the AAA in all animals,defined as more than 50% increase in diameter. The aneurysmal meandiameter increased from the baseline of 10.27 ± 1.24 to 16.69± 2.29 mm immediately after surgery, to 27.6 ± 6.59 mm at 14days, 32.45 ± 8.76 mm at 30 days (p &lt;0.01), and subsequently decreased to 25.98 ± 3.75 mm at 60days. A total of 15 animals died of aneurysmal rupture that occurredmore frequently in the long aneurysms (≥6 cm in length) than the shortaneurysms (&lt;6 cm in length) during the first 2 weeks after surgery(p &lt; 0.05). No rupture occurred beyond 16 daysafter surgery. Four animals survived and underwent 60-day angiographicfollow-up. Laparoscopic follow-up showed strong pulses, a reddishexternal appearance and undetectable suture lines on the aneurysmalwall. On pathology, the patches were well incorporated into the aorticwall, the luminal wall appeared almost completely endothelialized, andcellular and matrix proliferation were noted in the aneurysmal wall. Areproducible technique for the creation of an infrarenal AAA model wasdeveloped using a peritoneal patch in swine. The aneurysm model provedto have potential for further growth of the sac and a tendency torupture. Because of the growth potential, this might be a better modelthan those with a noncompliant aneurysmal wall for the preclinicalevaluation of stent-graft devices.","container-title":"CardioVascular and Interventional Radiology","DOI":"10.1007/s00270-002-2598-1","ISSN":"1432-086X","issue":"2","journalAbbreviation":"CVIR","language":"en","page":"168-176","source":"Springer Link","title":"An Animal Model of Abdominal Aortic Aneurysm Created withPeritoneal Patch: Technique and Initial Results","title-short":"An Animal Model of Abdominal Aortic Aneurysm Created withPeritoneal Patch","volume":"26","author":[{"family":"Maynar","given":"Manuel"},{"family":"Qian","given":"Zhong"},{"family":"Hernandez","given":"Javier"},{"family":"Sun","given":"Fei"},{"family":"DeMiguel","given":"Carmen"},{"family":"Crisostomo","given":"Veronica"},{"family":"Usón","given":"Jesus"},{"family":"Pineda","given":"Luis-Fernando"},{"family":"Espinoza","given":"Carmen G."},{"family":"Castañeda","given":"Wilfrido R."}],"issued":{"date-parts":[["2003",4,1]]}}}],"schema":"https://github.com/citation-style-language/schema/raw/master/csl-citation.json"} </w:instrText>
      </w:r>
      <w:r w:rsidR="00BC737A">
        <w:rPr>
          <w:rFonts w:ascii="Arial" w:eastAsiaTheme="majorEastAsia" w:hAnsi="Arial" w:cs="Arial"/>
          <w:sz w:val="24"/>
          <w:szCs w:val="24"/>
        </w:rPr>
        <w:fldChar w:fldCharType="separate"/>
      </w:r>
      <w:r w:rsidR="00C16201" w:rsidRPr="00C16201">
        <w:rPr>
          <w:rFonts w:ascii="Arial" w:hAnsi="Arial" w:cs="Arial"/>
          <w:sz w:val="24"/>
          <w:szCs w:val="24"/>
          <w:vertAlign w:val="superscript"/>
        </w:rPr>
        <w:t>77,82</w:t>
      </w:r>
      <w:r w:rsidR="00BC737A">
        <w:rPr>
          <w:rFonts w:ascii="Arial" w:eastAsiaTheme="majorEastAsia" w:hAnsi="Arial" w:cs="Arial"/>
          <w:sz w:val="24"/>
          <w:szCs w:val="24"/>
        </w:rPr>
        <w:fldChar w:fldCharType="end"/>
      </w:r>
      <w:r w:rsidR="00A5556C">
        <w:rPr>
          <w:rFonts w:ascii="Arial" w:eastAsiaTheme="majorEastAsia" w:hAnsi="Arial" w:cs="Arial"/>
          <w:sz w:val="24"/>
          <w:szCs w:val="24"/>
        </w:rPr>
        <w:t xml:space="preserve"> </w:t>
      </w:r>
      <w:r w:rsidR="00BC737A">
        <w:rPr>
          <w:rFonts w:ascii="Arial" w:eastAsiaTheme="majorEastAsia" w:hAnsi="Arial" w:cs="Arial"/>
          <w:sz w:val="24"/>
          <w:szCs w:val="24"/>
        </w:rPr>
        <w:t>, or by combining both techniques</w:t>
      </w:r>
      <w:r w:rsidR="00BC737A">
        <w:rPr>
          <w:rFonts w:ascii="Arial" w:eastAsiaTheme="majorEastAsia" w:hAnsi="Arial" w:cs="Arial"/>
          <w:sz w:val="24"/>
          <w:szCs w:val="24"/>
        </w:rPr>
        <w:fldChar w:fldCharType="begin"/>
      </w:r>
      <w:r w:rsidR="00C16201">
        <w:rPr>
          <w:rFonts w:ascii="Arial" w:eastAsiaTheme="majorEastAsia" w:hAnsi="Arial" w:cs="Arial"/>
          <w:sz w:val="24"/>
          <w:szCs w:val="24"/>
        </w:rPr>
        <w:instrText xml:space="preserve"> ADDIN ZOTERO_ITEM CSL_CITATION {"citationID":"SGoTaQdx","properties":{"formattedCitation":"\\super 80,81\\nosupersub{}","plainCitation":"80,81","noteIndex":0},"citationItems":[{"id":781,"uris":["http://zotero.org/users/6508478/items/594FCWBR"],"itemData":{"id":781,"type":"article-journal","abstract":"Objectives\nUsing maximum diameter of an abdominal aortic aneurysm (AAA) alone for management can lead to delayed interventions or unnecessary urgent repairs. AAA stiffness plays an important role in its expansion and rupture. In vivo aortic magnetic resonance elastography (MRE) was developed to spatially measure AAA stiffness in previous pilot studies and has not been thoroughly validated and evaluated for its potential clinical value. This study aims to evaluate non-invasive in vivo aortic MRE-derived stiffness in an AAA porcine model and investigate the relationships between MRE-derived AAA stiffness and (1) histopathology, (2) uniaxial tensile test and (3) burst testing for assessing MRE’s potential in evaluating AAA rupture risk.\n\nMaterials and Methods\nAAA was induced in 31 Yorkshire pigs (n=226 stiffness measurements). Animals were randomly divided into three cohorts: 2-week (2W), 4-week (4W) and 4-week-burst (4WB). Aortic MRE was sequentially performed. Histopathologic analyses were performed to quantify elastin, collagen and mineral densities. Uniaxial tensile test and burst testing were conducted to measure peak stress and burst pressure for assessing the ultimate wall strength.\n\nResults\nMRE-derived AAA stiffness was significantly higher than the normal aorta. Significant reduction in elastin and collagen densities as well as increased mineralization were observed in AAAs. Uniaxial tensile test and burst testing revealed reduced ultimate wall strength. MRE-derived aortic stiffness correlated to elastin density (ρ=−0.68; P&lt;0.0001; n=60) and mineralization (ρ=0.59; P&lt;0.0001; n=60). Inverse correlations were observed between aortic stiffness and peak stress (ρ=−0.32; P=0.0495; n=38) as well as burst pressure (ρ=−0.55; P=0.0116; n=20).\n\nConclusions\nNon-invasive in vivo aortic MRE successfully detected aortic wall stiffening confirming the extracellular matrix (ECM) remodeling observed in the histopathologic analyses. These mural changes diminished wall strength. Inverse correlation between MRE-derived aortic stiffness and aortic wall strength suggests that MRE-derived stiffness can be a potential biomarker for clinically assessing AAA wall status and rupture potential.","container-title":"Investigative radiology","DOI":"10.1097/RLI.0000000000000660","ISSN":"0020-9996","issue":"7","journalAbbreviation":"Invest Radiol","note":"PMID: 32520516\nPMCID: PMC7295098","page":"463-472","source":"PubMed Central","title":"In Vivo Aortic Magnetic Resonance Elastography in Abdominal Aortic Aneurysm: A Validation in An Animal Model","title-short":"In Vivo Aortic Magnetic Resonance Elastography in Abdominal Aortic Aneurysm","volume":"55","author":[{"family":"Dong","given":"Huiming"},{"family":"Russell","given":"Duncan S."},{"family":"Litsky","given":"Alan S."},{"family":"Joseph","given":"Matthew E."},{"family":"Mo","given":"Xiaokui"},{"family":"White","given":"Richard D."},{"family":"Kolipaka","given":"Arunark"}],"issued":{"date-parts":[["2020",7]]}}},{"id":772,"uris":["http://zotero.org/users/6508478/items/FNKNYVUZ"],"itemData":{"id":772,"type":"article-journal","abstract":"&lt;i&gt;Background:&lt;/i&gt; Many studies have been performed in order to model abdominal aortic aneurysm (AAA) in an experimental animal, most commonly in small laboratory animals. In our study, we tried to find the best AAA model in a pig by using various mechanical and enzymatic mechanisms. &lt;i&gt;Methods:&lt;/i&gt; Twenty-two pigs were operated on. We combined 3 mechanisms of creating an AAA, using an intraluminal infusion of porcine pancreatic elastase into the abdominal aortic segment, application of plastic cuff below the renal arteries causing turbulent blood flow, and inserting a patch into the longitudinal aortotomy. &lt;i&gt;Results:&lt;/i&gt; We found different results in different groups according to the mechanisms used. In group A, with a combination of the intraluminal elastase infusion and application of a stenosing cuff, AAA developed in all 7 animals (100%). In this group, we also found the largest histological changes in the abdominal aorta samples. &lt;i&gt;Conclusion:&lt;/i&gt; The use of intraluminal pancreatic elastase infusion, together with increased turbulent flow caused by the stenosing cuff, seems to be the best model of AAA in pigs. This model is suitable for further research in the etiopathology of AAA. In fact, it is the first successful approach to a large-caliber native aneurysm model.","container-title":"Journal of Vascular Research","DOI":"10.1159/000135659","ISSN":"1018-1172, 1423-0135","issue":"1","journalAbbreviation":"JVR","language":"english","note":"publisher: Karger Publishers\nPMID: 18515969","page":"1-5","source":"www-karger-com.ezproxy.lib.ou.edu","title":"Optimization of the Model of Abdominal Aortic Aneurysm – Experiment in an Animal Model","volume":"46","author":[{"family":"Moláček","given":"Jiří"},{"family":"Třeška","given":"Vladislav"},{"family":"Kobr","given":"Jiří"},{"family":"Čertík","given":"Bohuslav"},{"family":"Skalický","given":"Tomáš"},{"family":"Kuntscher","given":"Vilém"},{"family":"Křížková","given":"Věra"}],"issued":{"date-parts":[["2009"]]}}}],"schema":"https://github.com/citation-style-language/schema/raw/master/csl-citation.json"} </w:instrText>
      </w:r>
      <w:r w:rsidR="00BC737A">
        <w:rPr>
          <w:rFonts w:ascii="Arial" w:eastAsiaTheme="majorEastAsia" w:hAnsi="Arial" w:cs="Arial"/>
          <w:sz w:val="24"/>
          <w:szCs w:val="24"/>
        </w:rPr>
        <w:fldChar w:fldCharType="separate"/>
      </w:r>
      <w:r w:rsidR="00C16201" w:rsidRPr="00C16201">
        <w:rPr>
          <w:rFonts w:ascii="Arial" w:hAnsi="Arial" w:cs="Arial"/>
          <w:sz w:val="24"/>
          <w:szCs w:val="24"/>
          <w:vertAlign w:val="superscript"/>
        </w:rPr>
        <w:t>80,81</w:t>
      </w:r>
      <w:r w:rsidR="00BC737A">
        <w:rPr>
          <w:rFonts w:ascii="Arial" w:eastAsiaTheme="majorEastAsia" w:hAnsi="Arial" w:cs="Arial"/>
          <w:sz w:val="24"/>
          <w:szCs w:val="24"/>
        </w:rPr>
        <w:fldChar w:fldCharType="end"/>
      </w:r>
      <w:r w:rsidR="00BC737A">
        <w:rPr>
          <w:rFonts w:ascii="Arial" w:eastAsiaTheme="majorEastAsia" w:hAnsi="Arial" w:cs="Arial"/>
          <w:sz w:val="24"/>
          <w:szCs w:val="24"/>
        </w:rPr>
        <w:t>.</w:t>
      </w:r>
      <w:r w:rsidR="00543C7B">
        <w:rPr>
          <w:rFonts w:ascii="Arial" w:eastAsiaTheme="majorEastAsia" w:hAnsi="Arial" w:cs="Arial"/>
          <w:sz w:val="24"/>
          <w:szCs w:val="24"/>
        </w:rPr>
        <w:t xml:space="preserve"> In</w:t>
      </w:r>
      <w:r w:rsidR="007F50A4">
        <w:rPr>
          <w:rFonts w:ascii="Arial" w:eastAsiaTheme="majorEastAsia" w:hAnsi="Arial" w:cs="Arial"/>
          <w:sz w:val="24"/>
          <w:szCs w:val="24"/>
        </w:rPr>
        <w:t xml:space="preserve"> such model</w:t>
      </w:r>
      <w:r w:rsidR="00966EF8">
        <w:rPr>
          <w:rFonts w:ascii="Arial" w:eastAsiaTheme="majorEastAsia" w:hAnsi="Arial" w:cs="Arial"/>
          <w:sz w:val="24"/>
          <w:szCs w:val="24"/>
        </w:rPr>
        <w:t>s</w:t>
      </w:r>
      <w:r w:rsidR="007F50A4">
        <w:rPr>
          <w:rFonts w:ascii="Arial" w:eastAsiaTheme="majorEastAsia" w:hAnsi="Arial" w:cs="Arial"/>
          <w:sz w:val="24"/>
          <w:szCs w:val="24"/>
        </w:rPr>
        <w:t xml:space="preserve">, delivery of PHA and crosslinking could be tested. Then, </w:t>
      </w:r>
      <w:r w:rsidR="00B0237A">
        <w:rPr>
          <w:rFonts w:ascii="Arial" w:eastAsiaTheme="majorEastAsia" w:hAnsi="Arial" w:cs="Arial"/>
          <w:sz w:val="24"/>
          <w:szCs w:val="24"/>
        </w:rPr>
        <w:t xml:space="preserve">cytotoxicity and cell regeneration could be </w:t>
      </w:r>
      <w:r w:rsidR="00C0138E">
        <w:rPr>
          <w:rFonts w:ascii="Arial" w:eastAsiaTheme="majorEastAsia" w:hAnsi="Arial" w:cs="Arial"/>
          <w:sz w:val="24"/>
          <w:szCs w:val="24"/>
        </w:rPr>
        <w:t>evaluated,</w:t>
      </w:r>
      <w:r w:rsidR="00B0237A">
        <w:rPr>
          <w:rFonts w:ascii="Arial" w:eastAsiaTheme="majorEastAsia" w:hAnsi="Arial" w:cs="Arial"/>
          <w:sz w:val="24"/>
          <w:szCs w:val="24"/>
        </w:rPr>
        <w:t xml:space="preserve"> and </w:t>
      </w:r>
      <w:r w:rsidR="00E46F52">
        <w:rPr>
          <w:rFonts w:ascii="Arial" w:eastAsiaTheme="majorEastAsia" w:hAnsi="Arial" w:cs="Arial"/>
          <w:sz w:val="24"/>
          <w:szCs w:val="24"/>
        </w:rPr>
        <w:t xml:space="preserve">PHA and aneurysm </w:t>
      </w:r>
      <w:r w:rsidR="00B0237A">
        <w:rPr>
          <w:rFonts w:ascii="Arial" w:eastAsiaTheme="majorEastAsia" w:hAnsi="Arial" w:cs="Arial"/>
          <w:sz w:val="24"/>
          <w:szCs w:val="24"/>
        </w:rPr>
        <w:t>degradation</w:t>
      </w:r>
      <w:r w:rsidR="00E46F52">
        <w:rPr>
          <w:rFonts w:ascii="Arial" w:eastAsiaTheme="majorEastAsia" w:hAnsi="Arial" w:cs="Arial"/>
          <w:sz w:val="24"/>
          <w:szCs w:val="24"/>
        </w:rPr>
        <w:t>s</w:t>
      </w:r>
      <w:r w:rsidR="00B0237A">
        <w:rPr>
          <w:rFonts w:ascii="Arial" w:eastAsiaTheme="majorEastAsia" w:hAnsi="Arial" w:cs="Arial"/>
          <w:sz w:val="24"/>
          <w:szCs w:val="24"/>
        </w:rPr>
        <w:t xml:space="preserve"> could be monitored.</w:t>
      </w:r>
    </w:p>
    <w:p w14:paraId="127128BD" w14:textId="77777777" w:rsidR="009F085D" w:rsidRDefault="009F085D">
      <w:pPr>
        <w:rPr>
          <w:rFonts w:ascii="Arial" w:eastAsiaTheme="majorEastAsia" w:hAnsi="Arial" w:cs="Arial"/>
          <w:b/>
          <w:bCs/>
          <w:sz w:val="32"/>
          <w:szCs w:val="32"/>
        </w:rPr>
      </w:pPr>
      <w:r>
        <w:rPr>
          <w:rFonts w:ascii="Arial" w:hAnsi="Arial" w:cs="Arial"/>
          <w:b/>
          <w:bCs/>
        </w:rPr>
        <w:br w:type="page"/>
      </w:r>
    </w:p>
    <w:p w14:paraId="402EB93E" w14:textId="1B0C0F8F" w:rsidR="007D0C56" w:rsidRPr="00EB056A" w:rsidRDefault="00F02C2A" w:rsidP="00212930">
      <w:pPr>
        <w:pStyle w:val="Titre1"/>
        <w:spacing w:line="276" w:lineRule="auto"/>
        <w:jc w:val="both"/>
        <w:rPr>
          <w:rFonts w:ascii="Arial" w:hAnsi="Arial" w:cs="Arial"/>
          <w:b/>
          <w:bCs/>
          <w:color w:val="auto"/>
        </w:rPr>
      </w:pPr>
      <w:bookmarkStart w:id="109" w:name="_Toc106903244"/>
      <w:r w:rsidRPr="00EB056A">
        <w:rPr>
          <w:rFonts w:ascii="Arial" w:hAnsi="Arial" w:cs="Arial"/>
          <w:b/>
          <w:bCs/>
          <w:color w:val="auto"/>
        </w:rPr>
        <w:lastRenderedPageBreak/>
        <w:t>References</w:t>
      </w:r>
      <w:bookmarkEnd w:id="109"/>
    </w:p>
    <w:p w14:paraId="08BB9260" w14:textId="77777777" w:rsidR="00C16201" w:rsidRPr="00525779" w:rsidRDefault="00F02C2A" w:rsidP="00C16201">
      <w:pPr>
        <w:pStyle w:val="Bibliographie"/>
        <w:rPr>
          <w:rFonts w:ascii="Arial" w:hAnsi="Arial" w:cs="Arial"/>
          <w:sz w:val="24"/>
          <w:szCs w:val="24"/>
        </w:rPr>
      </w:pPr>
      <w:r w:rsidRPr="00525779">
        <w:rPr>
          <w:rFonts w:ascii="Arial" w:hAnsi="Arial" w:cs="Arial"/>
          <w:sz w:val="24"/>
          <w:szCs w:val="24"/>
        </w:rPr>
        <w:fldChar w:fldCharType="begin"/>
      </w:r>
      <w:r w:rsidR="001A1650" w:rsidRPr="00525779">
        <w:rPr>
          <w:rFonts w:ascii="Arial" w:hAnsi="Arial" w:cs="Arial"/>
          <w:sz w:val="24"/>
          <w:szCs w:val="24"/>
        </w:rPr>
        <w:instrText xml:space="preserve"> ADDIN ZOTERO_BIBL {"uncited":[],"omitted":[],"custom":[]} CSL_BIBLIOGRAPHY </w:instrText>
      </w:r>
      <w:r w:rsidRPr="00525779">
        <w:rPr>
          <w:rFonts w:ascii="Arial" w:hAnsi="Arial" w:cs="Arial"/>
          <w:sz w:val="24"/>
          <w:szCs w:val="24"/>
        </w:rPr>
        <w:fldChar w:fldCharType="separate"/>
      </w:r>
      <w:r w:rsidR="00C16201" w:rsidRPr="00525779">
        <w:rPr>
          <w:rFonts w:ascii="Arial" w:hAnsi="Arial" w:cs="Arial"/>
          <w:sz w:val="24"/>
          <w:szCs w:val="24"/>
        </w:rPr>
        <w:t>(1)</w:t>
      </w:r>
      <w:r w:rsidR="00C16201" w:rsidRPr="00525779">
        <w:rPr>
          <w:rFonts w:ascii="Arial" w:hAnsi="Arial" w:cs="Arial"/>
          <w:sz w:val="24"/>
          <w:szCs w:val="24"/>
        </w:rPr>
        <w:tab/>
        <w:t xml:space="preserve">Abecassis, I. J.; Zeeshan, Q.; Ghodke, B. V.; Levitt, M. R.; Ellenbogen, R. G.; Sekhar, L. N. Surgical Versus Endovascular Management of Ruptured and Unruptured Intracranial Aneurysms: Emergent Issues and Future Directions. </w:t>
      </w:r>
      <w:r w:rsidR="00C16201" w:rsidRPr="00525779">
        <w:rPr>
          <w:rFonts w:ascii="Arial" w:hAnsi="Arial" w:cs="Arial"/>
          <w:i/>
          <w:iCs/>
          <w:sz w:val="24"/>
          <w:szCs w:val="24"/>
        </w:rPr>
        <w:t>World Neurosurgery</w:t>
      </w:r>
      <w:r w:rsidR="00C16201" w:rsidRPr="00525779">
        <w:rPr>
          <w:rFonts w:ascii="Arial" w:hAnsi="Arial" w:cs="Arial"/>
          <w:sz w:val="24"/>
          <w:szCs w:val="24"/>
        </w:rPr>
        <w:t xml:space="preserve"> </w:t>
      </w:r>
      <w:r w:rsidR="00C16201" w:rsidRPr="00525779">
        <w:rPr>
          <w:rFonts w:ascii="Arial" w:hAnsi="Arial" w:cs="Arial"/>
          <w:b/>
          <w:bCs/>
          <w:sz w:val="24"/>
          <w:szCs w:val="24"/>
        </w:rPr>
        <w:t>2020</w:t>
      </w:r>
      <w:r w:rsidR="00C16201" w:rsidRPr="00525779">
        <w:rPr>
          <w:rFonts w:ascii="Arial" w:hAnsi="Arial" w:cs="Arial"/>
          <w:sz w:val="24"/>
          <w:szCs w:val="24"/>
        </w:rPr>
        <w:t xml:space="preserve">, </w:t>
      </w:r>
      <w:r w:rsidR="00C16201" w:rsidRPr="00525779">
        <w:rPr>
          <w:rFonts w:ascii="Arial" w:hAnsi="Arial" w:cs="Arial"/>
          <w:i/>
          <w:iCs/>
          <w:sz w:val="24"/>
          <w:szCs w:val="24"/>
        </w:rPr>
        <w:t>136</w:t>
      </w:r>
      <w:r w:rsidR="00C16201" w:rsidRPr="00525779">
        <w:rPr>
          <w:rFonts w:ascii="Arial" w:hAnsi="Arial" w:cs="Arial"/>
          <w:sz w:val="24"/>
          <w:szCs w:val="24"/>
        </w:rPr>
        <w:t>, 17–27. https://doi.org/10.1016/j.wneu.2019.12.127.</w:t>
      </w:r>
    </w:p>
    <w:p w14:paraId="1EEB205A" w14:textId="77777777" w:rsidR="00C16201" w:rsidRPr="00525779" w:rsidRDefault="00C16201" w:rsidP="00C16201">
      <w:pPr>
        <w:pStyle w:val="Bibliographie"/>
        <w:rPr>
          <w:rFonts w:ascii="Arial" w:hAnsi="Arial" w:cs="Arial"/>
          <w:sz w:val="24"/>
          <w:szCs w:val="24"/>
        </w:rPr>
      </w:pPr>
      <w:r w:rsidRPr="00525779">
        <w:rPr>
          <w:rFonts w:ascii="Arial" w:hAnsi="Arial" w:cs="Arial"/>
          <w:sz w:val="24"/>
          <w:szCs w:val="24"/>
        </w:rPr>
        <w:t>(2)</w:t>
      </w:r>
      <w:r w:rsidRPr="00525779">
        <w:rPr>
          <w:rFonts w:ascii="Arial" w:hAnsi="Arial" w:cs="Arial"/>
          <w:sz w:val="24"/>
          <w:szCs w:val="24"/>
        </w:rPr>
        <w:tab/>
        <w:t xml:space="preserve">Statistics and Facts. </w:t>
      </w:r>
      <w:r w:rsidRPr="00525779">
        <w:rPr>
          <w:rFonts w:ascii="Arial" w:hAnsi="Arial" w:cs="Arial"/>
          <w:i/>
          <w:iCs/>
          <w:sz w:val="24"/>
          <w:szCs w:val="24"/>
        </w:rPr>
        <w:t>Brain Aneurysm Foundation</w:t>
      </w:r>
      <w:r w:rsidRPr="00525779">
        <w:rPr>
          <w:rFonts w:ascii="Arial" w:hAnsi="Arial" w:cs="Arial"/>
          <w:sz w:val="24"/>
          <w:szCs w:val="24"/>
        </w:rPr>
        <w:t>.</w:t>
      </w:r>
    </w:p>
    <w:p w14:paraId="3D44EE5E" w14:textId="77777777" w:rsidR="00C16201" w:rsidRPr="00525779" w:rsidRDefault="00C16201" w:rsidP="00C16201">
      <w:pPr>
        <w:pStyle w:val="Bibliographie"/>
        <w:rPr>
          <w:rFonts w:ascii="Arial" w:hAnsi="Arial" w:cs="Arial"/>
          <w:sz w:val="24"/>
          <w:szCs w:val="24"/>
        </w:rPr>
      </w:pPr>
      <w:r w:rsidRPr="00525779">
        <w:rPr>
          <w:rFonts w:ascii="Arial" w:hAnsi="Arial" w:cs="Arial"/>
          <w:sz w:val="24"/>
          <w:szCs w:val="24"/>
        </w:rPr>
        <w:t>(3)</w:t>
      </w:r>
      <w:r w:rsidRPr="00525779">
        <w:rPr>
          <w:rFonts w:ascii="Arial" w:hAnsi="Arial" w:cs="Arial"/>
          <w:sz w:val="24"/>
          <w:szCs w:val="24"/>
        </w:rPr>
        <w:tab/>
        <w:t xml:space="preserve">Brinjikji, W.; Kallmes, D. F.; Lanzino, G.; Cloft, H. J. Hospitalization Costs for Endovascular and Surgical Treatment of Unruptured Cerebral Aneurysms in the United States Are Substantially Higher than Medicare Payments. </w:t>
      </w:r>
      <w:r w:rsidRPr="00525779">
        <w:rPr>
          <w:rFonts w:ascii="Arial" w:hAnsi="Arial" w:cs="Arial"/>
          <w:i/>
          <w:iCs/>
          <w:sz w:val="24"/>
          <w:szCs w:val="24"/>
        </w:rPr>
        <w:t>AJNR Am J Neuroradiol</w:t>
      </w:r>
      <w:r w:rsidRPr="00525779">
        <w:rPr>
          <w:rFonts w:ascii="Arial" w:hAnsi="Arial" w:cs="Arial"/>
          <w:sz w:val="24"/>
          <w:szCs w:val="24"/>
        </w:rPr>
        <w:t xml:space="preserve"> </w:t>
      </w:r>
      <w:r w:rsidRPr="00525779">
        <w:rPr>
          <w:rFonts w:ascii="Arial" w:hAnsi="Arial" w:cs="Arial"/>
          <w:b/>
          <w:bCs/>
          <w:sz w:val="24"/>
          <w:szCs w:val="24"/>
        </w:rPr>
        <w:t>2012</w:t>
      </w:r>
      <w:r w:rsidRPr="00525779">
        <w:rPr>
          <w:rFonts w:ascii="Arial" w:hAnsi="Arial" w:cs="Arial"/>
          <w:sz w:val="24"/>
          <w:szCs w:val="24"/>
        </w:rPr>
        <w:t xml:space="preserve">, </w:t>
      </w:r>
      <w:r w:rsidRPr="00525779">
        <w:rPr>
          <w:rFonts w:ascii="Arial" w:hAnsi="Arial" w:cs="Arial"/>
          <w:i/>
          <w:iCs/>
          <w:sz w:val="24"/>
          <w:szCs w:val="24"/>
        </w:rPr>
        <w:t>33</w:t>
      </w:r>
      <w:r w:rsidRPr="00525779">
        <w:rPr>
          <w:rFonts w:ascii="Arial" w:hAnsi="Arial" w:cs="Arial"/>
          <w:sz w:val="24"/>
          <w:szCs w:val="24"/>
        </w:rPr>
        <w:t xml:space="preserve"> (1), 49–51. https://doi.org/10.3174/ajnr.A2739.</w:t>
      </w:r>
    </w:p>
    <w:p w14:paraId="1879658A" w14:textId="77777777" w:rsidR="00C16201" w:rsidRPr="00525779" w:rsidRDefault="00C16201" w:rsidP="00C16201">
      <w:pPr>
        <w:pStyle w:val="Bibliographie"/>
        <w:rPr>
          <w:rFonts w:ascii="Arial" w:hAnsi="Arial" w:cs="Arial"/>
          <w:sz w:val="24"/>
          <w:szCs w:val="24"/>
        </w:rPr>
      </w:pPr>
      <w:r w:rsidRPr="00525779">
        <w:rPr>
          <w:rFonts w:ascii="Arial" w:hAnsi="Arial" w:cs="Arial"/>
          <w:sz w:val="24"/>
          <w:szCs w:val="24"/>
        </w:rPr>
        <w:t>(4)</w:t>
      </w:r>
      <w:r w:rsidRPr="00525779">
        <w:rPr>
          <w:rFonts w:ascii="Arial" w:hAnsi="Arial" w:cs="Arial"/>
          <w:sz w:val="24"/>
          <w:szCs w:val="24"/>
        </w:rPr>
        <w:tab/>
        <w:t xml:space="preserve">Molyneux, A. J.; Birks, J.; Clarke, A.; Sneade, M.; Kerr, R. S. C. The Durability of Endovascular Coiling versus Neurosurgical Clipping of Ruptured Cerebral Aneurysms: 18 Year Follow-up of the UK Cohort of the International Subarachnoid Aneurysm Trial (ISAT). </w:t>
      </w:r>
      <w:r w:rsidRPr="00525779">
        <w:rPr>
          <w:rFonts w:ascii="Arial" w:hAnsi="Arial" w:cs="Arial"/>
          <w:i/>
          <w:iCs/>
          <w:sz w:val="24"/>
          <w:szCs w:val="24"/>
        </w:rPr>
        <w:t>Lancet</w:t>
      </w:r>
      <w:r w:rsidRPr="00525779">
        <w:rPr>
          <w:rFonts w:ascii="Arial" w:hAnsi="Arial" w:cs="Arial"/>
          <w:sz w:val="24"/>
          <w:szCs w:val="24"/>
        </w:rPr>
        <w:t xml:space="preserve"> </w:t>
      </w:r>
      <w:r w:rsidRPr="00525779">
        <w:rPr>
          <w:rFonts w:ascii="Arial" w:hAnsi="Arial" w:cs="Arial"/>
          <w:b/>
          <w:bCs/>
          <w:sz w:val="24"/>
          <w:szCs w:val="24"/>
        </w:rPr>
        <w:t>2015</w:t>
      </w:r>
      <w:r w:rsidRPr="00525779">
        <w:rPr>
          <w:rFonts w:ascii="Arial" w:hAnsi="Arial" w:cs="Arial"/>
          <w:sz w:val="24"/>
          <w:szCs w:val="24"/>
        </w:rPr>
        <w:t xml:space="preserve">, </w:t>
      </w:r>
      <w:r w:rsidRPr="00525779">
        <w:rPr>
          <w:rFonts w:ascii="Arial" w:hAnsi="Arial" w:cs="Arial"/>
          <w:i/>
          <w:iCs/>
          <w:sz w:val="24"/>
          <w:szCs w:val="24"/>
        </w:rPr>
        <w:t>385</w:t>
      </w:r>
      <w:r w:rsidRPr="00525779">
        <w:rPr>
          <w:rFonts w:ascii="Arial" w:hAnsi="Arial" w:cs="Arial"/>
          <w:sz w:val="24"/>
          <w:szCs w:val="24"/>
        </w:rPr>
        <w:t xml:space="preserve"> (9969), 691–697. https://doi.org/10.1016/S0140-6736(14)60975-2.</w:t>
      </w:r>
    </w:p>
    <w:p w14:paraId="04392D5D" w14:textId="77777777" w:rsidR="00C16201" w:rsidRPr="00525779" w:rsidRDefault="00C16201" w:rsidP="00C16201">
      <w:pPr>
        <w:pStyle w:val="Bibliographie"/>
        <w:rPr>
          <w:rFonts w:ascii="Arial" w:hAnsi="Arial" w:cs="Arial"/>
          <w:sz w:val="24"/>
          <w:szCs w:val="24"/>
        </w:rPr>
      </w:pPr>
      <w:r w:rsidRPr="00525779">
        <w:rPr>
          <w:rFonts w:ascii="Arial" w:hAnsi="Arial" w:cs="Arial"/>
          <w:sz w:val="24"/>
          <w:szCs w:val="24"/>
        </w:rPr>
        <w:t>(5)</w:t>
      </w:r>
      <w:r w:rsidRPr="00525779">
        <w:rPr>
          <w:rFonts w:ascii="Arial" w:hAnsi="Arial" w:cs="Arial"/>
          <w:sz w:val="24"/>
          <w:szCs w:val="24"/>
        </w:rPr>
        <w:tab/>
        <w:t xml:space="preserve">Tucker, W. D.; Arora, Y.; Mahajan, K. Anatomy, Blood Vessels. In </w:t>
      </w:r>
      <w:r w:rsidRPr="00525779">
        <w:rPr>
          <w:rFonts w:ascii="Arial" w:hAnsi="Arial" w:cs="Arial"/>
          <w:i/>
          <w:iCs/>
          <w:sz w:val="24"/>
          <w:szCs w:val="24"/>
        </w:rPr>
        <w:t>StatPearls</w:t>
      </w:r>
      <w:r w:rsidRPr="00525779">
        <w:rPr>
          <w:rFonts w:ascii="Arial" w:hAnsi="Arial" w:cs="Arial"/>
          <w:sz w:val="24"/>
          <w:szCs w:val="24"/>
        </w:rPr>
        <w:t>; StatPearls Publishing: Treasure Island (FL), 2021.</w:t>
      </w:r>
    </w:p>
    <w:p w14:paraId="208DEE2D" w14:textId="77777777" w:rsidR="00C16201" w:rsidRPr="00525779" w:rsidRDefault="00C16201" w:rsidP="00C16201">
      <w:pPr>
        <w:pStyle w:val="Bibliographie"/>
        <w:rPr>
          <w:rFonts w:ascii="Arial" w:hAnsi="Arial" w:cs="Arial"/>
          <w:sz w:val="24"/>
          <w:szCs w:val="24"/>
        </w:rPr>
      </w:pPr>
      <w:r w:rsidRPr="00525779">
        <w:rPr>
          <w:rFonts w:ascii="Arial" w:hAnsi="Arial" w:cs="Arial"/>
          <w:sz w:val="24"/>
          <w:szCs w:val="24"/>
        </w:rPr>
        <w:t>(6)</w:t>
      </w:r>
      <w:r w:rsidRPr="00525779">
        <w:rPr>
          <w:rFonts w:ascii="Arial" w:hAnsi="Arial" w:cs="Arial"/>
          <w:sz w:val="24"/>
          <w:szCs w:val="24"/>
        </w:rPr>
        <w:tab/>
      </w:r>
      <w:r w:rsidRPr="00525779">
        <w:rPr>
          <w:rFonts w:ascii="Arial" w:hAnsi="Arial" w:cs="Arial"/>
          <w:i/>
          <w:iCs/>
          <w:sz w:val="24"/>
          <w:szCs w:val="24"/>
        </w:rPr>
        <w:t>Classification &amp; Structure of Blood Vessels | SEER Training</w:t>
      </w:r>
      <w:r w:rsidRPr="00525779">
        <w:rPr>
          <w:rFonts w:ascii="Arial" w:hAnsi="Arial" w:cs="Arial"/>
          <w:sz w:val="24"/>
          <w:szCs w:val="24"/>
        </w:rPr>
        <w:t>. https://training.seer.cancer.gov/anatomy/cardiovascular/blood/classification.html (accessed 2021-05-21).</w:t>
      </w:r>
    </w:p>
    <w:p w14:paraId="7FF70052" w14:textId="77777777" w:rsidR="00C16201" w:rsidRPr="00525779" w:rsidRDefault="00C16201" w:rsidP="00C16201">
      <w:pPr>
        <w:pStyle w:val="Bibliographie"/>
        <w:rPr>
          <w:rFonts w:ascii="Arial" w:hAnsi="Arial" w:cs="Arial"/>
          <w:sz w:val="24"/>
          <w:szCs w:val="24"/>
        </w:rPr>
      </w:pPr>
      <w:r w:rsidRPr="00525779">
        <w:rPr>
          <w:rFonts w:ascii="Arial" w:hAnsi="Arial" w:cs="Arial"/>
          <w:sz w:val="24"/>
          <w:szCs w:val="24"/>
        </w:rPr>
        <w:t>(7)</w:t>
      </w:r>
      <w:r w:rsidRPr="00525779">
        <w:rPr>
          <w:rFonts w:ascii="Arial" w:hAnsi="Arial" w:cs="Arial"/>
          <w:sz w:val="24"/>
          <w:szCs w:val="24"/>
        </w:rPr>
        <w:tab/>
        <w:t xml:space="preserve">Etminan, N.; Rinkel, G. J. Unruptured Intracranial Aneurysms: Development, Rupture and Preventive Management. </w:t>
      </w:r>
      <w:r w:rsidRPr="00525779">
        <w:rPr>
          <w:rFonts w:ascii="Arial" w:hAnsi="Arial" w:cs="Arial"/>
          <w:i/>
          <w:iCs/>
          <w:sz w:val="24"/>
          <w:szCs w:val="24"/>
        </w:rPr>
        <w:t>Nat Rev Neurol</w:t>
      </w:r>
      <w:r w:rsidRPr="00525779">
        <w:rPr>
          <w:rFonts w:ascii="Arial" w:hAnsi="Arial" w:cs="Arial"/>
          <w:sz w:val="24"/>
          <w:szCs w:val="24"/>
        </w:rPr>
        <w:t xml:space="preserve"> </w:t>
      </w:r>
      <w:r w:rsidRPr="00525779">
        <w:rPr>
          <w:rFonts w:ascii="Arial" w:hAnsi="Arial" w:cs="Arial"/>
          <w:b/>
          <w:bCs/>
          <w:sz w:val="24"/>
          <w:szCs w:val="24"/>
        </w:rPr>
        <w:t>2016</w:t>
      </w:r>
      <w:r w:rsidRPr="00525779">
        <w:rPr>
          <w:rFonts w:ascii="Arial" w:hAnsi="Arial" w:cs="Arial"/>
          <w:sz w:val="24"/>
          <w:szCs w:val="24"/>
        </w:rPr>
        <w:t xml:space="preserve">, </w:t>
      </w:r>
      <w:r w:rsidRPr="00525779">
        <w:rPr>
          <w:rFonts w:ascii="Arial" w:hAnsi="Arial" w:cs="Arial"/>
          <w:i/>
          <w:iCs/>
          <w:sz w:val="24"/>
          <w:szCs w:val="24"/>
        </w:rPr>
        <w:t>12</w:t>
      </w:r>
      <w:r w:rsidRPr="00525779">
        <w:rPr>
          <w:rFonts w:ascii="Arial" w:hAnsi="Arial" w:cs="Arial"/>
          <w:sz w:val="24"/>
          <w:szCs w:val="24"/>
        </w:rPr>
        <w:t xml:space="preserve"> (12), 699–713. https://doi.org/10.1038/nrneurol.2016.150.</w:t>
      </w:r>
    </w:p>
    <w:p w14:paraId="41D45109" w14:textId="77777777" w:rsidR="00C16201" w:rsidRPr="00525779" w:rsidRDefault="00C16201" w:rsidP="00C16201">
      <w:pPr>
        <w:pStyle w:val="Bibliographie"/>
        <w:rPr>
          <w:rFonts w:ascii="Arial" w:hAnsi="Arial" w:cs="Arial"/>
          <w:sz w:val="24"/>
          <w:szCs w:val="24"/>
        </w:rPr>
      </w:pPr>
      <w:r w:rsidRPr="00525779">
        <w:rPr>
          <w:rFonts w:ascii="Arial" w:hAnsi="Arial" w:cs="Arial"/>
          <w:sz w:val="24"/>
          <w:szCs w:val="24"/>
        </w:rPr>
        <w:t>(8)</w:t>
      </w:r>
      <w:r w:rsidRPr="00525779">
        <w:rPr>
          <w:rFonts w:ascii="Arial" w:hAnsi="Arial" w:cs="Arial"/>
          <w:sz w:val="24"/>
          <w:szCs w:val="24"/>
        </w:rPr>
        <w:tab/>
        <w:t xml:space="preserve">Xu, J.; Shi, G.-P. Vascular Wall Extracellular Matrix Proteins and Vascular Diseases. </w:t>
      </w:r>
      <w:r w:rsidRPr="00525779">
        <w:rPr>
          <w:rFonts w:ascii="Arial" w:hAnsi="Arial" w:cs="Arial"/>
          <w:i/>
          <w:iCs/>
          <w:sz w:val="24"/>
          <w:szCs w:val="24"/>
        </w:rPr>
        <w:t>Biochim Biophys Acta</w:t>
      </w:r>
      <w:r w:rsidRPr="00525779">
        <w:rPr>
          <w:rFonts w:ascii="Arial" w:hAnsi="Arial" w:cs="Arial"/>
          <w:sz w:val="24"/>
          <w:szCs w:val="24"/>
        </w:rPr>
        <w:t xml:space="preserve"> </w:t>
      </w:r>
      <w:r w:rsidRPr="00525779">
        <w:rPr>
          <w:rFonts w:ascii="Arial" w:hAnsi="Arial" w:cs="Arial"/>
          <w:b/>
          <w:bCs/>
          <w:sz w:val="24"/>
          <w:szCs w:val="24"/>
        </w:rPr>
        <w:t>2014</w:t>
      </w:r>
      <w:r w:rsidRPr="00525779">
        <w:rPr>
          <w:rFonts w:ascii="Arial" w:hAnsi="Arial" w:cs="Arial"/>
          <w:sz w:val="24"/>
          <w:szCs w:val="24"/>
        </w:rPr>
        <w:t xml:space="preserve">, </w:t>
      </w:r>
      <w:r w:rsidRPr="00525779">
        <w:rPr>
          <w:rFonts w:ascii="Arial" w:hAnsi="Arial" w:cs="Arial"/>
          <w:i/>
          <w:iCs/>
          <w:sz w:val="24"/>
          <w:szCs w:val="24"/>
        </w:rPr>
        <w:t>1842</w:t>
      </w:r>
      <w:r w:rsidRPr="00525779">
        <w:rPr>
          <w:rFonts w:ascii="Arial" w:hAnsi="Arial" w:cs="Arial"/>
          <w:sz w:val="24"/>
          <w:szCs w:val="24"/>
        </w:rPr>
        <w:t xml:space="preserve"> (11), 2106–2119. https://doi.org/10.1016/j.bbadis.2014.07.008.</w:t>
      </w:r>
    </w:p>
    <w:p w14:paraId="09359ADE" w14:textId="77777777" w:rsidR="00C16201" w:rsidRPr="00525779" w:rsidRDefault="00C16201" w:rsidP="00C16201">
      <w:pPr>
        <w:pStyle w:val="Bibliographie"/>
        <w:rPr>
          <w:rFonts w:ascii="Arial" w:hAnsi="Arial" w:cs="Arial"/>
          <w:sz w:val="24"/>
          <w:szCs w:val="24"/>
        </w:rPr>
      </w:pPr>
      <w:r w:rsidRPr="00525779">
        <w:rPr>
          <w:rFonts w:ascii="Arial" w:hAnsi="Arial" w:cs="Arial"/>
          <w:sz w:val="24"/>
          <w:szCs w:val="24"/>
        </w:rPr>
        <w:t>(9)</w:t>
      </w:r>
      <w:r w:rsidRPr="00525779">
        <w:rPr>
          <w:rFonts w:ascii="Arial" w:hAnsi="Arial" w:cs="Arial"/>
          <w:sz w:val="24"/>
          <w:szCs w:val="24"/>
        </w:rPr>
        <w:tab/>
        <w:t xml:space="preserve">Kapellos, G. E.; Alexiou, T. S. Chapter 1 - Modeling Momentum and Mass Transport in Cellular Biological Media: From the Molecular to the Tissue Scale. In </w:t>
      </w:r>
      <w:r w:rsidRPr="00525779">
        <w:rPr>
          <w:rFonts w:ascii="Arial" w:hAnsi="Arial" w:cs="Arial"/>
          <w:i/>
          <w:iCs/>
          <w:sz w:val="24"/>
          <w:szCs w:val="24"/>
        </w:rPr>
        <w:t>Transport in Biological Media</w:t>
      </w:r>
      <w:r w:rsidRPr="00525779">
        <w:rPr>
          <w:rFonts w:ascii="Arial" w:hAnsi="Arial" w:cs="Arial"/>
          <w:sz w:val="24"/>
          <w:szCs w:val="24"/>
        </w:rPr>
        <w:t>; Becker, S. M., Kuznetsov, A. V., Eds.; Elsevier: Boston, 2013; pp 1–40. https://doi.org/10.1016/B978-0-12-415824-5.00001-1.</w:t>
      </w:r>
    </w:p>
    <w:p w14:paraId="6882ECE5" w14:textId="77777777" w:rsidR="00C16201" w:rsidRPr="00525779" w:rsidRDefault="00C16201" w:rsidP="00C16201">
      <w:pPr>
        <w:pStyle w:val="Bibliographie"/>
        <w:rPr>
          <w:rFonts w:ascii="Arial" w:hAnsi="Arial" w:cs="Arial"/>
          <w:sz w:val="24"/>
          <w:szCs w:val="24"/>
        </w:rPr>
      </w:pPr>
      <w:r w:rsidRPr="00525779">
        <w:rPr>
          <w:rFonts w:ascii="Arial" w:hAnsi="Arial" w:cs="Arial"/>
          <w:sz w:val="24"/>
          <w:szCs w:val="24"/>
        </w:rPr>
        <w:t>(10)</w:t>
      </w:r>
      <w:r w:rsidRPr="00525779">
        <w:rPr>
          <w:rFonts w:ascii="Arial" w:hAnsi="Arial" w:cs="Arial"/>
          <w:sz w:val="24"/>
          <w:szCs w:val="24"/>
        </w:rPr>
        <w:tab/>
        <w:t xml:space="preserve">Pillinger, N. L.; Kam, P. C. A. Endothelial Glycocalyx: Basic Science and Clinical Implications. </w:t>
      </w:r>
      <w:r w:rsidRPr="00525779">
        <w:rPr>
          <w:rFonts w:ascii="Arial" w:hAnsi="Arial" w:cs="Arial"/>
          <w:i/>
          <w:iCs/>
          <w:sz w:val="24"/>
          <w:szCs w:val="24"/>
        </w:rPr>
        <w:t>Anaesth Intensive Care</w:t>
      </w:r>
      <w:r w:rsidRPr="00525779">
        <w:rPr>
          <w:rFonts w:ascii="Arial" w:hAnsi="Arial" w:cs="Arial"/>
          <w:sz w:val="24"/>
          <w:szCs w:val="24"/>
        </w:rPr>
        <w:t xml:space="preserve"> </w:t>
      </w:r>
      <w:r w:rsidRPr="00525779">
        <w:rPr>
          <w:rFonts w:ascii="Arial" w:hAnsi="Arial" w:cs="Arial"/>
          <w:b/>
          <w:bCs/>
          <w:sz w:val="24"/>
          <w:szCs w:val="24"/>
        </w:rPr>
        <w:t>2017</w:t>
      </w:r>
      <w:r w:rsidRPr="00525779">
        <w:rPr>
          <w:rFonts w:ascii="Arial" w:hAnsi="Arial" w:cs="Arial"/>
          <w:sz w:val="24"/>
          <w:szCs w:val="24"/>
        </w:rPr>
        <w:t xml:space="preserve">, </w:t>
      </w:r>
      <w:r w:rsidRPr="00525779">
        <w:rPr>
          <w:rFonts w:ascii="Arial" w:hAnsi="Arial" w:cs="Arial"/>
          <w:i/>
          <w:iCs/>
          <w:sz w:val="24"/>
          <w:szCs w:val="24"/>
        </w:rPr>
        <w:t>45</w:t>
      </w:r>
      <w:r w:rsidRPr="00525779">
        <w:rPr>
          <w:rFonts w:ascii="Arial" w:hAnsi="Arial" w:cs="Arial"/>
          <w:sz w:val="24"/>
          <w:szCs w:val="24"/>
        </w:rPr>
        <w:t xml:space="preserve"> (3), 295–307. https://doi.org/10.1177/0310057X1704500305.</w:t>
      </w:r>
    </w:p>
    <w:p w14:paraId="01C6FA84" w14:textId="77777777" w:rsidR="00C16201" w:rsidRPr="00525779" w:rsidRDefault="00C16201" w:rsidP="00C16201">
      <w:pPr>
        <w:pStyle w:val="Bibliographie"/>
        <w:rPr>
          <w:rFonts w:ascii="Arial" w:hAnsi="Arial" w:cs="Arial"/>
          <w:sz w:val="24"/>
          <w:szCs w:val="24"/>
        </w:rPr>
      </w:pPr>
      <w:r w:rsidRPr="00525779">
        <w:rPr>
          <w:rFonts w:ascii="Arial" w:hAnsi="Arial" w:cs="Arial"/>
          <w:sz w:val="24"/>
          <w:szCs w:val="24"/>
        </w:rPr>
        <w:t>(11)</w:t>
      </w:r>
      <w:r w:rsidRPr="00525779">
        <w:rPr>
          <w:rFonts w:ascii="Arial" w:hAnsi="Arial" w:cs="Arial"/>
          <w:sz w:val="24"/>
          <w:szCs w:val="24"/>
        </w:rPr>
        <w:tab/>
        <w:t xml:space="preserve">Milutinović, A.; Šuput, D.; Zorc-Pleskovič, R. Pathogenesis of Atherosclerosis in the Tunica Intima, Media, and Adventitia of Coronary Arteries: An Updated Review. </w:t>
      </w:r>
      <w:r w:rsidRPr="00525779">
        <w:rPr>
          <w:rFonts w:ascii="Arial" w:hAnsi="Arial" w:cs="Arial"/>
          <w:i/>
          <w:iCs/>
          <w:sz w:val="24"/>
          <w:szCs w:val="24"/>
        </w:rPr>
        <w:t>Bosn J Basic Med Sci</w:t>
      </w:r>
      <w:r w:rsidRPr="00525779">
        <w:rPr>
          <w:rFonts w:ascii="Arial" w:hAnsi="Arial" w:cs="Arial"/>
          <w:sz w:val="24"/>
          <w:szCs w:val="24"/>
        </w:rPr>
        <w:t xml:space="preserve"> </w:t>
      </w:r>
      <w:r w:rsidRPr="00525779">
        <w:rPr>
          <w:rFonts w:ascii="Arial" w:hAnsi="Arial" w:cs="Arial"/>
          <w:b/>
          <w:bCs/>
          <w:sz w:val="24"/>
          <w:szCs w:val="24"/>
        </w:rPr>
        <w:t>2020</w:t>
      </w:r>
      <w:r w:rsidRPr="00525779">
        <w:rPr>
          <w:rFonts w:ascii="Arial" w:hAnsi="Arial" w:cs="Arial"/>
          <w:sz w:val="24"/>
          <w:szCs w:val="24"/>
        </w:rPr>
        <w:t xml:space="preserve">, </w:t>
      </w:r>
      <w:r w:rsidRPr="00525779">
        <w:rPr>
          <w:rFonts w:ascii="Arial" w:hAnsi="Arial" w:cs="Arial"/>
          <w:i/>
          <w:iCs/>
          <w:sz w:val="24"/>
          <w:szCs w:val="24"/>
        </w:rPr>
        <w:t>20</w:t>
      </w:r>
      <w:r w:rsidRPr="00525779">
        <w:rPr>
          <w:rFonts w:ascii="Arial" w:hAnsi="Arial" w:cs="Arial"/>
          <w:sz w:val="24"/>
          <w:szCs w:val="24"/>
        </w:rPr>
        <w:t xml:space="preserve"> (1), 21–30. https://doi.org/10.17305/bjbms.2019.4320.</w:t>
      </w:r>
    </w:p>
    <w:p w14:paraId="49854DF4" w14:textId="77777777" w:rsidR="00C16201" w:rsidRPr="00525779" w:rsidRDefault="00C16201" w:rsidP="00C16201">
      <w:pPr>
        <w:pStyle w:val="Bibliographie"/>
        <w:rPr>
          <w:rFonts w:ascii="Arial" w:hAnsi="Arial" w:cs="Arial"/>
          <w:sz w:val="24"/>
          <w:szCs w:val="24"/>
        </w:rPr>
      </w:pPr>
      <w:r w:rsidRPr="00525779">
        <w:rPr>
          <w:rFonts w:ascii="Arial" w:hAnsi="Arial" w:cs="Arial"/>
          <w:sz w:val="24"/>
          <w:szCs w:val="24"/>
        </w:rPr>
        <w:t>(12)</w:t>
      </w:r>
      <w:r w:rsidRPr="00525779">
        <w:rPr>
          <w:rFonts w:ascii="Arial" w:hAnsi="Arial" w:cs="Arial"/>
          <w:sz w:val="24"/>
          <w:szCs w:val="24"/>
        </w:rPr>
        <w:tab/>
        <w:t xml:space="preserve">Sadowitz, B.; Seymour, K.; Gahtan, V.; Maier, K. G. The Role of Hyaluronic Acid in Atherosclerosis and Intimal Hyperplasia. </w:t>
      </w:r>
      <w:r w:rsidRPr="00525779">
        <w:rPr>
          <w:rFonts w:ascii="Arial" w:hAnsi="Arial" w:cs="Arial"/>
          <w:i/>
          <w:iCs/>
          <w:sz w:val="24"/>
          <w:szCs w:val="24"/>
        </w:rPr>
        <w:t>Journal of Surgical Research</w:t>
      </w:r>
      <w:r w:rsidRPr="00525779">
        <w:rPr>
          <w:rFonts w:ascii="Arial" w:hAnsi="Arial" w:cs="Arial"/>
          <w:sz w:val="24"/>
          <w:szCs w:val="24"/>
        </w:rPr>
        <w:t xml:space="preserve"> </w:t>
      </w:r>
      <w:r w:rsidRPr="00525779">
        <w:rPr>
          <w:rFonts w:ascii="Arial" w:hAnsi="Arial" w:cs="Arial"/>
          <w:b/>
          <w:bCs/>
          <w:sz w:val="24"/>
          <w:szCs w:val="24"/>
        </w:rPr>
        <w:t>2012</w:t>
      </w:r>
      <w:r w:rsidRPr="00525779">
        <w:rPr>
          <w:rFonts w:ascii="Arial" w:hAnsi="Arial" w:cs="Arial"/>
          <w:sz w:val="24"/>
          <w:szCs w:val="24"/>
        </w:rPr>
        <w:t xml:space="preserve">, </w:t>
      </w:r>
      <w:r w:rsidRPr="00525779">
        <w:rPr>
          <w:rFonts w:ascii="Arial" w:hAnsi="Arial" w:cs="Arial"/>
          <w:i/>
          <w:iCs/>
          <w:sz w:val="24"/>
          <w:szCs w:val="24"/>
        </w:rPr>
        <w:t>173</w:t>
      </w:r>
      <w:r w:rsidRPr="00525779">
        <w:rPr>
          <w:rFonts w:ascii="Arial" w:hAnsi="Arial" w:cs="Arial"/>
          <w:sz w:val="24"/>
          <w:szCs w:val="24"/>
        </w:rPr>
        <w:t xml:space="preserve"> (2), e63–e72. https://doi.org/10.1016/j.jss.2011.09.025.</w:t>
      </w:r>
    </w:p>
    <w:p w14:paraId="1A0C65BC" w14:textId="77777777" w:rsidR="00C16201" w:rsidRPr="00525779" w:rsidRDefault="00C16201" w:rsidP="00C16201">
      <w:pPr>
        <w:pStyle w:val="Bibliographie"/>
        <w:rPr>
          <w:rFonts w:ascii="Arial" w:hAnsi="Arial" w:cs="Arial"/>
          <w:sz w:val="24"/>
          <w:szCs w:val="24"/>
        </w:rPr>
      </w:pPr>
      <w:r w:rsidRPr="00525779">
        <w:rPr>
          <w:rFonts w:ascii="Arial" w:hAnsi="Arial" w:cs="Arial"/>
          <w:sz w:val="24"/>
          <w:szCs w:val="24"/>
        </w:rPr>
        <w:t>(13)</w:t>
      </w:r>
      <w:r w:rsidRPr="00525779">
        <w:rPr>
          <w:rFonts w:ascii="Arial" w:hAnsi="Arial" w:cs="Arial"/>
          <w:sz w:val="24"/>
          <w:szCs w:val="24"/>
        </w:rPr>
        <w:tab/>
        <w:t xml:space="preserve">Etminan, N.; Dreier, R.; Buchholz, B. A.; Beseoglu, K.; Bruckner, P.; Matzenauer, C.; Torner, J. C.; Brown, R. D.; Steiger, H.-J.; </w:t>
      </w:r>
      <w:r w:rsidRPr="00525779">
        <w:rPr>
          <w:rFonts w:ascii="Arial" w:hAnsi="Arial" w:cs="Arial"/>
          <w:sz w:val="24"/>
          <w:szCs w:val="24"/>
        </w:rPr>
        <w:lastRenderedPageBreak/>
        <w:t xml:space="preserve">Hänggi, D.; Macdonald, R. L. Age of Collagen in Intracranial Saccular Aneurysms. </w:t>
      </w:r>
      <w:r w:rsidRPr="00525779">
        <w:rPr>
          <w:rFonts w:ascii="Arial" w:hAnsi="Arial" w:cs="Arial"/>
          <w:i/>
          <w:iCs/>
          <w:sz w:val="24"/>
          <w:szCs w:val="24"/>
        </w:rPr>
        <w:t>Stroke</w:t>
      </w:r>
      <w:r w:rsidRPr="00525779">
        <w:rPr>
          <w:rFonts w:ascii="Arial" w:hAnsi="Arial" w:cs="Arial"/>
          <w:sz w:val="24"/>
          <w:szCs w:val="24"/>
        </w:rPr>
        <w:t xml:space="preserve"> </w:t>
      </w:r>
      <w:r w:rsidRPr="00525779">
        <w:rPr>
          <w:rFonts w:ascii="Arial" w:hAnsi="Arial" w:cs="Arial"/>
          <w:b/>
          <w:bCs/>
          <w:sz w:val="24"/>
          <w:szCs w:val="24"/>
        </w:rPr>
        <w:t>2014</w:t>
      </w:r>
      <w:r w:rsidRPr="00525779">
        <w:rPr>
          <w:rFonts w:ascii="Arial" w:hAnsi="Arial" w:cs="Arial"/>
          <w:sz w:val="24"/>
          <w:szCs w:val="24"/>
        </w:rPr>
        <w:t xml:space="preserve">, </w:t>
      </w:r>
      <w:r w:rsidRPr="00525779">
        <w:rPr>
          <w:rFonts w:ascii="Arial" w:hAnsi="Arial" w:cs="Arial"/>
          <w:i/>
          <w:iCs/>
          <w:sz w:val="24"/>
          <w:szCs w:val="24"/>
        </w:rPr>
        <w:t>45</w:t>
      </w:r>
      <w:r w:rsidRPr="00525779">
        <w:rPr>
          <w:rFonts w:ascii="Arial" w:hAnsi="Arial" w:cs="Arial"/>
          <w:sz w:val="24"/>
          <w:szCs w:val="24"/>
        </w:rPr>
        <w:t xml:space="preserve"> (6), 1757–1763. https://doi.org/10.1161/STROKEAHA.114.005461.</w:t>
      </w:r>
    </w:p>
    <w:p w14:paraId="68A78A7A" w14:textId="77777777" w:rsidR="00C16201" w:rsidRPr="00525779" w:rsidRDefault="00C16201" w:rsidP="00C16201">
      <w:pPr>
        <w:pStyle w:val="Bibliographie"/>
        <w:rPr>
          <w:rFonts w:ascii="Arial" w:hAnsi="Arial" w:cs="Arial"/>
          <w:sz w:val="24"/>
          <w:szCs w:val="24"/>
        </w:rPr>
      </w:pPr>
      <w:r w:rsidRPr="00525779">
        <w:rPr>
          <w:rFonts w:ascii="Arial" w:hAnsi="Arial" w:cs="Arial"/>
          <w:sz w:val="24"/>
          <w:szCs w:val="24"/>
        </w:rPr>
        <w:t>(14)</w:t>
      </w:r>
      <w:r w:rsidRPr="00525779">
        <w:rPr>
          <w:rFonts w:ascii="Arial" w:hAnsi="Arial" w:cs="Arial"/>
          <w:sz w:val="24"/>
          <w:szCs w:val="24"/>
        </w:rPr>
        <w:tab/>
        <w:t xml:space="preserve">Dong, H.; Blaivas, M.; Wang, M. M. Bidirectional Encroachment of Collagen into the Tunica Media in Cerebral Autosomal Dominant Arteriopathy with Subcortical Infarcts and Leukoencephalopathy. </w:t>
      </w:r>
      <w:r w:rsidRPr="00525779">
        <w:rPr>
          <w:rFonts w:ascii="Arial" w:hAnsi="Arial" w:cs="Arial"/>
          <w:i/>
          <w:iCs/>
          <w:sz w:val="24"/>
          <w:szCs w:val="24"/>
        </w:rPr>
        <w:t>Brain Research</w:t>
      </w:r>
      <w:r w:rsidRPr="00525779">
        <w:rPr>
          <w:rFonts w:ascii="Arial" w:hAnsi="Arial" w:cs="Arial"/>
          <w:sz w:val="24"/>
          <w:szCs w:val="24"/>
        </w:rPr>
        <w:t xml:space="preserve"> </w:t>
      </w:r>
      <w:r w:rsidRPr="00525779">
        <w:rPr>
          <w:rFonts w:ascii="Arial" w:hAnsi="Arial" w:cs="Arial"/>
          <w:b/>
          <w:bCs/>
          <w:sz w:val="24"/>
          <w:szCs w:val="24"/>
        </w:rPr>
        <w:t>2012</w:t>
      </w:r>
      <w:r w:rsidRPr="00525779">
        <w:rPr>
          <w:rFonts w:ascii="Arial" w:hAnsi="Arial" w:cs="Arial"/>
          <w:sz w:val="24"/>
          <w:szCs w:val="24"/>
        </w:rPr>
        <w:t xml:space="preserve">, </w:t>
      </w:r>
      <w:r w:rsidRPr="00525779">
        <w:rPr>
          <w:rFonts w:ascii="Arial" w:hAnsi="Arial" w:cs="Arial"/>
          <w:i/>
          <w:iCs/>
          <w:sz w:val="24"/>
          <w:szCs w:val="24"/>
        </w:rPr>
        <w:t>1456</w:t>
      </w:r>
      <w:r w:rsidRPr="00525779">
        <w:rPr>
          <w:rFonts w:ascii="Arial" w:hAnsi="Arial" w:cs="Arial"/>
          <w:sz w:val="24"/>
          <w:szCs w:val="24"/>
        </w:rPr>
        <w:t>, 64–71. https://doi.org/10.1016/j.brainres.2012.03.037.</w:t>
      </w:r>
    </w:p>
    <w:p w14:paraId="7E785876" w14:textId="77777777" w:rsidR="00C16201" w:rsidRPr="00525779" w:rsidRDefault="00C16201" w:rsidP="00C16201">
      <w:pPr>
        <w:pStyle w:val="Bibliographie"/>
        <w:rPr>
          <w:rFonts w:ascii="Arial" w:hAnsi="Arial" w:cs="Arial"/>
          <w:sz w:val="24"/>
          <w:szCs w:val="24"/>
        </w:rPr>
      </w:pPr>
      <w:r w:rsidRPr="00525779">
        <w:rPr>
          <w:rFonts w:ascii="Arial" w:hAnsi="Arial" w:cs="Arial"/>
          <w:sz w:val="24"/>
          <w:szCs w:val="24"/>
        </w:rPr>
        <w:t>(15)</w:t>
      </w:r>
      <w:r w:rsidRPr="00525779">
        <w:rPr>
          <w:rFonts w:ascii="Arial" w:hAnsi="Arial" w:cs="Arial"/>
          <w:sz w:val="24"/>
          <w:szCs w:val="24"/>
        </w:rPr>
        <w:tab/>
        <w:t xml:space="preserve">Suh, C.-M.; Kim, S.-H.; Monson, K. L.; Goldsmith, W. Tensile Characteristics and Behavior of Blood Vessels from Human Brain in Uniaxial Tensile Test. </w:t>
      </w:r>
      <w:r w:rsidRPr="00525779">
        <w:rPr>
          <w:rFonts w:ascii="Arial" w:hAnsi="Arial" w:cs="Arial"/>
          <w:i/>
          <w:iCs/>
          <w:sz w:val="24"/>
          <w:szCs w:val="24"/>
        </w:rPr>
        <w:t>KSME International Journal</w:t>
      </w:r>
      <w:r w:rsidRPr="00525779">
        <w:rPr>
          <w:rFonts w:ascii="Arial" w:hAnsi="Arial" w:cs="Arial"/>
          <w:sz w:val="24"/>
          <w:szCs w:val="24"/>
        </w:rPr>
        <w:t xml:space="preserve"> </w:t>
      </w:r>
      <w:r w:rsidRPr="00525779">
        <w:rPr>
          <w:rFonts w:ascii="Arial" w:hAnsi="Arial" w:cs="Arial"/>
          <w:b/>
          <w:bCs/>
          <w:sz w:val="24"/>
          <w:szCs w:val="24"/>
        </w:rPr>
        <w:t>2003</w:t>
      </w:r>
      <w:r w:rsidRPr="00525779">
        <w:rPr>
          <w:rFonts w:ascii="Arial" w:hAnsi="Arial" w:cs="Arial"/>
          <w:sz w:val="24"/>
          <w:szCs w:val="24"/>
        </w:rPr>
        <w:t xml:space="preserve">, </w:t>
      </w:r>
      <w:r w:rsidRPr="00525779">
        <w:rPr>
          <w:rFonts w:ascii="Arial" w:hAnsi="Arial" w:cs="Arial"/>
          <w:i/>
          <w:iCs/>
          <w:sz w:val="24"/>
          <w:szCs w:val="24"/>
        </w:rPr>
        <w:t>17</w:t>
      </w:r>
      <w:r w:rsidRPr="00525779">
        <w:rPr>
          <w:rFonts w:ascii="Arial" w:hAnsi="Arial" w:cs="Arial"/>
          <w:sz w:val="24"/>
          <w:szCs w:val="24"/>
        </w:rPr>
        <w:t xml:space="preserve"> (7), 1016–1025. https://doi.org/10.1007/BF02982986.</w:t>
      </w:r>
    </w:p>
    <w:p w14:paraId="69E6A784" w14:textId="77777777" w:rsidR="00C16201" w:rsidRPr="00525779" w:rsidRDefault="00C16201" w:rsidP="00C16201">
      <w:pPr>
        <w:pStyle w:val="Bibliographie"/>
        <w:rPr>
          <w:rFonts w:ascii="Arial" w:hAnsi="Arial" w:cs="Arial"/>
          <w:sz w:val="24"/>
          <w:szCs w:val="24"/>
        </w:rPr>
      </w:pPr>
      <w:r w:rsidRPr="00525779">
        <w:rPr>
          <w:rFonts w:ascii="Arial" w:hAnsi="Arial" w:cs="Arial"/>
          <w:sz w:val="24"/>
          <w:szCs w:val="24"/>
        </w:rPr>
        <w:t>(16)</w:t>
      </w:r>
      <w:r w:rsidRPr="00525779">
        <w:rPr>
          <w:rFonts w:ascii="Arial" w:hAnsi="Arial" w:cs="Arial"/>
          <w:sz w:val="24"/>
          <w:szCs w:val="24"/>
        </w:rPr>
        <w:tab/>
        <w:t xml:space="preserve">Monson, K. L.; Goldsmith, W.; Barbaro, N. M.; Manley, G. T. Axial Mechanical Properties of Fresh Human Cerebral Blood Vessels. </w:t>
      </w:r>
      <w:r w:rsidRPr="00525779">
        <w:rPr>
          <w:rFonts w:ascii="Arial" w:hAnsi="Arial" w:cs="Arial"/>
          <w:i/>
          <w:iCs/>
          <w:sz w:val="24"/>
          <w:szCs w:val="24"/>
        </w:rPr>
        <w:t>Journal of Biomechanical Engineering</w:t>
      </w:r>
      <w:r w:rsidRPr="00525779">
        <w:rPr>
          <w:rFonts w:ascii="Arial" w:hAnsi="Arial" w:cs="Arial"/>
          <w:sz w:val="24"/>
          <w:szCs w:val="24"/>
        </w:rPr>
        <w:t xml:space="preserve"> </w:t>
      </w:r>
      <w:r w:rsidRPr="00525779">
        <w:rPr>
          <w:rFonts w:ascii="Arial" w:hAnsi="Arial" w:cs="Arial"/>
          <w:b/>
          <w:bCs/>
          <w:sz w:val="24"/>
          <w:szCs w:val="24"/>
        </w:rPr>
        <w:t>2003</w:t>
      </w:r>
      <w:r w:rsidRPr="00525779">
        <w:rPr>
          <w:rFonts w:ascii="Arial" w:hAnsi="Arial" w:cs="Arial"/>
          <w:sz w:val="24"/>
          <w:szCs w:val="24"/>
        </w:rPr>
        <w:t xml:space="preserve">, </w:t>
      </w:r>
      <w:r w:rsidRPr="00525779">
        <w:rPr>
          <w:rFonts w:ascii="Arial" w:hAnsi="Arial" w:cs="Arial"/>
          <w:i/>
          <w:iCs/>
          <w:sz w:val="24"/>
          <w:szCs w:val="24"/>
        </w:rPr>
        <w:t>125</w:t>
      </w:r>
      <w:r w:rsidRPr="00525779">
        <w:rPr>
          <w:rFonts w:ascii="Arial" w:hAnsi="Arial" w:cs="Arial"/>
          <w:sz w:val="24"/>
          <w:szCs w:val="24"/>
        </w:rPr>
        <w:t xml:space="preserve"> (2), 288–294. https://doi.org/10.1115/1.1554412.</w:t>
      </w:r>
    </w:p>
    <w:p w14:paraId="50B56E82" w14:textId="77777777" w:rsidR="00C16201" w:rsidRPr="00525779" w:rsidRDefault="00C16201" w:rsidP="00C16201">
      <w:pPr>
        <w:pStyle w:val="Bibliographie"/>
        <w:rPr>
          <w:rFonts w:ascii="Arial" w:hAnsi="Arial" w:cs="Arial"/>
          <w:sz w:val="24"/>
          <w:szCs w:val="24"/>
        </w:rPr>
      </w:pPr>
      <w:r w:rsidRPr="00525779">
        <w:rPr>
          <w:rFonts w:ascii="Arial" w:hAnsi="Arial" w:cs="Arial"/>
          <w:sz w:val="24"/>
          <w:szCs w:val="24"/>
        </w:rPr>
        <w:t>(17)</w:t>
      </w:r>
      <w:r w:rsidRPr="00525779">
        <w:rPr>
          <w:rFonts w:ascii="Arial" w:hAnsi="Arial" w:cs="Arial"/>
          <w:sz w:val="24"/>
          <w:szCs w:val="24"/>
        </w:rPr>
        <w:tab/>
        <w:t xml:space="preserve">Camasão, D. B.; Mantovani, D. The Mechanical Characterization of Blood Vessels and Their Substitutes in the Continuous Quest for Physiological-Relevant Performances. A Critical Review. </w:t>
      </w:r>
      <w:r w:rsidRPr="00525779">
        <w:rPr>
          <w:rFonts w:ascii="Arial" w:hAnsi="Arial" w:cs="Arial"/>
          <w:i/>
          <w:iCs/>
          <w:sz w:val="24"/>
          <w:szCs w:val="24"/>
        </w:rPr>
        <w:t>Materials Today Bio</w:t>
      </w:r>
      <w:r w:rsidRPr="00525779">
        <w:rPr>
          <w:rFonts w:ascii="Arial" w:hAnsi="Arial" w:cs="Arial"/>
          <w:sz w:val="24"/>
          <w:szCs w:val="24"/>
        </w:rPr>
        <w:t xml:space="preserve"> </w:t>
      </w:r>
      <w:r w:rsidRPr="00525779">
        <w:rPr>
          <w:rFonts w:ascii="Arial" w:hAnsi="Arial" w:cs="Arial"/>
          <w:b/>
          <w:bCs/>
          <w:sz w:val="24"/>
          <w:szCs w:val="24"/>
        </w:rPr>
        <w:t>2021</w:t>
      </w:r>
      <w:r w:rsidRPr="00525779">
        <w:rPr>
          <w:rFonts w:ascii="Arial" w:hAnsi="Arial" w:cs="Arial"/>
          <w:sz w:val="24"/>
          <w:szCs w:val="24"/>
        </w:rPr>
        <w:t xml:space="preserve">, </w:t>
      </w:r>
      <w:r w:rsidRPr="00525779">
        <w:rPr>
          <w:rFonts w:ascii="Arial" w:hAnsi="Arial" w:cs="Arial"/>
          <w:i/>
          <w:iCs/>
          <w:sz w:val="24"/>
          <w:szCs w:val="24"/>
        </w:rPr>
        <w:t>10</w:t>
      </w:r>
      <w:r w:rsidRPr="00525779">
        <w:rPr>
          <w:rFonts w:ascii="Arial" w:hAnsi="Arial" w:cs="Arial"/>
          <w:sz w:val="24"/>
          <w:szCs w:val="24"/>
        </w:rPr>
        <w:t>, 100106. https://doi.org/10.1016/j.mtbio.2021.100106.</w:t>
      </w:r>
    </w:p>
    <w:p w14:paraId="5B5D5F38" w14:textId="77777777" w:rsidR="00C16201" w:rsidRPr="00525779" w:rsidRDefault="00C16201" w:rsidP="00C16201">
      <w:pPr>
        <w:pStyle w:val="Bibliographie"/>
        <w:rPr>
          <w:rFonts w:ascii="Arial" w:hAnsi="Arial" w:cs="Arial"/>
          <w:sz w:val="24"/>
          <w:szCs w:val="24"/>
        </w:rPr>
      </w:pPr>
      <w:r w:rsidRPr="00525779">
        <w:rPr>
          <w:rFonts w:ascii="Arial" w:hAnsi="Arial" w:cs="Arial"/>
          <w:sz w:val="24"/>
          <w:szCs w:val="24"/>
        </w:rPr>
        <w:t>(18)</w:t>
      </w:r>
      <w:r w:rsidRPr="00525779">
        <w:rPr>
          <w:rFonts w:ascii="Arial" w:hAnsi="Arial" w:cs="Arial"/>
          <w:sz w:val="24"/>
          <w:szCs w:val="24"/>
        </w:rPr>
        <w:tab/>
        <w:t xml:space="preserve">Kulcsár, Z.; Ugron, Á.; Marosfői, M.; Berentei, Z.; Paál, G.; Szikora, I. Hemodynamics of Cerebral Aneurysm Initiation: The Role of Wall Shear Stress and Spatial Wall Shear Stress Gradient. </w:t>
      </w:r>
      <w:r w:rsidRPr="00525779">
        <w:rPr>
          <w:rFonts w:ascii="Arial" w:hAnsi="Arial" w:cs="Arial"/>
          <w:i/>
          <w:iCs/>
          <w:sz w:val="24"/>
          <w:szCs w:val="24"/>
        </w:rPr>
        <w:t>American Journal of Neuroradiology</w:t>
      </w:r>
      <w:r w:rsidRPr="00525779">
        <w:rPr>
          <w:rFonts w:ascii="Arial" w:hAnsi="Arial" w:cs="Arial"/>
          <w:sz w:val="24"/>
          <w:szCs w:val="24"/>
        </w:rPr>
        <w:t xml:space="preserve"> </w:t>
      </w:r>
      <w:r w:rsidRPr="00525779">
        <w:rPr>
          <w:rFonts w:ascii="Arial" w:hAnsi="Arial" w:cs="Arial"/>
          <w:b/>
          <w:bCs/>
          <w:sz w:val="24"/>
          <w:szCs w:val="24"/>
        </w:rPr>
        <w:t>2011</w:t>
      </w:r>
      <w:r w:rsidRPr="00525779">
        <w:rPr>
          <w:rFonts w:ascii="Arial" w:hAnsi="Arial" w:cs="Arial"/>
          <w:sz w:val="24"/>
          <w:szCs w:val="24"/>
        </w:rPr>
        <w:t xml:space="preserve">, </w:t>
      </w:r>
      <w:r w:rsidRPr="00525779">
        <w:rPr>
          <w:rFonts w:ascii="Arial" w:hAnsi="Arial" w:cs="Arial"/>
          <w:i/>
          <w:iCs/>
          <w:sz w:val="24"/>
          <w:szCs w:val="24"/>
        </w:rPr>
        <w:t>32</w:t>
      </w:r>
      <w:r w:rsidRPr="00525779">
        <w:rPr>
          <w:rFonts w:ascii="Arial" w:hAnsi="Arial" w:cs="Arial"/>
          <w:sz w:val="24"/>
          <w:szCs w:val="24"/>
        </w:rPr>
        <w:t xml:space="preserve"> (3), 587–594. https://doi.org/10.3174/ajnr.A2339.</w:t>
      </w:r>
    </w:p>
    <w:p w14:paraId="281ADA10" w14:textId="77777777" w:rsidR="00C16201" w:rsidRPr="00525779" w:rsidRDefault="00C16201" w:rsidP="00C16201">
      <w:pPr>
        <w:pStyle w:val="Bibliographie"/>
        <w:rPr>
          <w:rFonts w:ascii="Arial" w:hAnsi="Arial" w:cs="Arial"/>
          <w:sz w:val="24"/>
          <w:szCs w:val="24"/>
        </w:rPr>
      </w:pPr>
      <w:r w:rsidRPr="00525779">
        <w:rPr>
          <w:rFonts w:ascii="Arial" w:hAnsi="Arial" w:cs="Arial"/>
          <w:sz w:val="24"/>
          <w:szCs w:val="24"/>
        </w:rPr>
        <w:t>(19)</w:t>
      </w:r>
      <w:r w:rsidRPr="00525779">
        <w:rPr>
          <w:rFonts w:ascii="Arial" w:hAnsi="Arial" w:cs="Arial"/>
          <w:sz w:val="24"/>
          <w:szCs w:val="24"/>
        </w:rPr>
        <w:tab/>
        <w:t xml:space="preserve">Xiao, W.; Qi, T.; He, S.; Li, Z.; Ou, S.; Zhang, G.; Liu, X.; Huang, Z.; Liang, F. Low Wall Shear Stress Is Associated with Local Aneurysm Wall Enhancement on High-Resolution MR Vessel Wall Imaging. </w:t>
      </w:r>
      <w:r w:rsidRPr="00525779">
        <w:rPr>
          <w:rFonts w:ascii="Arial" w:hAnsi="Arial" w:cs="Arial"/>
          <w:i/>
          <w:iCs/>
          <w:sz w:val="24"/>
          <w:szCs w:val="24"/>
        </w:rPr>
        <w:t>American Journal of Neuroradiology</w:t>
      </w:r>
      <w:r w:rsidRPr="00525779">
        <w:rPr>
          <w:rFonts w:ascii="Arial" w:hAnsi="Arial" w:cs="Arial"/>
          <w:sz w:val="24"/>
          <w:szCs w:val="24"/>
        </w:rPr>
        <w:t xml:space="preserve"> </w:t>
      </w:r>
      <w:r w:rsidRPr="00525779">
        <w:rPr>
          <w:rFonts w:ascii="Arial" w:hAnsi="Arial" w:cs="Arial"/>
          <w:b/>
          <w:bCs/>
          <w:sz w:val="24"/>
          <w:szCs w:val="24"/>
        </w:rPr>
        <w:t>2018</w:t>
      </w:r>
      <w:r w:rsidRPr="00525779">
        <w:rPr>
          <w:rFonts w:ascii="Arial" w:hAnsi="Arial" w:cs="Arial"/>
          <w:sz w:val="24"/>
          <w:szCs w:val="24"/>
        </w:rPr>
        <w:t xml:space="preserve">, </w:t>
      </w:r>
      <w:r w:rsidRPr="00525779">
        <w:rPr>
          <w:rFonts w:ascii="Arial" w:hAnsi="Arial" w:cs="Arial"/>
          <w:i/>
          <w:iCs/>
          <w:sz w:val="24"/>
          <w:szCs w:val="24"/>
        </w:rPr>
        <w:t>39</w:t>
      </w:r>
      <w:r w:rsidRPr="00525779">
        <w:rPr>
          <w:rFonts w:ascii="Arial" w:hAnsi="Arial" w:cs="Arial"/>
          <w:sz w:val="24"/>
          <w:szCs w:val="24"/>
        </w:rPr>
        <w:t xml:space="preserve"> (11), 2082–2087. https://doi.org/10.3174/ajnr.A5806.</w:t>
      </w:r>
    </w:p>
    <w:p w14:paraId="292C4ED0" w14:textId="77777777" w:rsidR="00C16201" w:rsidRPr="00525779" w:rsidRDefault="00C16201" w:rsidP="00C16201">
      <w:pPr>
        <w:pStyle w:val="Bibliographie"/>
        <w:rPr>
          <w:rFonts w:ascii="Arial" w:hAnsi="Arial" w:cs="Arial"/>
          <w:sz w:val="24"/>
          <w:szCs w:val="24"/>
        </w:rPr>
      </w:pPr>
      <w:r w:rsidRPr="00525779">
        <w:rPr>
          <w:rFonts w:ascii="Arial" w:hAnsi="Arial" w:cs="Arial"/>
          <w:sz w:val="24"/>
          <w:szCs w:val="24"/>
        </w:rPr>
        <w:t>(20)</w:t>
      </w:r>
      <w:r w:rsidRPr="00525779">
        <w:rPr>
          <w:rFonts w:ascii="Arial" w:hAnsi="Arial" w:cs="Arial"/>
          <w:sz w:val="24"/>
          <w:szCs w:val="24"/>
        </w:rPr>
        <w:tab/>
        <w:t xml:space="preserve">Frösen, J.; Cebral, J.; Robertson, A. M.; Aoki, T. Flow-Induced, Inflammation-Mediated Arterial Wall Remodeling in the Formation and Progression of Intracranial Aneurysms. </w:t>
      </w:r>
      <w:r w:rsidRPr="00525779">
        <w:rPr>
          <w:rFonts w:ascii="Arial" w:hAnsi="Arial" w:cs="Arial"/>
          <w:i/>
          <w:iCs/>
          <w:sz w:val="24"/>
          <w:szCs w:val="24"/>
        </w:rPr>
        <w:t>Neurosurgical Focus</w:t>
      </w:r>
      <w:r w:rsidRPr="00525779">
        <w:rPr>
          <w:rFonts w:ascii="Arial" w:hAnsi="Arial" w:cs="Arial"/>
          <w:sz w:val="24"/>
          <w:szCs w:val="24"/>
        </w:rPr>
        <w:t xml:space="preserve"> </w:t>
      </w:r>
      <w:r w:rsidRPr="00525779">
        <w:rPr>
          <w:rFonts w:ascii="Arial" w:hAnsi="Arial" w:cs="Arial"/>
          <w:b/>
          <w:bCs/>
          <w:sz w:val="24"/>
          <w:szCs w:val="24"/>
        </w:rPr>
        <w:t>2019</w:t>
      </w:r>
      <w:r w:rsidRPr="00525779">
        <w:rPr>
          <w:rFonts w:ascii="Arial" w:hAnsi="Arial" w:cs="Arial"/>
          <w:sz w:val="24"/>
          <w:szCs w:val="24"/>
        </w:rPr>
        <w:t xml:space="preserve">, </w:t>
      </w:r>
      <w:r w:rsidRPr="00525779">
        <w:rPr>
          <w:rFonts w:ascii="Arial" w:hAnsi="Arial" w:cs="Arial"/>
          <w:i/>
          <w:iCs/>
          <w:sz w:val="24"/>
          <w:szCs w:val="24"/>
        </w:rPr>
        <w:t>47</w:t>
      </w:r>
      <w:r w:rsidRPr="00525779">
        <w:rPr>
          <w:rFonts w:ascii="Arial" w:hAnsi="Arial" w:cs="Arial"/>
          <w:sz w:val="24"/>
          <w:szCs w:val="24"/>
        </w:rPr>
        <w:t xml:space="preserve"> (1), E21. https://doi.org/10.3171/2019.5.FOCUS19234.</w:t>
      </w:r>
    </w:p>
    <w:p w14:paraId="23D8417A" w14:textId="77777777" w:rsidR="00C16201" w:rsidRPr="00525779" w:rsidRDefault="00C16201" w:rsidP="00C16201">
      <w:pPr>
        <w:pStyle w:val="Bibliographie"/>
        <w:rPr>
          <w:rFonts w:ascii="Arial" w:hAnsi="Arial" w:cs="Arial"/>
          <w:sz w:val="24"/>
          <w:szCs w:val="24"/>
        </w:rPr>
      </w:pPr>
      <w:r w:rsidRPr="00525779">
        <w:rPr>
          <w:rFonts w:ascii="Arial" w:hAnsi="Arial" w:cs="Arial"/>
          <w:sz w:val="24"/>
          <w:szCs w:val="24"/>
        </w:rPr>
        <w:t>(21)</w:t>
      </w:r>
      <w:r w:rsidRPr="00525779">
        <w:rPr>
          <w:rFonts w:ascii="Arial" w:hAnsi="Arial" w:cs="Arial"/>
          <w:sz w:val="24"/>
          <w:szCs w:val="24"/>
        </w:rPr>
        <w:tab/>
        <w:t xml:space="preserve">Chalouhi, N.; Hoh, B. L.; Hasan, D. Review of Cerebral Aneurysm Formation, Growth, and Rupture. </w:t>
      </w:r>
      <w:r w:rsidRPr="00525779">
        <w:rPr>
          <w:rFonts w:ascii="Arial" w:hAnsi="Arial" w:cs="Arial"/>
          <w:i/>
          <w:iCs/>
          <w:sz w:val="24"/>
          <w:szCs w:val="24"/>
        </w:rPr>
        <w:t>Stroke</w:t>
      </w:r>
      <w:r w:rsidRPr="00525779">
        <w:rPr>
          <w:rFonts w:ascii="Arial" w:hAnsi="Arial" w:cs="Arial"/>
          <w:sz w:val="24"/>
          <w:szCs w:val="24"/>
        </w:rPr>
        <w:t xml:space="preserve"> </w:t>
      </w:r>
      <w:r w:rsidRPr="00525779">
        <w:rPr>
          <w:rFonts w:ascii="Arial" w:hAnsi="Arial" w:cs="Arial"/>
          <w:b/>
          <w:bCs/>
          <w:sz w:val="24"/>
          <w:szCs w:val="24"/>
        </w:rPr>
        <w:t>2013</w:t>
      </w:r>
      <w:r w:rsidRPr="00525779">
        <w:rPr>
          <w:rFonts w:ascii="Arial" w:hAnsi="Arial" w:cs="Arial"/>
          <w:sz w:val="24"/>
          <w:szCs w:val="24"/>
        </w:rPr>
        <w:t xml:space="preserve">, </w:t>
      </w:r>
      <w:r w:rsidRPr="00525779">
        <w:rPr>
          <w:rFonts w:ascii="Arial" w:hAnsi="Arial" w:cs="Arial"/>
          <w:i/>
          <w:iCs/>
          <w:sz w:val="24"/>
          <w:szCs w:val="24"/>
        </w:rPr>
        <w:t>44</w:t>
      </w:r>
      <w:r w:rsidRPr="00525779">
        <w:rPr>
          <w:rFonts w:ascii="Arial" w:hAnsi="Arial" w:cs="Arial"/>
          <w:sz w:val="24"/>
          <w:szCs w:val="24"/>
        </w:rPr>
        <w:t xml:space="preserve"> (12), 3613–3622. https://doi.org/10.1161/STROKEAHA.113.002390.</w:t>
      </w:r>
    </w:p>
    <w:p w14:paraId="3A54BCD6" w14:textId="77777777" w:rsidR="00C16201" w:rsidRPr="00525779" w:rsidRDefault="00C16201" w:rsidP="00C16201">
      <w:pPr>
        <w:pStyle w:val="Bibliographie"/>
        <w:rPr>
          <w:rFonts w:ascii="Arial" w:hAnsi="Arial" w:cs="Arial"/>
          <w:sz w:val="24"/>
          <w:szCs w:val="24"/>
        </w:rPr>
      </w:pPr>
      <w:r w:rsidRPr="00525779">
        <w:rPr>
          <w:rFonts w:ascii="Arial" w:hAnsi="Arial" w:cs="Arial"/>
          <w:sz w:val="24"/>
          <w:szCs w:val="24"/>
        </w:rPr>
        <w:t>(22)</w:t>
      </w:r>
      <w:r w:rsidRPr="00525779">
        <w:rPr>
          <w:rFonts w:ascii="Arial" w:hAnsi="Arial" w:cs="Arial"/>
          <w:sz w:val="24"/>
          <w:szCs w:val="24"/>
        </w:rPr>
        <w:tab/>
        <w:t xml:space="preserve">Wang, F.; Xu, B.; Sun, Z.; Wu, C.; Zhang, X. Wall Shear Stress in Intracranial Aneurysms and Adjacent Arteries. </w:t>
      </w:r>
      <w:r w:rsidRPr="00525779">
        <w:rPr>
          <w:rFonts w:ascii="Arial" w:hAnsi="Arial" w:cs="Arial"/>
          <w:i/>
          <w:iCs/>
          <w:sz w:val="24"/>
          <w:szCs w:val="24"/>
        </w:rPr>
        <w:t>Neural Regen Res</w:t>
      </w:r>
      <w:r w:rsidRPr="00525779">
        <w:rPr>
          <w:rFonts w:ascii="Arial" w:hAnsi="Arial" w:cs="Arial"/>
          <w:sz w:val="24"/>
          <w:szCs w:val="24"/>
        </w:rPr>
        <w:t xml:space="preserve"> </w:t>
      </w:r>
      <w:r w:rsidRPr="00525779">
        <w:rPr>
          <w:rFonts w:ascii="Arial" w:hAnsi="Arial" w:cs="Arial"/>
          <w:b/>
          <w:bCs/>
          <w:sz w:val="24"/>
          <w:szCs w:val="24"/>
        </w:rPr>
        <w:t>2013</w:t>
      </w:r>
      <w:r w:rsidRPr="00525779">
        <w:rPr>
          <w:rFonts w:ascii="Arial" w:hAnsi="Arial" w:cs="Arial"/>
          <w:sz w:val="24"/>
          <w:szCs w:val="24"/>
        </w:rPr>
        <w:t xml:space="preserve">, </w:t>
      </w:r>
      <w:r w:rsidRPr="00525779">
        <w:rPr>
          <w:rFonts w:ascii="Arial" w:hAnsi="Arial" w:cs="Arial"/>
          <w:i/>
          <w:iCs/>
          <w:sz w:val="24"/>
          <w:szCs w:val="24"/>
        </w:rPr>
        <w:t>8</w:t>
      </w:r>
      <w:r w:rsidRPr="00525779">
        <w:rPr>
          <w:rFonts w:ascii="Arial" w:hAnsi="Arial" w:cs="Arial"/>
          <w:sz w:val="24"/>
          <w:szCs w:val="24"/>
        </w:rPr>
        <w:t xml:space="preserve"> (11), 1007–1015. https://doi.org/10.3969/j.issn.1673-5374.2013.11.006.</w:t>
      </w:r>
    </w:p>
    <w:p w14:paraId="5FDD3D93" w14:textId="77777777" w:rsidR="00C16201" w:rsidRPr="00525779" w:rsidRDefault="00C16201" w:rsidP="00C16201">
      <w:pPr>
        <w:pStyle w:val="Bibliographie"/>
        <w:rPr>
          <w:rFonts w:ascii="Arial" w:hAnsi="Arial" w:cs="Arial"/>
          <w:sz w:val="24"/>
          <w:szCs w:val="24"/>
        </w:rPr>
      </w:pPr>
      <w:r w:rsidRPr="00525779">
        <w:rPr>
          <w:rFonts w:ascii="Arial" w:hAnsi="Arial" w:cs="Arial"/>
          <w:sz w:val="24"/>
          <w:szCs w:val="24"/>
        </w:rPr>
        <w:t>(23)</w:t>
      </w:r>
      <w:r w:rsidRPr="00525779">
        <w:rPr>
          <w:rFonts w:ascii="Arial" w:hAnsi="Arial" w:cs="Arial"/>
          <w:sz w:val="24"/>
          <w:szCs w:val="24"/>
        </w:rPr>
        <w:tab/>
        <w:t xml:space="preserve">Boussel, L.; Rayz, V.; McCulloch, C.; Martin, A.; Acevedo-Bolton, G.; Lawton, M.; Higashida, R.; Smith, W. S.; Young, W. L.; Saloner, D. Aneurysm Growth Occurs at Region of Low Wall Shear Stress. </w:t>
      </w:r>
      <w:r w:rsidRPr="00525779">
        <w:rPr>
          <w:rFonts w:ascii="Arial" w:hAnsi="Arial" w:cs="Arial"/>
          <w:i/>
          <w:iCs/>
          <w:sz w:val="24"/>
          <w:szCs w:val="24"/>
        </w:rPr>
        <w:t>Stroke</w:t>
      </w:r>
      <w:r w:rsidRPr="00525779">
        <w:rPr>
          <w:rFonts w:ascii="Arial" w:hAnsi="Arial" w:cs="Arial"/>
          <w:sz w:val="24"/>
          <w:szCs w:val="24"/>
        </w:rPr>
        <w:t xml:space="preserve"> </w:t>
      </w:r>
      <w:r w:rsidRPr="00525779">
        <w:rPr>
          <w:rFonts w:ascii="Arial" w:hAnsi="Arial" w:cs="Arial"/>
          <w:b/>
          <w:bCs/>
          <w:sz w:val="24"/>
          <w:szCs w:val="24"/>
        </w:rPr>
        <w:t>2008</w:t>
      </w:r>
      <w:r w:rsidRPr="00525779">
        <w:rPr>
          <w:rFonts w:ascii="Arial" w:hAnsi="Arial" w:cs="Arial"/>
          <w:sz w:val="24"/>
          <w:szCs w:val="24"/>
        </w:rPr>
        <w:t xml:space="preserve">, </w:t>
      </w:r>
      <w:r w:rsidRPr="00525779">
        <w:rPr>
          <w:rFonts w:ascii="Arial" w:hAnsi="Arial" w:cs="Arial"/>
          <w:i/>
          <w:iCs/>
          <w:sz w:val="24"/>
          <w:szCs w:val="24"/>
        </w:rPr>
        <w:t>39</w:t>
      </w:r>
      <w:r w:rsidRPr="00525779">
        <w:rPr>
          <w:rFonts w:ascii="Arial" w:hAnsi="Arial" w:cs="Arial"/>
          <w:sz w:val="24"/>
          <w:szCs w:val="24"/>
        </w:rPr>
        <w:t xml:space="preserve"> (11), 2997–3002. https://doi.org/10.1161/STROKEAHA.108.521617.</w:t>
      </w:r>
    </w:p>
    <w:p w14:paraId="45901674" w14:textId="77777777" w:rsidR="00C16201" w:rsidRPr="00525779" w:rsidRDefault="00C16201" w:rsidP="00C16201">
      <w:pPr>
        <w:pStyle w:val="Bibliographie"/>
        <w:rPr>
          <w:rFonts w:ascii="Arial" w:hAnsi="Arial" w:cs="Arial"/>
          <w:sz w:val="24"/>
          <w:szCs w:val="24"/>
        </w:rPr>
      </w:pPr>
      <w:r w:rsidRPr="00525779">
        <w:rPr>
          <w:rFonts w:ascii="Arial" w:hAnsi="Arial" w:cs="Arial"/>
          <w:sz w:val="24"/>
          <w:szCs w:val="24"/>
        </w:rPr>
        <w:t>(24)</w:t>
      </w:r>
      <w:r w:rsidRPr="00525779">
        <w:rPr>
          <w:rFonts w:ascii="Arial" w:hAnsi="Arial" w:cs="Arial"/>
          <w:sz w:val="24"/>
          <w:szCs w:val="24"/>
        </w:rPr>
        <w:tab/>
        <w:t xml:space="preserve">Hanel, R. A.; Cortez, G. M.; Benalia, V. H. C.; Sheffels, E.; Sutphin, D. J.; Pederson, J. M.; Pereira, V. M. Patient Outcomes </w:t>
      </w:r>
      <w:r w:rsidRPr="00525779">
        <w:rPr>
          <w:rFonts w:ascii="Arial" w:hAnsi="Arial" w:cs="Arial"/>
          <w:sz w:val="24"/>
          <w:szCs w:val="24"/>
        </w:rPr>
        <w:lastRenderedPageBreak/>
        <w:t xml:space="preserve">after Treatment of Brain Aneurysm in Small Diameter Vessels with the Silk Vista Baby Flow Diverter: A Systematic Review: </w:t>
      </w:r>
      <w:r w:rsidRPr="00525779">
        <w:rPr>
          <w:rFonts w:ascii="Arial" w:hAnsi="Arial" w:cs="Arial"/>
          <w:i/>
          <w:iCs/>
          <w:sz w:val="24"/>
          <w:szCs w:val="24"/>
        </w:rPr>
        <w:t>Interventional Neuroradiology</w:t>
      </w:r>
      <w:r w:rsidRPr="00525779">
        <w:rPr>
          <w:rFonts w:ascii="Arial" w:hAnsi="Arial" w:cs="Arial"/>
          <w:sz w:val="24"/>
          <w:szCs w:val="24"/>
        </w:rPr>
        <w:t xml:space="preserve"> </w:t>
      </w:r>
      <w:r w:rsidRPr="00525779">
        <w:rPr>
          <w:rFonts w:ascii="Arial" w:hAnsi="Arial" w:cs="Arial"/>
          <w:b/>
          <w:bCs/>
          <w:sz w:val="24"/>
          <w:szCs w:val="24"/>
        </w:rPr>
        <w:t>2022</w:t>
      </w:r>
      <w:r w:rsidRPr="00525779">
        <w:rPr>
          <w:rFonts w:ascii="Arial" w:hAnsi="Arial" w:cs="Arial"/>
          <w:sz w:val="24"/>
          <w:szCs w:val="24"/>
        </w:rPr>
        <w:t>. https://doi.org/10.1177/15910199221091645.</w:t>
      </w:r>
    </w:p>
    <w:p w14:paraId="43BA491E" w14:textId="77777777" w:rsidR="00C16201" w:rsidRPr="00525779" w:rsidRDefault="00C16201" w:rsidP="00C16201">
      <w:pPr>
        <w:pStyle w:val="Bibliographie"/>
        <w:rPr>
          <w:rFonts w:ascii="Arial" w:hAnsi="Arial" w:cs="Arial"/>
          <w:sz w:val="24"/>
          <w:szCs w:val="24"/>
        </w:rPr>
      </w:pPr>
      <w:r w:rsidRPr="00525779">
        <w:rPr>
          <w:rFonts w:ascii="Arial" w:hAnsi="Arial" w:cs="Arial"/>
          <w:sz w:val="24"/>
          <w:szCs w:val="24"/>
        </w:rPr>
        <w:t>(25)</w:t>
      </w:r>
      <w:r w:rsidRPr="00525779">
        <w:rPr>
          <w:rFonts w:ascii="Arial" w:hAnsi="Arial" w:cs="Arial"/>
          <w:sz w:val="24"/>
          <w:szCs w:val="24"/>
        </w:rPr>
        <w:tab/>
        <w:t xml:space="preserve">Zhao, J.; Lin, H.; Summers, R.; Yang, M.; Cousins, B. G.; Tsui, J. Current Treatment Strategies for Intracranial Aneurysms: An Overview. </w:t>
      </w:r>
      <w:r w:rsidRPr="00525779">
        <w:rPr>
          <w:rFonts w:ascii="Arial" w:hAnsi="Arial" w:cs="Arial"/>
          <w:i/>
          <w:iCs/>
          <w:sz w:val="24"/>
          <w:szCs w:val="24"/>
        </w:rPr>
        <w:t>Angiology</w:t>
      </w:r>
      <w:r w:rsidRPr="00525779">
        <w:rPr>
          <w:rFonts w:ascii="Arial" w:hAnsi="Arial" w:cs="Arial"/>
          <w:sz w:val="24"/>
          <w:szCs w:val="24"/>
        </w:rPr>
        <w:t xml:space="preserve"> </w:t>
      </w:r>
      <w:r w:rsidRPr="00525779">
        <w:rPr>
          <w:rFonts w:ascii="Arial" w:hAnsi="Arial" w:cs="Arial"/>
          <w:b/>
          <w:bCs/>
          <w:sz w:val="24"/>
          <w:szCs w:val="24"/>
        </w:rPr>
        <w:t>2018</w:t>
      </w:r>
      <w:r w:rsidRPr="00525779">
        <w:rPr>
          <w:rFonts w:ascii="Arial" w:hAnsi="Arial" w:cs="Arial"/>
          <w:sz w:val="24"/>
          <w:szCs w:val="24"/>
        </w:rPr>
        <w:t xml:space="preserve">, </w:t>
      </w:r>
      <w:r w:rsidRPr="00525779">
        <w:rPr>
          <w:rFonts w:ascii="Arial" w:hAnsi="Arial" w:cs="Arial"/>
          <w:i/>
          <w:iCs/>
          <w:sz w:val="24"/>
          <w:szCs w:val="24"/>
        </w:rPr>
        <w:t>69</w:t>
      </w:r>
      <w:r w:rsidRPr="00525779">
        <w:rPr>
          <w:rFonts w:ascii="Arial" w:hAnsi="Arial" w:cs="Arial"/>
          <w:sz w:val="24"/>
          <w:szCs w:val="24"/>
        </w:rPr>
        <w:t xml:space="preserve"> (1), 17–30. https://doi.org/10.1177/0003319717700503.</w:t>
      </w:r>
    </w:p>
    <w:p w14:paraId="5C93C9BB" w14:textId="77777777" w:rsidR="00C16201" w:rsidRPr="00525779" w:rsidRDefault="00C16201" w:rsidP="00C16201">
      <w:pPr>
        <w:pStyle w:val="Bibliographie"/>
        <w:rPr>
          <w:rFonts w:ascii="Arial" w:hAnsi="Arial" w:cs="Arial"/>
          <w:sz w:val="24"/>
          <w:szCs w:val="24"/>
        </w:rPr>
      </w:pPr>
      <w:r w:rsidRPr="00525779">
        <w:rPr>
          <w:rFonts w:ascii="Arial" w:hAnsi="Arial" w:cs="Arial"/>
          <w:sz w:val="24"/>
          <w:szCs w:val="24"/>
        </w:rPr>
        <w:t>(26)</w:t>
      </w:r>
      <w:r w:rsidRPr="00525779">
        <w:rPr>
          <w:rFonts w:ascii="Arial" w:hAnsi="Arial" w:cs="Arial"/>
          <w:sz w:val="24"/>
          <w:szCs w:val="24"/>
        </w:rPr>
        <w:tab/>
      </w:r>
      <w:r w:rsidRPr="00525779">
        <w:rPr>
          <w:rFonts w:ascii="Arial" w:hAnsi="Arial" w:cs="Arial"/>
          <w:i/>
          <w:iCs/>
          <w:sz w:val="24"/>
          <w:szCs w:val="24"/>
        </w:rPr>
        <w:t>Angiogenesis Inhibitors - National Cancer Institute</w:t>
      </w:r>
      <w:r w:rsidRPr="00525779">
        <w:rPr>
          <w:rFonts w:ascii="Arial" w:hAnsi="Arial" w:cs="Arial"/>
          <w:sz w:val="24"/>
          <w:szCs w:val="24"/>
        </w:rPr>
        <w:t>. https://www.cancer.gov/about-cancer/treatment/types/immunotherapy/angiogenesis-inhibitors-fact-sheet (accessed 2021-06-22).</w:t>
      </w:r>
    </w:p>
    <w:p w14:paraId="2CAEEFDD" w14:textId="77777777" w:rsidR="00C16201" w:rsidRPr="00525779" w:rsidRDefault="00C16201" w:rsidP="00C16201">
      <w:pPr>
        <w:pStyle w:val="Bibliographie"/>
        <w:rPr>
          <w:rFonts w:ascii="Arial" w:hAnsi="Arial" w:cs="Arial"/>
          <w:sz w:val="24"/>
          <w:szCs w:val="24"/>
        </w:rPr>
      </w:pPr>
      <w:r w:rsidRPr="00525779">
        <w:rPr>
          <w:rFonts w:ascii="Arial" w:hAnsi="Arial" w:cs="Arial"/>
          <w:sz w:val="24"/>
          <w:szCs w:val="24"/>
        </w:rPr>
        <w:t>(27)</w:t>
      </w:r>
      <w:r w:rsidRPr="00525779">
        <w:rPr>
          <w:rFonts w:ascii="Arial" w:hAnsi="Arial" w:cs="Arial"/>
          <w:sz w:val="24"/>
          <w:szCs w:val="24"/>
        </w:rPr>
        <w:tab/>
        <w:t xml:space="preserve">Raper, D. M. S.; Rutledge, C.; Winkler, E. A.; Abla, A. A. Definitive Treatment With Microsurgical Clipping After Recurrence and Rerupture of Coiled Anterior Cerebral Artery Aneurysms. </w:t>
      </w:r>
      <w:r w:rsidRPr="00525779">
        <w:rPr>
          <w:rFonts w:ascii="Arial" w:hAnsi="Arial" w:cs="Arial"/>
          <w:i/>
          <w:iCs/>
          <w:sz w:val="24"/>
          <w:szCs w:val="24"/>
        </w:rPr>
        <w:t>Oper Neurosurg (Hagerstown)</w:t>
      </w:r>
      <w:r w:rsidRPr="00525779">
        <w:rPr>
          <w:rFonts w:ascii="Arial" w:hAnsi="Arial" w:cs="Arial"/>
          <w:sz w:val="24"/>
          <w:szCs w:val="24"/>
        </w:rPr>
        <w:t xml:space="preserve"> </w:t>
      </w:r>
      <w:r w:rsidRPr="00525779">
        <w:rPr>
          <w:rFonts w:ascii="Arial" w:hAnsi="Arial" w:cs="Arial"/>
          <w:b/>
          <w:bCs/>
          <w:sz w:val="24"/>
          <w:szCs w:val="24"/>
        </w:rPr>
        <w:t>2020</w:t>
      </w:r>
      <w:r w:rsidRPr="00525779">
        <w:rPr>
          <w:rFonts w:ascii="Arial" w:hAnsi="Arial" w:cs="Arial"/>
          <w:sz w:val="24"/>
          <w:szCs w:val="24"/>
        </w:rPr>
        <w:t xml:space="preserve">, </w:t>
      </w:r>
      <w:r w:rsidRPr="00525779">
        <w:rPr>
          <w:rFonts w:ascii="Arial" w:hAnsi="Arial" w:cs="Arial"/>
          <w:i/>
          <w:iCs/>
          <w:sz w:val="24"/>
          <w:szCs w:val="24"/>
        </w:rPr>
        <w:t>19</w:t>
      </w:r>
      <w:r w:rsidRPr="00525779">
        <w:rPr>
          <w:rFonts w:ascii="Arial" w:hAnsi="Arial" w:cs="Arial"/>
          <w:sz w:val="24"/>
          <w:szCs w:val="24"/>
        </w:rPr>
        <w:t xml:space="preserve"> (4), 393–402. https://doi.org/10.1093/ons/opaa103.</w:t>
      </w:r>
    </w:p>
    <w:p w14:paraId="4E34BE76" w14:textId="77777777" w:rsidR="00C16201" w:rsidRPr="00525779" w:rsidRDefault="00C16201" w:rsidP="00C16201">
      <w:pPr>
        <w:pStyle w:val="Bibliographie"/>
        <w:rPr>
          <w:rFonts w:ascii="Arial" w:hAnsi="Arial" w:cs="Arial"/>
          <w:sz w:val="24"/>
          <w:szCs w:val="24"/>
        </w:rPr>
      </w:pPr>
      <w:r w:rsidRPr="00525779">
        <w:rPr>
          <w:rFonts w:ascii="Arial" w:hAnsi="Arial" w:cs="Arial"/>
          <w:sz w:val="24"/>
          <w:szCs w:val="24"/>
        </w:rPr>
        <w:t>(28)</w:t>
      </w:r>
      <w:r w:rsidRPr="00525779">
        <w:rPr>
          <w:rFonts w:ascii="Arial" w:hAnsi="Arial" w:cs="Arial"/>
          <w:sz w:val="24"/>
          <w:szCs w:val="24"/>
        </w:rPr>
        <w:tab/>
        <w:t xml:space="preserve">Engele, T.; Brettschneider, C.; Emami, P.; König, H.-H. Cost Comparison of Surgical Clipping and Endovascular Coiling of Unruptured Intracranial Aneurysms: A Systematic Review. </w:t>
      </w:r>
      <w:r w:rsidRPr="00525779">
        <w:rPr>
          <w:rFonts w:ascii="Arial" w:hAnsi="Arial" w:cs="Arial"/>
          <w:i/>
          <w:iCs/>
          <w:sz w:val="24"/>
          <w:szCs w:val="24"/>
        </w:rPr>
        <w:t>World Neurosurgery</w:t>
      </w:r>
      <w:r w:rsidRPr="00525779">
        <w:rPr>
          <w:rFonts w:ascii="Arial" w:hAnsi="Arial" w:cs="Arial"/>
          <w:sz w:val="24"/>
          <w:szCs w:val="24"/>
        </w:rPr>
        <w:t xml:space="preserve"> </w:t>
      </w:r>
      <w:r w:rsidRPr="00525779">
        <w:rPr>
          <w:rFonts w:ascii="Arial" w:hAnsi="Arial" w:cs="Arial"/>
          <w:b/>
          <w:bCs/>
          <w:sz w:val="24"/>
          <w:szCs w:val="24"/>
        </w:rPr>
        <w:t>2019</w:t>
      </w:r>
      <w:r w:rsidRPr="00525779">
        <w:rPr>
          <w:rFonts w:ascii="Arial" w:hAnsi="Arial" w:cs="Arial"/>
          <w:sz w:val="24"/>
          <w:szCs w:val="24"/>
        </w:rPr>
        <w:t xml:space="preserve">, </w:t>
      </w:r>
      <w:r w:rsidRPr="00525779">
        <w:rPr>
          <w:rFonts w:ascii="Arial" w:hAnsi="Arial" w:cs="Arial"/>
          <w:i/>
          <w:iCs/>
          <w:sz w:val="24"/>
          <w:szCs w:val="24"/>
        </w:rPr>
        <w:t>125</w:t>
      </w:r>
      <w:r w:rsidRPr="00525779">
        <w:rPr>
          <w:rFonts w:ascii="Arial" w:hAnsi="Arial" w:cs="Arial"/>
          <w:sz w:val="24"/>
          <w:szCs w:val="24"/>
        </w:rPr>
        <w:t>, 461–468. https://doi.org/10.1016/j.wneu.2019.01.195.</w:t>
      </w:r>
    </w:p>
    <w:p w14:paraId="587B9227" w14:textId="77777777" w:rsidR="00C16201" w:rsidRPr="00525779" w:rsidRDefault="00C16201" w:rsidP="00C16201">
      <w:pPr>
        <w:pStyle w:val="Bibliographie"/>
        <w:rPr>
          <w:rFonts w:ascii="Arial" w:hAnsi="Arial" w:cs="Arial"/>
          <w:sz w:val="24"/>
          <w:szCs w:val="24"/>
        </w:rPr>
      </w:pPr>
      <w:r w:rsidRPr="00525779">
        <w:rPr>
          <w:rFonts w:ascii="Arial" w:hAnsi="Arial" w:cs="Arial"/>
          <w:sz w:val="24"/>
          <w:szCs w:val="24"/>
        </w:rPr>
        <w:t>(29)</w:t>
      </w:r>
      <w:r w:rsidRPr="00525779">
        <w:rPr>
          <w:rFonts w:ascii="Arial" w:hAnsi="Arial" w:cs="Arial"/>
          <w:sz w:val="24"/>
          <w:szCs w:val="24"/>
        </w:rPr>
        <w:tab/>
        <w:t xml:space="preserve">Surgical Treatment: Clipping. </w:t>
      </w:r>
      <w:r w:rsidRPr="00525779">
        <w:rPr>
          <w:rFonts w:ascii="Arial" w:hAnsi="Arial" w:cs="Arial"/>
          <w:i/>
          <w:iCs/>
          <w:sz w:val="24"/>
          <w:szCs w:val="24"/>
        </w:rPr>
        <w:t>Brain Aneurysm Foundation</w:t>
      </w:r>
      <w:r w:rsidRPr="00525779">
        <w:rPr>
          <w:rFonts w:ascii="Arial" w:hAnsi="Arial" w:cs="Arial"/>
          <w:sz w:val="24"/>
          <w:szCs w:val="24"/>
        </w:rPr>
        <w:t>.</w:t>
      </w:r>
    </w:p>
    <w:p w14:paraId="17A2C17B" w14:textId="77777777" w:rsidR="00C16201" w:rsidRPr="00525779" w:rsidRDefault="00C16201" w:rsidP="00C16201">
      <w:pPr>
        <w:pStyle w:val="Bibliographie"/>
        <w:rPr>
          <w:rFonts w:ascii="Arial" w:hAnsi="Arial" w:cs="Arial"/>
          <w:sz w:val="24"/>
          <w:szCs w:val="24"/>
        </w:rPr>
      </w:pPr>
      <w:r w:rsidRPr="00525779">
        <w:rPr>
          <w:rFonts w:ascii="Arial" w:hAnsi="Arial" w:cs="Arial"/>
          <w:sz w:val="24"/>
          <w:szCs w:val="24"/>
        </w:rPr>
        <w:t>(30)</w:t>
      </w:r>
      <w:r w:rsidRPr="00525779">
        <w:rPr>
          <w:rFonts w:ascii="Arial" w:hAnsi="Arial" w:cs="Arial"/>
          <w:sz w:val="24"/>
          <w:szCs w:val="24"/>
        </w:rPr>
        <w:tab/>
        <w:t xml:space="preserve">Hoffman, H.; Jalal, M. S.; Chin, L. S. A Propensity Score-Matched Comparison of Readmission Rates Associated With Microsurgical Clipping and Endovascular Treatment of Ruptured Intracranial Aneurysms. </w:t>
      </w:r>
      <w:r w:rsidRPr="00525779">
        <w:rPr>
          <w:rFonts w:ascii="Arial" w:hAnsi="Arial" w:cs="Arial"/>
          <w:i/>
          <w:iCs/>
          <w:sz w:val="24"/>
          <w:szCs w:val="24"/>
        </w:rPr>
        <w:t>Journal of Stroke and Cerebrovascular Diseases</w:t>
      </w:r>
      <w:r w:rsidRPr="00525779">
        <w:rPr>
          <w:rFonts w:ascii="Arial" w:hAnsi="Arial" w:cs="Arial"/>
          <w:sz w:val="24"/>
          <w:szCs w:val="24"/>
        </w:rPr>
        <w:t xml:space="preserve"> </w:t>
      </w:r>
      <w:r w:rsidRPr="00525779">
        <w:rPr>
          <w:rFonts w:ascii="Arial" w:hAnsi="Arial" w:cs="Arial"/>
          <w:b/>
          <w:bCs/>
          <w:sz w:val="24"/>
          <w:szCs w:val="24"/>
        </w:rPr>
        <w:t>2020</w:t>
      </w:r>
      <w:r w:rsidRPr="00525779">
        <w:rPr>
          <w:rFonts w:ascii="Arial" w:hAnsi="Arial" w:cs="Arial"/>
          <w:sz w:val="24"/>
          <w:szCs w:val="24"/>
        </w:rPr>
        <w:t xml:space="preserve">, </w:t>
      </w:r>
      <w:r w:rsidRPr="00525779">
        <w:rPr>
          <w:rFonts w:ascii="Arial" w:hAnsi="Arial" w:cs="Arial"/>
          <w:i/>
          <w:iCs/>
          <w:sz w:val="24"/>
          <w:szCs w:val="24"/>
        </w:rPr>
        <w:t>29</w:t>
      </w:r>
      <w:r w:rsidRPr="00525779">
        <w:rPr>
          <w:rFonts w:ascii="Arial" w:hAnsi="Arial" w:cs="Arial"/>
          <w:sz w:val="24"/>
          <w:szCs w:val="24"/>
        </w:rPr>
        <w:t xml:space="preserve"> (5), 104696. https://doi.org/10.1016/j.jstrokecerebrovasdis.2020.104696.</w:t>
      </w:r>
    </w:p>
    <w:p w14:paraId="59E540F5" w14:textId="77777777" w:rsidR="00C16201" w:rsidRPr="00525779" w:rsidRDefault="00C16201" w:rsidP="00C16201">
      <w:pPr>
        <w:pStyle w:val="Bibliographie"/>
        <w:rPr>
          <w:rFonts w:ascii="Arial" w:hAnsi="Arial" w:cs="Arial"/>
          <w:sz w:val="24"/>
          <w:szCs w:val="24"/>
        </w:rPr>
      </w:pPr>
      <w:r w:rsidRPr="00525779">
        <w:rPr>
          <w:rFonts w:ascii="Arial" w:hAnsi="Arial" w:cs="Arial"/>
          <w:sz w:val="24"/>
          <w:szCs w:val="24"/>
        </w:rPr>
        <w:t>(31)</w:t>
      </w:r>
      <w:r w:rsidRPr="00525779">
        <w:rPr>
          <w:rFonts w:ascii="Arial" w:hAnsi="Arial" w:cs="Arial"/>
          <w:sz w:val="24"/>
          <w:szCs w:val="24"/>
        </w:rPr>
        <w:tab/>
        <w:t xml:space="preserve">Medtronic. </w:t>
      </w:r>
      <w:r w:rsidRPr="00525779">
        <w:rPr>
          <w:rFonts w:ascii="Arial" w:hAnsi="Arial" w:cs="Arial"/>
          <w:i/>
          <w:iCs/>
          <w:sz w:val="24"/>
          <w:szCs w:val="24"/>
        </w:rPr>
        <w:t>Aneurysm Flow Diversion - About the Therapy</w:t>
      </w:r>
      <w:r w:rsidRPr="00525779">
        <w:rPr>
          <w:rFonts w:ascii="Arial" w:hAnsi="Arial" w:cs="Arial"/>
          <w:sz w:val="24"/>
          <w:szCs w:val="24"/>
        </w:rPr>
        <w:t>. https://www.medtronic.com/us-en/patients/treatments-therapies/aneurysm-flow-diversion/about.html (accessed 2021-05-25).</w:t>
      </w:r>
    </w:p>
    <w:p w14:paraId="4AF9D676" w14:textId="77777777" w:rsidR="00C16201" w:rsidRPr="00525779" w:rsidRDefault="00C16201" w:rsidP="00C16201">
      <w:pPr>
        <w:pStyle w:val="Bibliographie"/>
        <w:rPr>
          <w:rFonts w:ascii="Arial" w:hAnsi="Arial" w:cs="Arial"/>
          <w:sz w:val="24"/>
          <w:szCs w:val="24"/>
        </w:rPr>
      </w:pPr>
      <w:r w:rsidRPr="00525779">
        <w:rPr>
          <w:rFonts w:ascii="Arial" w:hAnsi="Arial" w:cs="Arial"/>
          <w:sz w:val="24"/>
          <w:szCs w:val="24"/>
        </w:rPr>
        <w:t>(32)</w:t>
      </w:r>
      <w:r w:rsidRPr="00525779">
        <w:rPr>
          <w:rFonts w:ascii="Arial" w:hAnsi="Arial" w:cs="Arial"/>
          <w:sz w:val="24"/>
          <w:szCs w:val="24"/>
        </w:rPr>
        <w:tab/>
        <w:t xml:space="preserve">Schob, S.; Hoffmann, K.-T.; Richter, C.; Bhogal, P.; Köhlert, K.; Planitzer, U.; Ziganshyna, S.; Lindner, D.; Scherlach, C.; Nestler, U.; Meixensberger, J.; Quäschling, U. Flow Diversion beyond the Circle of Willis: Endovascular Aneurysm Treatment in Peripheral Cerebral Arteries Employing a Novel Low-Profile Flow Diverting Stent. </w:t>
      </w:r>
      <w:r w:rsidRPr="00525779">
        <w:rPr>
          <w:rFonts w:ascii="Arial" w:hAnsi="Arial" w:cs="Arial"/>
          <w:i/>
          <w:iCs/>
          <w:sz w:val="24"/>
          <w:szCs w:val="24"/>
        </w:rPr>
        <w:t>Journal of NeuroInterventional Surgery</w:t>
      </w:r>
      <w:r w:rsidRPr="00525779">
        <w:rPr>
          <w:rFonts w:ascii="Arial" w:hAnsi="Arial" w:cs="Arial"/>
          <w:sz w:val="24"/>
          <w:szCs w:val="24"/>
        </w:rPr>
        <w:t xml:space="preserve"> </w:t>
      </w:r>
      <w:r w:rsidRPr="00525779">
        <w:rPr>
          <w:rFonts w:ascii="Arial" w:hAnsi="Arial" w:cs="Arial"/>
          <w:b/>
          <w:bCs/>
          <w:sz w:val="24"/>
          <w:szCs w:val="24"/>
        </w:rPr>
        <w:t>2019</w:t>
      </w:r>
      <w:r w:rsidRPr="00525779">
        <w:rPr>
          <w:rFonts w:ascii="Arial" w:hAnsi="Arial" w:cs="Arial"/>
          <w:sz w:val="24"/>
          <w:szCs w:val="24"/>
        </w:rPr>
        <w:t xml:space="preserve">, </w:t>
      </w:r>
      <w:r w:rsidRPr="00525779">
        <w:rPr>
          <w:rFonts w:ascii="Arial" w:hAnsi="Arial" w:cs="Arial"/>
          <w:i/>
          <w:iCs/>
          <w:sz w:val="24"/>
          <w:szCs w:val="24"/>
        </w:rPr>
        <w:t>11</w:t>
      </w:r>
      <w:r w:rsidRPr="00525779">
        <w:rPr>
          <w:rFonts w:ascii="Arial" w:hAnsi="Arial" w:cs="Arial"/>
          <w:sz w:val="24"/>
          <w:szCs w:val="24"/>
        </w:rPr>
        <w:t xml:space="preserve"> (12), 1227–1234. https://doi.org/10.1136/neurintsurg-2019-014840.</w:t>
      </w:r>
    </w:p>
    <w:p w14:paraId="6DA55670" w14:textId="77777777" w:rsidR="00C16201" w:rsidRPr="00525779" w:rsidRDefault="00C16201" w:rsidP="00C16201">
      <w:pPr>
        <w:pStyle w:val="Bibliographie"/>
        <w:rPr>
          <w:rFonts w:ascii="Arial" w:hAnsi="Arial" w:cs="Arial"/>
          <w:sz w:val="24"/>
          <w:szCs w:val="24"/>
        </w:rPr>
      </w:pPr>
      <w:r w:rsidRPr="00525779">
        <w:rPr>
          <w:rFonts w:ascii="Arial" w:hAnsi="Arial" w:cs="Arial"/>
          <w:sz w:val="24"/>
          <w:szCs w:val="24"/>
        </w:rPr>
        <w:t>(33)</w:t>
      </w:r>
      <w:r w:rsidRPr="00525779">
        <w:rPr>
          <w:rFonts w:ascii="Arial" w:hAnsi="Arial" w:cs="Arial"/>
          <w:sz w:val="24"/>
          <w:szCs w:val="24"/>
        </w:rPr>
        <w:tab/>
        <w:t xml:space="preserve">Fiorella, D.; Boulos, A.; Turk, A. S.; Siddiqui, A. H.; Arthur, A. S.; Diaz, O.; Lopes, D. K. The Safety and Effectiveness of the LVIS Stent System for the Treatment of Wide-Necked Cerebral Aneurysms: Final Results of the Pivotal US LVIS Trial. </w:t>
      </w:r>
      <w:r w:rsidRPr="00525779">
        <w:rPr>
          <w:rFonts w:ascii="Arial" w:hAnsi="Arial" w:cs="Arial"/>
          <w:i/>
          <w:iCs/>
          <w:sz w:val="24"/>
          <w:szCs w:val="24"/>
        </w:rPr>
        <w:t>Journal of NeuroInterventional Surgery</w:t>
      </w:r>
      <w:r w:rsidRPr="00525779">
        <w:rPr>
          <w:rFonts w:ascii="Arial" w:hAnsi="Arial" w:cs="Arial"/>
          <w:sz w:val="24"/>
          <w:szCs w:val="24"/>
        </w:rPr>
        <w:t xml:space="preserve"> </w:t>
      </w:r>
      <w:r w:rsidRPr="00525779">
        <w:rPr>
          <w:rFonts w:ascii="Arial" w:hAnsi="Arial" w:cs="Arial"/>
          <w:b/>
          <w:bCs/>
          <w:sz w:val="24"/>
          <w:szCs w:val="24"/>
        </w:rPr>
        <w:t>2019</w:t>
      </w:r>
      <w:r w:rsidRPr="00525779">
        <w:rPr>
          <w:rFonts w:ascii="Arial" w:hAnsi="Arial" w:cs="Arial"/>
          <w:sz w:val="24"/>
          <w:szCs w:val="24"/>
        </w:rPr>
        <w:t xml:space="preserve">, </w:t>
      </w:r>
      <w:r w:rsidRPr="00525779">
        <w:rPr>
          <w:rFonts w:ascii="Arial" w:hAnsi="Arial" w:cs="Arial"/>
          <w:i/>
          <w:iCs/>
          <w:sz w:val="24"/>
          <w:szCs w:val="24"/>
        </w:rPr>
        <w:t>11</w:t>
      </w:r>
      <w:r w:rsidRPr="00525779">
        <w:rPr>
          <w:rFonts w:ascii="Arial" w:hAnsi="Arial" w:cs="Arial"/>
          <w:sz w:val="24"/>
          <w:szCs w:val="24"/>
        </w:rPr>
        <w:t xml:space="preserve"> (4), 357–361. https://doi.org/10.1136/neurintsurg-2018-014309.</w:t>
      </w:r>
    </w:p>
    <w:p w14:paraId="7AF20444" w14:textId="77777777" w:rsidR="00C16201" w:rsidRPr="00525779" w:rsidRDefault="00C16201" w:rsidP="00C16201">
      <w:pPr>
        <w:pStyle w:val="Bibliographie"/>
        <w:rPr>
          <w:rFonts w:ascii="Arial" w:hAnsi="Arial" w:cs="Arial"/>
          <w:sz w:val="24"/>
          <w:szCs w:val="24"/>
        </w:rPr>
      </w:pPr>
      <w:r w:rsidRPr="00525779">
        <w:rPr>
          <w:rFonts w:ascii="Arial" w:hAnsi="Arial" w:cs="Arial"/>
          <w:sz w:val="24"/>
          <w:szCs w:val="24"/>
        </w:rPr>
        <w:t>(34)</w:t>
      </w:r>
      <w:r w:rsidRPr="00525779">
        <w:rPr>
          <w:rFonts w:ascii="Arial" w:hAnsi="Arial" w:cs="Arial"/>
          <w:sz w:val="24"/>
          <w:szCs w:val="24"/>
        </w:rPr>
        <w:tab/>
        <w:t xml:space="preserve">Hong, B.; Patel, N. V.; Gounis, M. J.; DeLeo, M. J., III; Linfante, I.; Wojak, J. C.; Wakhloo, A. K. SEMI-JAILING TECHNIQUE FOR COIL EMBOLIZATION OF COMPLEX, WIDE-NECKED INTRACRANIAL ANEURYSMS. </w:t>
      </w:r>
      <w:r w:rsidRPr="00525779">
        <w:rPr>
          <w:rFonts w:ascii="Arial" w:hAnsi="Arial" w:cs="Arial"/>
          <w:i/>
          <w:iCs/>
          <w:sz w:val="24"/>
          <w:szCs w:val="24"/>
        </w:rPr>
        <w:t>Neurosurgery</w:t>
      </w:r>
      <w:r w:rsidRPr="00525779">
        <w:rPr>
          <w:rFonts w:ascii="Arial" w:hAnsi="Arial" w:cs="Arial"/>
          <w:sz w:val="24"/>
          <w:szCs w:val="24"/>
        </w:rPr>
        <w:t xml:space="preserve"> </w:t>
      </w:r>
      <w:r w:rsidRPr="00525779">
        <w:rPr>
          <w:rFonts w:ascii="Arial" w:hAnsi="Arial" w:cs="Arial"/>
          <w:b/>
          <w:bCs/>
          <w:sz w:val="24"/>
          <w:szCs w:val="24"/>
        </w:rPr>
        <w:t>2009</w:t>
      </w:r>
      <w:r w:rsidRPr="00525779">
        <w:rPr>
          <w:rFonts w:ascii="Arial" w:hAnsi="Arial" w:cs="Arial"/>
          <w:sz w:val="24"/>
          <w:szCs w:val="24"/>
        </w:rPr>
        <w:t xml:space="preserve">, </w:t>
      </w:r>
      <w:r w:rsidRPr="00525779">
        <w:rPr>
          <w:rFonts w:ascii="Arial" w:hAnsi="Arial" w:cs="Arial"/>
          <w:i/>
          <w:iCs/>
          <w:sz w:val="24"/>
          <w:szCs w:val="24"/>
        </w:rPr>
        <w:t>65</w:t>
      </w:r>
      <w:r w:rsidRPr="00525779">
        <w:rPr>
          <w:rFonts w:ascii="Arial" w:hAnsi="Arial" w:cs="Arial"/>
          <w:sz w:val="24"/>
          <w:szCs w:val="24"/>
        </w:rPr>
        <w:t xml:space="preserve"> (6), </w:t>
      </w:r>
      <w:r w:rsidRPr="00525779">
        <w:rPr>
          <w:rFonts w:ascii="Arial" w:hAnsi="Arial" w:cs="Arial"/>
          <w:sz w:val="24"/>
          <w:szCs w:val="24"/>
        </w:rPr>
        <w:lastRenderedPageBreak/>
        <w:t>1131–1139. https://doi.org/10.1227/01.NEU.0000356983.23189.16.</w:t>
      </w:r>
    </w:p>
    <w:p w14:paraId="319A8F07" w14:textId="77777777" w:rsidR="00C16201" w:rsidRPr="00525779" w:rsidRDefault="00C16201" w:rsidP="00C16201">
      <w:pPr>
        <w:pStyle w:val="Bibliographie"/>
        <w:rPr>
          <w:rFonts w:ascii="Arial" w:hAnsi="Arial" w:cs="Arial"/>
          <w:sz w:val="24"/>
          <w:szCs w:val="24"/>
        </w:rPr>
      </w:pPr>
      <w:r w:rsidRPr="00525779">
        <w:rPr>
          <w:rFonts w:ascii="Arial" w:hAnsi="Arial" w:cs="Arial"/>
          <w:sz w:val="24"/>
          <w:szCs w:val="24"/>
        </w:rPr>
        <w:t>(35)</w:t>
      </w:r>
      <w:r w:rsidRPr="00525779">
        <w:rPr>
          <w:rFonts w:ascii="Arial" w:hAnsi="Arial" w:cs="Arial"/>
          <w:sz w:val="24"/>
          <w:szCs w:val="24"/>
        </w:rPr>
        <w:tab/>
        <w:t xml:space="preserve">Jankowitz, B. T.; Thomas, A.; Jovin, T.; Horowitz, M. Y Stenting Using Kissing Stents for the Treatment of Bifurcation Aneurysms. </w:t>
      </w:r>
      <w:r w:rsidRPr="00525779">
        <w:rPr>
          <w:rFonts w:ascii="Arial" w:hAnsi="Arial" w:cs="Arial"/>
          <w:i/>
          <w:iCs/>
          <w:sz w:val="24"/>
          <w:szCs w:val="24"/>
        </w:rPr>
        <w:t>Journal of NeuroInterventional Surgery</w:t>
      </w:r>
      <w:r w:rsidRPr="00525779">
        <w:rPr>
          <w:rFonts w:ascii="Arial" w:hAnsi="Arial" w:cs="Arial"/>
          <w:sz w:val="24"/>
          <w:szCs w:val="24"/>
        </w:rPr>
        <w:t xml:space="preserve"> </w:t>
      </w:r>
      <w:r w:rsidRPr="00525779">
        <w:rPr>
          <w:rFonts w:ascii="Arial" w:hAnsi="Arial" w:cs="Arial"/>
          <w:b/>
          <w:bCs/>
          <w:sz w:val="24"/>
          <w:szCs w:val="24"/>
        </w:rPr>
        <w:t>2012</w:t>
      </w:r>
      <w:r w:rsidRPr="00525779">
        <w:rPr>
          <w:rFonts w:ascii="Arial" w:hAnsi="Arial" w:cs="Arial"/>
          <w:sz w:val="24"/>
          <w:szCs w:val="24"/>
        </w:rPr>
        <w:t xml:space="preserve">, </w:t>
      </w:r>
      <w:r w:rsidRPr="00525779">
        <w:rPr>
          <w:rFonts w:ascii="Arial" w:hAnsi="Arial" w:cs="Arial"/>
          <w:i/>
          <w:iCs/>
          <w:sz w:val="24"/>
          <w:szCs w:val="24"/>
        </w:rPr>
        <w:t>4</w:t>
      </w:r>
      <w:r w:rsidRPr="00525779">
        <w:rPr>
          <w:rFonts w:ascii="Arial" w:hAnsi="Arial" w:cs="Arial"/>
          <w:sz w:val="24"/>
          <w:szCs w:val="24"/>
        </w:rPr>
        <w:t xml:space="preserve"> (1), 16–21. https://doi.org/10.1136/jnis.2010.004275.</w:t>
      </w:r>
    </w:p>
    <w:p w14:paraId="116DCFCB" w14:textId="77777777" w:rsidR="00C16201" w:rsidRPr="00525779" w:rsidRDefault="00C16201" w:rsidP="00C16201">
      <w:pPr>
        <w:pStyle w:val="Bibliographie"/>
        <w:rPr>
          <w:rFonts w:ascii="Arial" w:hAnsi="Arial" w:cs="Arial"/>
          <w:sz w:val="24"/>
          <w:szCs w:val="24"/>
        </w:rPr>
      </w:pPr>
      <w:r w:rsidRPr="00525779">
        <w:rPr>
          <w:rFonts w:ascii="Arial" w:hAnsi="Arial" w:cs="Arial"/>
          <w:sz w:val="24"/>
          <w:szCs w:val="24"/>
        </w:rPr>
        <w:t>(36)</w:t>
      </w:r>
      <w:r w:rsidRPr="00525779">
        <w:rPr>
          <w:rFonts w:ascii="Arial" w:hAnsi="Arial" w:cs="Arial"/>
          <w:sz w:val="24"/>
          <w:szCs w:val="24"/>
        </w:rPr>
        <w:tab/>
        <w:t xml:space="preserve">Padalino, D. J.; Singla, A.; Jacobsen, W.; Deshaies, E. M. Enterprise Stent for Waffle-Cone Stent-Assisted Coil Embolization of Large Wide-Necked Arterial Bifurcation Aneurysms. </w:t>
      </w:r>
      <w:r w:rsidRPr="00525779">
        <w:rPr>
          <w:rFonts w:ascii="Arial" w:hAnsi="Arial" w:cs="Arial"/>
          <w:i/>
          <w:iCs/>
          <w:sz w:val="24"/>
          <w:szCs w:val="24"/>
        </w:rPr>
        <w:t>Surg Neurol Int</w:t>
      </w:r>
      <w:r w:rsidRPr="00525779">
        <w:rPr>
          <w:rFonts w:ascii="Arial" w:hAnsi="Arial" w:cs="Arial"/>
          <w:sz w:val="24"/>
          <w:szCs w:val="24"/>
        </w:rPr>
        <w:t xml:space="preserve"> </w:t>
      </w:r>
      <w:r w:rsidRPr="00525779">
        <w:rPr>
          <w:rFonts w:ascii="Arial" w:hAnsi="Arial" w:cs="Arial"/>
          <w:b/>
          <w:bCs/>
          <w:sz w:val="24"/>
          <w:szCs w:val="24"/>
        </w:rPr>
        <w:t>2013</w:t>
      </w:r>
      <w:r w:rsidRPr="00525779">
        <w:rPr>
          <w:rFonts w:ascii="Arial" w:hAnsi="Arial" w:cs="Arial"/>
          <w:sz w:val="24"/>
          <w:szCs w:val="24"/>
        </w:rPr>
        <w:t xml:space="preserve">, </w:t>
      </w:r>
      <w:r w:rsidRPr="00525779">
        <w:rPr>
          <w:rFonts w:ascii="Arial" w:hAnsi="Arial" w:cs="Arial"/>
          <w:i/>
          <w:iCs/>
          <w:sz w:val="24"/>
          <w:szCs w:val="24"/>
        </w:rPr>
        <w:t>4</w:t>
      </w:r>
      <w:r w:rsidRPr="00525779">
        <w:rPr>
          <w:rFonts w:ascii="Arial" w:hAnsi="Arial" w:cs="Arial"/>
          <w:sz w:val="24"/>
          <w:szCs w:val="24"/>
        </w:rPr>
        <w:t>, 9. https://doi.org/10.4103/2152-7806.106268.</w:t>
      </w:r>
    </w:p>
    <w:p w14:paraId="3CC966D4" w14:textId="77777777" w:rsidR="00C16201" w:rsidRPr="00525779" w:rsidRDefault="00C16201" w:rsidP="00C16201">
      <w:pPr>
        <w:pStyle w:val="Bibliographie"/>
        <w:rPr>
          <w:rFonts w:ascii="Arial" w:hAnsi="Arial" w:cs="Arial"/>
          <w:sz w:val="24"/>
          <w:szCs w:val="24"/>
        </w:rPr>
      </w:pPr>
      <w:r w:rsidRPr="00525779">
        <w:rPr>
          <w:rFonts w:ascii="Arial" w:hAnsi="Arial" w:cs="Arial"/>
          <w:sz w:val="24"/>
          <w:szCs w:val="24"/>
        </w:rPr>
        <w:t>(37)</w:t>
      </w:r>
      <w:r w:rsidRPr="00525779">
        <w:rPr>
          <w:rFonts w:ascii="Arial" w:hAnsi="Arial" w:cs="Arial"/>
          <w:sz w:val="24"/>
          <w:szCs w:val="24"/>
        </w:rPr>
        <w:tab/>
      </w:r>
      <w:r w:rsidRPr="00525779">
        <w:rPr>
          <w:rFonts w:ascii="Arial" w:hAnsi="Arial" w:cs="Arial"/>
          <w:i/>
          <w:iCs/>
          <w:sz w:val="24"/>
          <w:szCs w:val="24"/>
        </w:rPr>
        <w:t>PK Papyrus</w:t>
      </w:r>
      <w:r w:rsidRPr="00525779">
        <w:rPr>
          <w:rFonts w:ascii="Arial" w:hAnsi="Arial" w:cs="Arial"/>
          <w:sz w:val="24"/>
          <w:szCs w:val="24"/>
        </w:rPr>
        <w:t>. https://pkpapyrus.com/brochure/ (accessed 2021-11-16).</w:t>
      </w:r>
    </w:p>
    <w:p w14:paraId="157AA2D1" w14:textId="77777777" w:rsidR="00C16201" w:rsidRPr="00525779" w:rsidRDefault="00C16201" w:rsidP="00C16201">
      <w:pPr>
        <w:pStyle w:val="Bibliographie"/>
        <w:rPr>
          <w:rFonts w:ascii="Arial" w:hAnsi="Arial" w:cs="Arial"/>
          <w:sz w:val="24"/>
          <w:szCs w:val="24"/>
        </w:rPr>
      </w:pPr>
      <w:r w:rsidRPr="00525779">
        <w:rPr>
          <w:rFonts w:ascii="Arial" w:hAnsi="Arial" w:cs="Arial"/>
          <w:sz w:val="24"/>
          <w:szCs w:val="24"/>
        </w:rPr>
        <w:t>(38)</w:t>
      </w:r>
      <w:r w:rsidRPr="00525779">
        <w:rPr>
          <w:rFonts w:ascii="Arial" w:hAnsi="Arial" w:cs="Arial"/>
          <w:sz w:val="24"/>
          <w:szCs w:val="24"/>
        </w:rPr>
        <w:tab/>
        <w:t>Health, C. for D. and R. COVERA</w:t>
      </w:r>
      <w:r w:rsidRPr="00525779">
        <w:rPr>
          <w:rFonts w:ascii="Arial" w:hAnsi="Arial" w:cs="Arial"/>
          <w:sz w:val="24"/>
          <w:szCs w:val="24"/>
          <w:vertAlign w:val="superscript"/>
        </w:rPr>
        <w:t>TM</w:t>
      </w:r>
      <w:r w:rsidRPr="00525779">
        <w:rPr>
          <w:rFonts w:ascii="Arial" w:hAnsi="Arial" w:cs="Arial"/>
          <w:sz w:val="24"/>
          <w:szCs w:val="24"/>
        </w:rPr>
        <w:t xml:space="preserve"> Vascular Covered Stent - P170042/S002. </w:t>
      </w:r>
      <w:r w:rsidRPr="00525779">
        <w:rPr>
          <w:rFonts w:ascii="Arial" w:hAnsi="Arial" w:cs="Arial"/>
          <w:i/>
          <w:iCs/>
          <w:sz w:val="24"/>
          <w:szCs w:val="24"/>
        </w:rPr>
        <w:t>FDA</w:t>
      </w:r>
      <w:r w:rsidRPr="00525779">
        <w:rPr>
          <w:rFonts w:ascii="Arial" w:hAnsi="Arial" w:cs="Arial"/>
          <w:sz w:val="24"/>
          <w:szCs w:val="24"/>
        </w:rPr>
        <w:t xml:space="preserve"> </w:t>
      </w:r>
      <w:r w:rsidRPr="00525779">
        <w:rPr>
          <w:rFonts w:ascii="Arial" w:hAnsi="Arial" w:cs="Arial"/>
          <w:b/>
          <w:bCs/>
          <w:sz w:val="24"/>
          <w:szCs w:val="24"/>
        </w:rPr>
        <w:t>2019</w:t>
      </w:r>
      <w:r w:rsidRPr="00525779">
        <w:rPr>
          <w:rFonts w:ascii="Arial" w:hAnsi="Arial" w:cs="Arial"/>
          <w:sz w:val="24"/>
          <w:szCs w:val="24"/>
        </w:rPr>
        <w:t>.</w:t>
      </w:r>
    </w:p>
    <w:p w14:paraId="1CC4F090" w14:textId="77777777" w:rsidR="00C16201" w:rsidRPr="00525779" w:rsidRDefault="00C16201" w:rsidP="00C16201">
      <w:pPr>
        <w:pStyle w:val="Bibliographie"/>
        <w:rPr>
          <w:rFonts w:ascii="Arial" w:hAnsi="Arial" w:cs="Arial"/>
          <w:sz w:val="24"/>
          <w:szCs w:val="24"/>
        </w:rPr>
      </w:pPr>
      <w:r w:rsidRPr="00525779">
        <w:rPr>
          <w:rFonts w:ascii="Arial" w:hAnsi="Arial" w:cs="Arial"/>
          <w:sz w:val="24"/>
          <w:szCs w:val="24"/>
        </w:rPr>
        <w:t>(39)</w:t>
      </w:r>
      <w:r w:rsidRPr="00525779">
        <w:rPr>
          <w:rFonts w:ascii="Arial" w:hAnsi="Arial" w:cs="Arial"/>
          <w:sz w:val="24"/>
          <w:szCs w:val="24"/>
        </w:rPr>
        <w:tab/>
        <w:t xml:space="preserve">Purves, D.; Augustine, G. J.; Fitzpatrick, D.; Katz, L. C.; LaMantia, A.-S.; McNamara, J. O.; Williams, S. M. The Blood Supply of the Brain and Spinal Cord. </w:t>
      </w:r>
      <w:r w:rsidRPr="00525779">
        <w:rPr>
          <w:rFonts w:ascii="Arial" w:hAnsi="Arial" w:cs="Arial"/>
          <w:i/>
          <w:iCs/>
          <w:sz w:val="24"/>
          <w:szCs w:val="24"/>
        </w:rPr>
        <w:t>Neuroscience. 2nd edition</w:t>
      </w:r>
      <w:r w:rsidRPr="00525779">
        <w:rPr>
          <w:rFonts w:ascii="Arial" w:hAnsi="Arial" w:cs="Arial"/>
          <w:sz w:val="24"/>
          <w:szCs w:val="24"/>
        </w:rPr>
        <w:t xml:space="preserve"> </w:t>
      </w:r>
      <w:r w:rsidRPr="00525779">
        <w:rPr>
          <w:rFonts w:ascii="Arial" w:hAnsi="Arial" w:cs="Arial"/>
          <w:b/>
          <w:bCs/>
          <w:sz w:val="24"/>
          <w:szCs w:val="24"/>
        </w:rPr>
        <w:t>2001</w:t>
      </w:r>
      <w:r w:rsidRPr="00525779">
        <w:rPr>
          <w:rFonts w:ascii="Arial" w:hAnsi="Arial" w:cs="Arial"/>
          <w:sz w:val="24"/>
          <w:szCs w:val="24"/>
        </w:rPr>
        <w:t>.</w:t>
      </w:r>
    </w:p>
    <w:p w14:paraId="4A4D8679" w14:textId="77777777" w:rsidR="00C16201" w:rsidRPr="00525779" w:rsidRDefault="00C16201" w:rsidP="00C16201">
      <w:pPr>
        <w:pStyle w:val="Bibliographie"/>
        <w:rPr>
          <w:rFonts w:ascii="Arial" w:hAnsi="Arial" w:cs="Arial"/>
          <w:sz w:val="24"/>
          <w:szCs w:val="24"/>
        </w:rPr>
      </w:pPr>
      <w:r w:rsidRPr="00525779">
        <w:rPr>
          <w:rFonts w:ascii="Arial" w:hAnsi="Arial" w:cs="Arial"/>
          <w:sz w:val="24"/>
          <w:szCs w:val="24"/>
        </w:rPr>
        <w:t>(40)</w:t>
      </w:r>
      <w:r w:rsidRPr="00525779">
        <w:rPr>
          <w:rFonts w:ascii="Arial" w:hAnsi="Arial" w:cs="Arial"/>
          <w:sz w:val="24"/>
          <w:szCs w:val="24"/>
        </w:rPr>
        <w:tab/>
        <w:t xml:space="preserve">Fries, F. Neue Wege zur Embolisation von Aneurysmen (Flüssigembolisat). </w:t>
      </w:r>
      <w:r w:rsidRPr="00525779">
        <w:rPr>
          <w:rFonts w:ascii="Arial" w:hAnsi="Arial" w:cs="Arial"/>
          <w:i/>
          <w:iCs/>
          <w:sz w:val="24"/>
          <w:szCs w:val="24"/>
        </w:rPr>
        <w:t>Radiologe</w:t>
      </w:r>
      <w:r w:rsidRPr="00525779">
        <w:rPr>
          <w:rFonts w:ascii="Arial" w:hAnsi="Arial" w:cs="Arial"/>
          <w:sz w:val="24"/>
          <w:szCs w:val="24"/>
        </w:rPr>
        <w:t xml:space="preserve"> </w:t>
      </w:r>
      <w:r w:rsidRPr="00525779">
        <w:rPr>
          <w:rFonts w:ascii="Arial" w:hAnsi="Arial" w:cs="Arial"/>
          <w:b/>
          <w:bCs/>
          <w:sz w:val="24"/>
          <w:szCs w:val="24"/>
        </w:rPr>
        <w:t>2020</w:t>
      </w:r>
      <w:r w:rsidRPr="00525779">
        <w:rPr>
          <w:rFonts w:ascii="Arial" w:hAnsi="Arial" w:cs="Arial"/>
          <w:sz w:val="24"/>
          <w:szCs w:val="24"/>
        </w:rPr>
        <w:t xml:space="preserve">, </w:t>
      </w:r>
      <w:r w:rsidRPr="00525779">
        <w:rPr>
          <w:rFonts w:ascii="Arial" w:hAnsi="Arial" w:cs="Arial"/>
          <w:i/>
          <w:iCs/>
          <w:sz w:val="24"/>
          <w:szCs w:val="24"/>
        </w:rPr>
        <w:t>60</w:t>
      </w:r>
      <w:r w:rsidRPr="00525779">
        <w:rPr>
          <w:rFonts w:ascii="Arial" w:hAnsi="Arial" w:cs="Arial"/>
          <w:sz w:val="24"/>
          <w:szCs w:val="24"/>
        </w:rPr>
        <w:t xml:space="preserve"> (4), 325–328. https://doi.org/10.1007/s00117-020-00668-4.</w:t>
      </w:r>
    </w:p>
    <w:p w14:paraId="1B2CB8B6" w14:textId="77777777" w:rsidR="00C16201" w:rsidRPr="00525779" w:rsidRDefault="00C16201" w:rsidP="00C16201">
      <w:pPr>
        <w:pStyle w:val="Bibliographie"/>
        <w:rPr>
          <w:rFonts w:ascii="Arial" w:hAnsi="Arial" w:cs="Arial"/>
          <w:sz w:val="24"/>
          <w:szCs w:val="24"/>
        </w:rPr>
      </w:pPr>
      <w:r w:rsidRPr="00525779">
        <w:rPr>
          <w:rFonts w:ascii="Arial" w:hAnsi="Arial" w:cs="Arial"/>
          <w:sz w:val="24"/>
          <w:szCs w:val="24"/>
        </w:rPr>
        <w:t>(41)</w:t>
      </w:r>
      <w:r w:rsidRPr="00525779">
        <w:rPr>
          <w:rFonts w:ascii="Arial" w:hAnsi="Arial" w:cs="Arial"/>
          <w:sz w:val="24"/>
          <w:szCs w:val="24"/>
        </w:rPr>
        <w:tab/>
        <w:t xml:space="preserve">Medtronic. </w:t>
      </w:r>
      <w:r w:rsidRPr="00525779">
        <w:rPr>
          <w:rFonts w:ascii="Arial" w:hAnsi="Arial" w:cs="Arial"/>
          <w:i/>
          <w:iCs/>
          <w:sz w:val="24"/>
          <w:szCs w:val="24"/>
        </w:rPr>
        <w:t>Peripheral Embolization Products - Onyx Liquid Embolic System</w:t>
      </w:r>
      <w:r w:rsidRPr="00525779">
        <w:rPr>
          <w:rFonts w:ascii="Arial" w:hAnsi="Arial" w:cs="Arial"/>
          <w:sz w:val="24"/>
          <w:szCs w:val="24"/>
        </w:rPr>
        <w:t>. https://europe.medtronic.com/xd-en/healthcare-professionals/products/cardiovascular/peripheral-embolization/onyx.html (accessed 2021-05-25).</w:t>
      </w:r>
    </w:p>
    <w:p w14:paraId="1DB6CF0C" w14:textId="77777777" w:rsidR="00C16201" w:rsidRPr="00525779" w:rsidRDefault="00C16201" w:rsidP="00C16201">
      <w:pPr>
        <w:pStyle w:val="Bibliographie"/>
        <w:rPr>
          <w:rFonts w:ascii="Arial" w:hAnsi="Arial" w:cs="Arial"/>
          <w:sz w:val="24"/>
          <w:szCs w:val="24"/>
        </w:rPr>
      </w:pPr>
      <w:r w:rsidRPr="00525779">
        <w:rPr>
          <w:rFonts w:ascii="Arial" w:hAnsi="Arial" w:cs="Arial"/>
          <w:sz w:val="24"/>
          <w:szCs w:val="24"/>
        </w:rPr>
        <w:t>(42)</w:t>
      </w:r>
      <w:r w:rsidRPr="00525779">
        <w:rPr>
          <w:rFonts w:ascii="Arial" w:hAnsi="Arial" w:cs="Arial"/>
          <w:sz w:val="24"/>
          <w:szCs w:val="24"/>
        </w:rPr>
        <w:tab/>
        <w:t xml:space="preserve">Chalouhi, N.; Tjoumakaris, S.; Gonzalez, L. F.; Hasan, D.; Alkhalili, K.; Dumont, A. S.; Rosenwasser, R.; Jabbour, P. Endovascular Treatment of Distal Intracranial Aneurysms with Onyx 18/34. </w:t>
      </w:r>
      <w:r w:rsidRPr="00525779">
        <w:rPr>
          <w:rFonts w:ascii="Arial" w:hAnsi="Arial" w:cs="Arial"/>
          <w:i/>
          <w:iCs/>
          <w:sz w:val="24"/>
          <w:szCs w:val="24"/>
        </w:rPr>
        <w:t>Clinical Neurology and Neurosurgery</w:t>
      </w:r>
      <w:r w:rsidRPr="00525779">
        <w:rPr>
          <w:rFonts w:ascii="Arial" w:hAnsi="Arial" w:cs="Arial"/>
          <w:sz w:val="24"/>
          <w:szCs w:val="24"/>
        </w:rPr>
        <w:t xml:space="preserve"> </w:t>
      </w:r>
      <w:r w:rsidRPr="00525779">
        <w:rPr>
          <w:rFonts w:ascii="Arial" w:hAnsi="Arial" w:cs="Arial"/>
          <w:b/>
          <w:bCs/>
          <w:sz w:val="24"/>
          <w:szCs w:val="24"/>
        </w:rPr>
        <w:t>2013</w:t>
      </w:r>
      <w:r w:rsidRPr="00525779">
        <w:rPr>
          <w:rFonts w:ascii="Arial" w:hAnsi="Arial" w:cs="Arial"/>
          <w:sz w:val="24"/>
          <w:szCs w:val="24"/>
        </w:rPr>
        <w:t xml:space="preserve">, </w:t>
      </w:r>
      <w:r w:rsidRPr="00525779">
        <w:rPr>
          <w:rFonts w:ascii="Arial" w:hAnsi="Arial" w:cs="Arial"/>
          <w:i/>
          <w:iCs/>
          <w:sz w:val="24"/>
          <w:szCs w:val="24"/>
        </w:rPr>
        <w:t>115</w:t>
      </w:r>
      <w:r w:rsidRPr="00525779">
        <w:rPr>
          <w:rFonts w:ascii="Arial" w:hAnsi="Arial" w:cs="Arial"/>
          <w:sz w:val="24"/>
          <w:szCs w:val="24"/>
        </w:rPr>
        <w:t xml:space="preserve"> (12), 2528–2532. https://doi.org/10.1016/j.clineuro.2013.10.018.</w:t>
      </w:r>
    </w:p>
    <w:p w14:paraId="0931CA4B" w14:textId="77777777" w:rsidR="00C16201" w:rsidRPr="00525779" w:rsidRDefault="00C16201" w:rsidP="00C16201">
      <w:pPr>
        <w:pStyle w:val="Bibliographie"/>
        <w:rPr>
          <w:rFonts w:ascii="Arial" w:hAnsi="Arial" w:cs="Arial"/>
          <w:sz w:val="24"/>
          <w:szCs w:val="24"/>
        </w:rPr>
      </w:pPr>
      <w:r w:rsidRPr="00525779">
        <w:rPr>
          <w:rFonts w:ascii="Arial" w:hAnsi="Arial" w:cs="Arial"/>
          <w:sz w:val="24"/>
          <w:szCs w:val="24"/>
        </w:rPr>
        <w:t>(43)</w:t>
      </w:r>
      <w:r w:rsidRPr="00525779">
        <w:rPr>
          <w:rFonts w:ascii="Arial" w:hAnsi="Arial" w:cs="Arial"/>
          <w:sz w:val="24"/>
          <w:szCs w:val="24"/>
        </w:rPr>
        <w:tab/>
        <w:t xml:space="preserve">Szikora, I.; Seifert, P.; Hanzely, Z.; Kulcsar, Z.; Berentei, Z.; Marosfoi, M.; Czirjak, S.; Vajda, J.; Nyary, I. Histopathologic Evaluation of Aneurysms Treated with Guglielmi Detachable Coils or Matrix Detachable Microcoils. </w:t>
      </w:r>
      <w:r w:rsidRPr="00525779">
        <w:rPr>
          <w:rFonts w:ascii="Arial" w:hAnsi="Arial" w:cs="Arial"/>
          <w:i/>
          <w:iCs/>
          <w:sz w:val="24"/>
          <w:szCs w:val="24"/>
        </w:rPr>
        <w:t>AJNR Am J Neuroradiol</w:t>
      </w:r>
      <w:r w:rsidRPr="00525779">
        <w:rPr>
          <w:rFonts w:ascii="Arial" w:hAnsi="Arial" w:cs="Arial"/>
          <w:sz w:val="24"/>
          <w:szCs w:val="24"/>
        </w:rPr>
        <w:t xml:space="preserve"> </w:t>
      </w:r>
      <w:r w:rsidRPr="00525779">
        <w:rPr>
          <w:rFonts w:ascii="Arial" w:hAnsi="Arial" w:cs="Arial"/>
          <w:b/>
          <w:bCs/>
          <w:sz w:val="24"/>
          <w:szCs w:val="24"/>
        </w:rPr>
        <w:t>2006</w:t>
      </w:r>
      <w:r w:rsidRPr="00525779">
        <w:rPr>
          <w:rFonts w:ascii="Arial" w:hAnsi="Arial" w:cs="Arial"/>
          <w:sz w:val="24"/>
          <w:szCs w:val="24"/>
        </w:rPr>
        <w:t xml:space="preserve">, </w:t>
      </w:r>
      <w:r w:rsidRPr="00525779">
        <w:rPr>
          <w:rFonts w:ascii="Arial" w:hAnsi="Arial" w:cs="Arial"/>
          <w:i/>
          <w:iCs/>
          <w:sz w:val="24"/>
          <w:szCs w:val="24"/>
        </w:rPr>
        <w:t>27</w:t>
      </w:r>
      <w:r w:rsidRPr="00525779">
        <w:rPr>
          <w:rFonts w:ascii="Arial" w:hAnsi="Arial" w:cs="Arial"/>
          <w:sz w:val="24"/>
          <w:szCs w:val="24"/>
        </w:rPr>
        <w:t xml:space="preserve"> (2), 283–288.</w:t>
      </w:r>
    </w:p>
    <w:p w14:paraId="562A44EF" w14:textId="77777777" w:rsidR="00C16201" w:rsidRPr="00525779" w:rsidRDefault="00C16201" w:rsidP="00C16201">
      <w:pPr>
        <w:pStyle w:val="Bibliographie"/>
        <w:rPr>
          <w:rFonts w:ascii="Arial" w:hAnsi="Arial" w:cs="Arial"/>
          <w:sz w:val="24"/>
          <w:szCs w:val="24"/>
        </w:rPr>
      </w:pPr>
      <w:r w:rsidRPr="00525779">
        <w:rPr>
          <w:rFonts w:ascii="Arial" w:hAnsi="Arial" w:cs="Arial"/>
          <w:sz w:val="24"/>
          <w:szCs w:val="24"/>
        </w:rPr>
        <w:t>(44)</w:t>
      </w:r>
      <w:r w:rsidRPr="00525779">
        <w:rPr>
          <w:rFonts w:ascii="Arial" w:hAnsi="Arial" w:cs="Arial"/>
          <w:sz w:val="24"/>
          <w:szCs w:val="24"/>
        </w:rPr>
        <w:tab/>
        <w:t xml:space="preserve">You, H.; Lee, E.-U.; Kim, Y.-K.; Kim, B.-C.; Park, J.-Y.; Lim, H.-C.; Lee, J.-S.; Noh, I.; Jung, U.-W.; Choi, S.-H. Biocompatibility and Resorption Pattern of Newly Developed Hyaluronic Acid Hydrogel Reinforced Three-Layer Poly (Lactide-Co-Glycolide) Membrane: Histologic Observation in Rabbit Calvarial Defect Model. </w:t>
      </w:r>
      <w:r w:rsidRPr="00525779">
        <w:rPr>
          <w:rFonts w:ascii="Arial" w:hAnsi="Arial" w:cs="Arial"/>
          <w:i/>
          <w:iCs/>
          <w:sz w:val="24"/>
          <w:szCs w:val="24"/>
        </w:rPr>
        <w:t>Biomater Res</w:t>
      </w:r>
      <w:r w:rsidRPr="00525779">
        <w:rPr>
          <w:rFonts w:ascii="Arial" w:hAnsi="Arial" w:cs="Arial"/>
          <w:sz w:val="24"/>
          <w:szCs w:val="24"/>
        </w:rPr>
        <w:t xml:space="preserve"> </w:t>
      </w:r>
      <w:r w:rsidRPr="00525779">
        <w:rPr>
          <w:rFonts w:ascii="Arial" w:hAnsi="Arial" w:cs="Arial"/>
          <w:b/>
          <w:bCs/>
          <w:sz w:val="24"/>
          <w:szCs w:val="24"/>
        </w:rPr>
        <w:t>2014</w:t>
      </w:r>
      <w:r w:rsidRPr="00525779">
        <w:rPr>
          <w:rFonts w:ascii="Arial" w:hAnsi="Arial" w:cs="Arial"/>
          <w:sz w:val="24"/>
          <w:szCs w:val="24"/>
        </w:rPr>
        <w:t xml:space="preserve">, </w:t>
      </w:r>
      <w:r w:rsidRPr="00525779">
        <w:rPr>
          <w:rFonts w:ascii="Arial" w:hAnsi="Arial" w:cs="Arial"/>
          <w:i/>
          <w:iCs/>
          <w:sz w:val="24"/>
          <w:szCs w:val="24"/>
        </w:rPr>
        <w:t>18</w:t>
      </w:r>
      <w:r w:rsidRPr="00525779">
        <w:rPr>
          <w:rFonts w:ascii="Arial" w:hAnsi="Arial" w:cs="Arial"/>
          <w:sz w:val="24"/>
          <w:szCs w:val="24"/>
        </w:rPr>
        <w:t xml:space="preserve"> (1), 12. https://doi.org/10.1186/2055-7124-18-12.</w:t>
      </w:r>
    </w:p>
    <w:p w14:paraId="2EA36CAD" w14:textId="77777777" w:rsidR="00C16201" w:rsidRPr="00525779" w:rsidRDefault="00C16201" w:rsidP="00C16201">
      <w:pPr>
        <w:pStyle w:val="Bibliographie"/>
        <w:rPr>
          <w:rFonts w:ascii="Arial" w:hAnsi="Arial" w:cs="Arial"/>
          <w:sz w:val="24"/>
          <w:szCs w:val="24"/>
        </w:rPr>
      </w:pPr>
      <w:r w:rsidRPr="00525779">
        <w:rPr>
          <w:rFonts w:ascii="Arial" w:hAnsi="Arial" w:cs="Arial"/>
          <w:sz w:val="24"/>
          <w:szCs w:val="24"/>
        </w:rPr>
        <w:t>(45)</w:t>
      </w:r>
      <w:r w:rsidRPr="00525779">
        <w:rPr>
          <w:rFonts w:ascii="Arial" w:hAnsi="Arial" w:cs="Arial"/>
          <w:sz w:val="24"/>
          <w:szCs w:val="24"/>
        </w:rPr>
        <w:tab/>
        <w:t xml:space="preserve">Hertegård, S.; Nagubothu, S. R.; Malmström, E.; Ström, C. E.; Tolf, A.; Davies, L. C.; Le Blanc, K. Hyaluronan Hydrogels for the Local Delivery of Mesenchymal Stromal Cells to the Injured Vocal Fold. </w:t>
      </w:r>
      <w:r w:rsidRPr="00525779">
        <w:rPr>
          <w:rFonts w:ascii="Arial" w:hAnsi="Arial" w:cs="Arial"/>
          <w:i/>
          <w:iCs/>
          <w:sz w:val="24"/>
          <w:szCs w:val="24"/>
        </w:rPr>
        <w:t>Stem Cells and Development</w:t>
      </w:r>
      <w:r w:rsidRPr="00525779">
        <w:rPr>
          <w:rFonts w:ascii="Arial" w:hAnsi="Arial" w:cs="Arial"/>
          <w:sz w:val="24"/>
          <w:szCs w:val="24"/>
        </w:rPr>
        <w:t xml:space="preserve"> </w:t>
      </w:r>
      <w:r w:rsidRPr="00525779">
        <w:rPr>
          <w:rFonts w:ascii="Arial" w:hAnsi="Arial" w:cs="Arial"/>
          <w:b/>
          <w:bCs/>
          <w:sz w:val="24"/>
          <w:szCs w:val="24"/>
        </w:rPr>
        <w:t>2019</w:t>
      </w:r>
      <w:r w:rsidRPr="00525779">
        <w:rPr>
          <w:rFonts w:ascii="Arial" w:hAnsi="Arial" w:cs="Arial"/>
          <w:sz w:val="24"/>
          <w:szCs w:val="24"/>
        </w:rPr>
        <w:t xml:space="preserve">, </w:t>
      </w:r>
      <w:r w:rsidRPr="00525779">
        <w:rPr>
          <w:rFonts w:ascii="Arial" w:hAnsi="Arial" w:cs="Arial"/>
          <w:i/>
          <w:iCs/>
          <w:sz w:val="24"/>
          <w:szCs w:val="24"/>
        </w:rPr>
        <w:t>28</w:t>
      </w:r>
      <w:r w:rsidRPr="00525779">
        <w:rPr>
          <w:rFonts w:ascii="Arial" w:hAnsi="Arial" w:cs="Arial"/>
          <w:sz w:val="24"/>
          <w:szCs w:val="24"/>
        </w:rPr>
        <w:t xml:space="preserve"> (17), 1177–1190. https://doi.org/10.1089/scd.2019.0102.</w:t>
      </w:r>
    </w:p>
    <w:p w14:paraId="4E8CF93F" w14:textId="77777777" w:rsidR="00C16201" w:rsidRPr="00525779" w:rsidRDefault="00C16201" w:rsidP="00C16201">
      <w:pPr>
        <w:pStyle w:val="Bibliographie"/>
        <w:rPr>
          <w:rFonts w:ascii="Arial" w:hAnsi="Arial" w:cs="Arial"/>
          <w:sz w:val="24"/>
          <w:szCs w:val="24"/>
        </w:rPr>
      </w:pPr>
      <w:r w:rsidRPr="00525779">
        <w:rPr>
          <w:rFonts w:ascii="Arial" w:hAnsi="Arial" w:cs="Arial"/>
          <w:sz w:val="24"/>
          <w:szCs w:val="24"/>
        </w:rPr>
        <w:t>(46)</w:t>
      </w:r>
      <w:r w:rsidRPr="00525779">
        <w:rPr>
          <w:rFonts w:ascii="Arial" w:hAnsi="Arial" w:cs="Arial"/>
          <w:sz w:val="24"/>
          <w:szCs w:val="24"/>
        </w:rPr>
        <w:tab/>
      </w:r>
      <w:r w:rsidRPr="00525779">
        <w:rPr>
          <w:rFonts w:ascii="Arial" w:hAnsi="Arial" w:cs="Arial"/>
          <w:i/>
          <w:iCs/>
          <w:sz w:val="24"/>
          <w:szCs w:val="24"/>
        </w:rPr>
        <w:t>Injectable in situ cross-linking chitosan-hyaluronic acid based hydrogels for abdominal tissue regeneration | Scientific Reports</w:t>
      </w:r>
      <w:r w:rsidRPr="00525779">
        <w:rPr>
          <w:rFonts w:ascii="Arial" w:hAnsi="Arial" w:cs="Arial"/>
          <w:sz w:val="24"/>
          <w:szCs w:val="24"/>
        </w:rPr>
        <w:t xml:space="preserve">. </w:t>
      </w:r>
      <w:r w:rsidRPr="00525779">
        <w:rPr>
          <w:rFonts w:ascii="Arial" w:hAnsi="Arial" w:cs="Arial"/>
          <w:sz w:val="24"/>
          <w:szCs w:val="24"/>
        </w:rPr>
        <w:lastRenderedPageBreak/>
        <w:t>https://www.nature.com/articles/s41598-017-02962-z (accessed 2022-03-02).</w:t>
      </w:r>
    </w:p>
    <w:p w14:paraId="1142BBE8" w14:textId="77777777" w:rsidR="00C16201" w:rsidRPr="00525779" w:rsidRDefault="00C16201" w:rsidP="00C16201">
      <w:pPr>
        <w:pStyle w:val="Bibliographie"/>
        <w:rPr>
          <w:rFonts w:ascii="Arial" w:hAnsi="Arial" w:cs="Arial"/>
          <w:sz w:val="24"/>
          <w:szCs w:val="24"/>
        </w:rPr>
      </w:pPr>
      <w:r w:rsidRPr="00525779">
        <w:rPr>
          <w:rFonts w:ascii="Arial" w:hAnsi="Arial" w:cs="Arial"/>
          <w:sz w:val="24"/>
          <w:szCs w:val="24"/>
        </w:rPr>
        <w:t>(47)</w:t>
      </w:r>
      <w:r w:rsidRPr="00525779">
        <w:rPr>
          <w:rFonts w:ascii="Arial" w:hAnsi="Arial" w:cs="Arial"/>
          <w:sz w:val="24"/>
          <w:szCs w:val="24"/>
        </w:rPr>
        <w:tab/>
        <w:t xml:space="preserve">Hong, L.; Shen, M.; Fang, J.; Wang, Y.; Bao, Z.; Bu, S.; Zhu, Y. Hyaluronic Acid (HA)-Based Hydrogels for Full-Thickness Wound Repairing and Skin Regeneration. </w:t>
      </w:r>
      <w:r w:rsidRPr="00525779">
        <w:rPr>
          <w:rFonts w:ascii="Arial" w:hAnsi="Arial" w:cs="Arial"/>
          <w:i/>
          <w:iCs/>
          <w:sz w:val="24"/>
          <w:szCs w:val="24"/>
        </w:rPr>
        <w:t>J Mater Sci: Mater Med</w:t>
      </w:r>
      <w:r w:rsidRPr="00525779">
        <w:rPr>
          <w:rFonts w:ascii="Arial" w:hAnsi="Arial" w:cs="Arial"/>
          <w:sz w:val="24"/>
          <w:szCs w:val="24"/>
        </w:rPr>
        <w:t xml:space="preserve"> </w:t>
      </w:r>
      <w:r w:rsidRPr="00525779">
        <w:rPr>
          <w:rFonts w:ascii="Arial" w:hAnsi="Arial" w:cs="Arial"/>
          <w:b/>
          <w:bCs/>
          <w:sz w:val="24"/>
          <w:szCs w:val="24"/>
        </w:rPr>
        <w:t>2018</w:t>
      </w:r>
      <w:r w:rsidRPr="00525779">
        <w:rPr>
          <w:rFonts w:ascii="Arial" w:hAnsi="Arial" w:cs="Arial"/>
          <w:sz w:val="24"/>
          <w:szCs w:val="24"/>
        </w:rPr>
        <w:t xml:space="preserve">, </w:t>
      </w:r>
      <w:r w:rsidRPr="00525779">
        <w:rPr>
          <w:rFonts w:ascii="Arial" w:hAnsi="Arial" w:cs="Arial"/>
          <w:i/>
          <w:iCs/>
          <w:sz w:val="24"/>
          <w:szCs w:val="24"/>
        </w:rPr>
        <w:t>29</w:t>
      </w:r>
      <w:r w:rsidRPr="00525779">
        <w:rPr>
          <w:rFonts w:ascii="Arial" w:hAnsi="Arial" w:cs="Arial"/>
          <w:sz w:val="24"/>
          <w:szCs w:val="24"/>
        </w:rPr>
        <w:t xml:space="preserve"> (9), 150. https://doi.org/10.1007/s10856-018-6158-x.</w:t>
      </w:r>
    </w:p>
    <w:p w14:paraId="482F7AD6" w14:textId="77777777" w:rsidR="00C16201" w:rsidRPr="00525779" w:rsidRDefault="00C16201" w:rsidP="00C16201">
      <w:pPr>
        <w:pStyle w:val="Bibliographie"/>
        <w:rPr>
          <w:rFonts w:ascii="Arial" w:hAnsi="Arial" w:cs="Arial"/>
          <w:sz w:val="24"/>
          <w:szCs w:val="24"/>
        </w:rPr>
      </w:pPr>
      <w:r w:rsidRPr="00525779">
        <w:rPr>
          <w:rFonts w:ascii="Arial" w:hAnsi="Arial" w:cs="Arial"/>
          <w:sz w:val="24"/>
          <w:szCs w:val="24"/>
        </w:rPr>
        <w:t>(48)</w:t>
      </w:r>
      <w:r w:rsidRPr="00525779">
        <w:rPr>
          <w:rFonts w:ascii="Arial" w:hAnsi="Arial" w:cs="Arial"/>
          <w:sz w:val="24"/>
          <w:szCs w:val="24"/>
        </w:rPr>
        <w:tab/>
        <w:t xml:space="preserve">Ghose, S.; Biswas, S.; Datta, K.; Tyagi, R. K. Dynamic Hyaluronan Drives Liver Endothelial Cells towards Angiogenesis. </w:t>
      </w:r>
      <w:r w:rsidRPr="00525779">
        <w:rPr>
          <w:rFonts w:ascii="Arial" w:hAnsi="Arial" w:cs="Arial"/>
          <w:i/>
          <w:iCs/>
          <w:sz w:val="24"/>
          <w:szCs w:val="24"/>
        </w:rPr>
        <w:t>BMC Cancer</w:t>
      </w:r>
      <w:r w:rsidRPr="00525779">
        <w:rPr>
          <w:rFonts w:ascii="Arial" w:hAnsi="Arial" w:cs="Arial"/>
          <w:sz w:val="24"/>
          <w:szCs w:val="24"/>
        </w:rPr>
        <w:t xml:space="preserve"> </w:t>
      </w:r>
      <w:r w:rsidRPr="00525779">
        <w:rPr>
          <w:rFonts w:ascii="Arial" w:hAnsi="Arial" w:cs="Arial"/>
          <w:b/>
          <w:bCs/>
          <w:sz w:val="24"/>
          <w:szCs w:val="24"/>
        </w:rPr>
        <w:t>2018</w:t>
      </w:r>
      <w:r w:rsidRPr="00525779">
        <w:rPr>
          <w:rFonts w:ascii="Arial" w:hAnsi="Arial" w:cs="Arial"/>
          <w:sz w:val="24"/>
          <w:szCs w:val="24"/>
        </w:rPr>
        <w:t xml:space="preserve">, </w:t>
      </w:r>
      <w:r w:rsidRPr="00525779">
        <w:rPr>
          <w:rFonts w:ascii="Arial" w:hAnsi="Arial" w:cs="Arial"/>
          <w:i/>
          <w:iCs/>
          <w:sz w:val="24"/>
          <w:szCs w:val="24"/>
        </w:rPr>
        <w:t>18</w:t>
      </w:r>
      <w:r w:rsidRPr="00525779">
        <w:rPr>
          <w:rFonts w:ascii="Arial" w:hAnsi="Arial" w:cs="Arial"/>
          <w:sz w:val="24"/>
          <w:szCs w:val="24"/>
        </w:rPr>
        <w:t xml:space="preserve"> (1), 648. https://doi.org/10.1186/s12885-018-4532-1.</w:t>
      </w:r>
    </w:p>
    <w:p w14:paraId="60884F7D" w14:textId="77777777" w:rsidR="00C16201" w:rsidRPr="00525779" w:rsidRDefault="00C16201" w:rsidP="00C16201">
      <w:pPr>
        <w:pStyle w:val="Bibliographie"/>
        <w:rPr>
          <w:rFonts w:ascii="Arial" w:hAnsi="Arial" w:cs="Arial"/>
          <w:sz w:val="24"/>
          <w:szCs w:val="24"/>
        </w:rPr>
      </w:pPr>
      <w:r w:rsidRPr="00525779">
        <w:rPr>
          <w:rFonts w:ascii="Arial" w:hAnsi="Arial" w:cs="Arial"/>
          <w:sz w:val="24"/>
          <w:szCs w:val="24"/>
        </w:rPr>
        <w:t>(49)</w:t>
      </w:r>
      <w:r w:rsidRPr="00525779">
        <w:rPr>
          <w:rFonts w:ascii="Arial" w:hAnsi="Arial" w:cs="Arial"/>
          <w:sz w:val="24"/>
          <w:szCs w:val="24"/>
        </w:rPr>
        <w:tab/>
      </w:r>
      <w:r w:rsidRPr="00525779">
        <w:rPr>
          <w:rFonts w:ascii="Arial" w:hAnsi="Arial" w:cs="Arial"/>
          <w:i/>
          <w:iCs/>
          <w:sz w:val="24"/>
          <w:szCs w:val="24"/>
        </w:rPr>
        <w:t>Photoinitiated polymerization of PEG-diacrylate with lithium phenyl-2,4,6-trimethylbenzoylphosphinate: polymerization rate and cytocompatibility - ScienceDirect</w:t>
      </w:r>
      <w:r w:rsidRPr="00525779">
        <w:rPr>
          <w:rFonts w:ascii="Arial" w:hAnsi="Arial" w:cs="Arial"/>
          <w:sz w:val="24"/>
          <w:szCs w:val="24"/>
        </w:rPr>
        <w:t>. https://www.sciencedirect.com/science/article/pii/S0142961209009041?casa_token=0P561E9gARoAAAAA:bKPfeYqOkTUjfiMpTti7rSqaC6XEwvdCHTwTr8W1cviT_LctOS2ZREayHMYPdRt43byPWg5s-ao (accessed 2021-06-04).</w:t>
      </w:r>
    </w:p>
    <w:p w14:paraId="685E4FE4" w14:textId="77777777" w:rsidR="00C16201" w:rsidRPr="00525779" w:rsidRDefault="00C16201" w:rsidP="00C16201">
      <w:pPr>
        <w:pStyle w:val="Bibliographie"/>
        <w:rPr>
          <w:rFonts w:ascii="Arial" w:hAnsi="Arial" w:cs="Arial"/>
          <w:sz w:val="24"/>
          <w:szCs w:val="24"/>
        </w:rPr>
      </w:pPr>
      <w:r w:rsidRPr="00525779">
        <w:rPr>
          <w:rFonts w:ascii="Arial" w:hAnsi="Arial" w:cs="Arial"/>
          <w:sz w:val="24"/>
          <w:szCs w:val="24"/>
        </w:rPr>
        <w:t>(50)</w:t>
      </w:r>
      <w:r w:rsidRPr="00525779">
        <w:rPr>
          <w:rFonts w:ascii="Arial" w:hAnsi="Arial" w:cs="Arial"/>
          <w:sz w:val="24"/>
          <w:szCs w:val="24"/>
        </w:rPr>
        <w:tab/>
        <w:t xml:space="preserve">Nguyen, A. K.; Goering, P. L.; Reipa, V.; Narayan, R. J. Toxicity and Photosensitizing Assessment of Gelatin Methacryloyl-Based Hydrogels Photoinitiated with Lithium Phenyl-2,4,6-Trimethylbenzoylphosphinate in Human Primary Renal Proximal Tubule Epithelial Cells. </w:t>
      </w:r>
      <w:r w:rsidRPr="00525779">
        <w:rPr>
          <w:rFonts w:ascii="Arial" w:hAnsi="Arial" w:cs="Arial"/>
          <w:i/>
          <w:iCs/>
          <w:sz w:val="24"/>
          <w:szCs w:val="24"/>
        </w:rPr>
        <w:t>Biointerphases</w:t>
      </w:r>
      <w:r w:rsidRPr="00525779">
        <w:rPr>
          <w:rFonts w:ascii="Arial" w:hAnsi="Arial" w:cs="Arial"/>
          <w:sz w:val="24"/>
          <w:szCs w:val="24"/>
        </w:rPr>
        <w:t xml:space="preserve"> </w:t>
      </w:r>
      <w:r w:rsidRPr="00525779">
        <w:rPr>
          <w:rFonts w:ascii="Arial" w:hAnsi="Arial" w:cs="Arial"/>
          <w:b/>
          <w:bCs/>
          <w:sz w:val="24"/>
          <w:szCs w:val="24"/>
        </w:rPr>
        <w:t>2019</w:t>
      </w:r>
      <w:r w:rsidRPr="00525779">
        <w:rPr>
          <w:rFonts w:ascii="Arial" w:hAnsi="Arial" w:cs="Arial"/>
          <w:sz w:val="24"/>
          <w:szCs w:val="24"/>
        </w:rPr>
        <w:t xml:space="preserve">, </w:t>
      </w:r>
      <w:r w:rsidRPr="00525779">
        <w:rPr>
          <w:rFonts w:ascii="Arial" w:hAnsi="Arial" w:cs="Arial"/>
          <w:i/>
          <w:iCs/>
          <w:sz w:val="24"/>
          <w:szCs w:val="24"/>
        </w:rPr>
        <w:t>14</w:t>
      </w:r>
      <w:r w:rsidRPr="00525779">
        <w:rPr>
          <w:rFonts w:ascii="Arial" w:hAnsi="Arial" w:cs="Arial"/>
          <w:sz w:val="24"/>
          <w:szCs w:val="24"/>
        </w:rPr>
        <w:t xml:space="preserve"> (2), 021007. https://doi.org/10.1116/1.5095886.</w:t>
      </w:r>
    </w:p>
    <w:p w14:paraId="052BC3BC" w14:textId="77777777" w:rsidR="00C16201" w:rsidRPr="00525779" w:rsidRDefault="00C16201" w:rsidP="00C16201">
      <w:pPr>
        <w:pStyle w:val="Bibliographie"/>
        <w:rPr>
          <w:rFonts w:ascii="Arial" w:hAnsi="Arial" w:cs="Arial"/>
          <w:sz w:val="24"/>
          <w:szCs w:val="24"/>
        </w:rPr>
      </w:pPr>
      <w:r w:rsidRPr="00525779">
        <w:rPr>
          <w:rFonts w:ascii="Arial" w:hAnsi="Arial" w:cs="Arial"/>
          <w:sz w:val="24"/>
          <w:szCs w:val="24"/>
        </w:rPr>
        <w:t>(51)</w:t>
      </w:r>
      <w:r w:rsidRPr="00525779">
        <w:rPr>
          <w:rFonts w:ascii="Arial" w:hAnsi="Arial" w:cs="Arial"/>
          <w:sz w:val="24"/>
          <w:szCs w:val="24"/>
        </w:rPr>
        <w:tab/>
        <w:t xml:space="preserve">McCall, J. D.; Anseth, K. S. Thiol–Ene Photopolymerizations Provide a Facile Method To Encapsulate Proteins and Maintain Their Bioactivity. </w:t>
      </w:r>
      <w:r w:rsidRPr="00525779">
        <w:rPr>
          <w:rFonts w:ascii="Arial" w:hAnsi="Arial" w:cs="Arial"/>
          <w:i/>
          <w:iCs/>
          <w:sz w:val="24"/>
          <w:szCs w:val="24"/>
        </w:rPr>
        <w:t>Biomacromolecules</w:t>
      </w:r>
      <w:r w:rsidRPr="00525779">
        <w:rPr>
          <w:rFonts w:ascii="Arial" w:hAnsi="Arial" w:cs="Arial"/>
          <w:sz w:val="24"/>
          <w:szCs w:val="24"/>
        </w:rPr>
        <w:t xml:space="preserve"> </w:t>
      </w:r>
      <w:r w:rsidRPr="00525779">
        <w:rPr>
          <w:rFonts w:ascii="Arial" w:hAnsi="Arial" w:cs="Arial"/>
          <w:b/>
          <w:bCs/>
          <w:sz w:val="24"/>
          <w:szCs w:val="24"/>
        </w:rPr>
        <w:t>2012</w:t>
      </w:r>
      <w:r w:rsidRPr="00525779">
        <w:rPr>
          <w:rFonts w:ascii="Arial" w:hAnsi="Arial" w:cs="Arial"/>
          <w:sz w:val="24"/>
          <w:szCs w:val="24"/>
        </w:rPr>
        <w:t xml:space="preserve">, </w:t>
      </w:r>
      <w:r w:rsidRPr="00525779">
        <w:rPr>
          <w:rFonts w:ascii="Arial" w:hAnsi="Arial" w:cs="Arial"/>
          <w:i/>
          <w:iCs/>
          <w:sz w:val="24"/>
          <w:szCs w:val="24"/>
        </w:rPr>
        <w:t>13</w:t>
      </w:r>
      <w:r w:rsidRPr="00525779">
        <w:rPr>
          <w:rFonts w:ascii="Arial" w:hAnsi="Arial" w:cs="Arial"/>
          <w:sz w:val="24"/>
          <w:szCs w:val="24"/>
        </w:rPr>
        <w:t xml:space="preserve"> (8), 2410–2417. https://doi.org/10.1021/bm300671s.</w:t>
      </w:r>
    </w:p>
    <w:p w14:paraId="7B00B7F8" w14:textId="77777777" w:rsidR="00C16201" w:rsidRPr="00525779" w:rsidRDefault="00C16201" w:rsidP="00C16201">
      <w:pPr>
        <w:pStyle w:val="Bibliographie"/>
        <w:rPr>
          <w:rFonts w:ascii="Arial" w:hAnsi="Arial" w:cs="Arial"/>
          <w:sz w:val="24"/>
          <w:szCs w:val="24"/>
        </w:rPr>
      </w:pPr>
      <w:r w:rsidRPr="00525779">
        <w:rPr>
          <w:rFonts w:ascii="Arial" w:hAnsi="Arial" w:cs="Arial"/>
          <w:sz w:val="24"/>
          <w:szCs w:val="24"/>
        </w:rPr>
        <w:t>(52)</w:t>
      </w:r>
      <w:r w:rsidRPr="00525779">
        <w:rPr>
          <w:rFonts w:ascii="Arial" w:hAnsi="Arial" w:cs="Arial"/>
          <w:sz w:val="24"/>
          <w:szCs w:val="24"/>
        </w:rPr>
        <w:tab/>
      </w:r>
      <w:r w:rsidRPr="00525779">
        <w:rPr>
          <w:rFonts w:ascii="Arial" w:hAnsi="Arial" w:cs="Arial"/>
          <w:i/>
          <w:iCs/>
          <w:sz w:val="24"/>
          <w:szCs w:val="24"/>
        </w:rPr>
        <w:t>Sudden, severe headache: an unexpected culprit - The Lancet</w:t>
      </w:r>
      <w:r w:rsidRPr="00525779">
        <w:rPr>
          <w:rFonts w:ascii="Arial" w:hAnsi="Arial" w:cs="Arial"/>
          <w:sz w:val="24"/>
          <w:szCs w:val="24"/>
        </w:rPr>
        <w:t>. https://www.thelancet.com/journals/lancet/article/PIIS0140-6736%2814%2960083-0/fulltext (accessed 2021-11-19).</w:t>
      </w:r>
    </w:p>
    <w:p w14:paraId="659E9988" w14:textId="77777777" w:rsidR="00C16201" w:rsidRPr="00525779" w:rsidRDefault="00C16201" w:rsidP="00C16201">
      <w:pPr>
        <w:pStyle w:val="Bibliographie"/>
        <w:rPr>
          <w:rFonts w:ascii="Arial" w:hAnsi="Arial" w:cs="Arial"/>
          <w:sz w:val="24"/>
          <w:szCs w:val="24"/>
        </w:rPr>
      </w:pPr>
      <w:r w:rsidRPr="00525779">
        <w:rPr>
          <w:rFonts w:ascii="Arial" w:hAnsi="Arial" w:cs="Arial"/>
          <w:sz w:val="24"/>
          <w:szCs w:val="24"/>
        </w:rPr>
        <w:t>(53)</w:t>
      </w:r>
      <w:r w:rsidRPr="00525779">
        <w:rPr>
          <w:rFonts w:ascii="Arial" w:hAnsi="Arial" w:cs="Arial"/>
          <w:sz w:val="24"/>
          <w:szCs w:val="24"/>
        </w:rPr>
        <w:tab/>
        <w:t xml:space="preserve">Health, C. for D. and R. Fluoroscopy. </w:t>
      </w:r>
      <w:r w:rsidRPr="00525779">
        <w:rPr>
          <w:rFonts w:ascii="Arial" w:hAnsi="Arial" w:cs="Arial"/>
          <w:i/>
          <w:iCs/>
          <w:sz w:val="24"/>
          <w:szCs w:val="24"/>
        </w:rPr>
        <w:t>FDA</w:t>
      </w:r>
      <w:r w:rsidRPr="00525779">
        <w:rPr>
          <w:rFonts w:ascii="Arial" w:hAnsi="Arial" w:cs="Arial"/>
          <w:sz w:val="24"/>
          <w:szCs w:val="24"/>
        </w:rPr>
        <w:t xml:space="preserve"> </w:t>
      </w:r>
      <w:r w:rsidRPr="00525779">
        <w:rPr>
          <w:rFonts w:ascii="Arial" w:hAnsi="Arial" w:cs="Arial"/>
          <w:b/>
          <w:bCs/>
          <w:sz w:val="24"/>
          <w:szCs w:val="24"/>
        </w:rPr>
        <w:t>2021</w:t>
      </w:r>
      <w:r w:rsidRPr="00525779">
        <w:rPr>
          <w:rFonts w:ascii="Arial" w:hAnsi="Arial" w:cs="Arial"/>
          <w:sz w:val="24"/>
          <w:szCs w:val="24"/>
        </w:rPr>
        <w:t>.</w:t>
      </w:r>
    </w:p>
    <w:p w14:paraId="1074DABD" w14:textId="77777777" w:rsidR="00C16201" w:rsidRPr="00525779" w:rsidRDefault="00C16201" w:rsidP="00C16201">
      <w:pPr>
        <w:pStyle w:val="Bibliographie"/>
        <w:rPr>
          <w:rFonts w:ascii="Arial" w:hAnsi="Arial" w:cs="Arial"/>
          <w:sz w:val="24"/>
          <w:szCs w:val="24"/>
        </w:rPr>
      </w:pPr>
      <w:r w:rsidRPr="00525779">
        <w:rPr>
          <w:rFonts w:ascii="Arial" w:hAnsi="Arial" w:cs="Arial"/>
          <w:sz w:val="24"/>
          <w:szCs w:val="24"/>
        </w:rPr>
        <w:t>(54)</w:t>
      </w:r>
      <w:r w:rsidRPr="00525779">
        <w:rPr>
          <w:rFonts w:ascii="Arial" w:hAnsi="Arial" w:cs="Arial"/>
          <w:sz w:val="24"/>
          <w:szCs w:val="24"/>
        </w:rPr>
        <w:tab/>
        <w:t xml:space="preserve">Fu, J.; Guo, J.; Qin, A.; Yu, X.; Zhang, Q.; Lei, X.; Huang, Y.; Chen, M.; Li, J.; Zhang, Y.; Liu, J.; Dang, Y.; Wu, D.; Zhao, X.; Lin, Z.; Lin, Y.; Li, S.; Zhang, L. Bismuth Chelate as a Contrast Agent for X-Ray Computed Tomography. </w:t>
      </w:r>
      <w:r w:rsidRPr="00525779">
        <w:rPr>
          <w:rFonts w:ascii="Arial" w:hAnsi="Arial" w:cs="Arial"/>
          <w:i/>
          <w:iCs/>
          <w:sz w:val="24"/>
          <w:szCs w:val="24"/>
        </w:rPr>
        <w:t>J Nanobiotechnology</w:t>
      </w:r>
      <w:r w:rsidRPr="00525779">
        <w:rPr>
          <w:rFonts w:ascii="Arial" w:hAnsi="Arial" w:cs="Arial"/>
          <w:sz w:val="24"/>
          <w:szCs w:val="24"/>
        </w:rPr>
        <w:t xml:space="preserve"> </w:t>
      </w:r>
      <w:r w:rsidRPr="00525779">
        <w:rPr>
          <w:rFonts w:ascii="Arial" w:hAnsi="Arial" w:cs="Arial"/>
          <w:b/>
          <w:bCs/>
          <w:sz w:val="24"/>
          <w:szCs w:val="24"/>
        </w:rPr>
        <w:t>2020</w:t>
      </w:r>
      <w:r w:rsidRPr="00525779">
        <w:rPr>
          <w:rFonts w:ascii="Arial" w:hAnsi="Arial" w:cs="Arial"/>
          <w:sz w:val="24"/>
          <w:szCs w:val="24"/>
        </w:rPr>
        <w:t xml:space="preserve">, </w:t>
      </w:r>
      <w:r w:rsidRPr="00525779">
        <w:rPr>
          <w:rFonts w:ascii="Arial" w:hAnsi="Arial" w:cs="Arial"/>
          <w:i/>
          <w:iCs/>
          <w:sz w:val="24"/>
          <w:szCs w:val="24"/>
        </w:rPr>
        <w:t>18</w:t>
      </w:r>
      <w:r w:rsidRPr="00525779">
        <w:rPr>
          <w:rFonts w:ascii="Arial" w:hAnsi="Arial" w:cs="Arial"/>
          <w:sz w:val="24"/>
          <w:szCs w:val="24"/>
        </w:rPr>
        <w:t>. https://doi.org/10.1186/s12951-020-00669-4.</w:t>
      </w:r>
    </w:p>
    <w:p w14:paraId="6DF84073" w14:textId="77777777" w:rsidR="00C16201" w:rsidRPr="00525779" w:rsidRDefault="00C16201" w:rsidP="00C16201">
      <w:pPr>
        <w:pStyle w:val="Bibliographie"/>
        <w:rPr>
          <w:rFonts w:ascii="Arial" w:hAnsi="Arial" w:cs="Arial"/>
          <w:sz w:val="24"/>
          <w:szCs w:val="24"/>
        </w:rPr>
      </w:pPr>
      <w:r w:rsidRPr="00525779">
        <w:rPr>
          <w:rFonts w:ascii="Arial" w:hAnsi="Arial" w:cs="Arial"/>
          <w:sz w:val="24"/>
          <w:szCs w:val="24"/>
        </w:rPr>
        <w:t>(55)</w:t>
      </w:r>
      <w:r w:rsidRPr="00525779">
        <w:rPr>
          <w:rFonts w:ascii="Arial" w:hAnsi="Arial" w:cs="Arial"/>
          <w:sz w:val="24"/>
          <w:szCs w:val="24"/>
        </w:rPr>
        <w:tab/>
        <w:t xml:space="preserve">Koç, M. M.; Aslan, N.; Kao, A. P.; Barber, A. H. Evaluation of X-Ray Tomography Contrast Agents: A Review of Production, Protocols, and Biological Applications. </w:t>
      </w:r>
      <w:r w:rsidRPr="00525779">
        <w:rPr>
          <w:rFonts w:ascii="Arial" w:hAnsi="Arial" w:cs="Arial"/>
          <w:i/>
          <w:iCs/>
          <w:sz w:val="24"/>
          <w:szCs w:val="24"/>
        </w:rPr>
        <w:t>Microscopy Research and Technique</w:t>
      </w:r>
      <w:r w:rsidRPr="00525779">
        <w:rPr>
          <w:rFonts w:ascii="Arial" w:hAnsi="Arial" w:cs="Arial"/>
          <w:sz w:val="24"/>
          <w:szCs w:val="24"/>
        </w:rPr>
        <w:t xml:space="preserve"> </w:t>
      </w:r>
      <w:r w:rsidRPr="00525779">
        <w:rPr>
          <w:rFonts w:ascii="Arial" w:hAnsi="Arial" w:cs="Arial"/>
          <w:b/>
          <w:bCs/>
          <w:sz w:val="24"/>
          <w:szCs w:val="24"/>
        </w:rPr>
        <w:t>2019</w:t>
      </w:r>
      <w:r w:rsidRPr="00525779">
        <w:rPr>
          <w:rFonts w:ascii="Arial" w:hAnsi="Arial" w:cs="Arial"/>
          <w:sz w:val="24"/>
          <w:szCs w:val="24"/>
        </w:rPr>
        <w:t xml:space="preserve">, </w:t>
      </w:r>
      <w:r w:rsidRPr="00525779">
        <w:rPr>
          <w:rFonts w:ascii="Arial" w:hAnsi="Arial" w:cs="Arial"/>
          <w:i/>
          <w:iCs/>
          <w:sz w:val="24"/>
          <w:szCs w:val="24"/>
        </w:rPr>
        <w:t>82</w:t>
      </w:r>
      <w:r w:rsidRPr="00525779">
        <w:rPr>
          <w:rFonts w:ascii="Arial" w:hAnsi="Arial" w:cs="Arial"/>
          <w:sz w:val="24"/>
          <w:szCs w:val="24"/>
        </w:rPr>
        <w:t xml:space="preserve"> (6), 812–848. https://doi.org/10.1002/jemt.23225.</w:t>
      </w:r>
    </w:p>
    <w:p w14:paraId="67CD7A08" w14:textId="77777777" w:rsidR="00C16201" w:rsidRPr="00525779" w:rsidRDefault="00C16201" w:rsidP="00C16201">
      <w:pPr>
        <w:pStyle w:val="Bibliographie"/>
        <w:rPr>
          <w:rFonts w:ascii="Arial" w:hAnsi="Arial" w:cs="Arial"/>
          <w:sz w:val="24"/>
          <w:szCs w:val="24"/>
        </w:rPr>
      </w:pPr>
      <w:r w:rsidRPr="00525779">
        <w:rPr>
          <w:rFonts w:ascii="Arial" w:hAnsi="Arial" w:cs="Arial"/>
          <w:sz w:val="24"/>
          <w:szCs w:val="24"/>
        </w:rPr>
        <w:t>(56)</w:t>
      </w:r>
      <w:r w:rsidRPr="00525779">
        <w:rPr>
          <w:rFonts w:ascii="Arial" w:hAnsi="Arial" w:cs="Arial"/>
          <w:sz w:val="24"/>
          <w:szCs w:val="24"/>
        </w:rPr>
        <w:tab/>
        <w:t xml:space="preserve">Roberts, J.; Bonitatibus, P.; Butts, M.; Colborn, R.; Edic, P.; Fitzgerald, P.; Lambert, J.; Marino, M.; Torres, A.; Yeh, B. </w:t>
      </w:r>
      <w:r w:rsidRPr="00525779">
        <w:rPr>
          <w:rFonts w:ascii="Arial" w:hAnsi="Arial" w:cs="Arial"/>
          <w:i/>
          <w:iCs/>
          <w:sz w:val="24"/>
          <w:szCs w:val="24"/>
        </w:rPr>
        <w:t>Physiochemical, Biological, and Imaging Performance of Zwitterionic-Coated TaO Nanoparticles as CT Contrast Agents</w:t>
      </w:r>
      <w:r w:rsidRPr="00525779">
        <w:rPr>
          <w:rFonts w:ascii="Arial" w:hAnsi="Arial" w:cs="Arial"/>
          <w:sz w:val="24"/>
          <w:szCs w:val="24"/>
        </w:rPr>
        <w:t>; 2015. https://doi.org/10.13140/RG.2.1.3352.3687.</w:t>
      </w:r>
    </w:p>
    <w:p w14:paraId="50CF614B" w14:textId="77777777" w:rsidR="00C16201" w:rsidRPr="00525779" w:rsidRDefault="00C16201" w:rsidP="00C16201">
      <w:pPr>
        <w:pStyle w:val="Bibliographie"/>
        <w:rPr>
          <w:rFonts w:ascii="Arial" w:hAnsi="Arial" w:cs="Arial"/>
          <w:sz w:val="24"/>
          <w:szCs w:val="24"/>
        </w:rPr>
      </w:pPr>
      <w:r w:rsidRPr="00525779">
        <w:rPr>
          <w:rFonts w:ascii="Arial" w:hAnsi="Arial" w:cs="Arial"/>
          <w:sz w:val="24"/>
          <w:szCs w:val="24"/>
        </w:rPr>
        <w:t>(57)</w:t>
      </w:r>
      <w:r w:rsidRPr="00525779">
        <w:rPr>
          <w:rFonts w:ascii="Arial" w:hAnsi="Arial" w:cs="Arial"/>
          <w:sz w:val="24"/>
          <w:szCs w:val="24"/>
        </w:rPr>
        <w:tab/>
        <w:t xml:space="preserve">Rathnayake, S.; Mongan, J.; Torres, A. S.; Colborn, R.; Gao, D.-W.; Yeh, B. M.; Fu, Y. In Vivo Comparison of Tantalum, Tungsten, and Bismuth Enteric Contrast Agents to Complement Intravenous Iodine for Double-Contrast Dual-Energy CT of the </w:t>
      </w:r>
      <w:r w:rsidRPr="00525779">
        <w:rPr>
          <w:rFonts w:ascii="Arial" w:hAnsi="Arial" w:cs="Arial"/>
          <w:sz w:val="24"/>
          <w:szCs w:val="24"/>
        </w:rPr>
        <w:lastRenderedPageBreak/>
        <w:t xml:space="preserve">Bowel. </w:t>
      </w:r>
      <w:r w:rsidRPr="00525779">
        <w:rPr>
          <w:rFonts w:ascii="Arial" w:hAnsi="Arial" w:cs="Arial"/>
          <w:i/>
          <w:iCs/>
          <w:sz w:val="24"/>
          <w:szCs w:val="24"/>
        </w:rPr>
        <w:t>Contrast Media Mol Imaging</w:t>
      </w:r>
      <w:r w:rsidRPr="00525779">
        <w:rPr>
          <w:rFonts w:ascii="Arial" w:hAnsi="Arial" w:cs="Arial"/>
          <w:sz w:val="24"/>
          <w:szCs w:val="24"/>
        </w:rPr>
        <w:t xml:space="preserve"> </w:t>
      </w:r>
      <w:r w:rsidRPr="00525779">
        <w:rPr>
          <w:rFonts w:ascii="Arial" w:hAnsi="Arial" w:cs="Arial"/>
          <w:b/>
          <w:bCs/>
          <w:sz w:val="24"/>
          <w:szCs w:val="24"/>
        </w:rPr>
        <w:t>2016</w:t>
      </w:r>
      <w:r w:rsidRPr="00525779">
        <w:rPr>
          <w:rFonts w:ascii="Arial" w:hAnsi="Arial" w:cs="Arial"/>
          <w:sz w:val="24"/>
          <w:szCs w:val="24"/>
        </w:rPr>
        <w:t xml:space="preserve">, </w:t>
      </w:r>
      <w:r w:rsidRPr="00525779">
        <w:rPr>
          <w:rFonts w:ascii="Arial" w:hAnsi="Arial" w:cs="Arial"/>
          <w:i/>
          <w:iCs/>
          <w:sz w:val="24"/>
          <w:szCs w:val="24"/>
        </w:rPr>
        <w:t>11</w:t>
      </w:r>
      <w:r w:rsidRPr="00525779">
        <w:rPr>
          <w:rFonts w:ascii="Arial" w:hAnsi="Arial" w:cs="Arial"/>
          <w:sz w:val="24"/>
          <w:szCs w:val="24"/>
        </w:rPr>
        <w:t xml:space="preserve"> (4), 254–261. https://doi.org/10.1002/cmmi.1687.</w:t>
      </w:r>
    </w:p>
    <w:p w14:paraId="3ED452A9" w14:textId="77777777" w:rsidR="00C16201" w:rsidRPr="00525779" w:rsidRDefault="00C16201" w:rsidP="00C16201">
      <w:pPr>
        <w:pStyle w:val="Bibliographie"/>
        <w:rPr>
          <w:rFonts w:ascii="Arial" w:hAnsi="Arial" w:cs="Arial"/>
          <w:sz w:val="24"/>
          <w:szCs w:val="24"/>
        </w:rPr>
      </w:pPr>
      <w:r w:rsidRPr="00525779">
        <w:rPr>
          <w:rFonts w:ascii="Arial" w:hAnsi="Arial" w:cs="Arial"/>
          <w:sz w:val="24"/>
          <w:szCs w:val="24"/>
        </w:rPr>
        <w:t>(58)</w:t>
      </w:r>
      <w:r w:rsidRPr="00525779">
        <w:rPr>
          <w:rFonts w:ascii="Arial" w:hAnsi="Arial" w:cs="Arial"/>
          <w:sz w:val="24"/>
          <w:szCs w:val="24"/>
        </w:rPr>
        <w:tab/>
        <w:t xml:space="preserve">FitzGerald, P. F.; Butts, M. D.; Roberts, J. C.; Colborn, R. E.; Torres, A. S.; Lee, B. D.; Yeh, B. M.; Bonitatibus, P. J. A Proposed CT Contrast Agent Using Carboxybetaine Zwitterionic Tantalum Oxide Nanoparticles: Imaging, Biological, and Physicochemical Performance. </w:t>
      </w:r>
      <w:r w:rsidRPr="00525779">
        <w:rPr>
          <w:rFonts w:ascii="Arial" w:hAnsi="Arial" w:cs="Arial"/>
          <w:i/>
          <w:iCs/>
          <w:sz w:val="24"/>
          <w:szCs w:val="24"/>
        </w:rPr>
        <w:t>Invest Radiol</w:t>
      </w:r>
      <w:r w:rsidRPr="00525779">
        <w:rPr>
          <w:rFonts w:ascii="Arial" w:hAnsi="Arial" w:cs="Arial"/>
          <w:sz w:val="24"/>
          <w:szCs w:val="24"/>
        </w:rPr>
        <w:t xml:space="preserve"> </w:t>
      </w:r>
      <w:r w:rsidRPr="00525779">
        <w:rPr>
          <w:rFonts w:ascii="Arial" w:hAnsi="Arial" w:cs="Arial"/>
          <w:b/>
          <w:bCs/>
          <w:sz w:val="24"/>
          <w:szCs w:val="24"/>
        </w:rPr>
        <w:t>2016</w:t>
      </w:r>
      <w:r w:rsidRPr="00525779">
        <w:rPr>
          <w:rFonts w:ascii="Arial" w:hAnsi="Arial" w:cs="Arial"/>
          <w:sz w:val="24"/>
          <w:szCs w:val="24"/>
        </w:rPr>
        <w:t xml:space="preserve">, </w:t>
      </w:r>
      <w:r w:rsidRPr="00525779">
        <w:rPr>
          <w:rFonts w:ascii="Arial" w:hAnsi="Arial" w:cs="Arial"/>
          <w:i/>
          <w:iCs/>
          <w:sz w:val="24"/>
          <w:szCs w:val="24"/>
        </w:rPr>
        <w:t>51</w:t>
      </w:r>
      <w:r w:rsidRPr="00525779">
        <w:rPr>
          <w:rFonts w:ascii="Arial" w:hAnsi="Arial" w:cs="Arial"/>
          <w:sz w:val="24"/>
          <w:szCs w:val="24"/>
        </w:rPr>
        <w:t xml:space="preserve"> (12), 786–796. https://doi.org/10.1097/RLI.0000000000000279.</w:t>
      </w:r>
    </w:p>
    <w:p w14:paraId="7274041E" w14:textId="77777777" w:rsidR="00C16201" w:rsidRPr="00525779" w:rsidRDefault="00C16201" w:rsidP="00C16201">
      <w:pPr>
        <w:pStyle w:val="Bibliographie"/>
        <w:rPr>
          <w:rFonts w:ascii="Arial" w:hAnsi="Arial" w:cs="Arial"/>
          <w:sz w:val="24"/>
          <w:szCs w:val="24"/>
        </w:rPr>
      </w:pPr>
      <w:r w:rsidRPr="00525779">
        <w:rPr>
          <w:rFonts w:ascii="Arial" w:hAnsi="Arial" w:cs="Arial"/>
          <w:sz w:val="24"/>
          <w:szCs w:val="24"/>
        </w:rPr>
        <w:t>(59)</w:t>
      </w:r>
      <w:r w:rsidRPr="00525779">
        <w:rPr>
          <w:rFonts w:ascii="Arial" w:hAnsi="Arial" w:cs="Arial"/>
          <w:sz w:val="24"/>
          <w:szCs w:val="24"/>
        </w:rPr>
        <w:tab/>
        <w:t>Tantalum Oxide Nanoparticles as Imaging Agents for X-Ray/ Computed Tomography and Methods for Making Same, January 25, 2008.</w:t>
      </w:r>
    </w:p>
    <w:p w14:paraId="67CEF439" w14:textId="77777777" w:rsidR="00C16201" w:rsidRPr="00525779" w:rsidRDefault="00C16201" w:rsidP="00C16201">
      <w:pPr>
        <w:pStyle w:val="Bibliographie"/>
        <w:rPr>
          <w:rFonts w:ascii="Arial" w:hAnsi="Arial" w:cs="Arial"/>
          <w:sz w:val="24"/>
          <w:szCs w:val="24"/>
        </w:rPr>
      </w:pPr>
      <w:r w:rsidRPr="00525779">
        <w:rPr>
          <w:rFonts w:ascii="Arial" w:hAnsi="Arial" w:cs="Arial"/>
          <w:sz w:val="24"/>
          <w:szCs w:val="24"/>
        </w:rPr>
        <w:t>(60)</w:t>
      </w:r>
      <w:r w:rsidRPr="00525779">
        <w:rPr>
          <w:rFonts w:ascii="Arial" w:hAnsi="Arial" w:cs="Arial"/>
          <w:sz w:val="24"/>
          <w:szCs w:val="24"/>
        </w:rPr>
        <w:tab/>
        <w:t xml:space="preserve">Wang, Q.; Zhang, H.; Li, Q.; Ye, L.; Gan, H.; Liu, Y.; Wang, H.; Wang, Z. Biocompatibility and Osteogenic Properties of Porous Tantalum. </w:t>
      </w:r>
      <w:r w:rsidRPr="00525779">
        <w:rPr>
          <w:rFonts w:ascii="Arial" w:hAnsi="Arial" w:cs="Arial"/>
          <w:i/>
          <w:iCs/>
          <w:sz w:val="24"/>
          <w:szCs w:val="24"/>
        </w:rPr>
        <w:t>Experimental and Therapeutic Medicine</w:t>
      </w:r>
      <w:r w:rsidRPr="00525779">
        <w:rPr>
          <w:rFonts w:ascii="Arial" w:hAnsi="Arial" w:cs="Arial"/>
          <w:sz w:val="24"/>
          <w:szCs w:val="24"/>
        </w:rPr>
        <w:t xml:space="preserve"> </w:t>
      </w:r>
      <w:r w:rsidRPr="00525779">
        <w:rPr>
          <w:rFonts w:ascii="Arial" w:hAnsi="Arial" w:cs="Arial"/>
          <w:b/>
          <w:bCs/>
          <w:sz w:val="24"/>
          <w:szCs w:val="24"/>
        </w:rPr>
        <w:t>2015</w:t>
      </w:r>
      <w:r w:rsidRPr="00525779">
        <w:rPr>
          <w:rFonts w:ascii="Arial" w:hAnsi="Arial" w:cs="Arial"/>
          <w:sz w:val="24"/>
          <w:szCs w:val="24"/>
        </w:rPr>
        <w:t xml:space="preserve">, </w:t>
      </w:r>
      <w:r w:rsidRPr="00525779">
        <w:rPr>
          <w:rFonts w:ascii="Arial" w:hAnsi="Arial" w:cs="Arial"/>
          <w:i/>
          <w:iCs/>
          <w:sz w:val="24"/>
          <w:szCs w:val="24"/>
        </w:rPr>
        <w:t>9</w:t>
      </w:r>
      <w:r w:rsidRPr="00525779">
        <w:rPr>
          <w:rFonts w:ascii="Arial" w:hAnsi="Arial" w:cs="Arial"/>
          <w:sz w:val="24"/>
          <w:szCs w:val="24"/>
        </w:rPr>
        <w:t xml:space="preserve"> (3), 780–786. https://doi.org/10.3892/etm.2015.2208.</w:t>
      </w:r>
    </w:p>
    <w:p w14:paraId="097C1C55" w14:textId="77777777" w:rsidR="00C16201" w:rsidRPr="00525779" w:rsidRDefault="00C16201" w:rsidP="00C16201">
      <w:pPr>
        <w:pStyle w:val="Bibliographie"/>
        <w:rPr>
          <w:rFonts w:ascii="Arial" w:hAnsi="Arial" w:cs="Arial"/>
          <w:sz w:val="24"/>
          <w:szCs w:val="24"/>
        </w:rPr>
      </w:pPr>
      <w:r w:rsidRPr="00525779">
        <w:rPr>
          <w:rFonts w:ascii="Arial" w:hAnsi="Arial" w:cs="Arial"/>
          <w:sz w:val="24"/>
          <w:szCs w:val="24"/>
        </w:rPr>
        <w:t>(61)</w:t>
      </w:r>
      <w:r w:rsidRPr="00525779">
        <w:rPr>
          <w:rFonts w:ascii="Arial" w:hAnsi="Arial" w:cs="Arial"/>
          <w:sz w:val="24"/>
          <w:szCs w:val="24"/>
        </w:rPr>
        <w:tab/>
      </w:r>
      <w:r w:rsidRPr="00525779">
        <w:rPr>
          <w:rFonts w:ascii="Arial" w:hAnsi="Arial" w:cs="Arial"/>
          <w:i/>
          <w:iCs/>
          <w:sz w:val="24"/>
          <w:szCs w:val="24"/>
        </w:rPr>
        <w:t>Conductive and injectable hyaluronic acid/gelatin/gold nanorod hydrogels for enhanced surgical translation and bioprinting - Kiyotake - 2022 - Journal of Biomedical Materials Research Part A - Wiley Online Library</w:t>
      </w:r>
      <w:r w:rsidRPr="00525779">
        <w:rPr>
          <w:rFonts w:ascii="Arial" w:hAnsi="Arial" w:cs="Arial"/>
          <w:sz w:val="24"/>
          <w:szCs w:val="24"/>
        </w:rPr>
        <w:t>. https://onlinelibrary.wiley.com/doi/abs/10.1002/jbm.a.37294 (accessed 2022-02-16).</w:t>
      </w:r>
    </w:p>
    <w:p w14:paraId="79579263" w14:textId="77777777" w:rsidR="00C16201" w:rsidRPr="00525779" w:rsidRDefault="00C16201" w:rsidP="00C16201">
      <w:pPr>
        <w:pStyle w:val="Bibliographie"/>
        <w:rPr>
          <w:rFonts w:ascii="Arial" w:hAnsi="Arial" w:cs="Arial"/>
          <w:sz w:val="24"/>
          <w:szCs w:val="24"/>
        </w:rPr>
      </w:pPr>
      <w:r w:rsidRPr="00525779">
        <w:rPr>
          <w:rFonts w:ascii="Arial" w:hAnsi="Arial" w:cs="Arial"/>
          <w:sz w:val="24"/>
          <w:szCs w:val="24"/>
        </w:rPr>
        <w:t>(62)</w:t>
      </w:r>
      <w:r w:rsidRPr="00525779">
        <w:rPr>
          <w:rFonts w:ascii="Arial" w:hAnsi="Arial" w:cs="Arial"/>
          <w:sz w:val="24"/>
          <w:szCs w:val="24"/>
        </w:rPr>
        <w:tab/>
        <w:t xml:space="preserve">Chimene, D.; Kaunas, R.; Gaharwar, A. K. Hydrogel Bioink Reinforcement for Additive Manufacturing: A Focused Review of Emerging Strategies. </w:t>
      </w:r>
      <w:r w:rsidRPr="00525779">
        <w:rPr>
          <w:rFonts w:ascii="Arial" w:hAnsi="Arial" w:cs="Arial"/>
          <w:i/>
          <w:iCs/>
          <w:sz w:val="24"/>
          <w:szCs w:val="24"/>
        </w:rPr>
        <w:t>Advanced Materials</w:t>
      </w:r>
      <w:r w:rsidRPr="00525779">
        <w:rPr>
          <w:rFonts w:ascii="Arial" w:hAnsi="Arial" w:cs="Arial"/>
          <w:sz w:val="24"/>
          <w:szCs w:val="24"/>
        </w:rPr>
        <w:t xml:space="preserve"> </w:t>
      </w:r>
      <w:r w:rsidRPr="00525779">
        <w:rPr>
          <w:rFonts w:ascii="Arial" w:hAnsi="Arial" w:cs="Arial"/>
          <w:b/>
          <w:bCs/>
          <w:sz w:val="24"/>
          <w:szCs w:val="24"/>
        </w:rPr>
        <w:t>2020</w:t>
      </w:r>
      <w:r w:rsidRPr="00525779">
        <w:rPr>
          <w:rFonts w:ascii="Arial" w:hAnsi="Arial" w:cs="Arial"/>
          <w:sz w:val="24"/>
          <w:szCs w:val="24"/>
        </w:rPr>
        <w:t xml:space="preserve">, </w:t>
      </w:r>
      <w:r w:rsidRPr="00525779">
        <w:rPr>
          <w:rFonts w:ascii="Arial" w:hAnsi="Arial" w:cs="Arial"/>
          <w:i/>
          <w:iCs/>
          <w:sz w:val="24"/>
          <w:szCs w:val="24"/>
        </w:rPr>
        <w:t>32</w:t>
      </w:r>
      <w:r w:rsidRPr="00525779">
        <w:rPr>
          <w:rFonts w:ascii="Arial" w:hAnsi="Arial" w:cs="Arial"/>
          <w:sz w:val="24"/>
          <w:szCs w:val="24"/>
        </w:rPr>
        <w:t xml:space="preserve"> (1), 1902026. https://doi.org/10.1002/adma.201902026.</w:t>
      </w:r>
    </w:p>
    <w:p w14:paraId="2F97D1EF" w14:textId="77777777" w:rsidR="00C16201" w:rsidRPr="00525779" w:rsidRDefault="00C16201" w:rsidP="00C16201">
      <w:pPr>
        <w:pStyle w:val="Bibliographie"/>
        <w:rPr>
          <w:rFonts w:ascii="Arial" w:hAnsi="Arial" w:cs="Arial"/>
          <w:sz w:val="24"/>
          <w:szCs w:val="24"/>
        </w:rPr>
      </w:pPr>
      <w:r w:rsidRPr="00525779">
        <w:rPr>
          <w:rFonts w:ascii="Arial" w:hAnsi="Arial" w:cs="Arial"/>
          <w:sz w:val="24"/>
          <w:szCs w:val="24"/>
        </w:rPr>
        <w:t>(63)</w:t>
      </w:r>
      <w:r w:rsidRPr="00525779">
        <w:rPr>
          <w:rFonts w:ascii="Arial" w:hAnsi="Arial" w:cs="Arial"/>
          <w:sz w:val="24"/>
          <w:szCs w:val="24"/>
        </w:rPr>
        <w:tab/>
        <w:t xml:space="preserve">Burdick, J. A.; Chung, C.; Jia, X.; Randolph, M. A.; Langer, R. Controlled Degradation and Mechanical Behavior of Photopolymerized Hyaluronic Acid Networks. </w:t>
      </w:r>
      <w:r w:rsidRPr="00525779">
        <w:rPr>
          <w:rFonts w:ascii="Arial" w:hAnsi="Arial" w:cs="Arial"/>
          <w:i/>
          <w:iCs/>
          <w:sz w:val="24"/>
          <w:szCs w:val="24"/>
        </w:rPr>
        <w:t>Biomacromolecules</w:t>
      </w:r>
      <w:r w:rsidRPr="00525779">
        <w:rPr>
          <w:rFonts w:ascii="Arial" w:hAnsi="Arial" w:cs="Arial"/>
          <w:sz w:val="24"/>
          <w:szCs w:val="24"/>
        </w:rPr>
        <w:t xml:space="preserve"> </w:t>
      </w:r>
      <w:r w:rsidRPr="00525779">
        <w:rPr>
          <w:rFonts w:ascii="Arial" w:hAnsi="Arial" w:cs="Arial"/>
          <w:b/>
          <w:bCs/>
          <w:sz w:val="24"/>
          <w:szCs w:val="24"/>
        </w:rPr>
        <w:t>2005</w:t>
      </w:r>
      <w:r w:rsidRPr="00525779">
        <w:rPr>
          <w:rFonts w:ascii="Arial" w:hAnsi="Arial" w:cs="Arial"/>
          <w:sz w:val="24"/>
          <w:szCs w:val="24"/>
        </w:rPr>
        <w:t xml:space="preserve">, </w:t>
      </w:r>
      <w:r w:rsidRPr="00525779">
        <w:rPr>
          <w:rFonts w:ascii="Arial" w:hAnsi="Arial" w:cs="Arial"/>
          <w:i/>
          <w:iCs/>
          <w:sz w:val="24"/>
          <w:szCs w:val="24"/>
        </w:rPr>
        <w:t>6</w:t>
      </w:r>
      <w:r w:rsidRPr="00525779">
        <w:rPr>
          <w:rFonts w:ascii="Arial" w:hAnsi="Arial" w:cs="Arial"/>
          <w:sz w:val="24"/>
          <w:szCs w:val="24"/>
        </w:rPr>
        <w:t xml:space="preserve"> (1), 386–391. https://doi.org/10.1021/bm049508a.</w:t>
      </w:r>
    </w:p>
    <w:p w14:paraId="6E5D7BF0" w14:textId="77777777" w:rsidR="00C16201" w:rsidRPr="00525779" w:rsidRDefault="00C16201" w:rsidP="00C16201">
      <w:pPr>
        <w:pStyle w:val="Bibliographie"/>
        <w:rPr>
          <w:rFonts w:ascii="Arial" w:hAnsi="Arial" w:cs="Arial"/>
          <w:sz w:val="24"/>
          <w:szCs w:val="24"/>
        </w:rPr>
      </w:pPr>
      <w:r w:rsidRPr="00525779">
        <w:rPr>
          <w:rFonts w:ascii="Arial" w:hAnsi="Arial" w:cs="Arial"/>
          <w:sz w:val="24"/>
          <w:szCs w:val="24"/>
        </w:rPr>
        <w:t>(64)</w:t>
      </w:r>
      <w:r w:rsidRPr="00525779">
        <w:rPr>
          <w:rFonts w:ascii="Arial" w:hAnsi="Arial" w:cs="Arial"/>
          <w:sz w:val="24"/>
          <w:szCs w:val="24"/>
        </w:rPr>
        <w:tab/>
        <w:t xml:space="preserve">Toh, W. S.; Lim, T. C.; Kurisawa, M.; Spector, M. Modulation of Mesenchymal Stem Cell Chondrogenesis in a Tunable Hyaluronic Acid Hydrogel Microenvironment. </w:t>
      </w:r>
      <w:r w:rsidRPr="00525779">
        <w:rPr>
          <w:rFonts w:ascii="Arial" w:hAnsi="Arial" w:cs="Arial"/>
          <w:i/>
          <w:iCs/>
          <w:sz w:val="24"/>
          <w:szCs w:val="24"/>
        </w:rPr>
        <w:t>Biomaterials</w:t>
      </w:r>
      <w:r w:rsidRPr="00525779">
        <w:rPr>
          <w:rFonts w:ascii="Arial" w:hAnsi="Arial" w:cs="Arial"/>
          <w:sz w:val="24"/>
          <w:szCs w:val="24"/>
        </w:rPr>
        <w:t xml:space="preserve"> </w:t>
      </w:r>
      <w:r w:rsidRPr="00525779">
        <w:rPr>
          <w:rFonts w:ascii="Arial" w:hAnsi="Arial" w:cs="Arial"/>
          <w:b/>
          <w:bCs/>
          <w:sz w:val="24"/>
          <w:szCs w:val="24"/>
        </w:rPr>
        <w:t>2012</w:t>
      </w:r>
      <w:r w:rsidRPr="00525779">
        <w:rPr>
          <w:rFonts w:ascii="Arial" w:hAnsi="Arial" w:cs="Arial"/>
          <w:sz w:val="24"/>
          <w:szCs w:val="24"/>
        </w:rPr>
        <w:t xml:space="preserve">, </w:t>
      </w:r>
      <w:r w:rsidRPr="00525779">
        <w:rPr>
          <w:rFonts w:ascii="Arial" w:hAnsi="Arial" w:cs="Arial"/>
          <w:i/>
          <w:iCs/>
          <w:sz w:val="24"/>
          <w:szCs w:val="24"/>
        </w:rPr>
        <w:t>33</w:t>
      </w:r>
      <w:r w:rsidRPr="00525779">
        <w:rPr>
          <w:rFonts w:ascii="Arial" w:hAnsi="Arial" w:cs="Arial"/>
          <w:sz w:val="24"/>
          <w:szCs w:val="24"/>
        </w:rPr>
        <w:t xml:space="preserve"> (15), 3835–3845. https://doi.org/10.1016/j.biomaterials.2012.01.065.</w:t>
      </w:r>
    </w:p>
    <w:p w14:paraId="13689649" w14:textId="77777777" w:rsidR="00C16201" w:rsidRPr="00525779" w:rsidRDefault="00C16201" w:rsidP="00C16201">
      <w:pPr>
        <w:pStyle w:val="Bibliographie"/>
        <w:rPr>
          <w:rFonts w:ascii="Arial" w:hAnsi="Arial" w:cs="Arial"/>
          <w:sz w:val="24"/>
          <w:szCs w:val="24"/>
        </w:rPr>
      </w:pPr>
      <w:r w:rsidRPr="00525779">
        <w:rPr>
          <w:rFonts w:ascii="Arial" w:hAnsi="Arial" w:cs="Arial"/>
          <w:sz w:val="24"/>
          <w:szCs w:val="24"/>
        </w:rPr>
        <w:t>(65)</w:t>
      </w:r>
      <w:r w:rsidRPr="00525779">
        <w:rPr>
          <w:rFonts w:ascii="Arial" w:hAnsi="Arial" w:cs="Arial"/>
          <w:sz w:val="24"/>
          <w:szCs w:val="24"/>
        </w:rPr>
        <w:tab/>
        <w:t xml:space="preserve">Hu, X.; Wang, Y.; Xu, M. Study of the Cell Responses in Tantalum Carbide Nanoparticles-Enriched Polysaccharide Composite Hydrogel. </w:t>
      </w:r>
      <w:r w:rsidRPr="00525779">
        <w:rPr>
          <w:rFonts w:ascii="Arial" w:hAnsi="Arial" w:cs="Arial"/>
          <w:i/>
          <w:iCs/>
          <w:sz w:val="24"/>
          <w:szCs w:val="24"/>
        </w:rPr>
        <w:t>International Journal of Biological Macromolecules</w:t>
      </w:r>
      <w:r w:rsidRPr="00525779">
        <w:rPr>
          <w:rFonts w:ascii="Arial" w:hAnsi="Arial" w:cs="Arial"/>
          <w:sz w:val="24"/>
          <w:szCs w:val="24"/>
        </w:rPr>
        <w:t xml:space="preserve"> </w:t>
      </w:r>
      <w:r w:rsidRPr="00525779">
        <w:rPr>
          <w:rFonts w:ascii="Arial" w:hAnsi="Arial" w:cs="Arial"/>
          <w:b/>
          <w:bCs/>
          <w:sz w:val="24"/>
          <w:szCs w:val="24"/>
        </w:rPr>
        <w:t>2019</w:t>
      </w:r>
      <w:r w:rsidRPr="00525779">
        <w:rPr>
          <w:rFonts w:ascii="Arial" w:hAnsi="Arial" w:cs="Arial"/>
          <w:sz w:val="24"/>
          <w:szCs w:val="24"/>
        </w:rPr>
        <w:t xml:space="preserve">, </w:t>
      </w:r>
      <w:r w:rsidRPr="00525779">
        <w:rPr>
          <w:rFonts w:ascii="Arial" w:hAnsi="Arial" w:cs="Arial"/>
          <w:i/>
          <w:iCs/>
          <w:sz w:val="24"/>
          <w:szCs w:val="24"/>
        </w:rPr>
        <w:t>135</w:t>
      </w:r>
      <w:r w:rsidRPr="00525779">
        <w:rPr>
          <w:rFonts w:ascii="Arial" w:hAnsi="Arial" w:cs="Arial"/>
          <w:sz w:val="24"/>
          <w:szCs w:val="24"/>
        </w:rPr>
        <w:t>, 501–511. https://doi.org/10.1016/j.ijbiomac.2019.05.191.</w:t>
      </w:r>
    </w:p>
    <w:p w14:paraId="2E5A17CE" w14:textId="77777777" w:rsidR="00C16201" w:rsidRPr="00525779" w:rsidRDefault="00C16201" w:rsidP="00C16201">
      <w:pPr>
        <w:pStyle w:val="Bibliographie"/>
        <w:rPr>
          <w:rFonts w:ascii="Arial" w:hAnsi="Arial" w:cs="Arial"/>
          <w:sz w:val="24"/>
          <w:szCs w:val="24"/>
        </w:rPr>
      </w:pPr>
      <w:r w:rsidRPr="00525779">
        <w:rPr>
          <w:rFonts w:ascii="Arial" w:hAnsi="Arial" w:cs="Arial"/>
          <w:sz w:val="24"/>
          <w:szCs w:val="24"/>
        </w:rPr>
        <w:t>(66)</w:t>
      </w:r>
      <w:r w:rsidRPr="00525779">
        <w:rPr>
          <w:rFonts w:ascii="Arial" w:hAnsi="Arial" w:cs="Arial"/>
          <w:sz w:val="24"/>
          <w:szCs w:val="24"/>
        </w:rPr>
        <w:tab/>
        <w:t xml:space="preserve">Rashid, B.; Destrade, M.; Gilchrist, M. D. Mechanical Characterization of Brain Tissue in Compression at Dynamic Strain Rates. </w:t>
      </w:r>
      <w:r w:rsidRPr="00525779">
        <w:rPr>
          <w:rFonts w:ascii="Arial" w:hAnsi="Arial" w:cs="Arial"/>
          <w:i/>
          <w:iCs/>
          <w:sz w:val="24"/>
          <w:szCs w:val="24"/>
        </w:rPr>
        <w:t>Journal of the Mechanical Behavior of Biomedical Materials</w:t>
      </w:r>
      <w:r w:rsidRPr="00525779">
        <w:rPr>
          <w:rFonts w:ascii="Arial" w:hAnsi="Arial" w:cs="Arial"/>
          <w:sz w:val="24"/>
          <w:szCs w:val="24"/>
        </w:rPr>
        <w:t xml:space="preserve"> </w:t>
      </w:r>
      <w:r w:rsidRPr="00525779">
        <w:rPr>
          <w:rFonts w:ascii="Arial" w:hAnsi="Arial" w:cs="Arial"/>
          <w:b/>
          <w:bCs/>
          <w:sz w:val="24"/>
          <w:szCs w:val="24"/>
        </w:rPr>
        <w:t>2012</w:t>
      </w:r>
      <w:r w:rsidRPr="00525779">
        <w:rPr>
          <w:rFonts w:ascii="Arial" w:hAnsi="Arial" w:cs="Arial"/>
          <w:sz w:val="24"/>
          <w:szCs w:val="24"/>
        </w:rPr>
        <w:t xml:space="preserve">, </w:t>
      </w:r>
      <w:r w:rsidRPr="00525779">
        <w:rPr>
          <w:rFonts w:ascii="Arial" w:hAnsi="Arial" w:cs="Arial"/>
          <w:i/>
          <w:iCs/>
          <w:sz w:val="24"/>
          <w:szCs w:val="24"/>
        </w:rPr>
        <w:t>10</w:t>
      </w:r>
      <w:r w:rsidRPr="00525779">
        <w:rPr>
          <w:rFonts w:ascii="Arial" w:hAnsi="Arial" w:cs="Arial"/>
          <w:sz w:val="24"/>
          <w:szCs w:val="24"/>
        </w:rPr>
        <w:t>, 23–38. https://doi.org/10.1016/j.jmbbm.2012.01.022.</w:t>
      </w:r>
    </w:p>
    <w:p w14:paraId="515016E5" w14:textId="77777777" w:rsidR="00C16201" w:rsidRPr="00525779" w:rsidRDefault="00C16201" w:rsidP="00C16201">
      <w:pPr>
        <w:pStyle w:val="Bibliographie"/>
        <w:rPr>
          <w:rFonts w:ascii="Arial" w:hAnsi="Arial" w:cs="Arial"/>
          <w:sz w:val="24"/>
          <w:szCs w:val="24"/>
        </w:rPr>
      </w:pPr>
      <w:r w:rsidRPr="00525779">
        <w:rPr>
          <w:rFonts w:ascii="Arial" w:hAnsi="Arial" w:cs="Arial"/>
          <w:sz w:val="24"/>
          <w:szCs w:val="24"/>
        </w:rPr>
        <w:t>(67)</w:t>
      </w:r>
      <w:r w:rsidRPr="00525779">
        <w:rPr>
          <w:rFonts w:ascii="Arial" w:hAnsi="Arial" w:cs="Arial"/>
          <w:sz w:val="24"/>
          <w:szCs w:val="24"/>
        </w:rPr>
        <w:tab/>
        <w:t xml:space="preserve">Ebrahimi, A. P. Mechanical Properties of Normal and Diseased Cerebrovascular System. </w:t>
      </w:r>
      <w:r w:rsidRPr="00525779">
        <w:rPr>
          <w:rFonts w:ascii="Arial" w:hAnsi="Arial" w:cs="Arial"/>
          <w:i/>
          <w:iCs/>
          <w:sz w:val="24"/>
          <w:szCs w:val="24"/>
        </w:rPr>
        <w:t>J Vasc Interv Neurol</w:t>
      </w:r>
      <w:r w:rsidRPr="00525779">
        <w:rPr>
          <w:rFonts w:ascii="Arial" w:hAnsi="Arial" w:cs="Arial"/>
          <w:sz w:val="24"/>
          <w:szCs w:val="24"/>
        </w:rPr>
        <w:t xml:space="preserve"> </w:t>
      </w:r>
      <w:r w:rsidRPr="00525779">
        <w:rPr>
          <w:rFonts w:ascii="Arial" w:hAnsi="Arial" w:cs="Arial"/>
          <w:b/>
          <w:bCs/>
          <w:sz w:val="24"/>
          <w:szCs w:val="24"/>
        </w:rPr>
        <w:t>2009</w:t>
      </w:r>
      <w:r w:rsidRPr="00525779">
        <w:rPr>
          <w:rFonts w:ascii="Arial" w:hAnsi="Arial" w:cs="Arial"/>
          <w:sz w:val="24"/>
          <w:szCs w:val="24"/>
        </w:rPr>
        <w:t xml:space="preserve">, </w:t>
      </w:r>
      <w:r w:rsidRPr="00525779">
        <w:rPr>
          <w:rFonts w:ascii="Arial" w:hAnsi="Arial" w:cs="Arial"/>
          <w:i/>
          <w:iCs/>
          <w:sz w:val="24"/>
          <w:szCs w:val="24"/>
        </w:rPr>
        <w:t>2</w:t>
      </w:r>
      <w:r w:rsidRPr="00525779">
        <w:rPr>
          <w:rFonts w:ascii="Arial" w:hAnsi="Arial" w:cs="Arial"/>
          <w:sz w:val="24"/>
          <w:szCs w:val="24"/>
        </w:rPr>
        <w:t xml:space="preserve"> (2), 155–162.</w:t>
      </w:r>
    </w:p>
    <w:p w14:paraId="088B3FF6" w14:textId="77777777" w:rsidR="00C16201" w:rsidRPr="00525779" w:rsidRDefault="00C16201" w:rsidP="00C16201">
      <w:pPr>
        <w:pStyle w:val="Bibliographie"/>
        <w:rPr>
          <w:rFonts w:ascii="Arial" w:hAnsi="Arial" w:cs="Arial"/>
          <w:sz w:val="24"/>
          <w:szCs w:val="24"/>
        </w:rPr>
      </w:pPr>
      <w:r w:rsidRPr="00525779">
        <w:rPr>
          <w:rFonts w:ascii="Arial" w:hAnsi="Arial" w:cs="Arial"/>
          <w:sz w:val="24"/>
          <w:szCs w:val="24"/>
        </w:rPr>
        <w:t>(68)</w:t>
      </w:r>
      <w:r w:rsidRPr="00525779">
        <w:rPr>
          <w:rFonts w:ascii="Arial" w:hAnsi="Arial" w:cs="Arial"/>
          <w:sz w:val="24"/>
          <w:szCs w:val="24"/>
        </w:rPr>
        <w:tab/>
        <w:t xml:space="preserve">Zarrinkoob, L.; Ambarki, K.; Wåhlin, A.; Birgander, R.; Eklund, A.; Malm, J. Blood Flow Distribution in Cerebral Arteries. </w:t>
      </w:r>
      <w:r w:rsidRPr="00525779">
        <w:rPr>
          <w:rFonts w:ascii="Arial" w:hAnsi="Arial" w:cs="Arial"/>
          <w:i/>
          <w:iCs/>
          <w:sz w:val="24"/>
          <w:szCs w:val="24"/>
        </w:rPr>
        <w:t xml:space="preserve">J Cereb </w:t>
      </w:r>
      <w:r w:rsidRPr="00525779">
        <w:rPr>
          <w:rFonts w:ascii="Arial" w:hAnsi="Arial" w:cs="Arial"/>
          <w:i/>
          <w:iCs/>
          <w:sz w:val="24"/>
          <w:szCs w:val="24"/>
        </w:rPr>
        <w:lastRenderedPageBreak/>
        <w:t>Blood Flow Metab</w:t>
      </w:r>
      <w:r w:rsidRPr="00525779">
        <w:rPr>
          <w:rFonts w:ascii="Arial" w:hAnsi="Arial" w:cs="Arial"/>
          <w:sz w:val="24"/>
          <w:szCs w:val="24"/>
        </w:rPr>
        <w:t xml:space="preserve"> </w:t>
      </w:r>
      <w:r w:rsidRPr="00525779">
        <w:rPr>
          <w:rFonts w:ascii="Arial" w:hAnsi="Arial" w:cs="Arial"/>
          <w:b/>
          <w:bCs/>
          <w:sz w:val="24"/>
          <w:szCs w:val="24"/>
        </w:rPr>
        <w:t>2015</w:t>
      </w:r>
      <w:r w:rsidRPr="00525779">
        <w:rPr>
          <w:rFonts w:ascii="Arial" w:hAnsi="Arial" w:cs="Arial"/>
          <w:sz w:val="24"/>
          <w:szCs w:val="24"/>
        </w:rPr>
        <w:t xml:space="preserve">, </w:t>
      </w:r>
      <w:r w:rsidRPr="00525779">
        <w:rPr>
          <w:rFonts w:ascii="Arial" w:hAnsi="Arial" w:cs="Arial"/>
          <w:i/>
          <w:iCs/>
          <w:sz w:val="24"/>
          <w:szCs w:val="24"/>
        </w:rPr>
        <w:t>35</w:t>
      </w:r>
      <w:r w:rsidRPr="00525779">
        <w:rPr>
          <w:rFonts w:ascii="Arial" w:hAnsi="Arial" w:cs="Arial"/>
          <w:sz w:val="24"/>
          <w:szCs w:val="24"/>
        </w:rPr>
        <w:t xml:space="preserve"> (4), 648–654. https://doi.org/10.1038/jcbfm.2014.241.</w:t>
      </w:r>
    </w:p>
    <w:p w14:paraId="61218201" w14:textId="77777777" w:rsidR="00C16201" w:rsidRPr="00525779" w:rsidRDefault="00C16201" w:rsidP="00C16201">
      <w:pPr>
        <w:pStyle w:val="Bibliographie"/>
        <w:rPr>
          <w:rFonts w:ascii="Arial" w:hAnsi="Arial" w:cs="Arial"/>
          <w:sz w:val="24"/>
          <w:szCs w:val="24"/>
        </w:rPr>
      </w:pPr>
      <w:r w:rsidRPr="00525779">
        <w:rPr>
          <w:rFonts w:ascii="Arial" w:hAnsi="Arial" w:cs="Arial"/>
          <w:sz w:val="24"/>
          <w:szCs w:val="24"/>
        </w:rPr>
        <w:t>(69)</w:t>
      </w:r>
      <w:r w:rsidRPr="00525779">
        <w:rPr>
          <w:rFonts w:ascii="Arial" w:hAnsi="Arial" w:cs="Arial"/>
          <w:sz w:val="24"/>
          <w:szCs w:val="24"/>
        </w:rPr>
        <w:tab/>
        <w:t xml:space="preserve">Lotz, J.; Meier, C.; Leppert, A.; Galanski, M. Cardiovascular Flow Measurement with Phase-Contrast MR Imaging: Basic Facts and Implementation. </w:t>
      </w:r>
      <w:r w:rsidRPr="00525779">
        <w:rPr>
          <w:rFonts w:ascii="Arial" w:hAnsi="Arial" w:cs="Arial"/>
          <w:i/>
          <w:iCs/>
          <w:sz w:val="24"/>
          <w:szCs w:val="24"/>
        </w:rPr>
        <w:t>RadioGraphics</w:t>
      </w:r>
      <w:r w:rsidRPr="00525779">
        <w:rPr>
          <w:rFonts w:ascii="Arial" w:hAnsi="Arial" w:cs="Arial"/>
          <w:sz w:val="24"/>
          <w:szCs w:val="24"/>
        </w:rPr>
        <w:t xml:space="preserve"> </w:t>
      </w:r>
      <w:r w:rsidRPr="00525779">
        <w:rPr>
          <w:rFonts w:ascii="Arial" w:hAnsi="Arial" w:cs="Arial"/>
          <w:b/>
          <w:bCs/>
          <w:sz w:val="24"/>
          <w:szCs w:val="24"/>
        </w:rPr>
        <w:t>2002</w:t>
      </w:r>
      <w:r w:rsidRPr="00525779">
        <w:rPr>
          <w:rFonts w:ascii="Arial" w:hAnsi="Arial" w:cs="Arial"/>
          <w:sz w:val="24"/>
          <w:szCs w:val="24"/>
        </w:rPr>
        <w:t xml:space="preserve">, </w:t>
      </w:r>
      <w:r w:rsidRPr="00525779">
        <w:rPr>
          <w:rFonts w:ascii="Arial" w:hAnsi="Arial" w:cs="Arial"/>
          <w:i/>
          <w:iCs/>
          <w:sz w:val="24"/>
          <w:szCs w:val="24"/>
        </w:rPr>
        <w:t>22</w:t>
      </w:r>
      <w:r w:rsidRPr="00525779">
        <w:rPr>
          <w:rFonts w:ascii="Arial" w:hAnsi="Arial" w:cs="Arial"/>
          <w:sz w:val="24"/>
          <w:szCs w:val="24"/>
        </w:rPr>
        <w:t xml:space="preserve"> (3), 651–671. https://doi.org/10.1148/radiographics.22.3.g02ma11651.</w:t>
      </w:r>
    </w:p>
    <w:p w14:paraId="5D853EB2" w14:textId="77777777" w:rsidR="00C16201" w:rsidRPr="00525779" w:rsidRDefault="00C16201" w:rsidP="00C16201">
      <w:pPr>
        <w:pStyle w:val="Bibliographie"/>
        <w:rPr>
          <w:rFonts w:ascii="Arial" w:hAnsi="Arial" w:cs="Arial"/>
          <w:sz w:val="24"/>
          <w:szCs w:val="24"/>
        </w:rPr>
      </w:pPr>
      <w:r w:rsidRPr="00525779">
        <w:rPr>
          <w:rFonts w:ascii="Arial" w:hAnsi="Arial" w:cs="Arial"/>
          <w:sz w:val="24"/>
          <w:szCs w:val="24"/>
        </w:rPr>
        <w:t>(70)</w:t>
      </w:r>
      <w:r w:rsidRPr="00525779">
        <w:rPr>
          <w:rFonts w:ascii="Arial" w:hAnsi="Arial" w:cs="Arial"/>
          <w:sz w:val="24"/>
          <w:szCs w:val="24"/>
        </w:rPr>
        <w:tab/>
        <w:t xml:space="preserve">Bhandare, P.; Mendelson, Y.; Stohr, E.; Peura, R. A. Glucose Determination in Simulated Blood Serum Solutions by Fourier Transform Infrared Spectroscopy: Investigation of Spectral Interferences. </w:t>
      </w:r>
      <w:r w:rsidRPr="00525779">
        <w:rPr>
          <w:rFonts w:ascii="Arial" w:hAnsi="Arial" w:cs="Arial"/>
          <w:i/>
          <w:iCs/>
          <w:sz w:val="24"/>
          <w:szCs w:val="24"/>
        </w:rPr>
        <w:t>Vibrational Spectroscopy</w:t>
      </w:r>
      <w:r w:rsidRPr="00525779">
        <w:rPr>
          <w:rFonts w:ascii="Arial" w:hAnsi="Arial" w:cs="Arial"/>
          <w:sz w:val="24"/>
          <w:szCs w:val="24"/>
        </w:rPr>
        <w:t xml:space="preserve"> </w:t>
      </w:r>
      <w:r w:rsidRPr="00525779">
        <w:rPr>
          <w:rFonts w:ascii="Arial" w:hAnsi="Arial" w:cs="Arial"/>
          <w:b/>
          <w:bCs/>
          <w:sz w:val="24"/>
          <w:szCs w:val="24"/>
        </w:rPr>
        <w:t>1994</w:t>
      </w:r>
      <w:r w:rsidRPr="00525779">
        <w:rPr>
          <w:rFonts w:ascii="Arial" w:hAnsi="Arial" w:cs="Arial"/>
          <w:sz w:val="24"/>
          <w:szCs w:val="24"/>
        </w:rPr>
        <w:t xml:space="preserve">, </w:t>
      </w:r>
      <w:r w:rsidRPr="00525779">
        <w:rPr>
          <w:rFonts w:ascii="Arial" w:hAnsi="Arial" w:cs="Arial"/>
          <w:i/>
          <w:iCs/>
          <w:sz w:val="24"/>
          <w:szCs w:val="24"/>
        </w:rPr>
        <w:t>6</w:t>
      </w:r>
      <w:r w:rsidRPr="00525779">
        <w:rPr>
          <w:rFonts w:ascii="Arial" w:hAnsi="Arial" w:cs="Arial"/>
          <w:sz w:val="24"/>
          <w:szCs w:val="24"/>
        </w:rPr>
        <w:t xml:space="preserve"> (3), 363–378. https://doi.org/10.1016/0924-2031(93)E0059-B.</w:t>
      </w:r>
    </w:p>
    <w:p w14:paraId="5BC326CD" w14:textId="77777777" w:rsidR="00C16201" w:rsidRPr="00525779" w:rsidRDefault="00C16201" w:rsidP="00C16201">
      <w:pPr>
        <w:pStyle w:val="Bibliographie"/>
        <w:rPr>
          <w:rFonts w:ascii="Arial" w:hAnsi="Arial" w:cs="Arial"/>
          <w:sz w:val="24"/>
          <w:szCs w:val="24"/>
        </w:rPr>
      </w:pPr>
      <w:r w:rsidRPr="00525779">
        <w:rPr>
          <w:rFonts w:ascii="Arial" w:hAnsi="Arial" w:cs="Arial"/>
          <w:sz w:val="24"/>
          <w:szCs w:val="24"/>
        </w:rPr>
        <w:t>(71)</w:t>
      </w:r>
      <w:r w:rsidRPr="00525779">
        <w:rPr>
          <w:rFonts w:ascii="Arial" w:hAnsi="Arial" w:cs="Arial"/>
          <w:sz w:val="24"/>
          <w:szCs w:val="24"/>
        </w:rPr>
        <w:tab/>
        <w:t xml:space="preserve">Kim, J.; Chang, J.-Y.; Kim, Y.-Y.; Kim, M.-J.; Kho, H.-S. Effects of Molecular Weight of Hyaluronic Acid on Its Viscosity and Enzymatic Activities of Lysozyme and Peroxidase. </w:t>
      </w:r>
      <w:r w:rsidRPr="00525779">
        <w:rPr>
          <w:rFonts w:ascii="Arial" w:hAnsi="Arial" w:cs="Arial"/>
          <w:i/>
          <w:iCs/>
          <w:sz w:val="24"/>
          <w:szCs w:val="24"/>
        </w:rPr>
        <w:t>Archives of Oral Biology</w:t>
      </w:r>
      <w:r w:rsidRPr="00525779">
        <w:rPr>
          <w:rFonts w:ascii="Arial" w:hAnsi="Arial" w:cs="Arial"/>
          <w:sz w:val="24"/>
          <w:szCs w:val="24"/>
        </w:rPr>
        <w:t xml:space="preserve"> </w:t>
      </w:r>
      <w:r w:rsidRPr="00525779">
        <w:rPr>
          <w:rFonts w:ascii="Arial" w:hAnsi="Arial" w:cs="Arial"/>
          <w:b/>
          <w:bCs/>
          <w:sz w:val="24"/>
          <w:szCs w:val="24"/>
        </w:rPr>
        <w:t>2018</w:t>
      </w:r>
      <w:r w:rsidRPr="00525779">
        <w:rPr>
          <w:rFonts w:ascii="Arial" w:hAnsi="Arial" w:cs="Arial"/>
          <w:sz w:val="24"/>
          <w:szCs w:val="24"/>
        </w:rPr>
        <w:t xml:space="preserve">, </w:t>
      </w:r>
      <w:r w:rsidRPr="00525779">
        <w:rPr>
          <w:rFonts w:ascii="Arial" w:hAnsi="Arial" w:cs="Arial"/>
          <w:i/>
          <w:iCs/>
          <w:sz w:val="24"/>
          <w:szCs w:val="24"/>
        </w:rPr>
        <w:t>89</w:t>
      </w:r>
      <w:r w:rsidRPr="00525779">
        <w:rPr>
          <w:rFonts w:ascii="Arial" w:hAnsi="Arial" w:cs="Arial"/>
          <w:sz w:val="24"/>
          <w:szCs w:val="24"/>
        </w:rPr>
        <w:t>, 55–64. https://doi.org/10.1016/j.archoralbio.2018.02.007.</w:t>
      </w:r>
    </w:p>
    <w:p w14:paraId="68B47524" w14:textId="77777777" w:rsidR="00C16201" w:rsidRPr="00525779" w:rsidRDefault="00C16201" w:rsidP="00C16201">
      <w:pPr>
        <w:pStyle w:val="Bibliographie"/>
        <w:rPr>
          <w:rFonts w:ascii="Arial" w:hAnsi="Arial" w:cs="Arial"/>
          <w:sz w:val="24"/>
          <w:szCs w:val="24"/>
        </w:rPr>
      </w:pPr>
      <w:r w:rsidRPr="00525779">
        <w:rPr>
          <w:rFonts w:ascii="Arial" w:hAnsi="Arial" w:cs="Arial"/>
          <w:sz w:val="24"/>
          <w:szCs w:val="24"/>
        </w:rPr>
        <w:t>(72)</w:t>
      </w:r>
      <w:r w:rsidRPr="00525779">
        <w:rPr>
          <w:rFonts w:ascii="Arial" w:hAnsi="Arial" w:cs="Arial"/>
          <w:sz w:val="24"/>
          <w:szCs w:val="24"/>
        </w:rPr>
        <w:tab/>
        <w:t xml:space="preserve">Mackle, E. C.; Shapey, J.; Maneas, E.; Saeed, S. R.; Bradford, R.; Ourselin, S.; Vercauteren, T.; Desjardins, A. E. Patient-Specific Polyvinyl Alcohol Phantom Fabrication with Ultrasound and X-Ray Contrast for Brain Tumor Surgery Planning. </w:t>
      </w:r>
      <w:r w:rsidRPr="00525779">
        <w:rPr>
          <w:rFonts w:ascii="Arial" w:hAnsi="Arial" w:cs="Arial"/>
          <w:i/>
          <w:iCs/>
          <w:sz w:val="24"/>
          <w:szCs w:val="24"/>
        </w:rPr>
        <w:t>JoVE (Journal of Visualized Experiments)</w:t>
      </w:r>
      <w:r w:rsidRPr="00525779">
        <w:rPr>
          <w:rFonts w:ascii="Arial" w:hAnsi="Arial" w:cs="Arial"/>
          <w:sz w:val="24"/>
          <w:szCs w:val="24"/>
        </w:rPr>
        <w:t xml:space="preserve"> </w:t>
      </w:r>
      <w:r w:rsidRPr="00525779">
        <w:rPr>
          <w:rFonts w:ascii="Arial" w:hAnsi="Arial" w:cs="Arial"/>
          <w:b/>
          <w:bCs/>
          <w:sz w:val="24"/>
          <w:szCs w:val="24"/>
        </w:rPr>
        <w:t>2020</w:t>
      </w:r>
      <w:r w:rsidRPr="00525779">
        <w:rPr>
          <w:rFonts w:ascii="Arial" w:hAnsi="Arial" w:cs="Arial"/>
          <w:sz w:val="24"/>
          <w:szCs w:val="24"/>
        </w:rPr>
        <w:t>, No. 161, e61344. https://doi.org/10.3791/61344.</w:t>
      </w:r>
    </w:p>
    <w:p w14:paraId="6DFECAC7" w14:textId="77777777" w:rsidR="00C16201" w:rsidRPr="00525779" w:rsidRDefault="00C16201" w:rsidP="00C16201">
      <w:pPr>
        <w:pStyle w:val="Bibliographie"/>
        <w:rPr>
          <w:rFonts w:ascii="Arial" w:hAnsi="Arial" w:cs="Arial"/>
          <w:sz w:val="24"/>
          <w:szCs w:val="24"/>
        </w:rPr>
      </w:pPr>
      <w:r w:rsidRPr="00525779">
        <w:rPr>
          <w:rFonts w:ascii="Arial" w:hAnsi="Arial" w:cs="Arial"/>
          <w:sz w:val="24"/>
          <w:szCs w:val="24"/>
        </w:rPr>
        <w:t>(73)</w:t>
      </w:r>
      <w:r w:rsidRPr="00525779">
        <w:rPr>
          <w:rFonts w:ascii="Arial" w:hAnsi="Arial" w:cs="Arial"/>
          <w:sz w:val="24"/>
          <w:szCs w:val="24"/>
        </w:rPr>
        <w:tab/>
        <w:t xml:space="preserve">Kim, J.; Kim, I. S.; Cho, T. H.; Lee, K. B.; Hwang, S. J.; Tae, G.; Noh, I.; Lee, S. H.; Park, Y.; Sun, K. Bone Regeneration Using Hyaluronic Acid-Based Hydrogel with Bone Morphogenic Protein-2 and Human Mesenchymal Stem Cells. </w:t>
      </w:r>
      <w:r w:rsidRPr="00525779">
        <w:rPr>
          <w:rFonts w:ascii="Arial" w:hAnsi="Arial" w:cs="Arial"/>
          <w:i/>
          <w:iCs/>
          <w:sz w:val="24"/>
          <w:szCs w:val="24"/>
        </w:rPr>
        <w:t>Biomaterials</w:t>
      </w:r>
      <w:r w:rsidRPr="00525779">
        <w:rPr>
          <w:rFonts w:ascii="Arial" w:hAnsi="Arial" w:cs="Arial"/>
          <w:sz w:val="24"/>
          <w:szCs w:val="24"/>
        </w:rPr>
        <w:t xml:space="preserve"> </w:t>
      </w:r>
      <w:r w:rsidRPr="00525779">
        <w:rPr>
          <w:rFonts w:ascii="Arial" w:hAnsi="Arial" w:cs="Arial"/>
          <w:b/>
          <w:bCs/>
          <w:sz w:val="24"/>
          <w:szCs w:val="24"/>
        </w:rPr>
        <w:t>2007</w:t>
      </w:r>
      <w:r w:rsidRPr="00525779">
        <w:rPr>
          <w:rFonts w:ascii="Arial" w:hAnsi="Arial" w:cs="Arial"/>
          <w:sz w:val="24"/>
          <w:szCs w:val="24"/>
        </w:rPr>
        <w:t xml:space="preserve">, </w:t>
      </w:r>
      <w:r w:rsidRPr="00525779">
        <w:rPr>
          <w:rFonts w:ascii="Arial" w:hAnsi="Arial" w:cs="Arial"/>
          <w:i/>
          <w:iCs/>
          <w:sz w:val="24"/>
          <w:szCs w:val="24"/>
        </w:rPr>
        <w:t>28</w:t>
      </w:r>
      <w:r w:rsidRPr="00525779">
        <w:rPr>
          <w:rFonts w:ascii="Arial" w:hAnsi="Arial" w:cs="Arial"/>
          <w:sz w:val="24"/>
          <w:szCs w:val="24"/>
        </w:rPr>
        <w:t xml:space="preserve"> (10), 1830–1837. https://doi.org/10.1016/j.biomaterials.2006.11.050.</w:t>
      </w:r>
    </w:p>
    <w:p w14:paraId="62B6394A" w14:textId="77777777" w:rsidR="00C16201" w:rsidRPr="00525779" w:rsidRDefault="00C16201" w:rsidP="00C16201">
      <w:pPr>
        <w:pStyle w:val="Bibliographie"/>
        <w:rPr>
          <w:rFonts w:ascii="Arial" w:hAnsi="Arial" w:cs="Arial"/>
          <w:sz w:val="24"/>
          <w:szCs w:val="24"/>
        </w:rPr>
      </w:pPr>
      <w:r w:rsidRPr="00525779">
        <w:rPr>
          <w:rFonts w:ascii="Arial" w:hAnsi="Arial" w:cs="Arial"/>
          <w:sz w:val="24"/>
          <w:szCs w:val="24"/>
        </w:rPr>
        <w:t>(74)</w:t>
      </w:r>
      <w:r w:rsidRPr="00525779">
        <w:rPr>
          <w:rFonts w:ascii="Arial" w:hAnsi="Arial" w:cs="Arial"/>
          <w:sz w:val="24"/>
          <w:szCs w:val="24"/>
        </w:rPr>
        <w:tab/>
        <w:t xml:space="preserve">Kang, C.; Wei, L.; Song, B.; Chen, L.; Liu, J.; Deng, B.; Pan, X.; Shao, L. Involvement of Autophagy in Tantalum Nanoparticle-Induced Osteoblast Proliferation. </w:t>
      </w:r>
      <w:r w:rsidRPr="00525779">
        <w:rPr>
          <w:rFonts w:ascii="Arial" w:hAnsi="Arial" w:cs="Arial"/>
          <w:i/>
          <w:iCs/>
          <w:sz w:val="24"/>
          <w:szCs w:val="24"/>
        </w:rPr>
        <w:t>Int J Nanomedicine</w:t>
      </w:r>
      <w:r w:rsidRPr="00525779">
        <w:rPr>
          <w:rFonts w:ascii="Arial" w:hAnsi="Arial" w:cs="Arial"/>
          <w:sz w:val="24"/>
          <w:szCs w:val="24"/>
        </w:rPr>
        <w:t xml:space="preserve"> </w:t>
      </w:r>
      <w:r w:rsidRPr="00525779">
        <w:rPr>
          <w:rFonts w:ascii="Arial" w:hAnsi="Arial" w:cs="Arial"/>
          <w:b/>
          <w:bCs/>
          <w:sz w:val="24"/>
          <w:szCs w:val="24"/>
        </w:rPr>
        <w:t>2017</w:t>
      </w:r>
      <w:r w:rsidRPr="00525779">
        <w:rPr>
          <w:rFonts w:ascii="Arial" w:hAnsi="Arial" w:cs="Arial"/>
          <w:sz w:val="24"/>
          <w:szCs w:val="24"/>
        </w:rPr>
        <w:t xml:space="preserve">, </w:t>
      </w:r>
      <w:r w:rsidRPr="00525779">
        <w:rPr>
          <w:rFonts w:ascii="Arial" w:hAnsi="Arial" w:cs="Arial"/>
          <w:i/>
          <w:iCs/>
          <w:sz w:val="24"/>
          <w:szCs w:val="24"/>
        </w:rPr>
        <w:t>12</w:t>
      </w:r>
      <w:r w:rsidRPr="00525779">
        <w:rPr>
          <w:rFonts w:ascii="Arial" w:hAnsi="Arial" w:cs="Arial"/>
          <w:sz w:val="24"/>
          <w:szCs w:val="24"/>
        </w:rPr>
        <w:t>, 4323–4333. https://doi.org/10.2147/IJN.S136281.</w:t>
      </w:r>
    </w:p>
    <w:p w14:paraId="03C0B59C" w14:textId="77777777" w:rsidR="00C16201" w:rsidRPr="00525779" w:rsidRDefault="00C16201" w:rsidP="00C16201">
      <w:pPr>
        <w:pStyle w:val="Bibliographie"/>
        <w:rPr>
          <w:rFonts w:ascii="Arial" w:hAnsi="Arial" w:cs="Arial"/>
          <w:sz w:val="24"/>
          <w:szCs w:val="24"/>
        </w:rPr>
      </w:pPr>
      <w:r w:rsidRPr="00525779">
        <w:rPr>
          <w:rFonts w:ascii="Arial" w:hAnsi="Arial" w:cs="Arial"/>
          <w:sz w:val="24"/>
          <w:szCs w:val="24"/>
        </w:rPr>
        <w:t>(75)</w:t>
      </w:r>
      <w:r w:rsidRPr="00525779">
        <w:rPr>
          <w:rFonts w:ascii="Arial" w:hAnsi="Arial" w:cs="Arial"/>
          <w:sz w:val="24"/>
          <w:szCs w:val="24"/>
        </w:rPr>
        <w:tab/>
        <w:t xml:space="preserve">Balla, V. K.; Bodhak, S.; Bose, S.; Bandyopadhyay, A. Porous Tantalum Structures for Bone Implants: Fabrication, Mechanical and in Vitro Biological Properties. </w:t>
      </w:r>
      <w:r w:rsidRPr="00525779">
        <w:rPr>
          <w:rFonts w:ascii="Arial" w:hAnsi="Arial" w:cs="Arial"/>
          <w:i/>
          <w:iCs/>
          <w:sz w:val="24"/>
          <w:szCs w:val="24"/>
        </w:rPr>
        <w:t>Acta Biomaterialia</w:t>
      </w:r>
      <w:r w:rsidRPr="00525779">
        <w:rPr>
          <w:rFonts w:ascii="Arial" w:hAnsi="Arial" w:cs="Arial"/>
          <w:sz w:val="24"/>
          <w:szCs w:val="24"/>
        </w:rPr>
        <w:t xml:space="preserve"> </w:t>
      </w:r>
      <w:r w:rsidRPr="00525779">
        <w:rPr>
          <w:rFonts w:ascii="Arial" w:hAnsi="Arial" w:cs="Arial"/>
          <w:b/>
          <w:bCs/>
          <w:sz w:val="24"/>
          <w:szCs w:val="24"/>
        </w:rPr>
        <w:t>2010</w:t>
      </w:r>
      <w:r w:rsidRPr="00525779">
        <w:rPr>
          <w:rFonts w:ascii="Arial" w:hAnsi="Arial" w:cs="Arial"/>
          <w:sz w:val="24"/>
          <w:szCs w:val="24"/>
        </w:rPr>
        <w:t xml:space="preserve">, </w:t>
      </w:r>
      <w:r w:rsidRPr="00525779">
        <w:rPr>
          <w:rFonts w:ascii="Arial" w:hAnsi="Arial" w:cs="Arial"/>
          <w:i/>
          <w:iCs/>
          <w:sz w:val="24"/>
          <w:szCs w:val="24"/>
        </w:rPr>
        <w:t>6</w:t>
      </w:r>
      <w:r w:rsidRPr="00525779">
        <w:rPr>
          <w:rFonts w:ascii="Arial" w:hAnsi="Arial" w:cs="Arial"/>
          <w:sz w:val="24"/>
          <w:szCs w:val="24"/>
        </w:rPr>
        <w:t xml:space="preserve"> (8), 3349–3359. https://doi.org/10.1016/j.actbio.2010.01.046.</w:t>
      </w:r>
    </w:p>
    <w:p w14:paraId="1303E077" w14:textId="77777777" w:rsidR="00C16201" w:rsidRPr="00525779" w:rsidRDefault="00C16201" w:rsidP="00C16201">
      <w:pPr>
        <w:pStyle w:val="Bibliographie"/>
        <w:rPr>
          <w:rFonts w:ascii="Arial" w:hAnsi="Arial" w:cs="Arial"/>
          <w:sz w:val="24"/>
          <w:szCs w:val="24"/>
        </w:rPr>
      </w:pPr>
      <w:r w:rsidRPr="00525779">
        <w:rPr>
          <w:rFonts w:ascii="Arial" w:hAnsi="Arial" w:cs="Arial"/>
          <w:sz w:val="24"/>
          <w:szCs w:val="24"/>
        </w:rPr>
        <w:t>(76)</w:t>
      </w:r>
      <w:r w:rsidRPr="00525779">
        <w:rPr>
          <w:rFonts w:ascii="Arial" w:hAnsi="Arial" w:cs="Arial"/>
          <w:sz w:val="24"/>
          <w:szCs w:val="24"/>
        </w:rPr>
        <w:tab/>
        <w:t xml:space="preserve">Struffert, T.; Roth, C.; Romeike, B.; Grunwald, I. O.; Reith, W. Onyx in an Experimental Aneurysm Model: Histological and Angiographic Results: Laboratory Investigation. </w:t>
      </w:r>
      <w:r w:rsidRPr="00525779">
        <w:rPr>
          <w:rFonts w:ascii="Arial" w:hAnsi="Arial" w:cs="Arial"/>
          <w:i/>
          <w:iCs/>
          <w:sz w:val="24"/>
          <w:szCs w:val="24"/>
        </w:rPr>
        <w:t>Journal of Neurosurgery</w:t>
      </w:r>
      <w:r w:rsidRPr="00525779">
        <w:rPr>
          <w:rFonts w:ascii="Arial" w:hAnsi="Arial" w:cs="Arial"/>
          <w:sz w:val="24"/>
          <w:szCs w:val="24"/>
        </w:rPr>
        <w:t xml:space="preserve"> </w:t>
      </w:r>
      <w:r w:rsidRPr="00525779">
        <w:rPr>
          <w:rFonts w:ascii="Arial" w:hAnsi="Arial" w:cs="Arial"/>
          <w:b/>
          <w:bCs/>
          <w:sz w:val="24"/>
          <w:szCs w:val="24"/>
        </w:rPr>
        <w:t>2008</w:t>
      </w:r>
      <w:r w:rsidRPr="00525779">
        <w:rPr>
          <w:rFonts w:ascii="Arial" w:hAnsi="Arial" w:cs="Arial"/>
          <w:sz w:val="24"/>
          <w:szCs w:val="24"/>
        </w:rPr>
        <w:t xml:space="preserve">, </w:t>
      </w:r>
      <w:r w:rsidRPr="00525779">
        <w:rPr>
          <w:rFonts w:ascii="Arial" w:hAnsi="Arial" w:cs="Arial"/>
          <w:i/>
          <w:iCs/>
          <w:sz w:val="24"/>
          <w:szCs w:val="24"/>
        </w:rPr>
        <w:t>109</w:t>
      </w:r>
      <w:r w:rsidRPr="00525779">
        <w:rPr>
          <w:rFonts w:ascii="Arial" w:hAnsi="Arial" w:cs="Arial"/>
          <w:sz w:val="24"/>
          <w:szCs w:val="24"/>
        </w:rPr>
        <w:t xml:space="preserve"> (1), 77–82. https://doi.org/10.3171/JNS/2008/109/7/0077.</w:t>
      </w:r>
    </w:p>
    <w:p w14:paraId="16C6F0F3" w14:textId="77777777" w:rsidR="00C16201" w:rsidRPr="00525779" w:rsidRDefault="00C16201" w:rsidP="00C16201">
      <w:pPr>
        <w:pStyle w:val="Bibliographie"/>
        <w:rPr>
          <w:rFonts w:ascii="Arial" w:hAnsi="Arial" w:cs="Arial"/>
          <w:sz w:val="24"/>
          <w:szCs w:val="24"/>
        </w:rPr>
      </w:pPr>
      <w:r w:rsidRPr="00525779">
        <w:rPr>
          <w:rFonts w:ascii="Arial" w:hAnsi="Arial" w:cs="Arial"/>
          <w:sz w:val="24"/>
          <w:szCs w:val="24"/>
        </w:rPr>
        <w:t>(77)</w:t>
      </w:r>
      <w:r w:rsidRPr="00525779">
        <w:rPr>
          <w:rFonts w:ascii="Arial" w:hAnsi="Arial" w:cs="Arial"/>
          <w:sz w:val="24"/>
          <w:szCs w:val="24"/>
        </w:rPr>
        <w:tab/>
        <w:t xml:space="preserve">Suh, D. C.; Kim, K. S.; Lim, S. M.; Shi, H. B.; Choi, C. G.; Lee, H. K.; Seo, D. M. Technical Feasibility of Embolizing Aneurysms with Glue (n-Butyl 2-Cyanoacrylate): Experimental Study in Rabbits. </w:t>
      </w:r>
      <w:r w:rsidRPr="00525779">
        <w:rPr>
          <w:rFonts w:ascii="Arial" w:hAnsi="Arial" w:cs="Arial"/>
          <w:i/>
          <w:iCs/>
          <w:sz w:val="24"/>
          <w:szCs w:val="24"/>
        </w:rPr>
        <w:t>AJNR Am J Neuroradiol</w:t>
      </w:r>
      <w:r w:rsidRPr="00525779">
        <w:rPr>
          <w:rFonts w:ascii="Arial" w:hAnsi="Arial" w:cs="Arial"/>
          <w:sz w:val="24"/>
          <w:szCs w:val="24"/>
        </w:rPr>
        <w:t xml:space="preserve"> </w:t>
      </w:r>
      <w:r w:rsidRPr="00525779">
        <w:rPr>
          <w:rFonts w:ascii="Arial" w:hAnsi="Arial" w:cs="Arial"/>
          <w:b/>
          <w:bCs/>
          <w:sz w:val="24"/>
          <w:szCs w:val="24"/>
        </w:rPr>
        <w:t>2003</w:t>
      </w:r>
      <w:r w:rsidRPr="00525779">
        <w:rPr>
          <w:rFonts w:ascii="Arial" w:hAnsi="Arial" w:cs="Arial"/>
          <w:sz w:val="24"/>
          <w:szCs w:val="24"/>
        </w:rPr>
        <w:t xml:space="preserve">, </w:t>
      </w:r>
      <w:r w:rsidRPr="00525779">
        <w:rPr>
          <w:rFonts w:ascii="Arial" w:hAnsi="Arial" w:cs="Arial"/>
          <w:i/>
          <w:iCs/>
          <w:sz w:val="24"/>
          <w:szCs w:val="24"/>
        </w:rPr>
        <w:t>24</w:t>
      </w:r>
      <w:r w:rsidRPr="00525779">
        <w:rPr>
          <w:rFonts w:ascii="Arial" w:hAnsi="Arial" w:cs="Arial"/>
          <w:sz w:val="24"/>
          <w:szCs w:val="24"/>
        </w:rPr>
        <w:t xml:space="preserve"> (8), 1532–1539.</w:t>
      </w:r>
    </w:p>
    <w:p w14:paraId="69166B33" w14:textId="77777777" w:rsidR="00C16201" w:rsidRPr="00525779" w:rsidRDefault="00C16201" w:rsidP="00C16201">
      <w:pPr>
        <w:pStyle w:val="Bibliographie"/>
        <w:rPr>
          <w:rFonts w:ascii="Arial" w:hAnsi="Arial" w:cs="Arial"/>
          <w:sz w:val="24"/>
          <w:szCs w:val="24"/>
        </w:rPr>
      </w:pPr>
      <w:r w:rsidRPr="00525779">
        <w:rPr>
          <w:rFonts w:ascii="Arial" w:hAnsi="Arial" w:cs="Arial"/>
          <w:sz w:val="24"/>
          <w:szCs w:val="24"/>
        </w:rPr>
        <w:t>(78)</w:t>
      </w:r>
      <w:r w:rsidRPr="00525779">
        <w:rPr>
          <w:rFonts w:ascii="Arial" w:hAnsi="Arial" w:cs="Arial"/>
          <w:sz w:val="24"/>
          <w:szCs w:val="24"/>
        </w:rPr>
        <w:tab/>
        <w:t xml:space="preserve">Mao, N.; Gu, T.; Shi, E.; Zhang, G.; Yu, L.; Wang, C. Phenotypic Switching of Vascular Smooth Muscle Cells in Animal Model of Rat Thoracic Aortic Aneurysm. </w:t>
      </w:r>
      <w:r w:rsidRPr="00525779">
        <w:rPr>
          <w:rFonts w:ascii="Arial" w:hAnsi="Arial" w:cs="Arial"/>
          <w:i/>
          <w:iCs/>
          <w:sz w:val="24"/>
          <w:szCs w:val="24"/>
        </w:rPr>
        <w:t>Interactive CardioVascular and Thoracic Surgery</w:t>
      </w:r>
      <w:r w:rsidRPr="00525779">
        <w:rPr>
          <w:rFonts w:ascii="Arial" w:hAnsi="Arial" w:cs="Arial"/>
          <w:sz w:val="24"/>
          <w:szCs w:val="24"/>
        </w:rPr>
        <w:t xml:space="preserve"> </w:t>
      </w:r>
      <w:r w:rsidRPr="00525779">
        <w:rPr>
          <w:rFonts w:ascii="Arial" w:hAnsi="Arial" w:cs="Arial"/>
          <w:b/>
          <w:bCs/>
          <w:sz w:val="24"/>
          <w:szCs w:val="24"/>
        </w:rPr>
        <w:t>2015</w:t>
      </w:r>
      <w:r w:rsidRPr="00525779">
        <w:rPr>
          <w:rFonts w:ascii="Arial" w:hAnsi="Arial" w:cs="Arial"/>
          <w:sz w:val="24"/>
          <w:szCs w:val="24"/>
        </w:rPr>
        <w:t xml:space="preserve">, </w:t>
      </w:r>
      <w:r w:rsidRPr="00525779">
        <w:rPr>
          <w:rFonts w:ascii="Arial" w:hAnsi="Arial" w:cs="Arial"/>
          <w:i/>
          <w:iCs/>
          <w:sz w:val="24"/>
          <w:szCs w:val="24"/>
        </w:rPr>
        <w:t>21</w:t>
      </w:r>
      <w:r w:rsidRPr="00525779">
        <w:rPr>
          <w:rFonts w:ascii="Arial" w:hAnsi="Arial" w:cs="Arial"/>
          <w:sz w:val="24"/>
          <w:szCs w:val="24"/>
        </w:rPr>
        <w:t xml:space="preserve"> (1), 62–70. https://doi.org/10.1093/icvts/ivv074.</w:t>
      </w:r>
    </w:p>
    <w:p w14:paraId="1C1B63F6" w14:textId="77777777" w:rsidR="00C16201" w:rsidRPr="00525779" w:rsidRDefault="00C16201" w:rsidP="00C16201">
      <w:pPr>
        <w:pStyle w:val="Bibliographie"/>
        <w:rPr>
          <w:rFonts w:ascii="Arial" w:hAnsi="Arial" w:cs="Arial"/>
          <w:sz w:val="24"/>
          <w:szCs w:val="24"/>
        </w:rPr>
      </w:pPr>
      <w:r w:rsidRPr="00525779">
        <w:rPr>
          <w:rFonts w:ascii="Arial" w:hAnsi="Arial" w:cs="Arial"/>
          <w:sz w:val="24"/>
          <w:szCs w:val="24"/>
        </w:rPr>
        <w:lastRenderedPageBreak/>
        <w:t>(79)</w:t>
      </w:r>
      <w:r w:rsidRPr="00525779">
        <w:rPr>
          <w:rFonts w:ascii="Arial" w:hAnsi="Arial" w:cs="Arial"/>
          <w:sz w:val="24"/>
          <w:szCs w:val="24"/>
        </w:rPr>
        <w:tab/>
        <w:t xml:space="preserve">Ji Yadav, S. K.; Vedrtnam, A.; Gunwant, D. Experimental and Numerical Study on Mechanical Behavior and Resistance to Natural Weathering of Sugarcane Leave Reinforced Polymer Composite. </w:t>
      </w:r>
      <w:r w:rsidRPr="00525779">
        <w:rPr>
          <w:rFonts w:ascii="Arial" w:hAnsi="Arial" w:cs="Arial"/>
          <w:i/>
          <w:iCs/>
          <w:sz w:val="24"/>
          <w:szCs w:val="24"/>
        </w:rPr>
        <w:t>Construction and Building Materials</w:t>
      </w:r>
      <w:r w:rsidRPr="00525779">
        <w:rPr>
          <w:rFonts w:ascii="Arial" w:hAnsi="Arial" w:cs="Arial"/>
          <w:sz w:val="24"/>
          <w:szCs w:val="24"/>
        </w:rPr>
        <w:t xml:space="preserve"> </w:t>
      </w:r>
      <w:r w:rsidRPr="00525779">
        <w:rPr>
          <w:rFonts w:ascii="Arial" w:hAnsi="Arial" w:cs="Arial"/>
          <w:b/>
          <w:bCs/>
          <w:sz w:val="24"/>
          <w:szCs w:val="24"/>
        </w:rPr>
        <w:t>2020</w:t>
      </w:r>
      <w:r w:rsidRPr="00525779">
        <w:rPr>
          <w:rFonts w:ascii="Arial" w:hAnsi="Arial" w:cs="Arial"/>
          <w:sz w:val="24"/>
          <w:szCs w:val="24"/>
        </w:rPr>
        <w:t xml:space="preserve">, </w:t>
      </w:r>
      <w:r w:rsidRPr="00525779">
        <w:rPr>
          <w:rFonts w:ascii="Arial" w:hAnsi="Arial" w:cs="Arial"/>
          <w:i/>
          <w:iCs/>
          <w:sz w:val="24"/>
          <w:szCs w:val="24"/>
        </w:rPr>
        <w:t>262</w:t>
      </w:r>
      <w:r w:rsidRPr="00525779">
        <w:rPr>
          <w:rFonts w:ascii="Arial" w:hAnsi="Arial" w:cs="Arial"/>
          <w:sz w:val="24"/>
          <w:szCs w:val="24"/>
        </w:rPr>
        <w:t>, 120785. https://doi.org/10.1016/j.conbuildmat.2020.120785.</w:t>
      </w:r>
    </w:p>
    <w:p w14:paraId="61D6A570" w14:textId="77777777" w:rsidR="00C16201" w:rsidRPr="00525779" w:rsidRDefault="00C16201" w:rsidP="00C16201">
      <w:pPr>
        <w:pStyle w:val="Bibliographie"/>
        <w:rPr>
          <w:rFonts w:ascii="Arial" w:hAnsi="Arial" w:cs="Arial"/>
          <w:sz w:val="24"/>
          <w:szCs w:val="24"/>
        </w:rPr>
      </w:pPr>
      <w:r w:rsidRPr="00525779">
        <w:rPr>
          <w:rFonts w:ascii="Arial" w:hAnsi="Arial" w:cs="Arial"/>
          <w:sz w:val="24"/>
          <w:szCs w:val="24"/>
        </w:rPr>
        <w:t>(80)</w:t>
      </w:r>
      <w:r w:rsidRPr="00525779">
        <w:rPr>
          <w:rFonts w:ascii="Arial" w:hAnsi="Arial" w:cs="Arial"/>
          <w:sz w:val="24"/>
          <w:szCs w:val="24"/>
        </w:rPr>
        <w:tab/>
        <w:t xml:space="preserve">Dong, H.; Russell, D. S.; Litsky, A. S.; Joseph, M. E.; Mo, X.; White, R. D.; Kolipaka, A. In Vivo Aortic Magnetic Resonance Elastography in Abdominal Aortic Aneurysm: A Validation in An Animal Model. </w:t>
      </w:r>
      <w:r w:rsidRPr="00525779">
        <w:rPr>
          <w:rFonts w:ascii="Arial" w:hAnsi="Arial" w:cs="Arial"/>
          <w:i/>
          <w:iCs/>
          <w:sz w:val="24"/>
          <w:szCs w:val="24"/>
        </w:rPr>
        <w:t>Invest Radiol</w:t>
      </w:r>
      <w:r w:rsidRPr="00525779">
        <w:rPr>
          <w:rFonts w:ascii="Arial" w:hAnsi="Arial" w:cs="Arial"/>
          <w:sz w:val="24"/>
          <w:szCs w:val="24"/>
        </w:rPr>
        <w:t xml:space="preserve"> </w:t>
      </w:r>
      <w:r w:rsidRPr="00525779">
        <w:rPr>
          <w:rFonts w:ascii="Arial" w:hAnsi="Arial" w:cs="Arial"/>
          <w:b/>
          <w:bCs/>
          <w:sz w:val="24"/>
          <w:szCs w:val="24"/>
        </w:rPr>
        <w:t>2020</w:t>
      </w:r>
      <w:r w:rsidRPr="00525779">
        <w:rPr>
          <w:rFonts w:ascii="Arial" w:hAnsi="Arial" w:cs="Arial"/>
          <w:sz w:val="24"/>
          <w:szCs w:val="24"/>
        </w:rPr>
        <w:t xml:space="preserve">, </w:t>
      </w:r>
      <w:r w:rsidRPr="00525779">
        <w:rPr>
          <w:rFonts w:ascii="Arial" w:hAnsi="Arial" w:cs="Arial"/>
          <w:i/>
          <w:iCs/>
          <w:sz w:val="24"/>
          <w:szCs w:val="24"/>
        </w:rPr>
        <w:t>55</w:t>
      </w:r>
      <w:r w:rsidRPr="00525779">
        <w:rPr>
          <w:rFonts w:ascii="Arial" w:hAnsi="Arial" w:cs="Arial"/>
          <w:sz w:val="24"/>
          <w:szCs w:val="24"/>
        </w:rPr>
        <w:t xml:space="preserve"> (7), 463–472. https://doi.org/10.1097/RLI.0000000000000660.</w:t>
      </w:r>
    </w:p>
    <w:p w14:paraId="0295A810" w14:textId="77777777" w:rsidR="00C16201" w:rsidRPr="00525779" w:rsidRDefault="00C16201" w:rsidP="00C16201">
      <w:pPr>
        <w:pStyle w:val="Bibliographie"/>
        <w:rPr>
          <w:rFonts w:ascii="Arial" w:hAnsi="Arial" w:cs="Arial"/>
          <w:sz w:val="24"/>
          <w:szCs w:val="24"/>
        </w:rPr>
      </w:pPr>
      <w:r w:rsidRPr="00525779">
        <w:rPr>
          <w:rFonts w:ascii="Arial" w:hAnsi="Arial" w:cs="Arial"/>
          <w:sz w:val="24"/>
          <w:szCs w:val="24"/>
        </w:rPr>
        <w:t>(81)</w:t>
      </w:r>
      <w:r w:rsidRPr="00525779">
        <w:rPr>
          <w:rFonts w:ascii="Arial" w:hAnsi="Arial" w:cs="Arial"/>
          <w:sz w:val="24"/>
          <w:szCs w:val="24"/>
        </w:rPr>
        <w:tab/>
        <w:t xml:space="preserve">Moláček, J.; Třeška, V.; Kobr, J.; Čertík, B.; Skalický, T.; Kuntscher, V.; Křížková, V. Optimization of the Model of Abdominal Aortic Aneurysm – Experiment in an Animal Model. </w:t>
      </w:r>
      <w:r w:rsidRPr="00525779">
        <w:rPr>
          <w:rFonts w:ascii="Arial" w:hAnsi="Arial" w:cs="Arial"/>
          <w:i/>
          <w:iCs/>
          <w:sz w:val="24"/>
          <w:szCs w:val="24"/>
        </w:rPr>
        <w:t>JVR</w:t>
      </w:r>
      <w:r w:rsidRPr="00525779">
        <w:rPr>
          <w:rFonts w:ascii="Arial" w:hAnsi="Arial" w:cs="Arial"/>
          <w:sz w:val="24"/>
          <w:szCs w:val="24"/>
        </w:rPr>
        <w:t xml:space="preserve"> </w:t>
      </w:r>
      <w:r w:rsidRPr="00525779">
        <w:rPr>
          <w:rFonts w:ascii="Arial" w:hAnsi="Arial" w:cs="Arial"/>
          <w:b/>
          <w:bCs/>
          <w:sz w:val="24"/>
          <w:szCs w:val="24"/>
        </w:rPr>
        <w:t>2009</w:t>
      </w:r>
      <w:r w:rsidRPr="00525779">
        <w:rPr>
          <w:rFonts w:ascii="Arial" w:hAnsi="Arial" w:cs="Arial"/>
          <w:sz w:val="24"/>
          <w:szCs w:val="24"/>
        </w:rPr>
        <w:t xml:space="preserve">, </w:t>
      </w:r>
      <w:r w:rsidRPr="00525779">
        <w:rPr>
          <w:rFonts w:ascii="Arial" w:hAnsi="Arial" w:cs="Arial"/>
          <w:i/>
          <w:iCs/>
          <w:sz w:val="24"/>
          <w:szCs w:val="24"/>
        </w:rPr>
        <w:t>46</w:t>
      </w:r>
      <w:r w:rsidRPr="00525779">
        <w:rPr>
          <w:rFonts w:ascii="Arial" w:hAnsi="Arial" w:cs="Arial"/>
          <w:sz w:val="24"/>
          <w:szCs w:val="24"/>
        </w:rPr>
        <w:t xml:space="preserve"> (1), 1–5. https://doi.org/10.1159/000135659.</w:t>
      </w:r>
    </w:p>
    <w:p w14:paraId="425D1048" w14:textId="77777777" w:rsidR="00C16201" w:rsidRPr="00525779" w:rsidRDefault="00C16201" w:rsidP="00C16201">
      <w:pPr>
        <w:pStyle w:val="Bibliographie"/>
        <w:rPr>
          <w:rFonts w:ascii="Arial" w:hAnsi="Arial" w:cs="Arial"/>
          <w:sz w:val="24"/>
          <w:szCs w:val="24"/>
        </w:rPr>
      </w:pPr>
      <w:r w:rsidRPr="00525779">
        <w:rPr>
          <w:rFonts w:ascii="Arial" w:hAnsi="Arial" w:cs="Arial"/>
          <w:sz w:val="24"/>
          <w:szCs w:val="24"/>
        </w:rPr>
        <w:t>(82)</w:t>
      </w:r>
      <w:r w:rsidRPr="00525779">
        <w:rPr>
          <w:rFonts w:ascii="Arial" w:hAnsi="Arial" w:cs="Arial"/>
          <w:sz w:val="24"/>
          <w:szCs w:val="24"/>
        </w:rPr>
        <w:tab/>
        <w:t xml:space="preserve">Maynar, M.; Qian, Z.; Hernandez, J.; Sun, F.; DeMiguel, C.; Crisostomo, V.; Usón, J.; Pineda, L.-F.; Espinoza, C. G.; Castañeda, W. R. An Animal Model of Abdominal Aortic Aneurysm Created WithPeritoneal Patch: Technique and Initial Results. </w:t>
      </w:r>
      <w:r w:rsidRPr="00525779">
        <w:rPr>
          <w:rFonts w:ascii="Arial" w:hAnsi="Arial" w:cs="Arial"/>
          <w:i/>
          <w:iCs/>
          <w:sz w:val="24"/>
          <w:szCs w:val="24"/>
        </w:rPr>
        <w:t>CVIR</w:t>
      </w:r>
      <w:r w:rsidRPr="00525779">
        <w:rPr>
          <w:rFonts w:ascii="Arial" w:hAnsi="Arial" w:cs="Arial"/>
          <w:sz w:val="24"/>
          <w:szCs w:val="24"/>
        </w:rPr>
        <w:t xml:space="preserve"> </w:t>
      </w:r>
      <w:r w:rsidRPr="00525779">
        <w:rPr>
          <w:rFonts w:ascii="Arial" w:hAnsi="Arial" w:cs="Arial"/>
          <w:b/>
          <w:bCs/>
          <w:sz w:val="24"/>
          <w:szCs w:val="24"/>
        </w:rPr>
        <w:t>2003</w:t>
      </w:r>
      <w:r w:rsidRPr="00525779">
        <w:rPr>
          <w:rFonts w:ascii="Arial" w:hAnsi="Arial" w:cs="Arial"/>
          <w:sz w:val="24"/>
          <w:szCs w:val="24"/>
        </w:rPr>
        <w:t xml:space="preserve">, </w:t>
      </w:r>
      <w:r w:rsidRPr="00525779">
        <w:rPr>
          <w:rFonts w:ascii="Arial" w:hAnsi="Arial" w:cs="Arial"/>
          <w:i/>
          <w:iCs/>
          <w:sz w:val="24"/>
          <w:szCs w:val="24"/>
        </w:rPr>
        <w:t>26</w:t>
      </w:r>
      <w:r w:rsidRPr="00525779">
        <w:rPr>
          <w:rFonts w:ascii="Arial" w:hAnsi="Arial" w:cs="Arial"/>
          <w:sz w:val="24"/>
          <w:szCs w:val="24"/>
        </w:rPr>
        <w:t xml:space="preserve"> (2), 168–176. https://doi.org/10.1007/s00270-002-2598-1.</w:t>
      </w:r>
    </w:p>
    <w:p w14:paraId="29B0833D" w14:textId="62C60C50" w:rsidR="00F02C2A" w:rsidRPr="00525779" w:rsidRDefault="00F02C2A" w:rsidP="00212930">
      <w:pPr>
        <w:jc w:val="both"/>
        <w:rPr>
          <w:rFonts w:ascii="Arial" w:hAnsi="Arial" w:cs="Arial"/>
          <w:sz w:val="24"/>
          <w:szCs w:val="24"/>
        </w:rPr>
      </w:pPr>
      <w:r w:rsidRPr="00525779">
        <w:rPr>
          <w:rFonts w:ascii="Arial" w:hAnsi="Arial" w:cs="Arial"/>
          <w:sz w:val="24"/>
          <w:szCs w:val="24"/>
        </w:rPr>
        <w:fldChar w:fldCharType="end"/>
      </w:r>
    </w:p>
    <w:sectPr w:rsidR="00F02C2A" w:rsidRPr="00525779" w:rsidSect="00525779">
      <w:pgSz w:w="11906" w:h="16838"/>
      <w:pgMar w:top="1440" w:right="2160" w:bottom="1440" w:left="2160" w:header="706" w:footer="7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9368A0" w14:textId="77777777" w:rsidR="00CA1C92" w:rsidRDefault="00CA1C92" w:rsidP="00DB14AA">
      <w:pPr>
        <w:spacing w:after="0" w:line="240" w:lineRule="auto"/>
      </w:pPr>
      <w:r>
        <w:separator/>
      </w:r>
    </w:p>
  </w:endnote>
  <w:endnote w:type="continuationSeparator" w:id="0">
    <w:p w14:paraId="341265C1" w14:textId="77777777" w:rsidR="00CA1C92" w:rsidRDefault="00CA1C92" w:rsidP="00DB14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1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89504208"/>
      <w:docPartObj>
        <w:docPartGallery w:val="Page Numbers (Bottom of Page)"/>
        <w:docPartUnique/>
      </w:docPartObj>
    </w:sdtPr>
    <w:sdtEndPr/>
    <w:sdtContent>
      <w:p w14:paraId="5A157EAE" w14:textId="5D3229C5" w:rsidR="003E1598" w:rsidRDefault="003E1598">
        <w:pPr>
          <w:pStyle w:val="Pieddepage"/>
          <w:jc w:val="right"/>
        </w:pPr>
        <w:r>
          <w:fldChar w:fldCharType="begin"/>
        </w:r>
        <w:r>
          <w:instrText>PAGE   \* MERGEFORMAT</w:instrText>
        </w:r>
        <w:r>
          <w:fldChar w:fldCharType="separate"/>
        </w:r>
        <w:r>
          <w:rPr>
            <w:lang w:val="fr-FR"/>
          </w:rPr>
          <w:t>2</w:t>
        </w:r>
        <w:r>
          <w:fldChar w:fldCharType="end"/>
        </w:r>
      </w:p>
    </w:sdtContent>
  </w:sdt>
  <w:p w14:paraId="4257C6CD" w14:textId="52B2BD21" w:rsidR="00C77BAF" w:rsidRDefault="00C77BA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E4AF48" w14:textId="77777777" w:rsidR="00CA1C92" w:rsidRDefault="00CA1C92" w:rsidP="00DB14AA">
      <w:pPr>
        <w:spacing w:after="0" w:line="240" w:lineRule="auto"/>
      </w:pPr>
      <w:r>
        <w:separator/>
      </w:r>
    </w:p>
  </w:footnote>
  <w:footnote w:type="continuationSeparator" w:id="0">
    <w:p w14:paraId="03BB7ACD" w14:textId="77777777" w:rsidR="00CA1C92" w:rsidRDefault="00CA1C92" w:rsidP="00DB14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DE6EBFA0"/>
    <w:lvl w:ilvl="0">
      <w:start w:val="1"/>
      <w:numFmt w:val="bullet"/>
      <w:pStyle w:val="Listepuces"/>
      <w:lvlText w:val=""/>
      <w:lvlJc w:val="left"/>
      <w:pPr>
        <w:tabs>
          <w:tab w:val="num" w:pos="360"/>
        </w:tabs>
        <w:ind w:left="360" w:hanging="360"/>
      </w:pPr>
      <w:rPr>
        <w:rFonts w:ascii="Symbol" w:hAnsi="Symbol" w:hint="default"/>
      </w:rPr>
    </w:lvl>
  </w:abstractNum>
  <w:abstractNum w:abstractNumId="1" w15:restartNumberingAfterBreak="0">
    <w:nsid w:val="187E41A8"/>
    <w:multiLevelType w:val="multilevel"/>
    <w:tmpl w:val="668EEF5E"/>
    <w:lvl w:ilvl="0">
      <w:start w:val="1"/>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2081281F"/>
    <w:multiLevelType w:val="hybridMultilevel"/>
    <w:tmpl w:val="BB566142"/>
    <w:lvl w:ilvl="0" w:tplc="04090003">
      <w:start w:val="1"/>
      <w:numFmt w:val="bullet"/>
      <w:lvlText w:val="o"/>
      <w:lvlJc w:val="left"/>
      <w:pPr>
        <w:ind w:left="4680" w:hanging="360"/>
      </w:pPr>
      <w:rPr>
        <w:rFonts w:ascii="Courier New" w:hAnsi="Courier New" w:cs="Courier New" w:hint="default"/>
      </w:rPr>
    </w:lvl>
    <w:lvl w:ilvl="1" w:tplc="04090003" w:tentative="1">
      <w:start w:val="1"/>
      <w:numFmt w:val="bullet"/>
      <w:lvlText w:val="o"/>
      <w:lvlJc w:val="left"/>
      <w:pPr>
        <w:ind w:left="5400" w:hanging="360"/>
      </w:pPr>
      <w:rPr>
        <w:rFonts w:ascii="Courier New" w:hAnsi="Courier New" w:cs="Courier New" w:hint="default"/>
      </w:rPr>
    </w:lvl>
    <w:lvl w:ilvl="2" w:tplc="04090005" w:tentative="1">
      <w:start w:val="1"/>
      <w:numFmt w:val="bullet"/>
      <w:lvlText w:val=""/>
      <w:lvlJc w:val="left"/>
      <w:pPr>
        <w:ind w:left="6120" w:hanging="360"/>
      </w:pPr>
      <w:rPr>
        <w:rFonts w:ascii="Wingdings" w:hAnsi="Wingdings" w:hint="default"/>
      </w:rPr>
    </w:lvl>
    <w:lvl w:ilvl="3" w:tplc="04090001" w:tentative="1">
      <w:start w:val="1"/>
      <w:numFmt w:val="bullet"/>
      <w:lvlText w:val=""/>
      <w:lvlJc w:val="left"/>
      <w:pPr>
        <w:ind w:left="6840" w:hanging="360"/>
      </w:pPr>
      <w:rPr>
        <w:rFonts w:ascii="Symbol" w:hAnsi="Symbol" w:hint="default"/>
      </w:rPr>
    </w:lvl>
    <w:lvl w:ilvl="4" w:tplc="04090003" w:tentative="1">
      <w:start w:val="1"/>
      <w:numFmt w:val="bullet"/>
      <w:lvlText w:val="o"/>
      <w:lvlJc w:val="left"/>
      <w:pPr>
        <w:ind w:left="7560" w:hanging="360"/>
      </w:pPr>
      <w:rPr>
        <w:rFonts w:ascii="Courier New" w:hAnsi="Courier New" w:cs="Courier New" w:hint="default"/>
      </w:rPr>
    </w:lvl>
    <w:lvl w:ilvl="5" w:tplc="04090005" w:tentative="1">
      <w:start w:val="1"/>
      <w:numFmt w:val="bullet"/>
      <w:lvlText w:val=""/>
      <w:lvlJc w:val="left"/>
      <w:pPr>
        <w:ind w:left="8280" w:hanging="360"/>
      </w:pPr>
      <w:rPr>
        <w:rFonts w:ascii="Wingdings" w:hAnsi="Wingdings" w:hint="default"/>
      </w:rPr>
    </w:lvl>
    <w:lvl w:ilvl="6" w:tplc="04090001" w:tentative="1">
      <w:start w:val="1"/>
      <w:numFmt w:val="bullet"/>
      <w:lvlText w:val=""/>
      <w:lvlJc w:val="left"/>
      <w:pPr>
        <w:ind w:left="9000" w:hanging="360"/>
      </w:pPr>
      <w:rPr>
        <w:rFonts w:ascii="Symbol" w:hAnsi="Symbol" w:hint="default"/>
      </w:rPr>
    </w:lvl>
    <w:lvl w:ilvl="7" w:tplc="04090003" w:tentative="1">
      <w:start w:val="1"/>
      <w:numFmt w:val="bullet"/>
      <w:lvlText w:val="o"/>
      <w:lvlJc w:val="left"/>
      <w:pPr>
        <w:ind w:left="9720" w:hanging="360"/>
      </w:pPr>
      <w:rPr>
        <w:rFonts w:ascii="Courier New" w:hAnsi="Courier New" w:cs="Courier New" w:hint="default"/>
      </w:rPr>
    </w:lvl>
    <w:lvl w:ilvl="8" w:tplc="04090005" w:tentative="1">
      <w:start w:val="1"/>
      <w:numFmt w:val="bullet"/>
      <w:lvlText w:val=""/>
      <w:lvlJc w:val="left"/>
      <w:pPr>
        <w:ind w:left="10440" w:hanging="360"/>
      </w:pPr>
      <w:rPr>
        <w:rFonts w:ascii="Wingdings" w:hAnsi="Wingdings" w:hint="default"/>
      </w:rPr>
    </w:lvl>
  </w:abstractNum>
  <w:abstractNum w:abstractNumId="3" w15:restartNumberingAfterBreak="0">
    <w:nsid w:val="21A97E23"/>
    <w:multiLevelType w:val="multilevel"/>
    <w:tmpl w:val="A91E5B36"/>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41E70D3D"/>
    <w:multiLevelType w:val="multilevel"/>
    <w:tmpl w:val="4FE689F4"/>
    <w:lvl w:ilvl="0">
      <w:start w:val="1"/>
      <w:numFmt w:val="decimal"/>
      <w:lvlText w:val="%1"/>
      <w:lvlJc w:val="left"/>
      <w:pPr>
        <w:ind w:left="540" w:hanging="540"/>
      </w:pPr>
      <w:rPr>
        <w:rFonts w:hint="default"/>
      </w:rPr>
    </w:lvl>
    <w:lvl w:ilvl="1">
      <w:start w:val="2"/>
      <w:numFmt w:val="decimal"/>
      <w:lvlText w:val="%1.%2"/>
      <w:lvlJc w:val="left"/>
      <w:pPr>
        <w:ind w:left="540" w:hanging="540"/>
      </w:pPr>
      <w:rPr>
        <w:rFonts w:ascii="Arial" w:hAnsi="Arial" w:cs="Arial" w:hint="default"/>
        <w:b/>
        <w:bCs/>
        <w:sz w:val="24"/>
        <w:szCs w:val="24"/>
      </w:rPr>
    </w:lvl>
    <w:lvl w:ilvl="2">
      <w:start w:val="3"/>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4664854"/>
    <w:multiLevelType w:val="hybridMultilevel"/>
    <w:tmpl w:val="9C78345A"/>
    <w:lvl w:ilvl="0" w:tplc="0D92EBA4">
      <w:start w:val="16"/>
      <w:numFmt w:val="bullet"/>
      <w:lvlText w:val=""/>
      <w:lvlJc w:val="left"/>
      <w:pPr>
        <w:ind w:left="720" w:hanging="360"/>
      </w:pPr>
      <w:rPr>
        <w:rFonts w:ascii="Wingdings" w:eastAsia="Calibri" w:hAnsi="Wingdings"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6351EC6"/>
    <w:multiLevelType w:val="hybridMultilevel"/>
    <w:tmpl w:val="6742BBD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513A60BF"/>
    <w:multiLevelType w:val="multilevel"/>
    <w:tmpl w:val="867E14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593F0A85"/>
    <w:multiLevelType w:val="hybridMultilevel"/>
    <w:tmpl w:val="4F8289A6"/>
    <w:lvl w:ilvl="0" w:tplc="189A45D4">
      <w:start w:val="2"/>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D705CFF"/>
    <w:multiLevelType w:val="hybridMultilevel"/>
    <w:tmpl w:val="E6A84FCE"/>
    <w:lvl w:ilvl="0" w:tplc="5204F45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1D027EE"/>
    <w:multiLevelType w:val="multilevel"/>
    <w:tmpl w:val="4134F3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71550864"/>
    <w:multiLevelType w:val="multilevel"/>
    <w:tmpl w:val="40E85A2A"/>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9"/>
  </w:num>
  <w:num w:numId="3">
    <w:abstractNumId w:val="7"/>
  </w:num>
  <w:num w:numId="4">
    <w:abstractNumId w:val="10"/>
  </w:num>
  <w:num w:numId="5">
    <w:abstractNumId w:val="5"/>
  </w:num>
  <w:num w:numId="6">
    <w:abstractNumId w:val="3"/>
  </w:num>
  <w:num w:numId="7">
    <w:abstractNumId w:val="11"/>
  </w:num>
  <w:num w:numId="8">
    <w:abstractNumId w:val="1"/>
  </w:num>
  <w:num w:numId="9">
    <w:abstractNumId w:val="8"/>
  </w:num>
  <w:num w:numId="10">
    <w:abstractNumId w:val="6"/>
  </w:num>
  <w:num w:numId="11">
    <w:abstractNumId w:val="2"/>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676"/>
    <w:rsid w:val="00000461"/>
    <w:rsid w:val="00000C2C"/>
    <w:rsid w:val="00000F24"/>
    <w:rsid w:val="00001739"/>
    <w:rsid w:val="00001C3B"/>
    <w:rsid w:val="00002691"/>
    <w:rsid w:val="00002F0C"/>
    <w:rsid w:val="00003CE6"/>
    <w:rsid w:val="00004206"/>
    <w:rsid w:val="0000484A"/>
    <w:rsid w:val="00004876"/>
    <w:rsid w:val="00004F5E"/>
    <w:rsid w:val="00005581"/>
    <w:rsid w:val="000074C9"/>
    <w:rsid w:val="00007AE7"/>
    <w:rsid w:val="00007F33"/>
    <w:rsid w:val="00010562"/>
    <w:rsid w:val="00010F79"/>
    <w:rsid w:val="00011A14"/>
    <w:rsid w:val="00012BAB"/>
    <w:rsid w:val="00012C42"/>
    <w:rsid w:val="00012EB5"/>
    <w:rsid w:val="000134D6"/>
    <w:rsid w:val="00013DC5"/>
    <w:rsid w:val="00014276"/>
    <w:rsid w:val="00014F40"/>
    <w:rsid w:val="000155DB"/>
    <w:rsid w:val="00015C00"/>
    <w:rsid w:val="00017A57"/>
    <w:rsid w:val="000206AC"/>
    <w:rsid w:val="00020AAB"/>
    <w:rsid w:val="00020DE4"/>
    <w:rsid w:val="00022247"/>
    <w:rsid w:val="000231DD"/>
    <w:rsid w:val="00023E39"/>
    <w:rsid w:val="00025284"/>
    <w:rsid w:val="000263E9"/>
    <w:rsid w:val="000274EE"/>
    <w:rsid w:val="00030373"/>
    <w:rsid w:val="00031153"/>
    <w:rsid w:val="00031F5A"/>
    <w:rsid w:val="00032687"/>
    <w:rsid w:val="000331EE"/>
    <w:rsid w:val="000344EE"/>
    <w:rsid w:val="000357A0"/>
    <w:rsid w:val="00035D4F"/>
    <w:rsid w:val="00035F65"/>
    <w:rsid w:val="00035FE7"/>
    <w:rsid w:val="0003744F"/>
    <w:rsid w:val="00041006"/>
    <w:rsid w:val="000410A4"/>
    <w:rsid w:val="00041371"/>
    <w:rsid w:val="00042084"/>
    <w:rsid w:val="0004246E"/>
    <w:rsid w:val="00043818"/>
    <w:rsid w:val="0004389E"/>
    <w:rsid w:val="000442C7"/>
    <w:rsid w:val="000446A9"/>
    <w:rsid w:val="00044D14"/>
    <w:rsid w:val="00045AC4"/>
    <w:rsid w:val="00046001"/>
    <w:rsid w:val="0004728B"/>
    <w:rsid w:val="0005067E"/>
    <w:rsid w:val="00050B68"/>
    <w:rsid w:val="00050E71"/>
    <w:rsid w:val="00051734"/>
    <w:rsid w:val="00051D84"/>
    <w:rsid w:val="00052E58"/>
    <w:rsid w:val="00053193"/>
    <w:rsid w:val="00053B92"/>
    <w:rsid w:val="00054272"/>
    <w:rsid w:val="00054437"/>
    <w:rsid w:val="00055042"/>
    <w:rsid w:val="00055192"/>
    <w:rsid w:val="00055E95"/>
    <w:rsid w:val="000569E2"/>
    <w:rsid w:val="000574B0"/>
    <w:rsid w:val="000575EC"/>
    <w:rsid w:val="00060E00"/>
    <w:rsid w:val="00061CCE"/>
    <w:rsid w:val="00062011"/>
    <w:rsid w:val="00063CE3"/>
    <w:rsid w:val="0006447A"/>
    <w:rsid w:val="000647EB"/>
    <w:rsid w:val="000651A0"/>
    <w:rsid w:val="00065284"/>
    <w:rsid w:val="000654A5"/>
    <w:rsid w:val="00065682"/>
    <w:rsid w:val="000658C4"/>
    <w:rsid w:val="000660C2"/>
    <w:rsid w:val="00066AF2"/>
    <w:rsid w:val="00066B66"/>
    <w:rsid w:val="00066E2A"/>
    <w:rsid w:val="0006792E"/>
    <w:rsid w:val="000679F9"/>
    <w:rsid w:val="00067FB6"/>
    <w:rsid w:val="00071BA0"/>
    <w:rsid w:val="00071C75"/>
    <w:rsid w:val="00071E5A"/>
    <w:rsid w:val="00071F75"/>
    <w:rsid w:val="00072C5E"/>
    <w:rsid w:val="00073163"/>
    <w:rsid w:val="0007357C"/>
    <w:rsid w:val="000737E9"/>
    <w:rsid w:val="000741D1"/>
    <w:rsid w:val="0007433C"/>
    <w:rsid w:val="00074DC4"/>
    <w:rsid w:val="00075327"/>
    <w:rsid w:val="00076F93"/>
    <w:rsid w:val="00077A44"/>
    <w:rsid w:val="00081842"/>
    <w:rsid w:val="000818F1"/>
    <w:rsid w:val="000834B4"/>
    <w:rsid w:val="00083D7C"/>
    <w:rsid w:val="0008428E"/>
    <w:rsid w:val="00084EE7"/>
    <w:rsid w:val="00086A37"/>
    <w:rsid w:val="000876AA"/>
    <w:rsid w:val="000922B5"/>
    <w:rsid w:val="00093D7E"/>
    <w:rsid w:val="00093DD6"/>
    <w:rsid w:val="00094164"/>
    <w:rsid w:val="000953A4"/>
    <w:rsid w:val="0009588D"/>
    <w:rsid w:val="00095FA3"/>
    <w:rsid w:val="00096C00"/>
    <w:rsid w:val="00097109"/>
    <w:rsid w:val="000974B1"/>
    <w:rsid w:val="0009795D"/>
    <w:rsid w:val="00097EC0"/>
    <w:rsid w:val="000A1469"/>
    <w:rsid w:val="000A237C"/>
    <w:rsid w:val="000A2390"/>
    <w:rsid w:val="000A26DC"/>
    <w:rsid w:val="000A2E64"/>
    <w:rsid w:val="000A3010"/>
    <w:rsid w:val="000A38B6"/>
    <w:rsid w:val="000A6E76"/>
    <w:rsid w:val="000B05CF"/>
    <w:rsid w:val="000B10E7"/>
    <w:rsid w:val="000B1913"/>
    <w:rsid w:val="000B19B1"/>
    <w:rsid w:val="000B43FF"/>
    <w:rsid w:val="000B4D1B"/>
    <w:rsid w:val="000B5E3E"/>
    <w:rsid w:val="000B62F2"/>
    <w:rsid w:val="000B6608"/>
    <w:rsid w:val="000B6D48"/>
    <w:rsid w:val="000C0317"/>
    <w:rsid w:val="000C041F"/>
    <w:rsid w:val="000C09F0"/>
    <w:rsid w:val="000C1BD7"/>
    <w:rsid w:val="000C2B46"/>
    <w:rsid w:val="000C317F"/>
    <w:rsid w:val="000C3F8D"/>
    <w:rsid w:val="000C4D95"/>
    <w:rsid w:val="000C50DD"/>
    <w:rsid w:val="000C5623"/>
    <w:rsid w:val="000C733F"/>
    <w:rsid w:val="000C77BD"/>
    <w:rsid w:val="000C7F62"/>
    <w:rsid w:val="000D09E8"/>
    <w:rsid w:val="000D0EDD"/>
    <w:rsid w:val="000D1E65"/>
    <w:rsid w:val="000D375C"/>
    <w:rsid w:val="000D393D"/>
    <w:rsid w:val="000D6822"/>
    <w:rsid w:val="000D68D2"/>
    <w:rsid w:val="000D70F9"/>
    <w:rsid w:val="000D7118"/>
    <w:rsid w:val="000D7D69"/>
    <w:rsid w:val="000E03C0"/>
    <w:rsid w:val="000E058F"/>
    <w:rsid w:val="000E0725"/>
    <w:rsid w:val="000E0BBE"/>
    <w:rsid w:val="000E0FE8"/>
    <w:rsid w:val="000E19B0"/>
    <w:rsid w:val="000E2250"/>
    <w:rsid w:val="000E2592"/>
    <w:rsid w:val="000E29D8"/>
    <w:rsid w:val="000E31AF"/>
    <w:rsid w:val="000E3B3F"/>
    <w:rsid w:val="000E3DE0"/>
    <w:rsid w:val="000E541C"/>
    <w:rsid w:val="000E56BB"/>
    <w:rsid w:val="000F00E8"/>
    <w:rsid w:val="000F027C"/>
    <w:rsid w:val="000F050D"/>
    <w:rsid w:val="000F10B2"/>
    <w:rsid w:val="000F1328"/>
    <w:rsid w:val="000F1B18"/>
    <w:rsid w:val="000F1C06"/>
    <w:rsid w:val="000F26EF"/>
    <w:rsid w:val="000F3C2E"/>
    <w:rsid w:val="000F4B21"/>
    <w:rsid w:val="000F4C3C"/>
    <w:rsid w:val="000F589A"/>
    <w:rsid w:val="000F63D0"/>
    <w:rsid w:val="000F69EC"/>
    <w:rsid w:val="000F6C34"/>
    <w:rsid w:val="000F7B95"/>
    <w:rsid w:val="00100492"/>
    <w:rsid w:val="00100B56"/>
    <w:rsid w:val="00101A32"/>
    <w:rsid w:val="00101AA6"/>
    <w:rsid w:val="001022DE"/>
    <w:rsid w:val="00102791"/>
    <w:rsid w:val="00103231"/>
    <w:rsid w:val="00103AB6"/>
    <w:rsid w:val="00103C00"/>
    <w:rsid w:val="00103F90"/>
    <w:rsid w:val="001049D2"/>
    <w:rsid w:val="00104C16"/>
    <w:rsid w:val="00105C74"/>
    <w:rsid w:val="00106905"/>
    <w:rsid w:val="00106E4D"/>
    <w:rsid w:val="001075D0"/>
    <w:rsid w:val="00107D97"/>
    <w:rsid w:val="001100D2"/>
    <w:rsid w:val="00110423"/>
    <w:rsid w:val="0011054D"/>
    <w:rsid w:val="00110A2D"/>
    <w:rsid w:val="0011199F"/>
    <w:rsid w:val="00111F3C"/>
    <w:rsid w:val="00112CBC"/>
    <w:rsid w:val="001137B6"/>
    <w:rsid w:val="00113B43"/>
    <w:rsid w:val="00113DD7"/>
    <w:rsid w:val="00115430"/>
    <w:rsid w:val="00115A62"/>
    <w:rsid w:val="00116882"/>
    <w:rsid w:val="001170E4"/>
    <w:rsid w:val="00117881"/>
    <w:rsid w:val="00117B0B"/>
    <w:rsid w:val="00117D97"/>
    <w:rsid w:val="00120BA0"/>
    <w:rsid w:val="00120E9D"/>
    <w:rsid w:val="0012119C"/>
    <w:rsid w:val="0012149A"/>
    <w:rsid w:val="001219D5"/>
    <w:rsid w:val="00121DC8"/>
    <w:rsid w:val="001231BF"/>
    <w:rsid w:val="001234E8"/>
    <w:rsid w:val="00123B81"/>
    <w:rsid w:val="0012441F"/>
    <w:rsid w:val="00124C14"/>
    <w:rsid w:val="00124C68"/>
    <w:rsid w:val="001255FC"/>
    <w:rsid w:val="00125D5C"/>
    <w:rsid w:val="001260F2"/>
    <w:rsid w:val="0012674F"/>
    <w:rsid w:val="00130F3F"/>
    <w:rsid w:val="001319A6"/>
    <w:rsid w:val="00132B73"/>
    <w:rsid w:val="001333FF"/>
    <w:rsid w:val="0013424E"/>
    <w:rsid w:val="00134B7F"/>
    <w:rsid w:val="00134E3D"/>
    <w:rsid w:val="00136DB8"/>
    <w:rsid w:val="0014031E"/>
    <w:rsid w:val="00141631"/>
    <w:rsid w:val="00141E73"/>
    <w:rsid w:val="00142144"/>
    <w:rsid w:val="001421EE"/>
    <w:rsid w:val="00142724"/>
    <w:rsid w:val="0014301D"/>
    <w:rsid w:val="00143081"/>
    <w:rsid w:val="00143E18"/>
    <w:rsid w:val="001455E1"/>
    <w:rsid w:val="001457A0"/>
    <w:rsid w:val="00145857"/>
    <w:rsid w:val="00146018"/>
    <w:rsid w:val="00146785"/>
    <w:rsid w:val="00146CB5"/>
    <w:rsid w:val="0014729C"/>
    <w:rsid w:val="00150263"/>
    <w:rsid w:val="00150C47"/>
    <w:rsid w:val="00150CCF"/>
    <w:rsid w:val="0015151F"/>
    <w:rsid w:val="00151AE6"/>
    <w:rsid w:val="00151FE4"/>
    <w:rsid w:val="00152039"/>
    <w:rsid w:val="0015357C"/>
    <w:rsid w:val="0015448A"/>
    <w:rsid w:val="001545F0"/>
    <w:rsid w:val="00155771"/>
    <w:rsid w:val="00155D2E"/>
    <w:rsid w:val="001565C1"/>
    <w:rsid w:val="00156C13"/>
    <w:rsid w:val="0015776D"/>
    <w:rsid w:val="00160A1E"/>
    <w:rsid w:val="001615AF"/>
    <w:rsid w:val="001617D6"/>
    <w:rsid w:val="00161CCA"/>
    <w:rsid w:val="00162DDF"/>
    <w:rsid w:val="00164296"/>
    <w:rsid w:val="0016448E"/>
    <w:rsid w:val="00164861"/>
    <w:rsid w:val="00164E8F"/>
    <w:rsid w:val="00164EE0"/>
    <w:rsid w:val="0016504F"/>
    <w:rsid w:val="00165476"/>
    <w:rsid w:val="00167124"/>
    <w:rsid w:val="00167B9F"/>
    <w:rsid w:val="00170FD3"/>
    <w:rsid w:val="00171002"/>
    <w:rsid w:val="0017116A"/>
    <w:rsid w:val="00171238"/>
    <w:rsid w:val="0017132A"/>
    <w:rsid w:val="0017143A"/>
    <w:rsid w:val="00171684"/>
    <w:rsid w:val="00171DE3"/>
    <w:rsid w:val="00173074"/>
    <w:rsid w:val="001739AB"/>
    <w:rsid w:val="00174061"/>
    <w:rsid w:val="00175025"/>
    <w:rsid w:val="00177627"/>
    <w:rsid w:val="001777D5"/>
    <w:rsid w:val="001807EC"/>
    <w:rsid w:val="001808B8"/>
    <w:rsid w:val="00180999"/>
    <w:rsid w:val="00182CF4"/>
    <w:rsid w:val="00183C09"/>
    <w:rsid w:val="00184061"/>
    <w:rsid w:val="001840DA"/>
    <w:rsid w:val="001852F1"/>
    <w:rsid w:val="001867D0"/>
    <w:rsid w:val="001869B9"/>
    <w:rsid w:val="00186C2F"/>
    <w:rsid w:val="00187494"/>
    <w:rsid w:val="00187A84"/>
    <w:rsid w:val="00190000"/>
    <w:rsid w:val="001927BF"/>
    <w:rsid w:val="00192D1C"/>
    <w:rsid w:val="00192E04"/>
    <w:rsid w:val="0019384D"/>
    <w:rsid w:val="00193AC7"/>
    <w:rsid w:val="0019439C"/>
    <w:rsid w:val="00194F5C"/>
    <w:rsid w:val="001958B5"/>
    <w:rsid w:val="0019621B"/>
    <w:rsid w:val="001965C5"/>
    <w:rsid w:val="00196693"/>
    <w:rsid w:val="001A0E41"/>
    <w:rsid w:val="001A1263"/>
    <w:rsid w:val="001A14CF"/>
    <w:rsid w:val="001A1650"/>
    <w:rsid w:val="001A1F87"/>
    <w:rsid w:val="001A2167"/>
    <w:rsid w:val="001A25FA"/>
    <w:rsid w:val="001A2641"/>
    <w:rsid w:val="001A2E4F"/>
    <w:rsid w:val="001A38EA"/>
    <w:rsid w:val="001A3AF8"/>
    <w:rsid w:val="001A4196"/>
    <w:rsid w:val="001A4296"/>
    <w:rsid w:val="001A4313"/>
    <w:rsid w:val="001A4509"/>
    <w:rsid w:val="001A5022"/>
    <w:rsid w:val="001A548D"/>
    <w:rsid w:val="001A6232"/>
    <w:rsid w:val="001A6D8D"/>
    <w:rsid w:val="001A709B"/>
    <w:rsid w:val="001B0D4B"/>
    <w:rsid w:val="001B0FF0"/>
    <w:rsid w:val="001B11D0"/>
    <w:rsid w:val="001B2385"/>
    <w:rsid w:val="001B66D6"/>
    <w:rsid w:val="001B6706"/>
    <w:rsid w:val="001B698B"/>
    <w:rsid w:val="001B6EE2"/>
    <w:rsid w:val="001B6FD5"/>
    <w:rsid w:val="001B70AF"/>
    <w:rsid w:val="001B76FE"/>
    <w:rsid w:val="001B7821"/>
    <w:rsid w:val="001B7890"/>
    <w:rsid w:val="001C030B"/>
    <w:rsid w:val="001C0F85"/>
    <w:rsid w:val="001C110E"/>
    <w:rsid w:val="001C12B6"/>
    <w:rsid w:val="001C2B62"/>
    <w:rsid w:val="001C40A2"/>
    <w:rsid w:val="001C63A6"/>
    <w:rsid w:val="001C6A87"/>
    <w:rsid w:val="001C6EC7"/>
    <w:rsid w:val="001C71A2"/>
    <w:rsid w:val="001D142B"/>
    <w:rsid w:val="001D25D4"/>
    <w:rsid w:val="001D2AA5"/>
    <w:rsid w:val="001D3325"/>
    <w:rsid w:val="001D4097"/>
    <w:rsid w:val="001D53F7"/>
    <w:rsid w:val="001D5AF8"/>
    <w:rsid w:val="001D6ABF"/>
    <w:rsid w:val="001E0699"/>
    <w:rsid w:val="001E0B77"/>
    <w:rsid w:val="001E15CD"/>
    <w:rsid w:val="001E21FC"/>
    <w:rsid w:val="001E2839"/>
    <w:rsid w:val="001E2EC8"/>
    <w:rsid w:val="001E3298"/>
    <w:rsid w:val="001E3743"/>
    <w:rsid w:val="001E389E"/>
    <w:rsid w:val="001E48D4"/>
    <w:rsid w:val="001E4B1C"/>
    <w:rsid w:val="001E4C0C"/>
    <w:rsid w:val="001E56CB"/>
    <w:rsid w:val="001E575B"/>
    <w:rsid w:val="001E5898"/>
    <w:rsid w:val="001E6810"/>
    <w:rsid w:val="001E6E16"/>
    <w:rsid w:val="001E7226"/>
    <w:rsid w:val="001E7336"/>
    <w:rsid w:val="001E792D"/>
    <w:rsid w:val="001F0275"/>
    <w:rsid w:val="001F07C6"/>
    <w:rsid w:val="001F09F1"/>
    <w:rsid w:val="001F0EC5"/>
    <w:rsid w:val="001F1484"/>
    <w:rsid w:val="001F17EC"/>
    <w:rsid w:val="001F19CA"/>
    <w:rsid w:val="001F1E26"/>
    <w:rsid w:val="001F231B"/>
    <w:rsid w:val="001F28A9"/>
    <w:rsid w:val="001F2999"/>
    <w:rsid w:val="001F3240"/>
    <w:rsid w:val="001F352B"/>
    <w:rsid w:val="001F3FEE"/>
    <w:rsid w:val="001F4A7B"/>
    <w:rsid w:val="001F4B37"/>
    <w:rsid w:val="001F5E2F"/>
    <w:rsid w:val="001F612F"/>
    <w:rsid w:val="001F77BB"/>
    <w:rsid w:val="00200170"/>
    <w:rsid w:val="0020119E"/>
    <w:rsid w:val="002016AF"/>
    <w:rsid w:val="002018D8"/>
    <w:rsid w:val="00201D56"/>
    <w:rsid w:val="00202D6D"/>
    <w:rsid w:val="0020351B"/>
    <w:rsid w:val="002038C2"/>
    <w:rsid w:val="002040BE"/>
    <w:rsid w:val="00204E5D"/>
    <w:rsid w:val="00205582"/>
    <w:rsid w:val="0020595E"/>
    <w:rsid w:val="0020674C"/>
    <w:rsid w:val="00206C0F"/>
    <w:rsid w:val="002077D7"/>
    <w:rsid w:val="002079C9"/>
    <w:rsid w:val="00207A0A"/>
    <w:rsid w:val="00207B4B"/>
    <w:rsid w:val="00210F2B"/>
    <w:rsid w:val="0021177A"/>
    <w:rsid w:val="002118A8"/>
    <w:rsid w:val="00211A02"/>
    <w:rsid w:val="00212231"/>
    <w:rsid w:val="00212930"/>
    <w:rsid w:val="00212FAB"/>
    <w:rsid w:val="002134AF"/>
    <w:rsid w:val="002134DD"/>
    <w:rsid w:val="00213976"/>
    <w:rsid w:val="002142E1"/>
    <w:rsid w:val="00215F30"/>
    <w:rsid w:val="002161E2"/>
    <w:rsid w:val="00216D74"/>
    <w:rsid w:val="0021728D"/>
    <w:rsid w:val="0022003B"/>
    <w:rsid w:val="002211E8"/>
    <w:rsid w:val="002212F4"/>
    <w:rsid w:val="0022143B"/>
    <w:rsid w:val="002223D0"/>
    <w:rsid w:val="00222FD3"/>
    <w:rsid w:val="002244F4"/>
    <w:rsid w:val="00226FEA"/>
    <w:rsid w:val="0022717E"/>
    <w:rsid w:val="002275AC"/>
    <w:rsid w:val="00230187"/>
    <w:rsid w:val="002304A2"/>
    <w:rsid w:val="00230516"/>
    <w:rsid w:val="002307BE"/>
    <w:rsid w:val="00230939"/>
    <w:rsid w:val="00231BF6"/>
    <w:rsid w:val="0023367A"/>
    <w:rsid w:val="002337B0"/>
    <w:rsid w:val="00233A7E"/>
    <w:rsid w:val="00234D9B"/>
    <w:rsid w:val="002359C6"/>
    <w:rsid w:val="00235FE1"/>
    <w:rsid w:val="00236C6D"/>
    <w:rsid w:val="0023742C"/>
    <w:rsid w:val="0023748E"/>
    <w:rsid w:val="0024052A"/>
    <w:rsid w:val="00241634"/>
    <w:rsid w:val="002424FE"/>
    <w:rsid w:val="002439D8"/>
    <w:rsid w:val="00244255"/>
    <w:rsid w:val="002444A3"/>
    <w:rsid w:val="00244E67"/>
    <w:rsid w:val="00244ED6"/>
    <w:rsid w:val="00245435"/>
    <w:rsid w:val="0024548A"/>
    <w:rsid w:val="00245BC5"/>
    <w:rsid w:val="00245DFA"/>
    <w:rsid w:val="00250907"/>
    <w:rsid w:val="00251103"/>
    <w:rsid w:val="00251526"/>
    <w:rsid w:val="002516DA"/>
    <w:rsid w:val="002516F2"/>
    <w:rsid w:val="002534D1"/>
    <w:rsid w:val="00253675"/>
    <w:rsid w:val="002554C0"/>
    <w:rsid w:val="00255C84"/>
    <w:rsid w:val="0025671E"/>
    <w:rsid w:val="002573AF"/>
    <w:rsid w:val="0026007D"/>
    <w:rsid w:val="002612DB"/>
    <w:rsid w:val="00261F64"/>
    <w:rsid w:val="00262F60"/>
    <w:rsid w:val="002631C1"/>
    <w:rsid w:val="00263C36"/>
    <w:rsid w:val="00265491"/>
    <w:rsid w:val="002659BC"/>
    <w:rsid w:val="00265CC9"/>
    <w:rsid w:val="002666F9"/>
    <w:rsid w:val="0027118D"/>
    <w:rsid w:val="00272628"/>
    <w:rsid w:val="00273EFD"/>
    <w:rsid w:val="00274429"/>
    <w:rsid w:val="002754F6"/>
    <w:rsid w:val="00275E7B"/>
    <w:rsid w:val="00277352"/>
    <w:rsid w:val="002778B4"/>
    <w:rsid w:val="00277B88"/>
    <w:rsid w:val="00280151"/>
    <w:rsid w:val="00281394"/>
    <w:rsid w:val="00281D46"/>
    <w:rsid w:val="00281DDF"/>
    <w:rsid w:val="00283879"/>
    <w:rsid w:val="002838AE"/>
    <w:rsid w:val="00283F33"/>
    <w:rsid w:val="00286BBA"/>
    <w:rsid w:val="0028700E"/>
    <w:rsid w:val="002871DD"/>
    <w:rsid w:val="00287E82"/>
    <w:rsid w:val="0029028C"/>
    <w:rsid w:val="00290755"/>
    <w:rsid w:val="00291BC7"/>
    <w:rsid w:val="00292148"/>
    <w:rsid w:val="00292DBD"/>
    <w:rsid w:val="0029370E"/>
    <w:rsid w:val="0029461B"/>
    <w:rsid w:val="00294636"/>
    <w:rsid w:val="0029497C"/>
    <w:rsid w:val="00294C94"/>
    <w:rsid w:val="00295001"/>
    <w:rsid w:val="0029509D"/>
    <w:rsid w:val="00296781"/>
    <w:rsid w:val="002968BE"/>
    <w:rsid w:val="00296B3D"/>
    <w:rsid w:val="0029720B"/>
    <w:rsid w:val="002A04E5"/>
    <w:rsid w:val="002A1D1C"/>
    <w:rsid w:val="002A4FB5"/>
    <w:rsid w:val="002A5A21"/>
    <w:rsid w:val="002A676D"/>
    <w:rsid w:val="002A6C0E"/>
    <w:rsid w:val="002A6DF5"/>
    <w:rsid w:val="002A7576"/>
    <w:rsid w:val="002B09AA"/>
    <w:rsid w:val="002B0B93"/>
    <w:rsid w:val="002B23BC"/>
    <w:rsid w:val="002B27F1"/>
    <w:rsid w:val="002B4B02"/>
    <w:rsid w:val="002B50C8"/>
    <w:rsid w:val="002B5C55"/>
    <w:rsid w:val="002B6804"/>
    <w:rsid w:val="002B6B15"/>
    <w:rsid w:val="002B74F1"/>
    <w:rsid w:val="002C0575"/>
    <w:rsid w:val="002C08C3"/>
    <w:rsid w:val="002C11A9"/>
    <w:rsid w:val="002C11F8"/>
    <w:rsid w:val="002C16FC"/>
    <w:rsid w:val="002C1EAE"/>
    <w:rsid w:val="002C26B8"/>
    <w:rsid w:val="002C3C1B"/>
    <w:rsid w:val="002C46B8"/>
    <w:rsid w:val="002C5AE4"/>
    <w:rsid w:val="002C6048"/>
    <w:rsid w:val="002C6D6F"/>
    <w:rsid w:val="002C749F"/>
    <w:rsid w:val="002C766D"/>
    <w:rsid w:val="002C7D40"/>
    <w:rsid w:val="002D0111"/>
    <w:rsid w:val="002D1A0F"/>
    <w:rsid w:val="002D2757"/>
    <w:rsid w:val="002D27A9"/>
    <w:rsid w:val="002D350A"/>
    <w:rsid w:val="002D3A41"/>
    <w:rsid w:val="002D4495"/>
    <w:rsid w:val="002D5B95"/>
    <w:rsid w:val="002D6397"/>
    <w:rsid w:val="002D6DD3"/>
    <w:rsid w:val="002E05C5"/>
    <w:rsid w:val="002E1323"/>
    <w:rsid w:val="002E1998"/>
    <w:rsid w:val="002E240A"/>
    <w:rsid w:val="002E3EBC"/>
    <w:rsid w:val="002E3F79"/>
    <w:rsid w:val="002E3FAA"/>
    <w:rsid w:val="002E479E"/>
    <w:rsid w:val="002E5250"/>
    <w:rsid w:val="002E6A60"/>
    <w:rsid w:val="002E7343"/>
    <w:rsid w:val="002E7EDA"/>
    <w:rsid w:val="002F094B"/>
    <w:rsid w:val="002F1780"/>
    <w:rsid w:val="002F1B0B"/>
    <w:rsid w:val="002F2072"/>
    <w:rsid w:val="002F2338"/>
    <w:rsid w:val="002F305F"/>
    <w:rsid w:val="002F3F9E"/>
    <w:rsid w:val="002F4CFA"/>
    <w:rsid w:val="002F5738"/>
    <w:rsid w:val="002F63C8"/>
    <w:rsid w:val="002F67FE"/>
    <w:rsid w:val="002F6B1A"/>
    <w:rsid w:val="002F6F33"/>
    <w:rsid w:val="002F74CD"/>
    <w:rsid w:val="002F7873"/>
    <w:rsid w:val="002F78A5"/>
    <w:rsid w:val="00300AD0"/>
    <w:rsid w:val="00300BF3"/>
    <w:rsid w:val="003014A7"/>
    <w:rsid w:val="0030298C"/>
    <w:rsid w:val="00303C8B"/>
    <w:rsid w:val="00304890"/>
    <w:rsid w:val="00304CD9"/>
    <w:rsid w:val="00305667"/>
    <w:rsid w:val="00305745"/>
    <w:rsid w:val="00305748"/>
    <w:rsid w:val="003105A9"/>
    <w:rsid w:val="0031139E"/>
    <w:rsid w:val="00311B1A"/>
    <w:rsid w:val="00312C00"/>
    <w:rsid w:val="003133FA"/>
    <w:rsid w:val="00313410"/>
    <w:rsid w:val="00315514"/>
    <w:rsid w:val="00315B27"/>
    <w:rsid w:val="0031640A"/>
    <w:rsid w:val="003168DB"/>
    <w:rsid w:val="00316959"/>
    <w:rsid w:val="00317169"/>
    <w:rsid w:val="00317C5D"/>
    <w:rsid w:val="0032060D"/>
    <w:rsid w:val="00320763"/>
    <w:rsid w:val="003207A3"/>
    <w:rsid w:val="0032121B"/>
    <w:rsid w:val="00322B6D"/>
    <w:rsid w:val="0032359B"/>
    <w:rsid w:val="003241AF"/>
    <w:rsid w:val="0032424A"/>
    <w:rsid w:val="00324338"/>
    <w:rsid w:val="003249F9"/>
    <w:rsid w:val="00324DE7"/>
    <w:rsid w:val="003256EF"/>
    <w:rsid w:val="0032616A"/>
    <w:rsid w:val="00326508"/>
    <w:rsid w:val="003269FB"/>
    <w:rsid w:val="00327BED"/>
    <w:rsid w:val="0033021B"/>
    <w:rsid w:val="00330A54"/>
    <w:rsid w:val="00331CC1"/>
    <w:rsid w:val="00332B29"/>
    <w:rsid w:val="00332D81"/>
    <w:rsid w:val="00333A0D"/>
    <w:rsid w:val="00333F44"/>
    <w:rsid w:val="0033437B"/>
    <w:rsid w:val="003346C3"/>
    <w:rsid w:val="00335F71"/>
    <w:rsid w:val="00336112"/>
    <w:rsid w:val="00336940"/>
    <w:rsid w:val="00337A28"/>
    <w:rsid w:val="00337DA5"/>
    <w:rsid w:val="00340709"/>
    <w:rsid w:val="00340FE8"/>
    <w:rsid w:val="00340FF9"/>
    <w:rsid w:val="00341491"/>
    <w:rsid w:val="003424CC"/>
    <w:rsid w:val="00342B88"/>
    <w:rsid w:val="00343C9F"/>
    <w:rsid w:val="00344B85"/>
    <w:rsid w:val="00344BD0"/>
    <w:rsid w:val="003454D2"/>
    <w:rsid w:val="00346816"/>
    <w:rsid w:val="003470DD"/>
    <w:rsid w:val="003505A9"/>
    <w:rsid w:val="00351427"/>
    <w:rsid w:val="00352B83"/>
    <w:rsid w:val="0035444C"/>
    <w:rsid w:val="00354A23"/>
    <w:rsid w:val="0035529A"/>
    <w:rsid w:val="003558B2"/>
    <w:rsid w:val="00355D4D"/>
    <w:rsid w:val="00362544"/>
    <w:rsid w:val="0036437A"/>
    <w:rsid w:val="00364C90"/>
    <w:rsid w:val="00365E16"/>
    <w:rsid w:val="00366021"/>
    <w:rsid w:val="0036631C"/>
    <w:rsid w:val="00366F24"/>
    <w:rsid w:val="00367843"/>
    <w:rsid w:val="00367A15"/>
    <w:rsid w:val="003706F4"/>
    <w:rsid w:val="003716C9"/>
    <w:rsid w:val="00372107"/>
    <w:rsid w:val="003723D6"/>
    <w:rsid w:val="00373BB6"/>
    <w:rsid w:val="00373EEF"/>
    <w:rsid w:val="0037403B"/>
    <w:rsid w:val="003741A7"/>
    <w:rsid w:val="00374DEB"/>
    <w:rsid w:val="00374E8C"/>
    <w:rsid w:val="003758C6"/>
    <w:rsid w:val="00375943"/>
    <w:rsid w:val="00376181"/>
    <w:rsid w:val="00376291"/>
    <w:rsid w:val="00376893"/>
    <w:rsid w:val="003804AD"/>
    <w:rsid w:val="00380CD3"/>
    <w:rsid w:val="003829B9"/>
    <w:rsid w:val="00382ACE"/>
    <w:rsid w:val="00383A71"/>
    <w:rsid w:val="003843EE"/>
    <w:rsid w:val="003845B7"/>
    <w:rsid w:val="003854A0"/>
    <w:rsid w:val="0038680E"/>
    <w:rsid w:val="00386B0E"/>
    <w:rsid w:val="0038766E"/>
    <w:rsid w:val="003876F6"/>
    <w:rsid w:val="00387BEF"/>
    <w:rsid w:val="00390322"/>
    <w:rsid w:val="003907F2"/>
    <w:rsid w:val="00390EF0"/>
    <w:rsid w:val="003917C2"/>
    <w:rsid w:val="003927D9"/>
    <w:rsid w:val="00392F95"/>
    <w:rsid w:val="00393998"/>
    <w:rsid w:val="00394EB3"/>
    <w:rsid w:val="003952CF"/>
    <w:rsid w:val="0039617F"/>
    <w:rsid w:val="0039620F"/>
    <w:rsid w:val="00396EFC"/>
    <w:rsid w:val="0039727B"/>
    <w:rsid w:val="003A044E"/>
    <w:rsid w:val="003A05F9"/>
    <w:rsid w:val="003A06CA"/>
    <w:rsid w:val="003A0B8A"/>
    <w:rsid w:val="003A0E0F"/>
    <w:rsid w:val="003A129D"/>
    <w:rsid w:val="003A20E1"/>
    <w:rsid w:val="003A2998"/>
    <w:rsid w:val="003A3991"/>
    <w:rsid w:val="003A3AA9"/>
    <w:rsid w:val="003A4B7A"/>
    <w:rsid w:val="003A4F59"/>
    <w:rsid w:val="003A6CAB"/>
    <w:rsid w:val="003A7190"/>
    <w:rsid w:val="003B019F"/>
    <w:rsid w:val="003B0269"/>
    <w:rsid w:val="003B2A54"/>
    <w:rsid w:val="003B2A9D"/>
    <w:rsid w:val="003B2C73"/>
    <w:rsid w:val="003B4AB4"/>
    <w:rsid w:val="003B5758"/>
    <w:rsid w:val="003B5F26"/>
    <w:rsid w:val="003B6BDB"/>
    <w:rsid w:val="003B6F7B"/>
    <w:rsid w:val="003B7652"/>
    <w:rsid w:val="003C034A"/>
    <w:rsid w:val="003C07E9"/>
    <w:rsid w:val="003C0C93"/>
    <w:rsid w:val="003C1002"/>
    <w:rsid w:val="003C13DE"/>
    <w:rsid w:val="003C167F"/>
    <w:rsid w:val="003C17D8"/>
    <w:rsid w:val="003C1E17"/>
    <w:rsid w:val="003C1F20"/>
    <w:rsid w:val="003C278B"/>
    <w:rsid w:val="003C3AA9"/>
    <w:rsid w:val="003C3C1E"/>
    <w:rsid w:val="003C4A8B"/>
    <w:rsid w:val="003C4DA8"/>
    <w:rsid w:val="003C510A"/>
    <w:rsid w:val="003C67B6"/>
    <w:rsid w:val="003C6A25"/>
    <w:rsid w:val="003D37B6"/>
    <w:rsid w:val="003D3E18"/>
    <w:rsid w:val="003D3EE0"/>
    <w:rsid w:val="003D571B"/>
    <w:rsid w:val="003D5A08"/>
    <w:rsid w:val="003D5B5A"/>
    <w:rsid w:val="003D6C96"/>
    <w:rsid w:val="003E0199"/>
    <w:rsid w:val="003E06EE"/>
    <w:rsid w:val="003E0B93"/>
    <w:rsid w:val="003E1598"/>
    <w:rsid w:val="003E171F"/>
    <w:rsid w:val="003E2A1C"/>
    <w:rsid w:val="003E2EA6"/>
    <w:rsid w:val="003E4F1F"/>
    <w:rsid w:val="003E6050"/>
    <w:rsid w:val="003E6960"/>
    <w:rsid w:val="003E6C7E"/>
    <w:rsid w:val="003E7069"/>
    <w:rsid w:val="003E75E7"/>
    <w:rsid w:val="003E7A6B"/>
    <w:rsid w:val="003E7EE8"/>
    <w:rsid w:val="003F042A"/>
    <w:rsid w:val="003F0661"/>
    <w:rsid w:val="003F1024"/>
    <w:rsid w:val="003F143D"/>
    <w:rsid w:val="003F221F"/>
    <w:rsid w:val="003F29D5"/>
    <w:rsid w:val="003F2F20"/>
    <w:rsid w:val="003F3C28"/>
    <w:rsid w:val="003F3E13"/>
    <w:rsid w:val="003F4401"/>
    <w:rsid w:val="003F4B7F"/>
    <w:rsid w:val="003F5825"/>
    <w:rsid w:val="003F59F9"/>
    <w:rsid w:val="003F5A35"/>
    <w:rsid w:val="003F5C0F"/>
    <w:rsid w:val="003F5CD6"/>
    <w:rsid w:val="003F5F8E"/>
    <w:rsid w:val="003F6565"/>
    <w:rsid w:val="003F6693"/>
    <w:rsid w:val="003F68D2"/>
    <w:rsid w:val="003F6B57"/>
    <w:rsid w:val="003F6E85"/>
    <w:rsid w:val="00400B85"/>
    <w:rsid w:val="004019E7"/>
    <w:rsid w:val="00402393"/>
    <w:rsid w:val="004024C7"/>
    <w:rsid w:val="00404501"/>
    <w:rsid w:val="00404D0D"/>
    <w:rsid w:val="00404FAC"/>
    <w:rsid w:val="004052E9"/>
    <w:rsid w:val="004058EC"/>
    <w:rsid w:val="00407F8B"/>
    <w:rsid w:val="00410637"/>
    <w:rsid w:val="00410711"/>
    <w:rsid w:val="00411211"/>
    <w:rsid w:val="004112AE"/>
    <w:rsid w:val="00411502"/>
    <w:rsid w:val="0041253D"/>
    <w:rsid w:val="00412DE9"/>
    <w:rsid w:val="00413F2F"/>
    <w:rsid w:val="00414364"/>
    <w:rsid w:val="00414FAC"/>
    <w:rsid w:val="0041534A"/>
    <w:rsid w:val="004157DA"/>
    <w:rsid w:val="00415929"/>
    <w:rsid w:val="00416471"/>
    <w:rsid w:val="0041679F"/>
    <w:rsid w:val="004178CB"/>
    <w:rsid w:val="00417C30"/>
    <w:rsid w:val="00417CB6"/>
    <w:rsid w:val="00420194"/>
    <w:rsid w:val="00420882"/>
    <w:rsid w:val="00421B31"/>
    <w:rsid w:val="00421F00"/>
    <w:rsid w:val="00422864"/>
    <w:rsid w:val="004234D4"/>
    <w:rsid w:val="00423AA1"/>
    <w:rsid w:val="00423B22"/>
    <w:rsid w:val="00423D22"/>
    <w:rsid w:val="00423F43"/>
    <w:rsid w:val="00424A7B"/>
    <w:rsid w:val="0042598E"/>
    <w:rsid w:val="00425EAD"/>
    <w:rsid w:val="00425EAE"/>
    <w:rsid w:val="00426286"/>
    <w:rsid w:val="0042668B"/>
    <w:rsid w:val="00430252"/>
    <w:rsid w:val="00430390"/>
    <w:rsid w:val="00431ECA"/>
    <w:rsid w:val="00432D4F"/>
    <w:rsid w:val="00433213"/>
    <w:rsid w:val="0043390B"/>
    <w:rsid w:val="00433A42"/>
    <w:rsid w:val="00434889"/>
    <w:rsid w:val="00434A23"/>
    <w:rsid w:val="00434FF0"/>
    <w:rsid w:val="00435630"/>
    <w:rsid w:val="004357AE"/>
    <w:rsid w:val="00436F7D"/>
    <w:rsid w:val="00437723"/>
    <w:rsid w:val="004411CD"/>
    <w:rsid w:val="00441624"/>
    <w:rsid w:val="00441F2A"/>
    <w:rsid w:val="004420B7"/>
    <w:rsid w:val="00442EF8"/>
    <w:rsid w:val="00443420"/>
    <w:rsid w:val="00444E63"/>
    <w:rsid w:val="00445333"/>
    <w:rsid w:val="00445557"/>
    <w:rsid w:val="00445647"/>
    <w:rsid w:val="0044671B"/>
    <w:rsid w:val="00446A95"/>
    <w:rsid w:val="00446CAE"/>
    <w:rsid w:val="00446E36"/>
    <w:rsid w:val="004473E5"/>
    <w:rsid w:val="0045140E"/>
    <w:rsid w:val="00452D0D"/>
    <w:rsid w:val="004541A6"/>
    <w:rsid w:val="004541B1"/>
    <w:rsid w:val="004551EA"/>
    <w:rsid w:val="00455561"/>
    <w:rsid w:val="004556BB"/>
    <w:rsid w:val="00455D11"/>
    <w:rsid w:val="00456812"/>
    <w:rsid w:val="00456B05"/>
    <w:rsid w:val="0045748A"/>
    <w:rsid w:val="00457B57"/>
    <w:rsid w:val="00457DE5"/>
    <w:rsid w:val="004609EB"/>
    <w:rsid w:val="00460DCF"/>
    <w:rsid w:val="00461947"/>
    <w:rsid w:val="00462102"/>
    <w:rsid w:val="00463971"/>
    <w:rsid w:val="00463AD8"/>
    <w:rsid w:val="00463DB2"/>
    <w:rsid w:val="004643F2"/>
    <w:rsid w:val="00466153"/>
    <w:rsid w:val="0046666B"/>
    <w:rsid w:val="00467745"/>
    <w:rsid w:val="0047091A"/>
    <w:rsid w:val="00471533"/>
    <w:rsid w:val="00472B11"/>
    <w:rsid w:val="00472EB8"/>
    <w:rsid w:val="004748BC"/>
    <w:rsid w:val="00475124"/>
    <w:rsid w:val="00475516"/>
    <w:rsid w:val="00475D94"/>
    <w:rsid w:val="00476EDA"/>
    <w:rsid w:val="0047757D"/>
    <w:rsid w:val="00477F90"/>
    <w:rsid w:val="00480CD1"/>
    <w:rsid w:val="00480E44"/>
    <w:rsid w:val="00481A04"/>
    <w:rsid w:val="00481B36"/>
    <w:rsid w:val="004830D6"/>
    <w:rsid w:val="004834B1"/>
    <w:rsid w:val="004841E8"/>
    <w:rsid w:val="004844C4"/>
    <w:rsid w:val="004848AB"/>
    <w:rsid w:val="00486135"/>
    <w:rsid w:val="00486332"/>
    <w:rsid w:val="00486B06"/>
    <w:rsid w:val="00486F46"/>
    <w:rsid w:val="00487068"/>
    <w:rsid w:val="0049001E"/>
    <w:rsid w:val="00490CEE"/>
    <w:rsid w:val="00491DD4"/>
    <w:rsid w:val="004922DA"/>
    <w:rsid w:val="0049243D"/>
    <w:rsid w:val="00492571"/>
    <w:rsid w:val="00492ECE"/>
    <w:rsid w:val="00493638"/>
    <w:rsid w:val="00493B4D"/>
    <w:rsid w:val="004943AA"/>
    <w:rsid w:val="0049661F"/>
    <w:rsid w:val="00496CCF"/>
    <w:rsid w:val="004977D2"/>
    <w:rsid w:val="004979BE"/>
    <w:rsid w:val="00497F4F"/>
    <w:rsid w:val="004A04DE"/>
    <w:rsid w:val="004A0A4F"/>
    <w:rsid w:val="004A16CC"/>
    <w:rsid w:val="004A2DA4"/>
    <w:rsid w:val="004A338B"/>
    <w:rsid w:val="004A404A"/>
    <w:rsid w:val="004A445F"/>
    <w:rsid w:val="004A5834"/>
    <w:rsid w:val="004A680A"/>
    <w:rsid w:val="004A6AD4"/>
    <w:rsid w:val="004A7AE3"/>
    <w:rsid w:val="004B041E"/>
    <w:rsid w:val="004B0C9F"/>
    <w:rsid w:val="004B129A"/>
    <w:rsid w:val="004B1524"/>
    <w:rsid w:val="004B17D5"/>
    <w:rsid w:val="004B2634"/>
    <w:rsid w:val="004B285C"/>
    <w:rsid w:val="004B3D94"/>
    <w:rsid w:val="004B46B0"/>
    <w:rsid w:val="004B530A"/>
    <w:rsid w:val="004B705D"/>
    <w:rsid w:val="004B7103"/>
    <w:rsid w:val="004B7F76"/>
    <w:rsid w:val="004C19EB"/>
    <w:rsid w:val="004C19FD"/>
    <w:rsid w:val="004C27AB"/>
    <w:rsid w:val="004C2AE9"/>
    <w:rsid w:val="004C32D3"/>
    <w:rsid w:val="004C3F3B"/>
    <w:rsid w:val="004C4684"/>
    <w:rsid w:val="004C49BD"/>
    <w:rsid w:val="004C4A9A"/>
    <w:rsid w:val="004C4C0F"/>
    <w:rsid w:val="004C55F9"/>
    <w:rsid w:val="004C569E"/>
    <w:rsid w:val="004C66AF"/>
    <w:rsid w:val="004C6983"/>
    <w:rsid w:val="004D19D7"/>
    <w:rsid w:val="004D1DA8"/>
    <w:rsid w:val="004D2086"/>
    <w:rsid w:val="004D20BB"/>
    <w:rsid w:val="004D306D"/>
    <w:rsid w:val="004D45BE"/>
    <w:rsid w:val="004D4E9E"/>
    <w:rsid w:val="004D50D2"/>
    <w:rsid w:val="004D55A0"/>
    <w:rsid w:val="004D5CA3"/>
    <w:rsid w:val="004D65B0"/>
    <w:rsid w:val="004D6F74"/>
    <w:rsid w:val="004D70F3"/>
    <w:rsid w:val="004E0E9E"/>
    <w:rsid w:val="004E1191"/>
    <w:rsid w:val="004E2267"/>
    <w:rsid w:val="004E25F3"/>
    <w:rsid w:val="004E3162"/>
    <w:rsid w:val="004E34B7"/>
    <w:rsid w:val="004E3604"/>
    <w:rsid w:val="004E3961"/>
    <w:rsid w:val="004E39FA"/>
    <w:rsid w:val="004E3EA6"/>
    <w:rsid w:val="004E417D"/>
    <w:rsid w:val="004E4618"/>
    <w:rsid w:val="004E479B"/>
    <w:rsid w:val="004E4B1F"/>
    <w:rsid w:val="004E5882"/>
    <w:rsid w:val="004E5F60"/>
    <w:rsid w:val="004E614D"/>
    <w:rsid w:val="004E7324"/>
    <w:rsid w:val="004F005C"/>
    <w:rsid w:val="004F022E"/>
    <w:rsid w:val="004F0358"/>
    <w:rsid w:val="004F0EE5"/>
    <w:rsid w:val="004F143D"/>
    <w:rsid w:val="004F1BD5"/>
    <w:rsid w:val="004F2D6F"/>
    <w:rsid w:val="004F2DBD"/>
    <w:rsid w:val="004F31AD"/>
    <w:rsid w:val="004F53E9"/>
    <w:rsid w:val="004F5451"/>
    <w:rsid w:val="004F5E55"/>
    <w:rsid w:val="004F6160"/>
    <w:rsid w:val="004F630B"/>
    <w:rsid w:val="00500D97"/>
    <w:rsid w:val="005011FC"/>
    <w:rsid w:val="00501873"/>
    <w:rsid w:val="005026FC"/>
    <w:rsid w:val="0050278A"/>
    <w:rsid w:val="00503765"/>
    <w:rsid w:val="00503CB5"/>
    <w:rsid w:val="00503F6F"/>
    <w:rsid w:val="0050404D"/>
    <w:rsid w:val="00504AC7"/>
    <w:rsid w:val="00505C62"/>
    <w:rsid w:val="005061F0"/>
    <w:rsid w:val="005075FE"/>
    <w:rsid w:val="00510C88"/>
    <w:rsid w:val="00511DF1"/>
    <w:rsid w:val="005127CD"/>
    <w:rsid w:val="00512D50"/>
    <w:rsid w:val="00513036"/>
    <w:rsid w:val="00513093"/>
    <w:rsid w:val="0051318F"/>
    <w:rsid w:val="00514137"/>
    <w:rsid w:val="0051422E"/>
    <w:rsid w:val="00515481"/>
    <w:rsid w:val="00515DE7"/>
    <w:rsid w:val="0051668F"/>
    <w:rsid w:val="0051731F"/>
    <w:rsid w:val="00520042"/>
    <w:rsid w:val="005212DC"/>
    <w:rsid w:val="005219E1"/>
    <w:rsid w:val="00522375"/>
    <w:rsid w:val="005223E1"/>
    <w:rsid w:val="0052242C"/>
    <w:rsid w:val="00522662"/>
    <w:rsid w:val="00522DC5"/>
    <w:rsid w:val="0052383C"/>
    <w:rsid w:val="00525779"/>
    <w:rsid w:val="00526575"/>
    <w:rsid w:val="005266FB"/>
    <w:rsid w:val="00527772"/>
    <w:rsid w:val="005307D5"/>
    <w:rsid w:val="00531407"/>
    <w:rsid w:val="005315EF"/>
    <w:rsid w:val="005336E8"/>
    <w:rsid w:val="00533A86"/>
    <w:rsid w:val="00533E90"/>
    <w:rsid w:val="00533FD1"/>
    <w:rsid w:val="00534BE0"/>
    <w:rsid w:val="00535A2D"/>
    <w:rsid w:val="00535A4D"/>
    <w:rsid w:val="00535D1A"/>
    <w:rsid w:val="00536977"/>
    <w:rsid w:val="00536F54"/>
    <w:rsid w:val="0053794F"/>
    <w:rsid w:val="00537FE4"/>
    <w:rsid w:val="005400A6"/>
    <w:rsid w:val="005405A2"/>
    <w:rsid w:val="00540B06"/>
    <w:rsid w:val="00540B4F"/>
    <w:rsid w:val="00540FF9"/>
    <w:rsid w:val="00541AC6"/>
    <w:rsid w:val="00542C05"/>
    <w:rsid w:val="00542E46"/>
    <w:rsid w:val="005438C5"/>
    <w:rsid w:val="00543C7B"/>
    <w:rsid w:val="00544ADA"/>
    <w:rsid w:val="00545AB1"/>
    <w:rsid w:val="00546267"/>
    <w:rsid w:val="005472D0"/>
    <w:rsid w:val="00547F89"/>
    <w:rsid w:val="005501A7"/>
    <w:rsid w:val="00550BA7"/>
    <w:rsid w:val="00550E70"/>
    <w:rsid w:val="00551EBB"/>
    <w:rsid w:val="0055208B"/>
    <w:rsid w:val="005528F6"/>
    <w:rsid w:val="00552B88"/>
    <w:rsid w:val="00553727"/>
    <w:rsid w:val="00553D57"/>
    <w:rsid w:val="00554E32"/>
    <w:rsid w:val="00555F2D"/>
    <w:rsid w:val="005566B5"/>
    <w:rsid w:val="00556AF3"/>
    <w:rsid w:val="00556B87"/>
    <w:rsid w:val="00556FB2"/>
    <w:rsid w:val="00557A52"/>
    <w:rsid w:val="0056124C"/>
    <w:rsid w:val="00561666"/>
    <w:rsid w:val="0056289C"/>
    <w:rsid w:val="005628AB"/>
    <w:rsid w:val="005631FC"/>
    <w:rsid w:val="00563421"/>
    <w:rsid w:val="00563D3A"/>
    <w:rsid w:val="00563E75"/>
    <w:rsid w:val="00564605"/>
    <w:rsid w:val="0056545C"/>
    <w:rsid w:val="0056678A"/>
    <w:rsid w:val="005668B3"/>
    <w:rsid w:val="00570314"/>
    <w:rsid w:val="005706F6"/>
    <w:rsid w:val="0057093B"/>
    <w:rsid w:val="00571637"/>
    <w:rsid w:val="005719E4"/>
    <w:rsid w:val="005724B0"/>
    <w:rsid w:val="005731DD"/>
    <w:rsid w:val="00573352"/>
    <w:rsid w:val="005746DB"/>
    <w:rsid w:val="0057537F"/>
    <w:rsid w:val="00576F7A"/>
    <w:rsid w:val="005777E1"/>
    <w:rsid w:val="00577C92"/>
    <w:rsid w:val="00580632"/>
    <w:rsid w:val="0058094A"/>
    <w:rsid w:val="005826D9"/>
    <w:rsid w:val="0058307A"/>
    <w:rsid w:val="00583F9C"/>
    <w:rsid w:val="0058403C"/>
    <w:rsid w:val="005843DD"/>
    <w:rsid w:val="00584568"/>
    <w:rsid w:val="005855FE"/>
    <w:rsid w:val="00585C4C"/>
    <w:rsid w:val="005865EB"/>
    <w:rsid w:val="00586C3C"/>
    <w:rsid w:val="00586C5B"/>
    <w:rsid w:val="005872CA"/>
    <w:rsid w:val="0058752D"/>
    <w:rsid w:val="005904CC"/>
    <w:rsid w:val="005906D6"/>
    <w:rsid w:val="00592223"/>
    <w:rsid w:val="005923C0"/>
    <w:rsid w:val="00592AE6"/>
    <w:rsid w:val="00592BC4"/>
    <w:rsid w:val="00592BD6"/>
    <w:rsid w:val="0059345A"/>
    <w:rsid w:val="00593EC1"/>
    <w:rsid w:val="005949C1"/>
    <w:rsid w:val="0059502B"/>
    <w:rsid w:val="005956FA"/>
    <w:rsid w:val="00595EF1"/>
    <w:rsid w:val="00596413"/>
    <w:rsid w:val="00596484"/>
    <w:rsid w:val="00596542"/>
    <w:rsid w:val="005967D9"/>
    <w:rsid w:val="00597486"/>
    <w:rsid w:val="00597746"/>
    <w:rsid w:val="005A0091"/>
    <w:rsid w:val="005A0AB7"/>
    <w:rsid w:val="005A0BDB"/>
    <w:rsid w:val="005A142A"/>
    <w:rsid w:val="005A1A8C"/>
    <w:rsid w:val="005A20B0"/>
    <w:rsid w:val="005A49F2"/>
    <w:rsid w:val="005A5555"/>
    <w:rsid w:val="005B01BB"/>
    <w:rsid w:val="005B026B"/>
    <w:rsid w:val="005B0F25"/>
    <w:rsid w:val="005B1146"/>
    <w:rsid w:val="005B1C2F"/>
    <w:rsid w:val="005B27F5"/>
    <w:rsid w:val="005B2B07"/>
    <w:rsid w:val="005B39ED"/>
    <w:rsid w:val="005B44ED"/>
    <w:rsid w:val="005B4A32"/>
    <w:rsid w:val="005B4F59"/>
    <w:rsid w:val="005B54AF"/>
    <w:rsid w:val="005B5E67"/>
    <w:rsid w:val="005B5FB3"/>
    <w:rsid w:val="005B7176"/>
    <w:rsid w:val="005C0726"/>
    <w:rsid w:val="005C08D5"/>
    <w:rsid w:val="005C1D56"/>
    <w:rsid w:val="005C1F07"/>
    <w:rsid w:val="005C2B58"/>
    <w:rsid w:val="005C314D"/>
    <w:rsid w:val="005C3319"/>
    <w:rsid w:val="005C4791"/>
    <w:rsid w:val="005C5027"/>
    <w:rsid w:val="005C5231"/>
    <w:rsid w:val="005C5B19"/>
    <w:rsid w:val="005C6551"/>
    <w:rsid w:val="005C667A"/>
    <w:rsid w:val="005C70DB"/>
    <w:rsid w:val="005D0639"/>
    <w:rsid w:val="005D0FE6"/>
    <w:rsid w:val="005D1BA4"/>
    <w:rsid w:val="005D2151"/>
    <w:rsid w:val="005D32DA"/>
    <w:rsid w:val="005D32E8"/>
    <w:rsid w:val="005D3C62"/>
    <w:rsid w:val="005D4506"/>
    <w:rsid w:val="005D51BB"/>
    <w:rsid w:val="005D5F34"/>
    <w:rsid w:val="005D60C6"/>
    <w:rsid w:val="005D6153"/>
    <w:rsid w:val="005D6624"/>
    <w:rsid w:val="005D73B8"/>
    <w:rsid w:val="005E01C5"/>
    <w:rsid w:val="005E024C"/>
    <w:rsid w:val="005E06C4"/>
    <w:rsid w:val="005E0DF6"/>
    <w:rsid w:val="005E143B"/>
    <w:rsid w:val="005E17DD"/>
    <w:rsid w:val="005E3249"/>
    <w:rsid w:val="005E3BB7"/>
    <w:rsid w:val="005E3EF1"/>
    <w:rsid w:val="005E50D1"/>
    <w:rsid w:val="005E5B99"/>
    <w:rsid w:val="005E5C4D"/>
    <w:rsid w:val="005E72B3"/>
    <w:rsid w:val="005E7BF8"/>
    <w:rsid w:val="005F0677"/>
    <w:rsid w:val="005F0C42"/>
    <w:rsid w:val="005F1234"/>
    <w:rsid w:val="005F2627"/>
    <w:rsid w:val="005F2670"/>
    <w:rsid w:val="005F3961"/>
    <w:rsid w:val="005F39DA"/>
    <w:rsid w:val="005F3AB8"/>
    <w:rsid w:val="005F474E"/>
    <w:rsid w:val="005F58B5"/>
    <w:rsid w:val="005F65B0"/>
    <w:rsid w:val="005F6A09"/>
    <w:rsid w:val="005F7609"/>
    <w:rsid w:val="00600439"/>
    <w:rsid w:val="00600B28"/>
    <w:rsid w:val="00600C0C"/>
    <w:rsid w:val="00601BB1"/>
    <w:rsid w:val="0060219D"/>
    <w:rsid w:val="00603FBC"/>
    <w:rsid w:val="00606391"/>
    <w:rsid w:val="00606B3E"/>
    <w:rsid w:val="00606EBB"/>
    <w:rsid w:val="00611368"/>
    <w:rsid w:val="00612770"/>
    <w:rsid w:val="00612A59"/>
    <w:rsid w:val="00614030"/>
    <w:rsid w:val="00614A29"/>
    <w:rsid w:val="0061566B"/>
    <w:rsid w:val="00615FE4"/>
    <w:rsid w:val="006164C5"/>
    <w:rsid w:val="00620446"/>
    <w:rsid w:val="00620E9C"/>
    <w:rsid w:val="00620E9F"/>
    <w:rsid w:val="0062135E"/>
    <w:rsid w:val="00623A86"/>
    <w:rsid w:val="0062498E"/>
    <w:rsid w:val="00624A78"/>
    <w:rsid w:val="0062544C"/>
    <w:rsid w:val="0062577C"/>
    <w:rsid w:val="00625DB8"/>
    <w:rsid w:val="00626BDA"/>
    <w:rsid w:val="006279A2"/>
    <w:rsid w:val="0063003B"/>
    <w:rsid w:val="00632EB4"/>
    <w:rsid w:val="00632F5F"/>
    <w:rsid w:val="0063338F"/>
    <w:rsid w:val="006335BC"/>
    <w:rsid w:val="006343BD"/>
    <w:rsid w:val="006352B7"/>
    <w:rsid w:val="006377EA"/>
    <w:rsid w:val="00640503"/>
    <w:rsid w:val="0064075F"/>
    <w:rsid w:val="00641604"/>
    <w:rsid w:val="00641F7E"/>
    <w:rsid w:val="006421DD"/>
    <w:rsid w:val="00643740"/>
    <w:rsid w:val="00643790"/>
    <w:rsid w:val="00644157"/>
    <w:rsid w:val="00644292"/>
    <w:rsid w:val="00644C16"/>
    <w:rsid w:val="0064514E"/>
    <w:rsid w:val="00645217"/>
    <w:rsid w:val="006460DA"/>
    <w:rsid w:val="00647292"/>
    <w:rsid w:val="00647E85"/>
    <w:rsid w:val="0065030B"/>
    <w:rsid w:val="00650426"/>
    <w:rsid w:val="006504EF"/>
    <w:rsid w:val="00650912"/>
    <w:rsid w:val="006509BF"/>
    <w:rsid w:val="00652249"/>
    <w:rsid w:val="00652A37"/>
    <w:rsid w:val="00653A8A"/>
    <w:rsid w:val="00654929"/>
    <w:rsid w:val="00654F66"/>
    <w:rsid w:val="00654F8F"/>
    <w:rsid w:val="0065620C"/>
    <w:rsid w:val="006563FB"/>
    <w:rsid w:val="0065773C"/>
    <w:rsid w:val="006632EB"/>
    <w:rsid w:val="0066360F"/>
    <w:rsid w:val="00663627"/>
    <w:rsid w:val="00663EE0"/>
    <w:rsid w:val="00665CF0"/>
    <w:rsid w:val="006662EC"/>
    <w:rsid w:val="00666869"/>
    <w:rsid w:val="00666977"/>
    <w:rsid w:val="00666EA4"/>
    <w:rsid w:val="00666EB3"/>
    <w:rsid w:val="0066738A"/>
    <w:rsid w:val="006675BF"/>
    <w:rsid w:val="00667627"/>
    <w:rsid w:val="00667B5C"/>
    <w:rsid w:val="00667F57"/>
    <w:rsid w:val="006701BF"/>
    <w:rsid w:val="006703A8"/>
    <w:rsid w:val="00670633"/>
    <w:rsid w:val="00670B38"/>
    <w:rsid w:val="006717A8"/>
    <w:rsid w:val="006722BF"/>
    <w:rsid w:val="00673AC1"/>
    <w:rsid w:val="0067475D"/>
    <w:rsid w:val="00675033"/>
    <w:rsid w:val="0067547A"/>
    <w:rsid w:val="00675A99"/>
    <w:rsid w:val="00675CAC"/>
    <w:rsid w:val="0067689F"/>
    <w:rsid w:val="00676DF7"/>
    <w:rsid w:val="0068054C"/>
    <w:rsid w:val="00681B68"/>
    <w:rsid w:val="006820BE"/>
    <w:rsid w:val="00682372"/>
    <w:rsid w:val="00683608"/>
    <w:rsid w:val="006837BF"/>
    <w:rsid w:val="00684359"/>
    <w:rsid w:val="00684BE5"/>
    <w:rsid w:val="00685B27"/>
    <w:rsid w:val="00687248"/>
    <w:rsid w:val="00690E11"/>
    <w:rsid w:val="00691C40"/>
    <w:rsid w:val="0069277C"/>
    <w:rsid w:val="00693F57"/>
    <w:rsid w:val="006966DD"/>
    <w:rsid w:val="00696B4B"/>
    <w:rsid w:val="00697EAD"/>
    <w:rsid w:val="006A0785"/>
    <w:rsid w:val="006A0F25"/>
    <w:rsid w:val="006A28D6"/>
    <w:rsid w:val="006A2E53"/>
    <w:rsid w:val="006A360D"/>
    <w:rsid w:val="006A3B2B"/>
    <w:rsid w:val="006A3C13"/>
    <w:rsid w:val="006A3D24"/>
    <w:rsid w:val="006A4406"/>
    <w:rsid w:val="006A48F1"/>
    <w:rsid w:val="006A5C43"/>
    <w:rsid w:val="006A729F"/>
    <w:rsid w:val="006A75F3"/>
    <w:rsid w:val="006B0E42"/>
    <w:rsid w:val="006B12D0"/>
    <w:rsid w:val="006B20B3"/>
    <w:rsid w:val="006B2666"/>
    <w:rsid w:val="006B282B"/>
    <w:rsid w:val="006B2912"/>
    <w:rsid w:val="006B313F"/>
    <w:rsid w:val="006B3521"/>
    <w:rsid w:val="006B41D1"/>
    <w:rsid w:val="006B4453"/>
    <w:rsid w:val="006B46B0"/>
    <w:rsid w:val="006B53A7"/>
    <w:rsid w:val="006B5B5B"/>
    <w:rsid w:val="006B774A"/>
    <w:rsid w:val="006B7ED0"/>
    <w:rsid w:val="006C04D3"/>
    <w:rsid w:val="006C12C0"/>
    <w:rsid w:val="006C13C1"/>
    <w:rsid w:val="006C1E0B"/>
    <w:rsid w:val="006C2161"/>
    <w:rsid w:val="006C223F"/>
    <w:rsid w:val="006C250E"/>
    <w:rsid w:val="006C263F"/>
    <w:rsid w:val="006C28C9"/>
    <w:rsid w:val="006C30FB"/>
    <w:rsid w:val="006C3118"/>
    <w:rsid w:val="006C3F5F"/>
    <w:rsid w:val="006C49C5"/>
    <w:rsid w:val="006C5A7F"/>
    <w:rsid w:val="006C5B68"/>
    <w:rsid w:val="006C5C5E"/>
    <w:rsid w:val="006C6361"/>
    <w:rsid w:val="006C63F4"/>
    <w:rsid w:val="006C773F"/>
    <w:rsid w:val="006D05EC"/>
    <w:rsid w:val="006D0B7A"/>
    <w:rsid w:val="006D1195"/>
    <w:rsid w:val="006D126D"/>
    <w:rsid w:val="006D1838"/>
    <w:rsid w:val="006D284E"/>
    <w:rsid w:val="006D3437"/>
    <w:rsid w:val="006D3B22"/>
    <w:rsid w:val="006D4772"/>
    <w:rsid w:val="006D4CF0"/>
    <w:rsid w:val="006D5F27"/>
    <w:rsid w:val="006D6317"/>
    <w:rsid w:val="006D6941"/>
    <w:rsid w:val="006D6C89"/>
    <w:rsid w:val="006E181D"/>
    <w:rsid w:val="006E2147"/>
    <w:rsid w:val="006E26F4"/>
    <w:rsid w:val="006E2FA4"/>
    <w:rsid w:val="006E3FA6"/>
    <w:rsid w:val="006E40AF"/>
    <w:rsid w:val="006E4934"/>
    <w:rsid w:val="006E4E46"/>
    <w:rsid w:val="006E6726"/>
    <w:rsid w:val="006E6D1F"/>
    <w:rsid w:val="006E7254"/>
    <w:rsid w:val="006E7531"/>
    <w:rsid w:val="006E7536"/>
    <w:rsid w:val="006F0168"/>
    <w:rsid w:val="006F03CE"/>
    <w:rsid w:val="006F4F8F"/>
    <w:rsid w:val="006F52AE"/>
    <w:rsid w:val="006F604A"/>
    <w:rsid w:val="006F6321"/>
    <w:rsid w:val="006F7C93"/>
    <w:rsid w:val="006F7FB9"/>
    <w:rsid w:val="00700A57"/>
    <w:rsid w:val="00700F24"/>
    <w:rsid w:val="007050E8"/>
    <w:rsid w:val="00706400"/>
    <w:rsid w:val="00706B91"/>
    <w:rsid w:val="0071018E"/>
    <w:rsid w:val="0071172E"/>
    <w:rsid w:val="00711881"/>
    <w:rsid w:val="0071245D"/>
    <w:rsid w:val="0071275A"/>
    <w:rsid w:val="00713BCC"/>
    <w:rsid w:val="007143CD"/>
    <w:rsid w:val="00714DC3"/>
    <w:rsid w:val="007154CE"/>
    <w:rsid w:val="00715D47"/>
    <w:rsid w:val="00716035"/>
    <w:rsid w:val="007162EA"/>
    <w:rsid w:val="0071681C"/>
    <w:rsid w:val="0072127D"/>
    <w:rsid w:val="00721D93"/>
    <w:rsid w:val="0072283B"/>
    <w:rsid w:val="00722A2C"/>
    <w:rsid w:val="007238A6"/>
    <w:rsid w:val="00723C4C"/>
    <w:rsid w:val="00725445"/>
    <w:rsid w:val="00725795"/>
    <w:rsid w:val="00725D52"/>
    <w:rsid w:val="007266AF"/>
    <w:rsid w:val="00726785"/>
    <w:rsid w:val="00726B7C"/>
    <w:rsid w:val="00730289"/>
    <w:rsid w:val="0073124C"/>
    <w:rsid w:val="007322BB"/>
    <w:rsid w:val="00733284"/>
    <w:rsid w:val="00733C44"/>
    <w:rsid w:val="00735523"/>
    <w:rsid w:val="007355EE"/>
    <w:rsid w:val="0073789D"/>
    <w:rsid w:val="0074011E"/>
    <w:rsid w:val="00741761"/>
    <w:rsid w:val="007428CC"/>
    <w:rsid w:val="00743A5D"/>
    <w:rsid w:val="00743B28"/>
    <w:rsid w:val="00744E47"/>
    <w:rsid w:val="007459E1"/>
    <w:rsid w:val="00745CFF"/>
    <w:rsid w:val="0074650B"/>
    <w:rsid w:val="00746691"/>
    <w:rsid w:val="007469BD"/>
    <w:rsid w:val="00746E1A"/>
    <w:rsid w:val="00747F69"/>
    <w:rsid w:val="00750F70"/>
    <w:rsid w:val="0075101C"/>
    <w:rsid w:val="0075118F"/>
    <w:rsid w:val="007513A9"/>
    <w:rsid w:val="00751598"/>
    <w:rsid w:val="007527ED"/>
    <w:rsid w:val="00753B1E"/>
    <w:rsid w:val="00755022"/>
    <w:rsid w:val="007555C7"/>
    <w:rsid w:val="00755653"/>
    <w:rsid w:val="007558EC"/>
    <w:rsid w:val="00756461"/>
    <w:rsid w:val="00757017"/>
    <w:rsid w:val="007571E4"/>
    <w:rsid w:val="007579B2"/>
    <w:rsid w:val="00760507"/>
    <w:rsid w:val="0076080F"/>
    <w:rsid w:val="00760A0C"/>
    <w:rsid w:val="00760BA8"/>
    <w:rsid w:val="00761509"/>
    <w:rsid w:val="00761C8D"/>
    <w:rsid w:val="0076298C"/>
    <w:rsid w:val="00763660"/>
    <w:rsid w:val="007639AF"/>
    <w:rsid w:val="00764831"/>
    <w:rsid w:val="0076524E"/>
    <w:rsid w:val="00765608"/>
    <w:rsid w:val="00765F6D"/>
    <w:rsid w:val="00766016"/>
    <w:rsid w:val="00766EAE"/>
    <w:rsid w:val="00767AA5"/>
    <w:rsid w:val="00770198"/>
    <w:rsid w:val="00770581"/>
    <w:rsid w:val="00770FA5"/>
    <w:rsid w:val="007715C8"/>
    <w:rsid w:val="0077321A"/>
    <w:rsid w:val="00774539"/>
    <w:rsid w:val="007753A0"/>
    <w:rsid w:val="00775F56"/>
    <w:rsid w:val="00776E2D"/>
    <w:rsid w:val="00777C01"/>
    <w:rsid w:val="00780BDE"/>
    <w:rsid w:val="00780DDC"/>
    <w:rsid w:val="00781A96"/>
    <w:rsid w:val="00781B28"/>
    <w:rsid w:val="00781DDC"/>
    <w:rsid w:val="0078211E"/>
    <w:rsid w:val="0078230F"/>
    <w:rsid w:val="0078285E"/>
    <w:rsid w:val="00782C32"/>
    <w:rsid w:val="00782C58"/>
    <w:rsid w:val="00782E97"/>
    <w:rsid w:val="00783BBF"/>
    <w:rsid w:val="00784FF5"/>
    <w:rsid w:val="007864BB"/>
    <w:rsid w:val="007871B0"/>
    <w:rsid w:val="00787AB8"/>
    <w:rsid w:val="00790492"/>
    <w:rsid w:val="00791569"/>
    <w:rsid w:val="0079258E"/>
    <w:rsid w:val="00792903"/>
    <w:rsid w:val="0079299D"/>
    <w:rsid w:val="007929E4"/>
    <w:rsid w:val="0079314D"/>
    <w:rsid w:val="0079356D"/>
    <w:rsid w:val="00793AB5"/>
    <w:rsid w:val="00794024"/>
    <w:rsid w:val="00794D22"/>
    <w:rsid w:val="00795C70"/>
    <w:rsid w:val="007963D2"/>
    <w:rsid w:val="007967B1"/>
    <w:rsid w:val="00796A92"/>
    <w:rsid w:val="00796DEE"/>
    <w:rsid w:val="007A03BE"/>
    <w:rsid w:val="007A17C2"/>
    <w:rsid w:val="007A1FC6"/>
    <w:rsid w:val="007A29B5"/>
    <w:rsid w:val="007A3369"/>
    <w:rsid w:val="007A3946"/>
    <w:rsid w:val="007A40E2"/>
    <w:rsid w:val="007A495B"/>
    <w:rsid w:val="007A53AB"/>
    <w:rsid w:val="007A5D1D"/>
    <w:rsid w:val="007A5DB3"/>
    <w:rsid w:val="007A5E70"/>
    <w:rsid w:val="007A65DD"/>
    <w:rsid w:val="007A65EA"/>
    <w:rsid w:val="007A67B1"/>
    <w:rsid w:val="007A70EB"/>
    <w:rsid w:val="007A79E6"/>
    <w:rsid w:val="007A7CD2"/>
    <w:rsid w:val="007B008D"/>
    <w:rsid w:val="007B0470"/>
    <w:rsid w:val="007B23EB"/>
    <w:rsid w:val="007B27B3"/>
    <w:rsid w:val="007B2D3F"/>
    <w:rsid w:val="007B2EFB"/>
    <w:rsid w:val="007B301D"/>
    <w:rsid w:val="007B39E7"/>
    <w:rsid w:val="007B43D8"/>
    <w:rsid w:val="007B45CB"/>
    <w:rsid w:val="007B5561"/>
    <w:rsid w:val="007B5959"/>
    <w:rsid w:val="007B5EF4"/>
    <w:rsid w:val="007B7BA6"/>
    <w:rsid w:val="007B7FA0"/>
    <w:rsid w:val="007C025C"/>
    <w:rsid w:val="007C0558"/>
    <w:rsid w:val="007C0E22"/>
    <w:rsid w:val="007C1805"/>
    <w:rsid w:val="007C212E"/>
    <w:rsid w:val="007C27B4"/>
    <w:rsid w:val="007C3265"/>
    <w:rsid w:val="007C3662"/>
    <w:rsid w:val="007C3A72"/>
    <w:rsid w:val="007C42E1"/>
    <w:rsid w:val="007C6002"/>
    <w:rsid w:val="007C67F8"/>
    <w:rsid w:val="007C692F"/>
    <w:rsid w:val="007C6A72"/>
    <w:rsid w:val="007C72CD"/>
    <w:rsid w:val="007D0C56"/>
    <w:rsid w:val="007D0F67"/>
    <w:rsid w:val="007D2589"/>
    <w:rsid w:val="007D2A95"/>
    <w:rsid w:val="007D386D"/>
    <w:rsid w:val="007D4070"/>
    <w:rsid w:val="007D43F2"/>
    <w:rsid w:val="007D45CE"/>
    <w:rsid w:val="007D4D25"/>
    <w:rsid w:val="007D53BA"/>
    <w:rsid w:val="007D5A77"/>
    <w:rsid w:val="007D5EA1"/>
    <w:rsid w:val="007D6352"/>
    <w:rsid w:val="007D64AD"/>
    <w:rsid w:val="007D76C0"/>
    <w:rsid w:val="007D7D16"/>
    <w:rsid w:val="007D7F94"/>
    <w:rsid w:val="007E149D"/>
    <w:rsid w:val="007E1ED4"/>
    <w:rsid w:val="007E3698"/>
    <w:rsid w:val="007E36B2"/>
    <w:rsid w:val="007E3EB9"/>
    <w:rsid w:val="007E4393"/>
    <w:rsid w:val="007E4C89"/>
    <w:rsid w:val="007E5497"/>
    <w:rsid w:val="007E5CEE"/>
    <w:rsid w:val="007E5D2F"/>
    <w:rsid w:val="007E6939"/>
    <w:rsid w:val="007E7106"/>
    <w:rsid w:val="007E7203"/>
    <w:rsid w:val="007E7997"/>
    <w:rsid w:val="007E7DAA"/>
    <w:rsid w:val="007F1182"/>
    <w:rsid w:val="007F143D"/>
    <w:rsid w:val="007F2247"/>
    <w:rsid w:val="007F2C94"/>
    <w:rsid w:val="007F4C3B"/>
    <w:rsid w:val="007F4CAB"/>
    <w:rsid w:val="007F4D05"/>
    <w:rsid w:val="007F4F2A"/>
    <w:rsid w:val="007F50A4"/>
    <w:rsid w:val="007F5176"/>
    <w:rsid w:val="007F559E"/>
    <w:rsid w:val="007F5992"/>
    <w:rsid w:val="007F5B57"/>
    <w:rsid w:val="007F60CB"/>
    <w:rsid w:val="007F6A80"/>
    <w:rsid w:val="0080074B"/>
    <w:rsid w:val="00800A97"/>
    <w:rsid w:val="00800BC2"/>
    <w:rsid w:val="00800D8F"/>
    <w:rsid w:val="00801046"/>
    <w:rsid w:val="00801C41"/>
    <w:rsid w:val="00802891"/>
    <w:rsid w:val="00803007"/>
    <w:rsid w:val="00803239"/>
    <w:rsid w:val="00803363"/>
    <w:rsid w:val="00803DE3"/>
    <w:rsid w:val="00804545"/>
    <w:rsid w:val="008046DF"/>
    <w:rsid w:val="0080506F"/>
    <w:rsid w:val="008056E6"/>
    <w:rsid w:val="00806814"/>
    <w:rsid w:val="00807887"/>
    <w:rsid w:val="00807D01"/>
    <w:rsid w:val="00807EA1"/>
    <w:rsid w:val="0081023A"/>
    <w:rsid w:val="00810D88"/>
    <w:rsid w:val="008147B4"/>
    <w:rsid w:val="00815305"/>
    <w:rsid w:val="0081718B"/>
    <w:rsid w:val="00820D0F"/>
    <w:rsid w:val="0082236C"/>
    <w:rsid w:val="008226B3"/>
    <w:rsid w:val="00822F0F"/>
    <w:rsid w:val="00823CC5"/>
    <w:rsid w:val="00824816"/>
    <w:rsid w:val="00824EED"/>
    <w:rsid w:val="008265DA"/>
    <w:rsid w:val="00826613"/>
    <w:rsid w:val="00826CD0"/>
    <w:rsid w:val="008300DE"/>
    <w:rsid w:val="00831567"/>
    <w:rsid w:val="0083208F"/>
    <w:rsid w:val="008323CE"/>
    <w:rsid w:val="00833048"/>
    <w:rsid w:val="00834360"/>
    <w:rsid w:val="0083488F"/>
    <w:rsid w:val="00834A93"/>
    <w:rsid w:val="0083571B"/>
    <w:rsid w:val="0083579F"/>
    <w:rsid w:val="0083639C"/>
    <w:rsid w:val="00836F3D"/>
    <w:rsid w:val="0083738E"/>
    <w:rsid w:val="008379D0"/>
    <w:rsid w:val="008409E6"/>
    <w:rsid w:val="00842035"/>
    <w:rsid w:val="00842676"/>
    <w:rsid w:val="008426FF"/>
    <w:rsid w:val="00842E21"/>
    <w:rsid w:val="0084338A"/>
    <w:rsid w:val="00843C8E"/>
    <w:rsid w:val="00844A3E"/>
    <w:rsid w:val="00845AD0"/>
    <w:rsid w:val="008462ED"/>
    <w:rsid w:val="00846BD9"/>
    <w:rsid w:val="008471F7"/>
    <w:rsid w:val="008479AC"/>
    <w:rsid w:val="0085056D"/>
    <w:rsid w:val="00851CAD"/>
    <w:rsid w:val="00852660"/>
    <w:rsid w:val="00852B6A"/>
    <w:rsid w:val="0085300F"/>
    <w:rsid w:val="00853893"/>
    <w:rsid w:val="00855CDA"/>
    <w:rsid w:val="008579E2"/>
    <w:rsid w:val="00860330"/>
    <w:rsid w:val="008608A2"/>
    <w:rsid w:val="00861498"/>
    <w:rsid w:val="00861827"/>
    <w:rsid w:val="00861984"/>
    <w:rsid w:val="008621E6"/>
    <w:rsid w:val="00862792"/>
    <w:rsid w:val="00865486"/>
    <w:rsid w:val="00865945"/>
    <w:rsid w:val="0086594E"/>
    <w:rsid w:val="008663E2"/>
    <w:rsid w:val="0086648A"/>
    <w:rsid w:val="00866EA2"/>
    <w:rsid w:val="00866F9F"/>
    <w:rsid w:val="008675C2"/>
    <w:rsid w:val="00867CDC"/>
    <w:rsid w:val="008712B0"/>
    <w:rsid w:val="008716BD"/>
    <w:rsid w:val="0087222F"/>
    <w:rsid w:val="00872879"/>
    <w:rsid w:val="00873776"/>
    <w:rsid w:val="00874550"/>
    <w:rsid w:val="00874B54"/>
    <w:rsid w:val="008754B7"/>
    <w:rsid w:val="00876233"/>
    <w:rsid w:val="0088000B"/>
    <w:rsid w:val="0088007E"/>
    <w:rsid w:val="00880D48"/>
    <w:rsid w:val="00881060"/>
    <w:rsid w:val="0088117B"/>
    <w:rsid w:val="008815AB"/>
    <w:rsid w:val="008820A5"/>
    <w:rsid w:val="008824E6"/>
    <w:rsid w:val="0088273D"/>
    <w:rsid w:val="008838D3"/>
    <w:rsid w:val="00883A70"/>
    <w:rsid w:val="00884962"/>
    <w:rsid w:val="008869BC"/>
    <w:rsid w:val="008904A8"/>
    <w:rsid w:val="00890634"/>
    <w:rsid w:val="00890E52"/>
    <w:rsid w:val="00891F1B"/>
    <w:rsid w:val="00892674"/>
    <w:rsid w:val="008926F1"/>
    <w:rsid w:val="0089298A"/>
    <w:rsid w:val="00892C5F"/>
    <w:rsid w:val="00892F9C"/>
    <w:rsid w:val="0089326B"/>
    <w:rsid w:val="00893CBA"/>
    <w:rsid w:val="00893E14"/>
    <w:rsid w:val="00894903"/>
    <w:rsid w:val="00894B01"/>
    <w:rsid w:val="00897B89"/>
    <w:rsid w:val="00897CB3"/>
    <w:rsid w:val="008A1032"/>
    <w:rsid w:val="008A11EA"/>
    <w:rsid w:val="008A28EC"/>
    <w:rsid w:val="008A3863"/>
    <w:rsid w:val="008A44E8"/>
    <w:rsid w:val="008A4FBC"/>
    <w:rsid w:val="008A5952"/>
    <w:rsid w:val="008B069E"/>
    <w:rsid w:val="008B0767"/>
    <w:rsid w:val="008B3860"/>
    <w:rsid w:val="008B3BDD"/>
    <w:rsid w:val="008B3F98"/>
    <w:rsid w:val="008B4EDE"/>
    <w:rsid w:val="008B55F9"/>
    <w:rsid w:val="008B62D7"/>
    <w:rsid w:val="008B6434"/>
    <w:rsid w:val="008B6504"/>
    <w:rsid w:val="008B65D3"/>
    <w:rsid w:val="008B6BF0"/>
    <w:rsid w:val="008B729E"/>
    <w:rsid w:val="008B7553"/>
    <w:rsid w:val="008B7B7F"/>
    <w:rsid w:val="008C0758"/>
    <w:rsid w:val="008C133B"/>
    <w:rsid w:val="008C18A9"/>
    <w:rsid w:val="008C2DF7"/>
    <w:rsid w:val="008C3A2A"/>
    <w:rsid w:val="008C3BED"/>
    <w:rsid w:val="008C3DA9"/>
    <w:rsid w:val="008C580B"/>
    <w:rsid w:val="008C5DB6"/>
    <w:rsid w:val="008C5E0A"/>
    <w:rsid w:val="008C67D3"/>
    <w:rsid w:val="008C7272"/>
    <w:rsid w:val="008D05C0"/>
    <w:rsid w:val="008D091C"/>
    <w:rsid w:val="008D1D06"/>
    <w:rsid w:val="008D43B3"/>
    <w:rsid w:val="008D509B"/>
    <w:rsid w:val="008D51C9"/>
    <w:rsid w:val="008D58D3"/>
    <w:rsid w:val="008D6AFB"/>
    <w:rsid w:val="008D6F0F"/>
    <w:rsid w:val="008D7AB0"/>
    <w:rsid w:val="008D7D45"/>
    <w:rsid w:val="008D7FA3"/>
    <w:rsid w:val="008E0F39"/>
    <w:rsid w:val="008E14A6"/>
    <w:rsid w:val="008E153C"/>
    <w:rsid w:val="008E1F1B"/>
    <w:rsid w:val="008E2B1E"/>
    <w:rsid w:val="008E365A"/>
    <w:rsid w:val="008E39A9"/>
    <w:rsid w:val="008E4628"/>
    <w:rsid w:val="008E4A2D"/>
    <w:rsid w:val="008E4E38"/>
    <w:rsid w:val="008E4EE6"/>
    <w:rsid w:val="008E50F3"/>
    <w:rsid w:val="008E5AD3"/>
    <w:rsid w:val="008E65DC"/>
    <w:rsid w:val="008E69EA"/>
    <w:rsid w:val="008E6E89"/>
    <w:rsid w:val="008E75E6"/>
    <w:rsid w:val="008F004C"/>
    <w:rsid w:val="008F0EEA"/>
    <w:rsid w:val="008F238E"/>
    <w:rsid w:val="008F2718"/>
    <w:rsid w:val="008F28B7"/>
    <w:rsid w:val="008F2C02"/>
    <w:rsid w:val="008F2F91"/>
    <w:rsid w:val="008F3F48"/>
    <w:rsid w:val="008F3FB6"/>
    <w:rsid w:val="008F4522"/>
    <w:rsid w:val="008F47B8"/>
    <w:rsid w:val="008F5523"/>
    <w:rsid w:val="008F6162"/>
    <w:rsid w:val="008F6296"/>
    <w:rsid w:val="008F6E89"/>
    <w:rsid w:val="008F7378"/>
    <w:rsid w:val="008F7BCC"/>
    <w:rsid w:val="0090002B"/>
    <w:rsid w:val="00902504"/>
    <w:rsid w:val="009034F3"/>
    <w:rsid w:val="00903D7D"/>
    <w:rsid w:val="00904171"/>
    <w:rsid w:val="00904C78"/>
    <w:rsid w:val="0090680A"/>
    <w:rsid w:val="00907464"/>
    <w:rsid w:val="00910217"/>
    <w:rsid w:val="009104BE"/>
    <w:rsid w:val="00911D56"/>
    <w:rsid w:val="00911FFD"/>
    <w:rsid w:val="0091255F"/>
    <w:rsid w:val="009125A5"/>
    <w:rsid w:val="00915C81"/>
    <w:rsid w:val="00915CBA"/>
    <w:rsid w:val="00915EB5"/>
    <w:rsid w:val="00916945"/>
    <w:rsid w:val="00917431"/>
    <w:rsid w:val="00917778"/>
    <w:rsid w:val="0092036D"/>
    <w:rsid w:val="009224ED"/>
    <w:rsid w:val="00922513"/>
    <w:rsid w:val="00922614"/>
    <w:rsid w:val="009232D3"/>
    <w:rsid w:val="00923CCC"/>
    <w:rsid w:val="00925126"/>
    <w:rsid w:val="0092766F"/>
    <w:rsid w:val="00930B4C"/>
    <w:rsid w:val="00931C40"/>
    <w:rsid w:val="00931FD6"/>
    <w:rsid w:val="00933637"/>
    <w:rsid w:val="00933AA0"/>
    <w:rsid w:val="009347CA"/>
    <w:rsid w:val="009349E8"/>
    <w:rsid w:val="00934A74"/>
    <w:rsid w:val="00935593"/>
    <w:rsid w:val="009367A3"/>
    <w:rsid w:val="00936971"/>
    <w:rsid w:val="00936B22"/>
    <w:rsid w:val="00936C27"/>
    <w:rsid w:val="00936F7D"/>
    <w:rsid w:val="00937E50"/>
    <w:rsid w:val="00940860"/>
    <w:rsid w:val="00940C97"/>
    <w:rsid w:val="00940DDD"/>
    <w:rsid w:val="0094113C"/>
    <w:rsid w:val="009411C2"/>
    <w:rsid w:val="009413F5"/>
    <w:rsid w:val="009422E6"/>
    <w:rsid w:val="009435C7"/>
    <w:rsid w:val="00943646"/>
    <w:rsid w:val="0094422E"/>
    <w:rsid w:val="00945126"/>
    <w:rsid w:val="00945C66"/>
    <w:rsid w:val="00947413"/>
    <w:rsid w:val="00951366"/>
    <w:rsid w:val="0095152A"/>
    <w:rsid w:val="00951F96"/>
    <w:rsid w:val="00954B01"/>
    <w:rsid w:val="0095524C"/>
    <w:rsid w:val="00955B24"/>
    <w:rsid w:val="00957FA3"/>
    <w:rsid w:val="00960D6B"/>
    <w:rsid w:val="00962107"/>
    <w:rsid w:val="00962CD7"/>
    <w:rsid w:val="00964A17"/>
    <w:rsid w:val="00965090"/>
    <w:rsid w:val="00965129"/>
    <w:rsid w:val="00966EF8"/>
    <w:rsid w:val="009678E0"/>
    <w:rsid w:val="00971A29"/>
    <w:rsid w:val="009729FE"/>
    <w:rsid w:val="00974D53"/>
    <w:rsid w:val="00975933"/>
    <w:rsid w:val="00975ECC"/>
    <w:rsid w:val="00975F9E"/>
    <w:rsid w:val="009765E2"/>
    <w:rsid w:val="00976875"/>
    <w:rsid w:val="009768B8"/>
    <w:rsid w:val="00976D26"/>
    <w:rsid w:val="00977099"/>
    <w:rsid w:val="0097725D"/>
    <w:rsid w:val="00980AEC"/>
    <w:rsid w:val="009821EF"/>
    <w:rsid w:val="00982920"/>
    <w:rsid w:val="00983799"/>
    <w:rsid w:val="00983844"/>
    <w:rsid w:val="00983F71"/>
    <w:rsid w:val="00984568"/>
    <w:rsid w:val="009848CB"/>
    <w:rsid w:val="0098531B"/>
    <w:rsid w:val="0098567D"/>
    <w:rsid w:val="00985858"/>
    <w:rsid w:val="00985D9B"/>
    <w:rsid w:val="00986D89"/>
    <w:rsid w:val="009872E9"/>
    <w:rsid w:val="00990BB5"/>
    <w:rsid w:val="009913A7"/>
    <w:rsid w:val="009917AA"/>
    <w:rsid w:val="00992388"/>
    <w:rsid w:val="00992DE6"/>
    <w:rsid w:val="00994912"/>
    <w:rsid w:val="00996FB7"/>
    <w:rsid w:val="009A02B5"/>
    <w:rsid w:val="009A0B0A"/>
    <w:rsid w:val="009A1353"/>
    <w:rsid w:val="009A14DD"/>
    <w:rsid w:val="009A1DB8"/>
    <w:rsid w:val="009A249D"/>
    <w:rsid w:val="009A25B2"/>
    <w:rsid w:val="009A2758"/>
    <w:rsid w:val="009A2858"/>
    <w:rsid w:val="009A29F7"/>
    <w:rsid w:val="009A2D59"/>
    <w:rsid w:val="009A4326"/>
    <w:rsid w:val="009A46BB"/>
    <w:rsid w:val="009A4714"/>
    <w:rsid w:val="009A5391"/>
    <w:rsid w:val="009A55F6"/>
    <w:rsid w:val="009A595B"/>
    <w:rsid w:val="009A5F28"/>
    <w:rsid w:val="009A61C5"/>
    <w:rsid w:val="009A7F18"/>
    <w:rsid w:val="009A7FFE"/>
    <w:rsid w:val="009B0529"/>
    <w:rsid w:val="009B1016"/>
    <w:rsid w:val="009B142A"/>
    <w:rsid w:val="009B1AA6"/>
    <w:rsid w:val="009B2A29"/>
    <w:rsid w:val="009B2DE3"/>
    <w:rsid w:val="009B3668"/>
    <w:rsid w:val="009B3D3A"/>
    <w:rsid w:val="009B3D64"/>
    <w:rsid w:val="009B3DDD"/>
    <w:rsid w:val="009B4042"/>
    <w:rsid w:val="009B41F6"/>
    <w:rsid w:val="009B4328"/>
    <w:rsid w:val="009B47BA"/>
    <w:rsid w:val="009B47D2"/>
    <w:rsid w:val="009B4AE3"/>
    <w:rsid w:val="009B5548"/>
    <w:rsid w:val="009B65CC"/>
    <w:rsid w:val="009B775A"/>
    <w:rsid w:val="009C00D6"/>
    <w:rsid w:val="009C0B5F"/>
    <w:rsid w:val="009C0CE5"/>
    <w:rsid w:val="009C1295"/>
    <w:rsid w:val="009C1ADC"/>
    <w:rsid w:val="009C2552"/>
    <w:rsid w:val="009C386B"/>
    <w:rsid w:val="009C39E1"/>
    <w:rsid w:val="009C3CFB"/>
    <w:rsid w:val="009C441A"/>
    <w:rsid w:val="009C48AC"/>
    <w:rsid w:val="009C4AA9"/>
    <w:rsid w:val="009C54D0"/>
    <w:rsid w:val="009C5843"/>
    <w:rsid w:val="009C5886"/>
    <w:rsid w:val="009C68C4"/>
    <w:rsid w:val="009C75E9"/>
    <w:rsid w:val="009C7737"/>
    <w:rsid w:val="009C7D50"/>
    <w:rsid w:val="009D100D"/>
    <w:rsid w:val="009D2AE0"/>
    <w:rsid w:val="009D3447"/>
    <w:rsid w:val="009D3993"/>
    <w:rsid w:val="009D40FC"/>
    <w:rsid w:val="009D4938"/>
    <w:rsid w:val="009D4ADB"/>
    <w:rsid w:val="009D5082"/>
    <w:rsid w:val="009D515D"/>
    <w:rsid w:val="009D571B"/>
    <w:rsid w:val="009D6ADB"/>
    <w:rsid w:val="009D72C5"/>
    <w:rsid w:val="009E0087"/>
    <w:rsid w:val="009E191B"/>
    <w:rsid w:val="009E20EF"/>
    <w:rsid w:val="009E3DB5"/>
    <w:rsid w:val="009E3E19"/>
    <w:rsid w:val="009E458C"/>
    <w:rsid w:val="009E470C"/>
    <w:rsid w:val="009E4948"/>
    <w:rsid w:val="009E4A19"/>
    <w:rsid w:val="009E4FBB"/>
    <w:rsid w:val="009E559C"/>
    <w:rsid w:val="009E679A"/>
    <w:rsid w:val="009E6C8A"/>
    <w:rsid w:val="009E6D0E"/>
    <w:rsid w:val="009E7117"/>
    <w:rsid w:val="009E7DB0"/>
    <w:rsid w:val="009F00EF"/>
    <w:rsid w:val="009F0394"/>
    <w:rsid w:val="009F085D"/>
    <w:rsid w:val="009F0AA5"/>
    <w:rsid w:val="009F11E7"/>
    <w:rsid w:val="009F13DF"/>
    <w:rsid w:val="009F28A9"/>
    <w:rsid w:val="009F298A"/>
    <w:rsid w:val="009F3D5B"/>
    <w:rsid w:val="009F3E98"/>
    <w:rsid w:val="009F42F8"/>
    <w:rsid w:val="009F4842"/>
    <w:rsid w:val="009F5BE4"/>
    <w:rsid w:val="009F7003"/>
    <w:rsid w:val="009F75D3"/>
    <w:rsid w:val="00A000D0"/>
    <w:rsid w:val="00A0052D"/>
    <w:rsid w:val="00A00A04"/>
    <w:rsid w:val="00A01953"/>
    <w:rsid w:val="00A02817"/>
    <w:rsid w:val="00A03B18"/>
    <w:rsid w:val="00A07664"/>
    <w:rsid w:val="00A110CA"/>
    <w:rsid w:val="00A11305"/>
    <w:rsid w:val="00A11373"/>
    <w:rsid w:val="00A115CA"/>
    <w:rsid w:val="00A118E6"/>
    <w:rsid w:val="00A12408"/>
    <w:rsid w:val="00A134B4"/>
    <w:rsid w:val="00A13724"/>
    <w:rsid w:val="00A15B0F"/>
    <w:rsid w:val="00A15FDF"/>
    <w:rsid w:val="00A160D0"/>
    <w:rsid w:val="00A16990"/>
    <w:rsid w:val="00A16E40"/>
    <w:rsid w:val="00A172D0"/>
    <w:rsid w:val="00A17C67"/>
    <w:rsid w:val="00A20A69"/>
    <w:rsid w:val="00A21187"/>
    <w:rsid w:val="00A21DEE"/>
    <w:rsid w:val="00A22345"/>
    <w:rsid w:val="00A2326E"/>
    <w:rsid w:val="00A23E81"/>
    <w:rsid w:val="00A247C4"/>
    <w:rsid w:val="00A25341"/>
    <w:rsid w:val="00A254F1"/>
    <w:rsid w:val="00A263F0"/>
    <w:rsid w:val="00A26A57"/>
    <w:rsid w:val="00A26BEF"/>
    <w:rsid w:val="00A30768"/>
    <w:rsid w:val="00A30781"/>
    <w:rsid w:val="00A30A67"/>
    <w:rsid w:val="00A31491"/>
    <w:rsid w:val="00A31529"/>
    <w:rsid w:val="00A33385"/>
    <w:rsid w:val="00A334C6"/>
    <w:rsid w:val="00A34609"/>
    <w:rsid w:val="00A34B0E"/>
    <w:rsid w:val="00A352BE"/>
    <w:rsid w:val="00A35566"/>
    <w:rsid w:val="00A35C37"/>
    <w:rsid w:val="00A35EB5"/>
    <w:rsid w:val="00A37562"/>
    <w:rsid w:val="00A379B4"/>
    <w:rsid w:val="00A406C8"/>
    <w:rsid w:val="00A40832"/>
    <w:rsid w:val="00A40AB2"/>
    <w:rsid w:val="00A41A65"/>
    <w:rsid w:val="00A423A3"/>
    <w:rsid w:val="00A42CD1"/>
    <w:rsid w:val="00A43108"/>
    <w:rsid w:val="00A4379A"/>
    <w:rsid w:val="00A44774"/>
    <w:rsid w:val="00A449E8"/>
    <w:rsid w:val="00A44FC5"/>
    <w:rsid w:val="00A50B36"/>
    <w:rsid w:val="00A52F1A"/>
    <w:rsid w:val="00A53944"/>
    <w:rsid w:val="00A53DE8"/>
    <w:rsid w:val="00A5423F"/>
    <w:rsid w:val="00A545C1"/>
    <w:rsid w:val="00A5556C"/>
    <w:rsid w:val="00A5578E"/>
    <w:rsid w:val="00A55AD5"/>
    <w:rsid w:val="00A56209"/>
    <w:rsid w:val="00A56C5C"/>
    <w:rsid w:val="00A6092F"/>
    <w:rsid w:val="00A60F50"/>
    <w:rsid w:val="00A61316"/>
    <w:rsid w:val="00A6135F"/>
    <w:rsid w:val="00A617EF"/>
    <w:rsid w:val="00A62500"/>
    <w:rsid w:val="00A6312F"/>
    <w:rsid w:val="00A63169"/>
    <w:rsid w:val="00A63B71"/>
    <w:rsid w:val="00A64C04"/>
    <w:rsid w:val="00A655D2"/>
    <w:rsid w:val="00A65E93"/>
    <w:rsid w:val="00A66397"/>
    <w:rsid w:val="00A665F3"/>
    <w:rsid w:val="00A6674D"/>
    <w:rsid w:val="00A66AF8"/>
    <w:rsid w:val="00A700B8"/>
    <w:rsid w:val="00A70829"/>
    <w:rsid w:val="00A71A59"/>
    <w:rsid w:val="00A72941"/>
    <w:rsid w:val="00A73265"/>
    <w:rsid w:val="00A73B9A"/>
    <w:rsid w:val="00A745F9"/>
    <w:rsid w:val="00A75241"/>
    <w:rsid w:val="00A757A3"/>
    <w:rsid w:val="00A7630F"/>
    <w:rsid w:val="00A766D7"/>
    <w:rsid w:val="00A7723D"/>
    <w:rsid w:val="00A7731B"/>
    <w:rsid w:val="00A775DB"/>
    <w:rsid w:val="00A77622"/>
    <w:rsid w:val="00A77F0D"/>
    <w:rsid w:val="00A8058A"/>
    <w:rsid w:val="00A80631"/>
    <w:rsid w:val="00A80E97"/>
    <w:rsid w:val="00A83790"/>
    <w:rsid w:val="00A84096"/>
    <w:rsid w:val="00A85102"/>
    <w:rsid w:val="00A85DD2"/>
    <w:rsid w:val="00A85FE8"/>
    <w:rsid w:val="00A86249"/>
    <w:rsid w:val="00A86287"/>
    <w:rsid w:val="00A867C5"/>
    <w:rsid w:val="00A867D5"/>
    <w:rsid w:val="00A86B48"/>
    <w:rsid w:val="00A875EB"/>
    <w:rsid w:val="00A877C8"/>
    <w:rsid w:val="00A90487"/>
    <w:rsid w:val="00A9057F"/>
    <w:rsid w:val="00A91C81"/>
    <w:rsid w:val="00A9250A"/>
    <w:rsid w:val="00A92E2F"/>
    <w:rsid w:val="00A93773"/>
    <w:rsid w:val="00A93D90"/>
    <w:rsid w:val="00A93EDF"/>
    <w:rsid w:val="00A9424F"/>
    <w:rsid w:val="00A946FA"/>
    <w:rsid w:val="00A94AEA"/>
    <w:rsid w:val="00A951A6"/>
    <w:rsid w:val="00A95958"/>
    <w:rsid w:val="00A95F7C"/>
    <w:rsid w:val="00A962C1"/>
    <w:rsid w:val="00A96E64"/>
    <w:rsid w:val="00A96EFA"/>
    <w:rsid w:val="00A972B6"/>
    <w:rsid w:val="00A9735F"/>
    <w:rsid w:val="00A974DB"/>
    <w:rsid w:val="00A977B3"/>
    <w:rsid w:val="00AA0035"/>
    <w:rsid w:val="00AA0F36"/>
    <w:rsid w:val="00AA1066"/>
    <w:rsid w:val="00AA1199"/>
    <w:rsid w:val="00AA1A10"/>
    <w:rsid w:val="00AA1ACA"/>
    <w:rsid w:val="00AA1F72"/>
    <w:rsid w:val="00AA2547"/>
    <w:rsid w:val="00AA261B"/>
    <w:rsid w:val="00AA2632"/>
    <w:rsid w:val="00AA2B61"/>
    <w:rsid w:val="00AA2E4B"/>
    <w:rsid w:val="00AA3BE8"/>
    <w:rsid w:val="00AA4EF2"/>
    <w:rsid w:val="00AA6B69"/>
    <w:rsid w:val="00AA704C"/>
    <w:rsid w:val="00AA71C4"/>
    <w:rsid w:val="00AA7E1A"/>
    <w:rsid w:val="00AB01F3"/>
    <w:rsid w:val="00AB0C11"/>
    <w:rsid w:val="00AB0D7B"/>
    <w:rsid w:val="00AB12CE"/>
    <w:rsid w:val="00AB2A7B"/>
    <w:rsid w:val="00AB2A91"/>
    <w:rsid w:val="00AB31B0"/>
    <w:rsid w:val="00AB3545"/>
    <w:rsid w:val="00AB47D2"/>
    <w:rsid w:val="00AB497B"/>
    <w:rsid w:val="00AB5E4A"/>
    <w:rsid w:val="00AB646E"/>
    <w:rsid w:val="00AB7F99"/>
    <w:rsid w:val="00AC0BA6"/>
    <w:rsid w:val="00AC0E26"/>
    <w:rsid w:val="00AC12E4"/>
    <w:rsid w:val="00AC1D9A"/>
    <w:rsid w:val="00AC260A"/>
    <w:rsid w:val="00AC29AD"/>
    <w:rsid w:val="00AC2DB8"/>
    <w:rsid w:val="00AC2E2C"/>
    <w:rsid w:val="00AC3100"/>
    <w:rsid w:val="00AC33DC"/>
    <w:rsid w:val="00AC34B0"/>
    <w:rsid w:val="00AC444C"/>
    <w:rsid w:val="00AC49B9"/>
    <w:rsid w:val="00AC4FE8"/>
    <w:rsid w:val="00AC50DF"/>
    <w:rsid w:val="00AC53B4"/>
    <w:rsid w:val="00AC5829"/>
    <w:rsid w:val="00AC691D"/>
    <w:rsid w:val="00AC6B5D"/>
    <w:rsid w:val="00AC6D3B"/>
    <w:rsid w:val="00AD100C"/>
    <w:rsid w:val="00AD11B3"/>
    <w:rsid w:val="00AD197E"/>
    <w:rsid w:val="00AD2A46"/>
    <w:rsid w:val="00AD357F"/>
    <w:rsid w:val="00AD3C14"/>
    <w:rsid w:val="00AD4619"/>
    <w:rsid w:val="00AD6263"/>
    <w:rsid w:val="00AD65E4"/>
    <w:rsid w:val="00AD70DF"/>
    <w:rsid w:val="00AD75B5"/>
    <w:rsid w:val="00AE13BC"/>
    <w:rsid w:val="00AE2D16"/>
    <w:rsid w:val="00AE3022"/>
    <w:rsid w:val="00AE553A"/>
    <w:rsid w:val="00AE679E"/>
    <w:rsid w:val="00AE7522"/>
    <w:rsid w:val="00AF0033"/>
    <w:rsid w:val="00AF0105"/>
    <w:rsid w:val="00AF072A"/>
    <w:rsid w:val="00AF28E4"/>
    <w:rsid w:val="00AF2D2D"/>
    <w:rsid w:val="00AF3734"/>
    <w:rsid w:val="00AF39F3"/>
    <w:rsid w:val="00AF4F37"/>
    <w:rsid w:val="00AF510A"/>
    <w:rsid w:val="00AF5184"/>
    <w:rsid w:val="00AF55D0"/>
    <w:rsid w:val="00AF58F0"/>
    <w:rsid w:val="00AF6A18"/>
    <w:rsid w:val="00AF73CB"/>
    <w:rsid w:val="00B00A0D"/>
    <w:rsid w:val="00B0237A"/>
    <w:rsid w:val="00B0241D"/>
    <w:rsid w:val="00B0254D"/>
    <w:rsid w:val="00B045AB"/>
    <w:rsid w:val="00B046A2"/>
    <w:rsid w:val="00B055B4"/>
    <w:rsid w:val="00B0565A"/>
    <w:rsid w:val="00B058A9"/>
    <w:rsid w:val="00B079A4"/>
    <w:rsid w:val="00B1006F"/>
    <w:rsid w:val="00B1008D"/>
    <w:rsid w:val="00B11635"/>
    <w:rsid w:val="00B11841"/>
    <w:rsid w:val="00B11DF0"/>
    <w:rsid w:val="00B12DDC"/>
    <w:rsid w:val="00B136D3"/>
    <w:rsid w:val="00B13B4C"/>
    <w:rsid w:val="00B14238"/>
    <w:rsid w:val="00B14687"/>
    <w:rsid w:val="00B14A32"/>
    <w:rsid w:val="00B14F26"/>
    <w:rsid w:val="00B15528"/>
    <w:rsid w:val="00B15899"/>
    <w:rsid w:val="00B16C9E"/>
    <w:rsid w:val="00B174D6"/>
    <w:rsid w:val="00B17AB5"/>
    <w:rsid w:val="00B17B08"/>
    <w:rsid w:val="00B20D61"/>
    <w:rsid w:val="00B20FE0"/>
    <w:rsid w:val="00B222D7"/>
    <w:rsid w:val="00B22342"/>
    <w:rsid w:val="00B2240C"/>
    <w:rsid w:val="00B226D9"/>
    <w:rsid w:val="00B2351E"/>
    <w:rsid w:val="00B23748"/>
    <w:rsid w:val="00B238B2"/>
    <w:rsid w:val="00B2761C"/>
    <w:rsid w:val="00B27CEB"/>
    <w:rsid w:val="00B30856"/>
    <w:rsid w:val="00B313D7"/>
    <w:rsid w:val="00B31AC6"/>
    <w:rsid w:val="00B32849"/>
    <w:rsid w:val="00B32B80"/>
    <w:rsid w:val="00B33314"/>
    <w:rsid w:val="00B333F9"/>
    <w:rsid w:val="00B334B6"/>
    <w:rsid w:val="00B33530"/>
    <w:rsid w:val="00B33B34"/>
    <w:rsid w:val="00B340ED"/>
    <w:rsid w:val="00B34346"/>
    <w:rsid w:val="00B3534B"/>
    <w:rsid w:val="00B353EB"/>
    <w:rsid w:val="00B35706"/>
    <w:rsid w:val="00B361F4"/>
    <w:rsid w:val="00B404BF"/>
    <w:rsid w:val="00B405F0"/>
    <w:rsid w:val="00B42870"/>
    <w:rsid w:val="00B42A72"/>
    <w:rsid w:val="00B42AB1"/>
    <w:rsid w:val="00B43ADA"/>
    <w:rsid w:val="00B43B5F"/>
    <w:rsid w:val="00B43D16"/>
    <w:rsid w:val="00B44F47"/>
    <w:rsid w:val="00B45021"/>
    <w:rsid w:val="00B4568F"/>
    <w:rsid w:val="00B4623A"/>
    <w:rsid w:val="00B464A8"/>
    <w:rsid w:val="00B46C2D"/>
    <w:rsid w:val="00B47716"/>
    <w:rsid w:val="00B47F48"/>
    <w:rsid w:val="00B50385"/>
    <w:rsid w:val="00B5054F"/>
    <w:rsid w:val="00B509AE"/>
    <w:rsid w:val="00B51410"/>
    <w:rsid w:val="00B51C9B"/>
    <w:rsid w:val="00B53083"/>
    <w:rsid w:val="00B544E8"/>
    <w:rsid w:val="00B549DA"/>
    <w:rsid w:val="00B5639A"/>
    <w:rsid w:val="00B5642F"/>
    <w:rsid w:val="00B564A6"/>
    <w:rsid w:val="00B5679B"/>
    <w:rsid w:val="00B56E4A"/>
    <w:rsid w:val="00B57058"/>
    <w:rsid w:val="00B60554"/>
    <w:rsid w:val="00B60738"/>
    <w:rsid w:val="00B60E6D"/>
    <w:rsid w:val="00B61276"/>
    <w:rsid w:val="00B61B4B"/>
    <w:rsid w:val="00B62375"/>
    <w:rsid w:val="00B628A8"/>
    <w:rsid w:val="00B649E3"/>
    <w:rsid w:val="00B64A11"/>
    <w:rsid w:val="00B66151"/>
    <w:rsid w:val="00B66587"/>
    <w:rsid w:val="00B70047"/>
    <w:rsid w:val="00B71224"/>
    <w:rsid w:val="00B7187A"/>
    <w:rsid w:val="00B71D9D"/>
    <w:rsid w:val="00B72B13"/>
    <w:rsid w:val="00B73132"/>
    <w:rsid w:val="00B73E4C"/>
    <w:rsid w:val="00B74710"/>
    <w:rsid w:val="00B74BE8"/>
    <w:rsid w:val="00B75034"/>
    <w:rsid w:val="00B75783"/>
    <w:rsid w:val="00B779F2"/>
    <w:rsid w:val="00B80497"/>
    <w:rsid w:val="00B80B6A"/>
    <w:rsid w:val="00B816FA"/>
    <w:rsid w:val="00B8358F"/>
    <w:rsid w:val="00B841C4"/>
    <w:rsid w:val="00B84576"/>
    <w:rsid w:val="00B86143"/>
    <w:rsid w:val="00B8661C"/>
    <w:rsid w:val="00B86A84"/>
    <w:rsid w:val="00B87073"/>
    <w:rsid w:val="00B901B4"/>
    <w:rsid w:val="00B90720"/>
    <w:rsid w:val="00B9072D"/>
    <w:rsid w:val="00B91819"/>
    <w:rsid w:val="00B930BC"/>
    <w:rsid w:val="00B931D3"/>
    <w:rsid w:val="00B941EC"/>
    <w:rsid w:val="00B94413"/>
    <w:rsid w:val="00B953E4"/>
    <w:rsid w:val="00B965BB"/>
    <w:rsid w:val="00B966AD"/>
    <w:rsid w:val="00B96DA7"/>
    <w:rsid w:val="00B96FCF"/>
    <w:rsid w:val="00BA031A"/>
    <w:rsid w:val="00BA0C33"/>
    <w:rsid w:val="00BA1318"/>
    <w:rsid w:val="00BA1991"/>
    <w:rsid w:val="00BA1F8D"/>
    <w:rsid w:val="00BA2BF5"/>
    <w:rsid w:val="00BA370F"/>
    <w:rsid w:val="00BA3860"/>
    <w:rsid w:val="00BA40F1"/>
    <w:rsid w:val="00BA482A"/>
    <w:rsid w:val="00BA4995"/>
    <w:rsid w:val="00BA7870"/>
    <w:rsid w:val="00BA7DA9"/>
    <w:rsid w:val="00BB1238"/>
    <w:rsid w:val="00BB2AED"/>
    <w:rsid w:val="00BB2D72"/>
    <w:rsid w:val="00BB2F54"/>
    <w:rsid w:val="00BB32BD"/>
    <w:rsid w:val="00BB3C76"/>
    <w:rsid w:val="00BB4A6B"/>
    <w:rsid w:val="00BB4B44"/>
    <w:rsid w:val="00BB4F48"/>
    <w:rsid w:val="00BB5174"/>
    <w:rsid w:val="00BB5F5A"/>
    <w:rsid w:val="00BB6030"/>
    <w:rsid w:val="00BB673A"/>
    <w:rsid w:val="00BB6AC4"/>
    <w:rsid w:val="00BB7373"/>
    <w:rsid w:val="00BC0465"/>
    <w:rsid w:val="00BC2426"/>
    <w:rsid w:val="00BC293B"/>
    <w:rsid w:val="00BC30B4"/>
    <w:rsid w:val="00BC407E"/>
    <w:rsid w:val="00BC40B5"/>
    <w:rsid w:val="00BC41CD"/>
    <w:rsid w:val="00BC4473"/>
    <w:rsid w:val="00BC4F82"/>
    <w:rsid w:val="00BC54BE"/>
    <w:rsid w:val="00BC5BBE"/>
    <w:rsid w:val="00BC65D7"/>
    <w:rsid w:val="00BC6886"/>
    <w:rsid w:val="00BC696A"/>
    <w:rsid w:val="00BC737A"/>
    <w:rsid w:val="00BC7386"/>
    <w:rsid w:val="00BD027D"/>
    <w:rsid w:val="00BD08A2"/>
    <w:rsid w:val="00BD0EC0"/>
    <w:rsid w:val="00BD1DC6"/>
    <w:rsid w:val="00BD249E"/>
    <w:rsid w:val="00BD2C5E"/>
    <w:rsid w:val="00BD40C4"/>
    <w:rsid w:val="00BD51EC"/>
    <w:rsid w:val="00BD57C3"/>
    <w:rsid w:val="00BD58F5"/>
    <w:rsid w:val="00BE094B"/>
    <w:rsid w:val="00BE0A2A"/>
    <w:rsid w:val="00BE0C33"/>
    <w:rsid w:val="00BE1A05"/>
    <w:rsid w:val="00BE1ECE"/>
    <w:rsid w:val="00BE2E36"/>
    <w:rsid w:val="00BE35DB"/>
    <w:rsid w:val="00BE3989"/>
    <w:rsid w:val="00BE4A38"/>
    <w:rsid w:val="00BE4AD1"/>
    <w:rsid w:val="00BE5164"/>
    <w:rsid w:val="00BE6350"/>
    <w:rsid w:val="00BE6683"/>
    <w:rsid w:val="00BE68EB"/>
    <w:rsid w:val="00BE729D"/>
    <w:rsid w:val="00BE791C"/>
    <w:rsid w:val="00BE7B18"/>
    <w:rsid w:val="00BF10F8"/>
    <w:rsid w:val="00BF162F"/>
    <w:rsid w:val="00BF1CF2"/>
    <w:rsid w:val="00BF1F63"/>
    <w:rsid w:val="00BF275A"/>
    <w:rsid w:val="00BF2977"/>
    <w:rsid w:val="00BF3273"/>
    <w:rsid w:val="00BF388F"/>
    <w:rsid w:val="00BF44CD"/>
    <w:rsid w:val="00BF5664"/>
    <w:rsid w:val="00BF6465"/>
    <w:rsid w:val="00BF68A7"/>
    <w:rsid w:val="00BF6FBE"/>
    <w:rsid w:val="00BF7E0A"/>
    <w:rsid w:val="00C00A8A"/>
    <w:rsid w:val="00C0138E"/>
    <w:rsid w:val="00C019F7"/>
    <w:rsid w:val="00C01E2F"/>
    <w:rsid w:val="00C0243D"/>
    <w:rsid w:val="00C03A81"/>
    <w:rsid w:val="00C04004"/>
    <w:rsid w:val="00C04AB7"/>
    <w:rsid w:val="00C0602D"/>
    <w:rsid w:val="00C06A82"/>
    <w:rsid w:val="00C06DB1"/>
    <w:rsid w:val="00C06EA3"/>
    <w:rsid w:val="00C07770"/>
    <w:rsid w:val="00C101A3"/>
    <w:rsid w:val="00C10558"/>
    <w:rsid w:val="00C1086A"/>
    <w:rsid w:val="00C112CE"/>
    <w:rsid w:val="00C1177F"/>
    <w:rsid w:val="00C139AA"/>
    <w:rsid w:val="00C14A64"/>
    <w:rsid w:val="00C14EA9"/>
    <w:rsid w:val="00C1544A"/>
    <w:rsid w:val="00C16201"/>
    <w:rsid w:val="00C162FB"/>
    <w:rsid w:val="00C16351"/>
    <w:rsid w:val="00C163AC"/>
    <w:rsid w:val="00C167BA"/>
    <w:rsid w:val="00C16835"/>
    <w:rsid w:val="00C16A1A"/>
    <w:rsid w:val="00C16B53"/>
    <w:rsid w:val="00C16DD2"/>
    <w:rsid w:val="00C16EC6"/>
    <w:rsid w:val="00C1773B"/>
    <w:rsid w:val="00C20384"/>
    <w:rsid w:val="00C209FD"/>
    <w:rsid w:val="00C20B03"/>
    <w:rsid w:val="00C20B52"/>
    <w:rsid w:val="00C20D2B"/>
    <w:rsid w:val="00C21539"/>
    <w:rsid w:val="00C2189F"/>
    <w:rsid w:val="00C22677"/>
    <w:rsid w:val="00C2301B"/>
    <w:rsid w:val="00C23025"/>
    <w:rsid w:val="00C231F4"/>
    <w:rsid w:val="00C232C8"/>
    <w:rsid w:val="00C23DBD"/>
    <w:rsid w:val="00C24EC9"/>
    <w:rsid w:val="00C26217"/>
    <w:rsid w:val="00C26C57"/>
    <w:rsid w:val="00C26CB9"/>
    <w:rsid w:val="00C27203"/>
    <w:rsid w:val="00C27992"/>
    <w:rsid w:val="00C3004F"/>
    <w:rsid w:val="00C3027D"/>
    <w:rsid w:val="00C30428"/>
    <w:rsid w:val="00C30E0F"/>
    <w:rsid w:val="00C3453D"/>
    <w:rsid w:val="00C34E16"/>
    <w:rsid w:val="00C3734B"/>
    <w:rsid w:val="00C373EC"/>
    <w:rsid w:val="00C37937"/>
    <w:rsid w:val="00C37E37"/>
    <w:rsid w:val="00C40E5A"/>
    <w:rsid w:val="00C415ED"/>
    <w:rsid w:val="00C41A27"/>
    <w:rsid w:val="00C41F43"/>
    <w:rsid w:val="00C42384"/>
    <w:rsid w:val="00C423D3"/>
    <w:rsid w:val="00C42A73"/>
    <w:rsid w:val="00C44795"/>
    <w:rsid w:val="00C44CCD"/>
    <w:rsid w:val="00C452E8"/>
    <w:rsid w:val="00C46C8C"/>
    <w:rsid w:val="00C47802"/>
    <w:rsid w:val="00C47A1E"/>
    <w:rsid w:val="00C50640"/>
    <w:rsid w:val="00C52A56"/>
    <w:rsid w:val="00C52C5E"/>
    <w:rsid w:val="00C530B7"/>
    <w:rsid w:val="00C534DC"/>
    <w:rsid w:val="00C53695"/>
    <w:rsid w:val="00C55F5C"/>
    <w:rsid w:val="00C55F5F"/>
    <w:rsid w:val="00C55F65"/>
    <w:rsid w:val="00C56284"/>
    <w:rsid w:val="00C569A7"/>
    <w:rsid w:val="00C56A91"/>
    <w:rsid w:val="00C579BC"/>
    <w:rsid w:val="00C60767"/>
    <w:rsid w:val="00C61EDA"/>
    <w:rsid w:val="00C61F0F"/>
    <w:rsid w:val="00C621C2"/>
    <w:rsid w:val="00C622E6"/>
    <w:rsid w:val="00C6320A"/>
    <w:rsid w:val="00C646AE"/>
    <w:rsid w:val="00C64785"/>
    <w:rsid w:val="00C663D6"/>
    <w:rsid w:val="00C70494"/>
    <w:rsid w:val="00C70898"/>
    <w:rsid w:val="00C70ABA"/>
    <w:rsid w:val="00C7125C"/>
    <w:rsid w:val="00C72660"/>
    <w:rsid w:val="00C732C9"/>
    <w:rsid w:val="00C7357F"/>
    <w:rsid w:val="00C73BF9"/>
    <w:rsid w:val="00C74662"/>
    <w:rsid w:val="00C74E52"/>
    <w:rsid w:val="00C751E7"/>
    <w:rsid w:val="00C7529D"/>
    <w:rsid w:val="00C7643F"/>
    <w:rsid w:val="00C76ADE"/>
    <w:rsid w:val="00C77BAF"/>
    <w:rsid w:val="00C805CA"/>
    <w:rsid w:val="00C81313"/>
    <w:rsid w:val="00C81709"/>
    <w:rsid w:val="00C81AFE"/>
    <w:rsid w:val="00C8238D"/>
    <w:rsid w:val="00C844A2"/>
    <w:rsid w:val="00C844FF"/>
    <w:rsid w:val="00C902F5"/>
    <w:rsid w:val="00C906B6"/>
    <w:rsid w:val="00C906BA"/>
    <w:rsid w:val="00C90A8C"/>
    <w:rsid w:val="00C924D6"/>
    <w:rsid w:val="00C93AAC"/>
    <w:rsid w:val="00C93F3E"/>
    <w:rsid w:val="00C941BA"/>
    <w:rsid w:val="00C9459B"/>
    <w:rsid w:val="00C948E4"/>
    <w:rsid w:val="00C94A43"/>
    <w:rsid w:val="00C94ECA"/>
    <w:rsid w:val="00C9596F"/>
    <w:rsid w:val="00C959B6"/>
    <w:rsid w:val="00C95A4D"/>
    <w:rsid w:val="00C96C42"/>
    <w:rsid w:val="00C9714C"/>
    <w:rsid w:val="00C97344"/>
    <w:rsid w:val="00C97A49"/>
    <w:rsid w:val="00CA052C"/>
    <w:rsid w:val="00CA1089"/>
    <w:rsid w:val="00CA1A76"/>
    <w:rsid w:val="00CA1C92"/>
    <w:rsid w:val="00CA2444"/>
    <w:rsid w:val="00CA31B6"/>
    <w:rsid w:val="00CA3D4D"/>
    <w:rsid w:val="00CA41A9"/>
    <w:rsid w:val="00CA5224"/>
    <w:rsid w:val="00CA52AA"/>
    <w:rsid w:val="00CA73BD"/>
    <w:rsid w:val="00CA78D3"/>
    <w:rsid w:val="00CB0B54"/>
    <w:rsid w:val="00CB0C85"/>
    <w:rsid w:val="00CB13C0"/>
    <w:rsid w:val="00CB13E4"/>
    <w:rsid w:val="00CB19C5"/>
    <w:rsid w:val="00CB1A0E"/>
    <w:rsid w:val="00CB210E"/>
    <w:rsid w:val="00CB214E"/>
    <w:rsid w:val="00CB2836"/>
    <w:rsid w:val="00CB2FFE"/>
    <w:rsid w:val="00CB3310"/>
    <w:rsid w:val="00CB3812"/>
    <w:rsid w:val="00CB3A92"/>
    <w:rsid w:val="00CB4118"/>
    <w:rsid w:val="00CB443B"/>
    <w:rsid w:val="00CB4516"/>
    <w:rsid w:val="00CB4933"/>
    <w:rsid w:val="00CB5AE9"/>
    <w:rsid w:val="00CB6FFC"/>
    <w:rsid w:val="00CB7633"/>
    <w:rsid w:val="00CB7697"/>
    <w:rsid w:val="00CC0062"/>
    <w:rsid w:val="00CC04D4"/>
    <w:rsid w:val="00CC0B2C"/>
    <w:rsid w:val="00CC1185"/>
    <w:rsid w:val="00CC1630"/>
    <w:rsid w:val="00CC2C70"/>
    <w:rsid w:val="00CC3822"/>
    <w:rsid w:val="00CC44A8"/>
    <w:rsid w:val="00CC49AC"/>
    <w:rsid w:val="00CC63A2"/>
    <w:rsid w:val="00CC79C4"/>
    <w:rsid w:val="00CC79CD"/>
    <w:rsid w:val="00CD0B33"/>
    <w:rsid w:val="00CD0B84"/>
    <w:rsid w:val="00CD0F54"/>
    <w:rsid w:val="00CD101C"/>
    <w:rsid w:val="00CD10A2"/>
    <w:rsid w:val="00CD14A2"/>
    <w:rsid w:val="00CD159E"/>
    <w:rsid w:val="00CD1BCE"/>
    <w:rsid w:val="00CD2987"/>
    <w:rsid w:val="00CD2F56"/>
    <w:rsid w:val="00CD368C"/>
    <w:rsid w:val="00CD3CFE"/>
    <w:rsid w:val="00CD5249"/>
    <w:rsid w:val="00CD575D"/>
    <w:rsid w:val="00CD58EA"/>
    <w:rsid w:val="00CD5913"/>
    <w:rsid w:val="00CD5D46"/>
    <w:rsid w:val="00CD64F2"/>
    <w:rsid w:val="00CD6523"/>
    <w:rsid w:val="00CD66C2"/>
    <w:rsid w:val="00CD6E73"/>
    <w:rsid w:val="00CD6EBE"/>
    <w:rsid w:val="00CE0D04"/>
    <w:rsid w:val="00CE15CA"/>
    <w:rsid w:val="00CE1EA6"/>
    <w:rsid w:val="00CE268A"/>
    <w:rsid w:val="00CE2713"/>
    <w:rsid w:val="00CE28FD"/>
    <w:rsid w:val="00CE2991"/>
    <w:rsid w:val="00CE2DED"/>
    <w:rsid w:val="00CE6300"/>
    <w:rsid w:val="00CE6617"/>
    <w:rsid w:val="00CE762F"/>
    <w:rsid w:val="00CF0D04"/>
    <w:rsid w:val="00CF15D6"/>
    <w:rsid w:val="00CF17CD"/>
    <w:rsid w:val="00CF1AB9"/>
    <w:rsid w:val="00CF222A"/>
    <w:rsid w:val="00CF26A8"/>
    <w:rsid w:val="00CF2B9E"/>
    <w:rsid w:val="00CF3415"/>
    <w:rsid w:val="00CF361C"/>
    <w:rsid w:val="00CF3C34"/>
    <w:rsid w:val="00D00586"/>
    <w:rsid w:val="00D00AC1"/>
    <w:rsid w:val="00D00F3A"/>
    <w:rsid w:val="00D010C9"/>
    <w:rsid w:val="00D01C87"/>
    <w:rsid w:val="00D02511"/>
    <w:rsid w:val="00D02671"/>
    <w:rsid w:val="00D03411"/>
    <w:rsid w:val="00D04C06"/>
    <w:rsid w:val="00D04D7C"/>
    <w:rsid w:val="00D04E9E"/>
    <w:rsid w:val="00D0593D"/>
    <w:rsid w:val="00D05EE7"/>
    <w:rsid w:val="00D0678B"/>
    <w:rsid w:val="00D06898"/>
    <w:rsid w:val="00D069F4"/>
    <w:rsid w:val="00D06C50"/>
    <w:rsid w:val="00D10026"/>
    <w:rsid w:val="00D1064B"/>
    <w:rsid w:val="00D10A75"/>
    <w:rsid w:val="00D10C0F"/>
    <w:rsid w:val="00D1184F"/>
    <w:rsid w:val="00D119CB"/>
    <w:rsid w:val="00D11DF1"/>
    <w:rsid w:val="00D122CD"/>
    <w:rsid w:val="00D12757"/>
    <w:rsid w:val="00D127D6"/>
    <w:rsid w:val="00D12C30"/>
    <w:rsid w:val="00D12CD2"/>
    <w:rsid w:val="00D15530"/>
    <w:rsid w:val="00D15929"/>
    <w:rsid w:val="00D16EC1"/>
    <w:rsid w:val="00D172A8"/>
    <w:rsid w:val="00D1791D"/>
    <w:rsid w:val="00D17A22"/>
    <w:rsid w:val="00D201FA"/>
    <w:rsid w:val="00D214A6"/>
    <w:rsid w:val="00D21D93"/>
    <w:rsid w:val="00D22B46"/>
    <w:rsid w:val="00D23194"/>
    <w:rsid w:val="00D25447"/>
    <w:rsid w:val="00D30769"/>
    <w:rsid w:val="00D308F4"/>
    <w:rsid w:val="00D30F2B"/>
    <w:rsid w:val="00D3133E"/>
    <w:rsid w:val="00D3215D"/>
    <w:rsid w:val="00D32192"/>
    <w:rsid w:val="00D34FAC"/>
    <w:rsid w:val="00D35D2F"/>
    <w:rsid w:val="00D364E1"/>
    <w:rsid w:val="00D37192"/>
    <w:rsid w:val="00D37AC2"/>
    <w:rsid w:val="00D37F50"/>
    <w:rsid w:val="00D407F3"/>
    <w:rsid w:val="00D4123E"/>
    <w:rsid w:val="00D42073"/>
    <w:rsid w:val="00D427D5"/>
    <w:rsid w:val="00D4348D"/>
    <w:rsid w:val="00D4414D"/>
    <w:rsid w:val="00D449ED"/>
    <w:rsid w:val="00D4763B"/>
    <w:rsid w:val="00D47708"/>
    <w:rsid w:val="00D47E04"/>
    <w:rsid w:val="00D5097E"/>
    <w:rsid w:val="00D52C30"/>
    <w:rsid w:val="00D53379"/>
    <w:rsid w:val="00D53A74"/>
    <w:rsid w:val="00D53F72"/>
    <w:rsid w:val="00D54476"/>
    <w:rsid w:val="00D544AD"/>
    <w:rsid w:val="00D54C46"/>
    <w:rsid w:val="00D54CE6"/>
    <w:rsid w:val="00D55B42"/>
    <w:rsid w:val="00D55DD4"/>
    <w:rsid w:val="00D57519"/>
    <w:rsid w:val="00D57D2A"/>
    <w:rsid w:val="00D60093"/>
    <w:rsid w:val="00D618F5"/>
    <w:rsid w:val="00D62625"/>
    <w:rsid w:val="00D62B9F"/>
    <w:rsid w:val="00D639CC"/>
    <w:rsid w:val="00D64973"/>
    <w:rsid w:val="00D6560A"/>
    <w:rsid w:val="00D667FF"/>
    <w:rsid w:val="00D67FD3"/>
    <w:rsid w:val="00D704C7"/>
    <w:rsid w:val="00D71B6B"/>
    <w:rsid w:val="00D71FF4"/>
    <w:rsid w:val="00D7392F"/>
    <w:rsid w:val="00D75EED"/>
    <w:rsid w:val="00D75F07"/>
    <w:rsid w:val="00D75F76"/>
    <w:rsid w:val="00D7615F"/>
    <w:rsid w:val="00D76C0D"/>
    <w:rsid w:val="00D76EF8"/>
    <w:rsid w:val="00D8051D"/>
    <w:rsid w:val="00D807CD"/>
    <w:rsid w:val="00D80D4F"/>
    <w:rsid w:val="00D80F1A"/>
    <w:rsid w:val="00D81AF4"/>
    <w:rsid w:val="00D82CA4"/>
    <w:rsid w:val="00D82E90"/>
    <w:rsid w:val="00D8327D"/>
    <w:rsid w:val="00D83B95"/>
    <w:rsid w:val="00D8474A"/>
    <w:rsid w:val="00D850CA"/>
    <w:rsid w:val="00D85842"/>
    <w:rsid w:val="00D8592D"/>
    <w:rsid w:val="00D85D33"/>
    <w:rsid w:val="00D866C8"/>
    <w:rsid w:val="00D867C0"/>
    <w:rsid w:val="00D87501"/>
    <w:rsid w:val="00D916AA"/>
    <w:rsid w:val="00D93A9E"/>
    <w:rsid w:val="00D9415B"/>
    <w:rsid w:val="00D94917"/>
    <w:rsid w:val="00D97D6D"/>
    <w:rsid w:val="00DA04DC"/>
    <w:rsid w:val="00DA0C6D"/>
    <w:rsid w:val="00DA10EE"/>
    <w:rsid w:val="00DA2B25"/>
    <w:rsid w:val="00DA3AEE"/>
    <w:rsid w:val="00DA4160"/>
    <w:rsid w:val="00DA416B"/>
    <w:rsid w:val="00DA45A4"/>
    <w:rsid w:val="00DA45EB"/>
    <w:rsid w:val="00DA4BD5"/>
    <w:rsid w:val="00DA4FE2"/>
    <w:rsid w:val="00DA52AF"/>
    <w:rsid w:val="00DA6893"/>
    <w:rsid w:val="00DA7456"/>
    <w:rsid w:val="00DB0167"/>
    <w:rsid w:val="00DB0779"/>
    <w:rsid w:val="00DB085B"/>
    <w:rsid w:val="00DB14AA"/>
    <w:rsid w:val="00DB1974"/>
    <w:rsid w:val="00DB24F0"/>
    <w:rsid w:val="00DB26EE"/>
    <w:rsid w:val="00DB2906"/>
    <w:rsid w:val="00DB35DF"/>
    <w:rsid w:val="00DB3D18"/>
    <w:rsid w:val="00DB4523"/>
    <w:rsid w:val="00DB5D51"/>
    <w:rsid w:val="00DB6E66"/>
    <w:rsid w:val="00DB71E6"/>
    <w:rsid w:val="00DB782F"/>
    <w:rsid w:val="00DB7A69"/>
    <w:rsid w:val="00DC0855"/>
    <w:rsid w:val="00DC1820"/>
    <w:rsid w:val="00DC1BD7"/>
    <w:rsid w:val="00DC2008"/>
    <w:rsid w:val="00DC212A"/>
    <w:rsid w:val="00DC22C2"/>
    <w:rsid w:val="00DC2CC4"/>
    <w:rsid w:val="00DC31A0"/>
    <w:rsid w:val="00DC3AD9"/>
    <w:rsid w:val="00DC3BD3"/>
    <w:rsid w:val="00DC3C1D"/>
    <w:rsid w:val="00DC4399"/>
    <w:rsid w:val="00DC4F66"/>
    <w:rsid w:val="00DC5062"/>
    <w:rsid w:val="00DC520D"/>
    <w:rsid w:val="00DC5262"/>
    <w:rsid w:val="00DC5B42"/>
    <w:rsid w:val="00DC5D93"/>
    <w:rsid w:val="00DC710B"/>
    <w:rsid w:val="00DC78D9"/>
    <w:rsid w:val="00DC7A67"/>
    <w:rsid w:val="00DD06A8"/>
    <w:rsid w:val="00DD1744"/>
    <w:rsid w:val="00DD3B00"/>
    <w:rsid w:val="00DD3D55"/>
    <w:rsid w:val="00DD40C0"/>
    <w:rsid w:val="00DD4528"/>
    <w:rsid w:val="00DD5CA8"/>
    <w:rsid w:val="00DD6A58"/>
    <w:rsid w:val="00DD76F3"/>
    <w:rsid w:val="00DE2315"/>
    <w:rsid w:val="00DE327E"/>
    <w:rsid w:val="00DE3534"/>
    <w:rsid w:val="00DE3659"/>
    <w:rsid w:val="00DE3749"/>
    <w:rsid w:val="00DE40E3"/>
    <w:rsid w:val="00DE42CB"/>
    <w:rsid w:val="00DE4379"/>
    <w:rsid w:val="00DE4A26"/>
    <w:rsid w:val="00DE5156"/>
    <w:rsid w:val="00DE5191"/>
    <w:rsid w:val="00DE53A2"/>
    <w:rsid w:val="00DE5D2E"/>
    <w:rsid w:val="00DE676C"/>
    <w:rsid w:val="00DE75CA"/>
    <w:rsid w:val="00DE7E89"/>
    <w:rsid w:val="00DF00D8"/>
    <w:rsid w:val="00DF0DD5"/>
    <w:rsid w:val="00DF2291"/>
    <w:rsid w:val="00DF287C"/>
    <w:rsid w:val="00DF330F"/>
    <w:rsid w:val="00DF41D4"/>
    <w:rsid w:val="00DF6CD6"/>
    <w:rsid w:val="00DF7C50"/>
    <w:rsid w:val="00DF7D02"/>
    <w:rsid w:val="00E00826"/>
    <w:rsid w:val="00E00C2C"/>
    <w:rsid w:val="00E011D8"/>
    <w:rsid w:val="00E02899"/>
    <w:rsid w:val="00E0334B"/>
    <w:rsid w:val="00E0373F"/>
    <w:rsid w:val="00E045B6"/>
    <w:rsid w:val="00E04AD1"/>
    <w:rsid w:val="00E04F88"/>
    <w:rsid w:val="00E05FF5"/>
    <w:rsid w:val="00E0698F"/>
    <w:rsid w:val="00E06BDC"/>
    <w:rsid w:val="00E06D1D"/>
    <w:rsid w:val="00E10742"/>
    <w:rsid w:val="00E1105D"/>
    <w:rsid w:val="00E12322"/>
    <w:rsid w:val="00E126BF"/>
    <w:rsid w:val="00E12874"/>
    <w:rsid w:val="00E12C01"/>
    <w:rsid w:val="00E13691"/>
    <w:rsid w:val="00E13F68"/>
    <w:rsid w:val="00E164C9"/>
    <w:rsid w:val="00E172C7"/>
    <w:rsid w:val="00E20205"/>
    <w:rsid w:val="00E208D7"/>
    <w:rsid w:val="00E20A8E"/>
    <w:rsid w:val="00E20F5E"/>
    <w:rsid w:val="00E21A87"/>
    <w:rsid w:val="00E21E6B"/>
    <w:rsid w:val="00E24E67"/>
    <w:rsid w:val="00E24FB3"/>
    <w:rsid w:val="00E25EB9"/>
    <w:rsid w:val="00E266DD"/>
    <w:rsid w:val="00E26BCB"/>
    <w:rsid w:val="00E30068"/>
    <w:rsid w:val="00E30553"/>
    <w:rsid w:val="00E308C8"/>
    <w:rsid w:val="00E31B76"/>
    <w:rsid w:val="00E321D1"/>
    <w:rsid w:val="00E33085"/>
    <w:rsid w:val="00E34097"/>
    <w:rsid w:val="00E3423C"/>
    <w:rsid w:val="00E35014"/>
    <w:rsid w:val="00E3589C"/>
    <w:rsid w:val="00E35A95"/>
    <w:rsid w:val="00E35DC9"/>
    <w:rsid w:val="00E35E65"/>
    <w:rsid w:val="00E35EA2"/>
    <w:rsid w:val="00E37272"/>
    <w:rsid w:val="00E40A29"/>
    <w:rsid w:val="00E41670"/>
    <w:rsid w:val="00E4176A"/>
    <w:rsid w:val="00E42826"/>
    <w:rsid w:val="00E429BF"/>
    <w:rsid w:val="00E42A48"/>
    <w:rsid w:val="00E42E46"/>
    <w:rsid w:val="00E43259"/>
    <w:rsid w:val="00E437D0"/>
    <w:rsid w:val="00E43849"/>
    <w:rsid w:val="00E4389F"/>
    <w:rsid w:val="00E45089"/>
    <w:rsid w:val="00E45552"/>
    <w:rsid w:val="00E45791"/>
    <w:rsid w:val="00E45978"/>
    <w:rsid w:val="00E45B1C"/>
    <w:rsid w:val="00E46F52"/>
    <w:rsid w:val="00E477C3"/>
    <w:rsid w:val="00E47A33"/>
    <w:rsid w:val="00E47F10"/>
    <w:rsid w:val="00E50053"/>
    <w:rsid w:val="00E51086"/>
    <w:rsid w:val="00E558B5"/>
    <w:rsid w:val="00E558DA"/>
    <w:rsid w:val="00E55AC9"/>
    <w:rsid w:val="00E56082"/>
    <w:rsid w:val="00E577E2"/>
    <w:rsid w:val="00E57FDC"/>
    <w:rsid w:val="00E60708"/>
    <w:rsid w:val="00E609EB"/>
    <w:rsid w:val="00E60DF3"/>
    <w:rsid w:val="00E61126"/>
    <w:rsid w:val="00E615EE"/>
    <w:rsid w:val="00E622E1"/>
    <w:rsid w:val="00E6237A"/>
    <w:rsid w:val="00E62CE9"/>
    <w:rsid w:val="00E62D4B"/>
    <w:rsid w:val="00E6388B"/>
    <w:rsid w:val="00E642AF"/>
    <w:rsid w:val="00E644A3"/>
    <w:rsid w:val="00E645C4"/>
    <w:rsid w:val="00E64E28"/>
    <w:rsid w:val="00E64FFD"/>
    <w:rsid w:val="00E650C6"/>
    <w:rsid w:val="00E6551E"/>
    <w:rsid w:val="00E66E7C"/>
    <w:rsid w:val="00E66F20"/>
    <w:rsid w:val="00E67930"/>
    <w:rsid w:val="00E70D56"/>
    <w:rsid w:val="00E716F6"/>
    <w:rsid w:val="00E71BBB"/>
    <w:rsid w:val="00E744D3"/>
    <w:rsid w:val="00E74BC5"/>
    <w:rsid w:val="00E76EE0"/>
    <w:rsid w:val="00E76FF1"/>
    <w:rsid w:val="00E770DE"/>
    <w:rsid w:val="00E77FCF"/>
    <w:rsid w:val="00E814F2"/>
    <w:rsid w:val="00E832D4"/>
    <w:rsid w:val="00E8349C"/>
    <w:rsid w:val="00E85583"/>
    <w:rsid w:val="00E863C6"/>
    <w:rsid w:val="00E8761C"/>
    <w:rsid w:val="00E9085A"/>
    <w:rsid w:val="00E90C64"/>
    <w:rsid w:val="00E9337E"/>
    <w:rsid w:val="00E93410"/>
    <w:rsid w:val="00E95688"/>
    <w:rsid w:val="00EA093E"/>
    <w:rsid w:val="00EA09AF"/>
    <w:rsid w:val="00EA0D52"/>
    <w:rsid w:val="00EA2052"/>
    <w:rsid w:val="00EA2777"/>
    <w:rsid w:val="00EA31FA"/>
    <w:rsid w:val="00EA3B2D"/>
    <w:rsid w:val="00EA3CC5"/>
    <w:rsid w:val="00EA3CC9"/>
    <w:rsid w:val="00EA450D"/>
    <w:rsid w:val="00EA68A9"/>
    <w:rsid w:val="00EA74E4"/>
    <w:rsid w:val="00EA7F43"/>
    <w:rsid w:val="00EB056A"/>
    <w:rsid w:val="00EB092A"/>
    <w:rsid w:val="00EB099F"/>
    <w:rsid w:val="00EB13C2"/>
    <w:rsid w:val="00EB1503"/>
    <w:rsid w:val="00EB21EB"/>
    <w:rsid w:val="00EB2BFF"/>
    <w:rsid w:val="00EB45E7"/>
    <w:rsid w:val="00EB4D91"/>
    <w:rsid w:val="00EB51E1"/>
    <w:rsid w:val="00EB5E0D"/>
    <w:rsid w:val="00EB679F"/>
    <w:rsid w:val="00EB6B72"/>
    <w:rsid w:val="00EB6C24"/>
    <w:rsid w:val="00EB7C2D"/>
    <w:rsid w:val="00EC23A6"/>
    <w:rsid w:val="00EC2AB6"/>
    <w:rsid w:val="00EC3D1E"/>
    <w:rsid w:val="00EC620A"/>
    <w:rsid w:val="00ED1B0D"/>
    <w:rsid w:val="00ED2C2D"/>
    <w:rsid w:val="00ED2F3B"/>
    <w:rsid w:val="00ED4358"/>
    <w:rsid w:val="00ED47B4"/>
    <w:rsid w:val="00ED5124"/>
    <w:rsid w:val="00ED6624"/>
    <w:rsid w:val="00ED753B"/>
    <w:rsid w:val="00ED7B6D"/>
    <w:rsid w:val="00EE1866"/>
    <w:rsid w:val="00EE239F"/>
    <w:rsid w:val="00EE273B"/>
    <w:rsid w:val="00EE2D9F"/>
    <w:rsid w:val="00EE3356"/>
    <w:rsid w:val="00EE3A48"/>
    <w:rsid w:val="00EE3A58"/>
    <w:rsid w:val="00EE3CE6"/>
    <w:rsid w:val="00EE4196"/>
    <w:rsid w:val="00EE471E"/>
    <w:rsid w:val="00EE6826"/>
    <w:rsid w:val="00EE6B85"/>
    <w:rsid w:val="00EE78A1"/>
    <w:rsid w:val="00EF0E85"/>
    <w:rsid w:val="00EF1310"/>
    <w:rsid w:val="00EF2074"/>
    <w:rsid w:val="00EF2534"/>
    <w:rsid w:val="00EF32E8"/>
    <w:rsid w:val="00EF3527"/>
    <w:rsid w:val="00EF35C4"/>
    <w:rsid w:val="00EF44BE"/>
    <w:rsid w:val="00EF6756"/>
    <w:rsid w:val="00EF6791"/>
    <w:rsid w:val="00EF7095"/>
    <w:rsid w:val="00F00129"/>
    <w:rsid w:val="00F003A5"/>
    <w:rsid w:val="00F00A0D"/>
    <w:rsid w:val="00F00A9E"/>
    <w:rsid w:val="00F01798"/>
    <w:rsid w:val="00F01C45"/>
    <w:rsid w:val="00F02484"/>
    <w:rsid w:val="00F02C2A"/>
    <w:rsid w:val="00F05C4C"/>
    <w:rsid w:val="00F05E8D"/>
    <w:rsid w:val="00F06060"/>
    <w:rsid w:val="00F0709D"/>
    <w:rsid w:val="00F07BAA"/>
    <w:rsid w:val="00F07BB1"/>
    <w:rsid w:val="00F104CD"/>
    <w:rsid w:val="00F10578"/>
    <w:rsid w:val="00F10E25"/>
    <w:rsid w:val="00F10EEF"/>
    <w:rsid w:val="00F116EC"/>
    <w:rsid w:val="00F11DD9"/>
    <w:rsid w:val="00F12533"/>
    <w:rsid w:val="00F12D51"/>
    <w:rsid w:val="00F13D33"/>
    <w:rsid w:val="00F14BB1"/>
    <w:rsid w:val="00F158B4"/>
    <w:rsid w:val="00F15ED9"/>
    <w:rsid w:val="00F173D5"/>
    <w:rsid w:val="00F20921"/>
    <w:rsid w:val="00F20F1D"/>
    <w:rsid w:val="00F21376"/>
    <w:rsid w:val="00F2173F"/>
    <w:rsid w:val="00F21BC0"/>
    <w:rsid w:val="00F25A38"/>
    <w:rsid w:val="00F25FD9"/>
    <w:rsid w:val="00F266F5"/>
    <w:rsid w:val="00F27022"/>
    <w:rsid w:val="00F2736D"/>
    <w:rsid w:val="00F27861"/>
    <w:rsid w:val="00F27C0F"/>
    <w:rsid w:val="00F27FAF"/>
    <w:rsid w:val="00F3034D"/>
    <w:rsid w:val="00F303DA"/>
    <w:rsid w:val="00F30501"/>
    <w:rsid w:val="00F328A0"/>
    <w:rsid w:val="00F33EDB"/>
    <w:rsid w:val="00F34ECA"/>
    <w:rsid w:val="00F35100"/>
    <w:rsid w:val="00F364D3"/>
    <w:rsid w:val="00F40917"/>
    <w:rsid w:val="00F4137A"/>
    <w:rsid w:val="00F423B1"/>
    <w:rsid w:val="00F430BF"/>
    <w:rsid w:val="00F43383"/>
    <w:rsid w:val="00F43C1C"/>
    <w:rsid w:val="00F4417E"/>
    <w:rsid w:val="00F4470B"/>
    <w:rsid w:val="00F45EA6"/>
    <w:rsid w:val="00F46B2C"/>
    <w:rsid w:val="00F502D2"/>
    <w:rsid w:val="00F507C2"/>
    <w:rsid w:val="00F50A24"/>
    <w:rsid w:val="00F50EDF"/>
    <w:rsid w:val="00F515F0"/>
    <w:rsid w:val="00F5217D"/>
    <w:rsid w:val="00F52945"/>
    <w:rsid w:val="00F52B8C"/>
    <w:rsid w:val="00F53ED7"/>
    <w:rsid w:val="00F54571"/>
    <w:rsid w:val="00F54C7C"/>
    <w:rsid w:val="00F55A5A"/>
    <w:rsid w:val="00F5693B"/>
    <w:rsid w:val="00F56E68"/>
    <w:rsid w:val="00F606F3"/>
    <w:rsid w:val="00F61E70"/>
    <w:rsid w:val="00F62707"/>
    <w:rsid w:val="00F62F56"/>
    <w:rsid w:val="00F63353"/>
    <w:rsid w:val="00F639BE"/>
    <w:rsid w:val="00F645D3"/>
    <w:rsid w:val="00F648A6"/>
    <w:rsid w:val="00F64CCC"/>
    <w:rsid w:val="00F65032"/>
    <w:rsid w:val="00F65B6C"/>
    <w:rsid w:val="00F66521"/>
    <w:rsid w:val="00F70151"/>
    <w:rsid w:val="00F704A4"/>
    <w:rsid w:val="00F707D8"/>
    <w:rsid w:val="00F71360"/>
    <w:rsid w:val="00F71663"/>
    <w:rsid w:val="00F7179E"/>
    <w:rsid w:val="00F71BFA"/>
    <w:rsid w:val="00F71F29"/>
    <w:rsid w:val="00F720E1"/>
    <w:rsid w:val="00F726D8"/>
    <w:rsid w:val="00F73218"/>
    <w:rsid w:val="00F736A0"/>
    <w:rsid w:val="00F73892"/>
    <w:rsid w:val="00F740F3"/>
    <w:rsid w:val="00F758B3"/>
    <w:rsid w:val="00F75A40"/>
    <w:rsid w:val="00F778B5"/>
    <w:rsid w:val="00F80A30"/>
    <w:rsid w:val="00F81E4B"/>
    <w:rsid w:val="00F823A1"/>
    <w:rsid w:val="00F82F43"/>
    <w:rsid w:val="00F852E7"/>
    <w:rsid w:val="00F85A43"/>
    <w:rsid w:val="00F8646F"/>
    <w:rsid w:val="00F86EDD"/>
    <w:rsid w:val="00F877F2"/>
    <w:rsid w:val="00F87AC8"/>
    <w:rsid w:val="00F90296"/>
    <w:rsid w:val="00F903A7"/>
    <w:rsid w:val="00F90B2C"/>
    <w:rsid w:val="00F92279"/>
    <w:rsid w:val="00F923AE"/>
    <w:rsid w:val="00F92B7E"/>
    <w:rsid w:val="00F92CF7"/>
    <w:rsid w:val="00F941C1"/>
    <w:rsid w:val="00F94E6C"/>
    <w:rsid w:val="00F95A1E"/>
    <w:rsid w:val="00F95C66"/>
    <w:rsid w:val="00F96007"/>
    <w:rsid w:val="00F97757"/>
    <w:rsid w:val="00F97DA9"/>
    <w:rsid w:val="00F97E8A"/>
    <w:rsid w:val="00FA094B"/>
    <w:rsid w:val="00FA1457"/>
    <w:rsid w:val="00FA2F4B"/>
    <w:rsid w:val="00FA560C"/>
    <w:rsid w:val="00FA6219"/>
    <w:rsid w:val="00FA714D"/>
    <w:rsid w:val="00FA719C"/>
    <w:rsid w:val="00FA7440"/>
    <w:rsid w:val="00FA7C74"/>
    <w:rsid w:val="00FB0337"/>
    <w:rsid w:val="00FB0492"/>
    <w:rsid w:val="00FB194E"/>
    <w:rsid w:val="00FB4839"/>
    <w:rsid w:val="00FB6A49"/>
    <w:rsid w:val="00FB7DAB"/>
    <w:rsid w:val="00FC0472"/>
    <w:rsid w:val="00FC053E"/>
    <w:rsid w:val="00FC07D7"/>
    <w:rsid w:val="00FC223D"/>
    <w:rsid w:val="00FC2EC5"/>
    <w:rsid w:val="00FC5425"/>
    <w:rsid w:val="00FC5847"/>
    <w:rsid w:val="00FC60FC"/>
    <w:rsid w:val="00FC6250"/>
    <w:rsid w:val="00FC6CEE"/>
    <w:rsid w:val="00FC71C6"/>
    <w:rsid w:val="00FC7256"/>
    <w:rsid w:val="00FC7817"/>
    <w:rsid w:val="00FD061E"/>
    <w:rsid w:val="00FD13B7"/>
    <w:rsid w:val="00FD17BC"/>
    <w:rsid w:val="00FD1B31"/>
    <w:rsid w:val="00FD2C05"/>
    <w:rsid w:val="00FD2FDC"/>
    <w:rsid w:val="00FD3D90"/>
    <w:rsid w:val="00FD4342"/>
    <w:rsid w:val="00FD4CF0"/>
    <w:rsid w:val="00FD4E05"/>
    <w:rsid w:val="00FD4FBA"/>
    <w:rsid w:val="00FD5467"/>
    <w:rsid w:val="00FD54BF"/>
    <w:rsid w:val="00FD601E"/>
    <w:rsid w:val="00FD6178"/>
    <w:rsid w:val="00FD6440"/>
    <w:rsid w:val="00FD6FD4"/>
    <w:rsid w:val="00FD74D9"/>
    <w:rsid w:val="00FD7A6F"/>
    <w:rsid w:val="00FE11D5"/>
    <w:rsid w:val="00FE29D5"/>
    <w:rsid w:val="00FE2C6D"/>
    <w:rsid w:val="00FE5633"/>
    <w:rsid w:val="00FE5E3E"/>
    <w:rsid w:val="00FE6748"/>
    <w:rsid w:val="00FE67E8"/>
    <w:rsid w:val="00FE7B96"/>
    <w:rsid w:val="00FF02AA"/>
    <w:rsid w:val="00FF0DEC"/>
    <w:rsid w:val="00FF3568"/>
    <w:rsid w:val="00FF3E2F"/>
    <w:rsid w:val="00FF5316"/>
    <w:rsid w:val="00FF548E"/>
    <w:rsid w:val="00FF549F"/>
    <w:rsid w:val="00FF68C4"/>
    <w:rsid w:val="00FF6D67"/>
    <w:rsid w:val="00FF6EA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08249B"/>
  <w15:chartTrackingRefBased/>
  <w15:docId w15:val="{A0469CAC-E6E2-4F59-89C4-3B682F531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2107"/>
  </w:style>
  <w:style w:type="paragraph" w:styleId="Titre1">
    <w:name w:val="heading 1"/>
    <w:basedOn w:val="Normal"/>
    <w:next w:val="Normal"/>
    <w:link w:val="Titre1Car"/>
    <w:uiPriority w:val="9"/>
    <w:qFormat/>
    <w:rsid w:val="0037210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re2">
    <w:name w:val="heading 2"/>
    <w:basedOn w:val="Normal"/>
    <w:next w:val="Normal"/>
    <w:link w:val="Titre2Car"/>
    <w:uiPriority w:val="9"/>
    <w:unhideWhenUsed/>
    <w:qFormat/>
    <w:rsid w:val="00B966A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re3">
    <w:name w:val="heading 3"/>
    <w:basedOn w:val="Normal"/>
    <w:next w:val="Normal"/>
    <w:link w:val="Titre3Car"/>
    <w:uiPriority w:val="9"/>
    <w:unhideWhenUsed/>
    <w:qFormat/>
    <w:rsid w:val="0037210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4A2DA4"/>
    <w:pPr>
      <w:spacing w:after="0" w:line="240" w:lineRule="auto"/>
    </w:pPr>
  </w:style>
  <w:style w:type="paragraph" w:styleId="Textedebulles">
    <w:name w:val="Balloon Text"/>
    <w:basedOn w:val="Normal"/>
    <w:link w:val="TextedebullesCar"/>
    <w:uiPriority w:val="99"/>
    <w:semiHidden/>
    <w:unhideWhenUsed/>
    <w:rsid w:val="00372107"/>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372107"/>
    <w:rPr>
      <w:rFonts w:ascii="Segoe UI" w:hAnsi="Segoe UI" w:cs="Segoe UI"/>
      <w:sz w:val="18"/>
      <w:szCs w:val="18"/>
    </w:rPr>
  </w:style>
  <w:style w:type="character" w:customStyle="1" w:styleId="Titre3Car">
    <w:name w:val="Titre 3 Car"/>
    <w:basedOn w:val="Policepardfaut"/>
    <w:link w:val="Titre3"/>
    <w:uiPriority w:val="9"/>
    <w:rsid w:val="00372107"/>
    <w:rPr>
      <w:rFonts w:asciiTheme="majorHAnsi" w:eastAsiaTheme="majorEastAsia" w:hAnsiTheme="majorHAnsi" w:cstheme="majorBidi"/>
      <w:color w:val="243F60" w:themeColor="accent1" w:themeShade="7F"/>
      <w:sz w:val="24"/>
      <w:szCs w:val="24"/>
    </w:rPr>
  </w:style>
  <w:style w:type="character" w:styleId="Marquedecommentaire">
    <w:name w:val="annotation reference"/>
    <w:basedOn w:val="Policepardfaut"/>
    <w:uiPriority w:val="99"/>
    <w:semiHidden/>
    <w:unhideWhenUsed/>
    <w:rsid w:val="00372107"/>
    <w:rPr>
      <w:sz w:val="16"/>
      <w:szCs w:val="16"/>
    </w:rPr>
  </w:style>
  <w:style w:type="paragraph" w:styleId="Commentaire">
    <w:name w:val="annotation text"/>
    <w:basedOn w:val="Normal"/>
    <w:link w:val="CommentaireCar"/>
    <w:uiPriority w:val="99"/>
    <w:unhideWhenUsed/>
    <w:rsid w:val="00372107"/>
    <w:pPr>
      <w:spacing w:line="240" w:lineRule="auto"/>
    </w:pPr>
    <w:rPr>
      <w:sz w:val="20"/>
      <w:szCs w:val="20"/>
    </w:rPr>
  </w:style>
  <w:style w:type="character" w:customStyle="1" w:styleId="CommentaireCar">
    <w:name w:val="Commentaire Car"/>
    <w:basedOn w:val="Policepardfaut"/>
    <w:link w:val="Commentaire"/>
    <w:uiPriority w:val="99"/>
    <w:rsid w:val="00372107"/>
    <w:rPr>
      <w:sz w:val="20"/>
      <w:szCs w:val="20"/>
    </w:rPr>
  </w:style>
  <w:style w:type="paragraph" w:styleId="Lgende">
    <w:name w:val="caption"/>
    <w:basedOn w:val="Normal"/>
    <w:next w:val="Normal"/>
    <w:uiPriority w:val="35"/>
    <w:unhideWhenUsed/>
    <w:qFormat/>
    <w:rsid w:val="00372107"/>
    <w:pPr>
      <w:spacing w:after="200" w:line="240" w:lineRule="auto"/>
    </w:pPr>
    <w:rPr>
      <w:i/>
      <w:iCs/>
      <w:color w:val="1F497D" w:themeColor="text2"/>
      <w:sz w:val="18"/>
      <w:szCs w:val="18"/>
    </w:rPr>
  </w:style>
  <w:style w:type="character" w:customStyle="1" w:styleId="Titre1Car">
    <w:name w:val="Titre 1 Car"/>
    <w:basedOn w:val="Policepardfaut"/>
    <w:link w:val="Titre1"/>
    <w:uiPriority w:val="9"/>
    <w:rsid w:val="00372107"/>
    <w:rPr>
      <w:rFonts w:asciiTheme="majorHAnsi" w:eastAsiaTheme="majorEastAsia" w:hAnsiTheme="majorHAnsi" w:cstheme="majorBidi"/>
      <w:color w:val="365F91" w:themeColor="accent1" w:themeShade="BF"/>
      <w:sz w:val="32"/>
      <w:szCs w:val="32"/>
    </w:rPr>
  </w:style>
  <w:style w:type="paragraph" w:styleId="En-ttedetabledesmatires">
    <w:name w:val="TOC Heading"/>
    <w:basedOn w:val="Titre1"/>
    <w:next w:val="Normal"/>
    <w:uiPriority w:val="39"/>
    <w:unhideWhenUsed/>
    <w:qFormat/>
    <w:rsid w:val="00372107"/>
    <w:pPr>
      <w:outlineLvl w:val="9"/>
    </w:pPr>
  </w:style>
  <w:style w:type="paragraph" w:styleId="TM1">
    <w:name w:val="toc 1"/>
    <w:basedOn w:val="Normal"/>
    <w:next w:val="Normal"/>
    <w:autoRedefine/>
    <w:uiPriority w:val="39"/>
    <w:unhideWhenUsed/>
    <w:rsid w:val="007715C8"/>
    <w:pPr>
      <w:tabs>
        <w:tab w:val="right" w:leader="dot" w:pos="9062"/>
      </w:tabs>
      <w:spacing w:after="100"/>
    </w:pPr>
  </w:style>
  <w:style w:type="character" w:styleId="Lienhypertexte">
    <w:name w:val="Hyperlink"/>
    <w:basedOn w:val="Policepardfaut"/>
    <w:uiPriority w:val="99"/>
    <w:unhideWhenUsed/>
    <w:rsid w:val="00372107"/>
    <w:rPr>
      <w:color w:val="0000FF" w:themeColor="hyperlink"/>
      <w:u w:val="single"/>
    </w:rPr>
  </w:style>
  <w:style w:type="paragraph" w:styleId="TM2">
    <w:name w:val="toc 2"/>
    <w:basedOn w:val="Normal"/>
    <w:next w:val="Normal"/>
    <w:autoRedefine/>
    <w:uiPriority w:val="39"/>
    <w:unhideWhenUsed/>
    <w:rsid w:val="008C5E0A"/>
    <w:pPr>
      <w:tabs>
        <w:tab w:val="right" w:leader="dot" w:pos="9062"/>
      </w:tabs>
      <w:spacing w:after="100"/>
      <w:ind w:left="220"/>
    </w:pPr>
  </w:style>
  <w:style w:type="paragraph" w:styleId="TM3">
    <w:name w:val="toc 3"/>
    <w:basedOn w:val="Normal"/>
    <w:next w:val="Normal"/>
    <w:autoRedefine/>
    <w:uiPriority w:val="39"/>
    <w:unhideWhenUsed/>
    <w:rsid w:val="00807887"/>
    <w:pPr>
      <w:tabs>
        <w:tab w:val="right" w:leader="dot" w:pos="9062"/>
      </w:tabs>
      <w:spacing w:after="100"/>
      <w:ind w:left="440"/>
    </w:pPr>
  </w:style>
  <w:style w:type="paragraph" w:styleId="Bibliographie">
    <w:name w:val="Bibliography"/>
    <w:basedOn w:val="Normal"/>
    <w:next w:val="Normal"/>
    <w:uiPriority w:val="37"/>
    <w:unhideWhenUsed/>
    <w:rsid w:val="00F02C2A"/>
    <w:pPr>
      <w:tabs>
        <w:tab w:val="left" w:pos="624"/>
      </w:tabs>
      <w:spacing w:after="0" w:line="240" w:lineRule="auto"/>
      <w:ind w:left="624" w:hanging="624"/>
    </w:pPr>
  </w:style>
  <w:style w:type="paragraph" w:styleId="Objetducommentaire">
    <w:name w:val="annotation subject"/>
    <w:basedOn w:val="Commentaire"/>
    <w:next w:val="Commentaire"/>
    <w:link w:val="ObjetducommentaireCar"/>
    <w:uiPriority w:val="99"/>
    <w:semiHidden/>
    <w:unhideWhenUsed/>
    <w:rsid w:val="00652249"/>
    <w:rPr>
      <w:b/>
      <w:bCs/>
    </w:rPr>
  </w:style>
  <w:style w:type="character" w:customStyle="1" w:styleId="ObjetducommentaireCar">
    <w:name w:val="Objet du commentaire Car"/>
    <w:basedOn w:val="CommentaireCar"/>
    <w:link w:val="Objetducommentaire"/>
    <w:uiPriority w:val="99"/>
    <w:semiHidden/>
    <w:rsid w:val="00652249"/>
    <w:rPr>
      <w:b/>
      <w:bCs/>
      <w:sz w:val="20"/>
      <w:szCs w:val="20"/>
    </w:rPr>
  </w:style>
  <w:style w:type="paragraph" w:styleId="Rvision">
    <w:name w:val="Revision"/>
    <w:hidden/>
    <w:uiPriority w:val="99"/>
    <w:semiHidden/>
    <w:rsid w:val="00145857"/>
    <w:pPr>
      <w:spacing w:after="0" w:line="240" w:lineRule="auto"/>
    </w:pPr>
  </w:style>
  <w:style w:type="character" w:customStyle="1" w:styleId="Titre2Car">
    <w:name w:val="Titre 2 Car"/>
    <w:basedOn w:val="Policepardfaut"/>
    <w:link w:val="Titre2"/>
    <w:uiPriority w:val="9"/>
    <w:rsid w:val="00B966AD"/>
    <w:rPr>
      <w:rFonts w:asciiTheme="majorHAnsi" w:eastAsiaTheme="majorEastAsia" w:hAnsiTheme="majorHAnsi" w:cstheme="majorBidi"/>
      <w:color w:val="365F91" w:themeColor="accent1" w:themeShade="BF"/>
      <w:sz w:val="26"/>
      <w:szCs w:val="26"/>
    </w:rPr>
  </w:style>
  <w:style w:type="character" w:styleId="lev">
    <w:name w:val="Strong"/>
    <w:basedOn w:val="Policepardfaut"/>
    <w:uiPriority w:val="22"/>
    <w:qFormat/>
    <w:rsid w:val="008E153C"/>
    <w:rPr>
      <w:b/>
      <w:bCs/>
    </w:rPr>
  </w:style>
  <w:style w:type="paragraph" w:styleId="Tabledesillustrations">
    <w:name w:val="table of figures"/>
    <w:basedOn w:val="Normal"/>
    <w:next w:val="Normal"/>
    <w:uiPriority w:val="99"/>
    <w:unhideWhenUsed/>
    <w:rsid w:val="003B6F7B"/>
    <w:pPr>
      <w:spacing w:after="0"/>
    </w:pPr>
  </w:style>
  <w:style w:type="character" w:styleId="Mentionnonrsolue">
    <w:name w:val="Unresolved Mention"/>
    <w:basedOn w:val="Policepardfaut"/>
    <w:uiPriority w:val="99"/>
    <w:semiHidden/>
    <w:unhideWhenUsed/>
    <w:rsid w:val="00596413"/>
    <w:rPr>
      <w:color w:val="605E5C"/>
      <w:shd w:val="clear" w:color="auto" w:fill="E1DFDD"/>
    </w:rPr>
  </w:style>
  <w:style w:type="paragraph" w:styleId="Listepuces">
    <w:name w:val="List Bullet"/>
    <w:basedOn w:val="Normal"/>
    <w:uiPriority w:val="99"/>
    <w:unhideWhenUsed/>
    <w:rsid w:val="00143081"/>
    <w:pPr>
      <w:numPr>
        <w:numId w:val="1"/>
      </w:numPr>
      <w:contextualSpacing/>
    </w:pPr>
  </w:style>
  <w:style w:type="table" w:styleId="Grilledutableau">
    <w:name w:val="Table Grid"/>
    <w:basedOn w:val="TableauNormal"/>
    <w:uiPriority w:val="59"/>
    <w:rsid w:val="00FE67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2B23BC"/>
    <w:pPr>
      <w:ind w:left="720"/>
      <w:contextualSpacing/>
    </w:pPr>
  </w:style>
  <w:style w:type="character" w:customStyle="1" w:styleId="cf01">
    <w:name w:val="cf01"/>
    <w:basedOn w:val="Policepardfaut"/>
    <w:rsid w:val="00620446"/>
    <w:rPr>
      <w:rFonts w:ascii="Segoe UI" w:hAnsi="Segoe UI" w:cs="Segoe UI" w:hint="default"/>
      <w:sz w:val="18"/>
      <w:szCs w:val="18"/>
    </w:rPr>
  </w:style>
  <w:style w:type="paragraph" w:customStyle="1" w:styleId="pf0">
    <w:name w:val="pf0"/>
    <w:basedOn w:val="Normal"/>
    <w:rsid w:val="00435630"/>
    <w:pPr>
      <w:spacing w:before="100" w:beforeAutospacing="1" w:after="100" w:afterAutospacing="1" w:line="240" w:lineRule="auto"/>
    </w:pPr>
    <w:rPr>
      <w:rFonts w:ascii="Times New Roman" w:eastAsia="Times New Roman" w:hAnsi="Times New Roman" w:cs="Times New Roman"/>
      <w:sz w:val="24"/>
      <w:szCs w:val="24"/>
    </w:rPr>
  </w:style>
  <w:style w:type="character" w:styleId="Lienhypertextesuivivisit">
    <w:name w:val="FollowedHyperlink"/>
    <w:basedOn w:val="Policepardfaut"/>
    <w:uiPriority w:val="99"/>
    <w:semiHidden/>
    <w:unhideWhenUsed/>
    <w:rsid w:val="00120BA0"/>
    <w:rPr>
      <w:color w:val="800080" w:themeColor="followedHyperlink"/>
      <w:u w:val="single"/>
    </w:rPr>
  </w:style>
  <w:style w:type="paragraph" w:styleId="En-tte">
    <w:name w:val="header"/>
    <w:basedOn w:val="Normal"/>
    <w:link w:val="En-tteCar"/>
    <w:uiPriority w:val="99"/>
    <w:unhideWhenUsed/>
    <w:rsid w:val="00DB14AA"/>
    <w:pPr>
      <w:tabs>
        <w:tab w:val="center" w:pos="4680"/>
        <w:tab w:val="right" w:pos="9360"/>
      </w:tabs>
      <w:spacing w:after="0" w:line="240" w:lineRule="auto"/>
    </w:pPr>
  </w:style>
  <w:style w:type="character" w:customStyle="1" w:styleId="En-tteCar">
    <w:name w:val="En-tête Car"/>
    <w:basedOn w:val="Policepardfaut"/>
    <w:link w:val="En-tte"/>
    <w:uiPriority w:val="99"/>
    <w:rsid w:val="00DB14AA"/>
  </w:style>
  <w:style w:type="paragraph" w:styleId="Pieddepage">
    <w:name w:val="footer"/>
    <w:basedOn w:val="Normal"/>
    <w:link w:val="PieddepageCar"/>
    <w:uiPriority w:val="99"/>
    <w:unhideWhenUsed/>
    <w:rsid w:val="00DB14AA"/>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DB14AA"/>
  </w:style>
  <w:style w:type="table" w:styleId="Tableausimple4">
    <w:name w:val="Plain Table 4"/>
    <w:basedOn w:val="TableauNormal"/>
    <w:uiPriority w:val="44"/>
    <w:rsid w:val="00EA74E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auListe2">
    <w:name w:val="List Table 2"/>
    <w:basedOn w:val="TableauNormal"/>
    <w:uiPriority w:val="47"/>
    <w:rsid w:val="00171DE3"/>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Textedelespacerserv">
    <w:name w:val="Placeholder Text"/>
    <w:basedOn w:val="Policepardfaut"/>
    <w:uiPriority w:val="99"/>
    <w:semiHidden/>
    <w:rsid w:val="0031695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283227">
      <w:bodyDiv w:val="1"/>
      <w:marLeft w:val="0"/>
      <w:marRight w:val="0"/>
      <w:marTop w:val="0"/>
      <w:marBottom w:val="0"/>
      <w:divBdr>
        <w:top w:val="none" w:sz="0" w:space="0" w:color="auto"/>
        <w:left w:val="none" w:sz="0" w:space="0" w:color="auto"/>
        <w:bottom w:val="none" w:sz="0" w:space="0" w:color="auto"/>
        <w:right w:val="none" w:sz="0" w:space="0" w:color="auto"/>
      </w:divBdr>
    </w:div>
    <w:div w:id="143741002">
      <w:bodyDiv w:val="1"/>
      <w:marLeft w:val="0"/>
      <w:marRight w:val="0"/>
      <w:marTop w:val="0"/>
      <w:marBottom w:val="0"/>
      <w:divBdr>
        <w:top w:val="none" w:sz="0" w:space="0" w:color="auto"/>
        <w:left w:val="none" w:sz="0" w:space="0" w:color="auto"/>
        <w:bottom w:val="none" w:sz="0" w:space="0" w:color="auto"/>
        <w:right w:val="none" w:sz="0" w:space="0" w:color="auto"/>
      </w:divBdr>
    </w:div>
    <w:div w:id="245774382">
      <w:bodyDiv w:val="1"/>
      <w:marLeft w:val="0"/>
      <w:marRight w:val="0"/>
      <w:marTop w:val="0"/>
      <w:marBottom w:val="0"/>
      <w:divBdr>
        <w:top w:val="none" w:sz="0" w:space="0" w:color="auto"/>
        <w:left w:val="none" w:sz="0" w:space="0" w:color="auto"/>
        <w:bottom w:val="none" w:sz="0" w:space="0" w:color="auto"/>
        <w:right w:val="none" w:sz="0" w:space="0" w:color="auto"/>
      </w:divBdr>
    </w:div>
    <w:div w:id="360664327">
      <w:bodyDiv w:val="1"/>
      <w:marLeft w:val="0"/>
      <w:marRight w:val="0"/>
      <w:marTop w:val="0"/>
      <w:marBottom w:val="0"/>
      <w:divBdr>
        <w:top w:val="none" w:sz="0" w:space="0" w:color="auto"/>
        <w:left w:val="none" w:sz="0" w:space="0" w:color="auto"/>
        <w:bottom w:val="none" w:sz="0" w:space="0" w:color="auto"/>
        <w:right w:val="none" w:sz="0" w:space="0" w:color="auto"/>
      </w:divBdr>
    </w:div>
    <w:div w:id="459961129">
      <w:bodyDiv w:val="1"/>
      <w:marLeft w:val="0"/>
      <w:marRight w:val="0"/>
      <w:marTop w:val="0"/>
      <w:marBottom w:val="0"/>
      <w:divBdr>
        <w:top w:val="none" w:sz="0" w:space="0" w:color="auto"/>
        <w:left w:val="none" w:sz="0" w:space="0" w:color="auto"/>
        <w:bottom w:val="none" w:sz="0" w:space="0" w:color="auto"/>
        <w:right w:val="none" w:sz="0" w:space="0" w:color="auto"/>
      </w:divBdr>
    </w:div>
    <w:div w:id="487013091">
      <w:bodyDiv w:val="1"/>
      <w:marLeft w:val="0"/>
      <w:marRight w:val="0"/>
      <w:marTop w:val="0"/>
      <w:marBottom w:val="0"/>
      <w:divBdr>
        <w:top w:val="none" w:sz="0" w:space="0" w:color="auto"/>
        <w:left w:val="none" w:sz="0" w:space="0" w:color="auto"/>
        <w:bottom w:val="none" w:sz="0" w:space="0" w:color="auto"/>
        <w:right w:val="none" w:sz="0" w:space="0" w:color="auto"/>
      </w:divBdr>
    </w:div>
    <w:div w:id="765273339">
      <w:bodyDiv w:val="1"/>
      <w:marLeft w:val="0"/>
      <w:marRight w:val="0"/>
      <w:marTop w:val="0"/>
      <w:marBottom w:val="0"/>
      <w:divBdr>
        <w:top w:val="none" w:sz="0" w:space="0" w:color="auto"/>
        <w:left w:val="none" w:sz="0" w:space="0" w:color="auto"/>
        <w:bottom w:val="none" w:sz="0" w:space="0" w:color="auto"/>
        <w:right w:val="none" w:sz="0" w:space="0" w:color="auto"/>
      </w:divBdr>
    </w:div>
    <w:div w:id="864446560">
      <w:bodyDiv w:val="1"/>
      <w:marLeft w:val="0"/>
      <w:marRight w:val="0"/>
      <w:marTop w:val="0"/>
      <w:marBottom w:val="0"/>
      <w:divBdr>
        <w:top w:val="none" w:sz="0" w:space="0" w:color="auto"/>
        <w:left w:val="none" w:sz="0" w:space="0" w:color="auto"/>
        <w:bottom w:val="none" w:sz="0" w:space="0" w:color="auto"/>
        <w:right w:val="none" w:sz="0" w:space="0" w:color="auto"/>
      </w:divBdr>
    </w:div>
    <w:div w:id="947004763">
      <w:bodyDiv w:val="1"/>
      <w:marLeft w:val="0"/>
      <w:marRight w:val="0"/>
      <w:marTop w:val="0"/>
      <w:marBottom w:val="0"/>
      <w:divBdr>
        <w:top w:val="none" w:sz="0" w:space="0" w:color="auto"/>
        <w:left w:val="none" w:sz="0" w:space="0" w:color="auto"/>
        <w:bottom w:val="none" w:sz="0" w:space="0" w:color="auto"/>
        <w:right w:val="none" w:sz="0" w:space="0" w:color="auto"/>
      </w:divBdr>
    </w:div>
    <w:div w:id="1043016274">
      <w:bodyDiv w:val="1"/>
      <w:marLeft w:val="0"/>
      <w:marRight w:val="0"/>
      <w:marTop w:val="0"/>
      <w:marBottom w:val="0"/>
      <w:divBdr>
        <w:top w:val="none" w:sz="0" w:space="0" w:color="auto"/>
        <w:left w:val="none" w:sz="0" w:space="0" w:color="auto"/>
        <w:bottom w:val="none" w:sz="0" w:space="0" w:color="auto"/>
        <w:right w:val="none" w:sz="0" w:space="0" w:color="auto"/>
      </w:divBdr>
    </w:div>
    <w:div w:id="1071734639">
      <w:bodyDiv w:val="1"/>
      <w:marLeft w:val="0"/>
      <w:marRight w:val="0"/>
      <w:marTop w:val="0"/>
      <w:marBottom w:val="0"/>
      <w:divBdr>
        <w:top w:val="none" w:sz="0" w:space="0" w:color="auto"/>
        <w:left w:val="none" w:sz="0" w:space="0" w:color="auto"/>
        <w:bottom w:val="none" w:sz="0" w:space="0" w:color="auto"/>
        <w:right w:val="none" w:sz="0" w:space="0" w:color="auto"/>
      </w:divBdr>
    </w:div>
    <w:div w:id="1121846979">
      <w:bodyDiv w:val="1"/>
      <w:marLeft w:val="0"/>
      <w:marRight w:val="0"/>
      <w:marTop w:val="0"/>
      <w:marBottom w:val="0"/>
      <w:divBdr>
        <w:top w:val="none" w:sz="0" w:space="0" w:color="auto"/>
        <w:left w:val="none" w:sz="0" w:space="0" w:color="auto"/>
        <w:bottom w:val="none" w:sz="0" w:space="0" w:color="auto"/>
        <w:right w:val="none" w:sz="0" w:space="0" w:color="auto"/>
      </w:divBdr>
    </w:div>
    <w:div w:id="1372539531">
      <w:bodyDiv w:val="1"/>
      <w:marLeft w:val="0"/>
      <w:marRight w:val="0"/>
      <w:marTop w:val="0"/>
      <w:marBottom w:val="0"/>
      <w:divBdr>
        <w:top w:val="none" w:sz="0" w:space="0" w:color="auto"/>
        <w:left w:val="none" w:sz="0" w:space="0" w:color="auto"/>
        <w:bottom w:val="none" w:sz="0" w:space="0" w:color="auto"/>
        <w:right w:val="none" w:sz="0" w:space="0" w:color="auto"/>
      </w:divBdr>
    </w:div>
    <w:div w:id="1406418028">
      <w:bodyDiv w:val="1"/>
      <w:marLeft w:val="0"/>
      <w:marRight w:val="0"/>
      <w:marTop w:val="0"/>
      <w:marBottom w:val="0"/>
      <w:divBdr>
        <w:top w:val="none" w:sz="0" w:space="0" w:color="auto"/>
        <w:left w:val="none" w:sz="0" w:space="0" w:color="auto"/>
        <w:bottom w:val="none" w:sz="0" w:space="0" w:color="auto"/>
        <w:right w:val="none" w:sz="0" w:space="0" w:color="auto"/>
      </w:divBdr>
    </w:div>
    <w:div w:id="1433168395">
      <w:bodyDiv w:val="1"/>
      <w:marLeft w:val="0"/>
      <w:marRight w:val="0"/>
      <w:marTop w:val="0"/>
      <w:marBottom w:val="0"/>
      <w:divBdr>
        <w:top w:val="none" w:sz="0" w:space="0" w:color="auto"/>
        <w:left w:val="none" w:sz="0" w:space="0" w:color="auto"/>
        <w:bottom w:val="none" w:sz="0" w:space="0" w:color="auto"/>
        <w:right w:val="none" w:sz="0" w:space="0" w:color="auto"/>
      </w:divBdr>
    </w:div>
    <w:div w:id="1630549461">
      <w:bodyDiv w:val="1"/>
      <w:marLeft w:val="0"/>
      <w:marRight w:val="0"/>
      <w:marTop w:val="0"/>
      <w:marBottom w:val="0"/>
      <w:divBdr>
        <w:top w:val="none" w:sz="0" w:space="0" w:color="auto"/>
        <w:left w:val="none" w:sz="0" w:space="0" w:color="auto"/>
        <w:bottom w:val="none" w:sz="0" w:space="0" w:color="auto"/>
        <w:right w:val="none" w:sz="0" w:space="0" w:color="auto"/>
      </w:divBdr>
    </w:div>
    <w:div w:id="2120442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JPG"/><Relationship Id="rId25" Type="http://schemas.openxmlformats.org/officeDocument/2006/relationships/image" Target="media/image17.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jpg"/><Relationship Id="rId32" Type="http://schemas.openxmlformats.org/officeDocument/2006/relationships/image" Target="media/image24.png"/><Relationship Id="rId5" Type="http://schemas.openxmlformats.org/officeDocument/2006/relationships/webSettings" Target="webSettings.xml"/><Relationship Id="rId15" Type="http://schemas.openxmlformats.org/officeDocument/2006/relationships/image" Target="media/image7.JP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C5CA45-D284-4D06-974D-BCDE0E38EC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92007</Words>
  <Characters>524442</Characters>
  <Application>Microsoft Office Word</Application>
  <DocSecurity>0</DocSecurity>
  <Lines>4370</Lines>
  <Paragraphs>1230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615219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Fraissard, Keren</dc:creator>
  <cp:keywords/>
  <dc:description/>
  <cp:lastModifiedBy>Fraissard, Keren</cp:lastModifiedBy>
  <cp:revision>21</cp:revision>
  <cp:lastPrinted>2022-07-27T03:23:00Z</cp:lastPrinted>
  <dcterms:created xsi:type="dcterms:W3CDTF">2022-07-27T03:00:00Z</dcterms:created>
  <dcterms:modified xsi:type="dcterms:W3CDTF">2022-07-27T03:24:00Z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zotero-version="6.0.9"&gt;&lt;session id="ihuUOK6B"/&gt;&lt;style id="http://www.zotero.org/styles/american-chemical-society" hasBibliography="1" bibliographyStyleHasBeenSet="1"/&gt;&lt;prefs&gt;&lt;pref name="fieldType" value="Field"/&gt;&lt;pref name="dontAskD</vt:lpwstr>
  </property>
  <property fmtid="{D5CDD505-2E9C-101B-9397-08002B2CF9AE}" pid="3" name="ZOTERO_PREF_2">
    <vt:lpwstr>elayCitationUpdates" value="true"/&gt;&lt;/prefs&gt;&lt;/data&gt;</vt:lpwstr>
  </property>
</Properties>
</file>