
<file path=[Content_Types].xml><?xml version="1.0" encoding="utf-8"?>
<Types xmlns="http://schemas.openxmlformats.org/package/2006/content-types">
  <Default Extension="xml" ContentType="application/xml"/>
  <Default Extension="jpeg" ContentType="image/jpeg"/>
  <Default Extension="tiff" ContentType="image/tiff"/>
  <Default Extension="emf" ContentType="image/x-emf"/>
  <Default Extension="rels" ContentType="application/vnd.openxmlformats-package.relationships+xml"/>
  <Default Extension="png" ContentType="image/png"/>
  <Default Extension="wmf" ContentType="image/x-w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charts/chart11.xml" ContentType="application/vnd.openxmlformats-officedocument.drawingml.chart+xml"/>
  <Override PartName="/word/theme/themeOverride11.xml" ContentType="application/vnd.openxmlformats-officedocument.themeOverride+xml"/>
  <Override PartName="/word/charts/chart12.xml" ContentType="application/vnd.openxmlformats-officedocument.drawingml.chart+xml"/>
  <Override PartName="/word/theme/themeOverride12.xml" ContentType="application/vnd.openxmlformats-officedocument.themeOverride+xml"/>
  <Override PartName="/word/charts/chart13.xml" ContentType="application/vnd.openxmlformats-officedocument.drawingml.chart+xml"/>
  <Override PartName="/word/theme/themeOverride13.xml" ContentType="application/vnd.openxmlformats-officedocument.themeOverride+xml"/>
  <Override PartName="/word/charts/chart14.xml" ContentType="application/vnd.openxmlformats-officedocument.drawingml.chart+xml"/>
  <Override PartName="/word/theme/themeOverride14.xml" ContentType="application/vnd.openxmlformats-officedocument.themeOverride+xml"/>
  <Override PartName="/word/charts/chart15.xml" ContentType="application/vnd.openxmlformats-officedocument.drawingml.chart+xml"/>
  <Override PartName="/word/theme/themeOverride15.xml" ContentType="application/vnd.openxmlformats-officedocument.themeOverride+xml"/>
  <Override PartName="/word/charts/chart16.xml" ContentType="application/vnd.openxmlformats-officedocument.drawingml.chart+xml"/>
  <Override PartName="/word/theme/themeOverride16.xml" ContentType="application/vnd.openxmlformats-officedocument.themeOverride+xml"/>
  <Override PartName="/word/charts/chart17.xml" ContentType="application/vnd.openxmlformats-officedocument.drawingml.chart+xml"/>
  <Override PartName="/word/theme/themeOverride17.xml" ContentType="application/vnd.openxmlformats-officedocument.themeOverride+xml"/>
  <Override PartName="/word/charts/chart18.xml" ContentType="application/vnd.openxmlformats-officedocument.drawingml.chart+xml"/>
  <Override PartName="/word/theme/themeOverride18.xml" ContentType="application/vnd.openxmlformats-officedocument.themeOverride+xml"/>
  <Override PartName="/word/charts/chart19.xml" ContentType="application/vnd.openxmlformats-officedocument.drawingml.chart+xml"/>
  <Override PartName="/word/theme/themeOverride19.xml" ContentType="application/vnd.openxmlformats-officedocument.themeOverride+xml"/>
  <Override PartName="/word/charts/chart20.xml" ContentType="application/vnd.openxmlformats-officedocument.drawingml.chart+xml"/>
  <Override PartName="/word/theme/themeOverride20.xml" ContentType="application/vnd.openxmlformats-officedocument.themeOverride+xml"/>
  <Override PartName="/word/charts/chart21.xml" ContentType="application/vnd.openxmlformats-officedocument.drawingml.chart+xml"/>
  <Override PartName="/word/theme/themeOverride21.xml" ContentType="application/vnd.openxmlformats-officedocument.themeOverride+xml"/>
  <Override PartName="/word/charts/chart22.xml" ContentType="application/vnd.openxmlformats-officedocument.drawingml.chart+xml"/>
  <Override PartName="/word/theme/themeOverride22.xml" ContentType="application/vnd.openxmlformats-officedocument.themeOverride+xml"/>
  <Override PartName="/word/charts/chart23.xml" ContentType="application/vnd.openxmlformats-officedocument.drawingml.chart+xml"/>
  <Override PartName="/word/theme/themeOverride23.xml" ContentType="application/vnd.openxmlformats-officedocument.themeOverride+xml"/>
  <Override PartName="/word/charts/chart24.xml" ContentType="application/vnd.openxmlformats-officedocument.drawingml.chart+xml"/>
  <Override PartName="/word/theme/themeOverride24.xml" ContentType="application/vnd.openxmlformats-officedocument.themeOverride+xml"/>
  <Override PartName="/word/charts/chart25.xml" ContentType="application/vnd.openxmlformats-officedocument.drawingml.chart+xml"/>
  <Override PartName="/word/drawings/drawing1.xml" ContentType="application/vnd.openxmlformats-officedocument.drawingml.chartshapes+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displacedByCustomXml="next"/>
    <w:bookmarkEnd w:id="0" w:displacedByCustomXml="next"/>
    <w:sdt>
      <w:sdtPr>
        <w:rPr>
          <w:caps/>
        </w:rPr>
        <w:id w:val="30091833"/>
        <w:lock w:val="contentLocked"/>
        <w:placeholder>
          <w:docPart w:val="A81F602006EA4C16A9F3206BB0D96450"/>
        </w:placeholder>
        <w:group/>
      </w:sdtPr>
      <w:sdtContent>
        <w:p w14:paraId="2319E4BC" w14:textId="77777777" w:rsidR="00A50007" w:rsidRPr="0008176F" w:rsidRDefault="0008176F" w:rsidP="0008176F">
          <w:pPr>
            <w:pStyle w:val="NoSpacing"/>
            <w:jc w:val="center"/>
            <w:rPr>
              <w:caps/>
            </w:rPr>
          </w:pPr>
          <w:r w:rsidRPr="0008176F">
            <w:rPr>
              <w:caps/>
            </w:rPr>
            <w:t>University of Oklahoma</w:t>
          </w:r>
        </w:p>
        <w:p w14:paraId="3368BBDE" w14:textId="77777777" w:rsidR="0008176F" w:rsidRPr="0008176F" w:rsidRDefault="0008176F" w:rsidP="0008176F">
          <w:pPr>
            <w:pStyle w:val="NoSpacing"/>
            <w:jc w:val="center"/>
            <w:rPr>
              <w:caps/>
            </w:rPr>
          </w:pPr>
        </w:p>
        <w:p w14:paraId="53FBF6A2" w14:textId="77777777" w:rsidR="0008176F" w:rsidRPr="0008176F" w:rsidRDefault="0008176F" w:rsidP="0008176F">
          <w:pPr>
            <w:pStyle w:val="NoSpacing"/>
            <w:jc w:val="center"/>
            <w:rPr>
              <w:caps/>
            </w:rPr>
          </w:pPr>
          <w:r w:rsidRPr="0008176F">
            <w:rPr>
              <w:caps/>
            </w:rPr>
            <w:t>Graduate College</w:t>
          </w:r>
        </w:p>
      </w:sdtContent>
    </w:sdt>
    <w:p w14:paraId="04318D88" w14:textId="77777777" w:rsidR="0008176F" w:rsidRPr="0008176F" w:rsidRDefault="0008176F" w:rsidP="0008176F">
      <w:pPr>
        <w:pStyle w:val="NoSpacing"/>
        <w:jc w:val="center"/>
        <w:rPr>
          <w:caps/>
        </w:rPr>
      </w:pPr>
    </w:p>
    <w:p w14:paraId="7C0F445D" w14:textId="77777777" w:rsidR="0008176F" w:rsidRPr="0008176F" w:rsidRDefault="0008176F" w:rsidP="0008176F">
      <w:pPr>
        <w:pStyle w:val="NoSpacing"/>
        <w:jc w:val="center"/>
        <w:rPr>
          <w:caps/>
        </w:rPr>
      </w:pPr>
    </w:p>
    <w:p w14:paraId="70BE9932" w14:textId="77777777" w:rsidR="0008176F" w:rsidRPr="0008176F" w:rsidRDefault="0008176F" w:rsidP="0008176F">
      <w:pPr>
        <w:pStyle w:val="NoSpacing"/>
        <w:jc w:val="center"/>
        <w:rPr>
          <w:caps/>
        </w:rPr>
      </w:pPr>
    </w:p>
    <w:p w14:paraId="5B080547" w14:textId="77777777" w:rsidR="0008176F" w:rsidRPr="0008176F" w:rsidRDefault="0008176F" w:rsidP="0008176F">
      <w:pPr>
        <w:pStyle w:val="NoSpacing"/>
        <w:jc w:val="center"/>
        <w:rPr>
          <w:caps/>
        </w:rPr>
      </w:pPr>
    </w:p>
    <w:p w14:paraId="5DBF6735" w14:textId="77777777" w:rsidR="0008176F" w:rsidRPr="0008176F" w:rsidRDefault="0008176F" w:rsidP="0008176F">
      <w:pPr>
        <w:pStyle w:val="NoSpacing"/>
        <w:jc w:val="center"/>
        <w:rPr>
          <w:caps/>
        </w:rPr>
      </w:pPr>
    </w:p>
    <w:p w14:paraId="12E7441C" w14:textId="77777777" w:rsidR="0008176F" w:rsidRPr="0008176F" w:rsidRDefault="0008176F" w:rsidP="0008176F">
      <w:pPr>
        <w:pStyle w:val="NoSpacing"/>
        <w:jc w:val="center"/>
        <w:rPr>
          <w:caps/>
        </w:rPr>
      </w:pPr>
    </w:p>
    <w:p w14:paraId="4D2C9035" w14:textId="77777777" w:rsidR="0008176F" w:rsidRPr="0008176F" w:rsidRDefault="0008176F" w:rsidP="0008176F">
      <w:pPr>
        <w:pStyle w:val="NoSpacing"/>
        <w:jc w:val="center"/>
        <w:rPr>
          <w:caps/>
        </w:rPr>
      </w:pPr>
    </w:p>
    <w:sdt>
      <w:sdtPr>
        <w:rPr>
          <w:caps/>
        </w:rPr>
        <w:alias w:val="Click to enter dissertation title"/>
        <w:tag w:val="Click to enter dissertation title"/>
        <w:id w:val="30091832"/>
        <w:lock w:val="sdtLocked"/>
        <w:placeholder>
          <w:docPart w:val="A81F602006EA4C16A9F3206BB0D96450"/>
        </w:placeholder>
      </w:sdtPr>
      <w:sdtContent>
        <w:p w14:paraId="41A51746" w14:textId="1C239156" w:rsidR="0008176F" w:rsidRPr="0008176F" w:rsidRDefault="00DB537A" w:rsidP="0008176F">
          <w:pPr>
            <w:pStyle w:val="NoSpacing"/>
            <w:spacing w:line="480" w:lineRule="auto"/>
            <w:jc w:val="center"/>
            <w:rPr>
              <w:caps/>
            </w:rPr>
          </w:pPr>
          <w:r w:rsidRPr="00DB537A">
            <w:rPr>
              <w:caps/>
            </w:rPr>
            <w:t>Understanding thermochemical process and feedstock compositional impacts on strategies to control pyrolysis and torrefaction product distributions</w:t>
          </w:r>
        </w:p>
      </w:sdtContent>
    </w:sdt>
    <w:p w14:paraId="757A9FFC" w14:textId="77777777" w:rsidR="0008176F" w:rsidRPr="0008176F" w:rsidRDefault="0008176F" w:rsidP="0008176F">
      <w:pPr>
        <w:pStyle w:val="NoSpacing"/>
        <w:jc w:val="center"/>
        <w:rPr>
          <w:caps/>
        </w:rPr>
      </w:pPr>
    </w:p>
    <w:p w14:paraId="7C58724A" w14:textId="77777777" w:rsidR="0008176F" w:rsidRPr="0008176F" w:rsidRDefault="0008176F" w:rsidP="0008176F">
      <w:pPr>
        <w:pStyle w:val="NoSpacing"/>
        <w:jc w:val="center"/>
        <w:rPr>
          <w:caps/>
        </w:rPr>
      </w:pPr>
    </w:p>
    <w:p w14:paraId="682588E0" w14:textId="77777777" w:rsidR="0008176F" w:rsidRPr="0008176F" w:rsidRDefault="0008176F" w:rsidP="0008176F">
      <w:pPr>
        <w:pStyle w:val="NoSpacing"/>
        <w:jc w:val="center"/>
        <w:rPr>
          <w:caps/>
        </w:rPr>
      </w:pPr>
    </w:p>
    <w:p w14:paraId="0300ED4B" w14:textId="77777777" w:rsidR="0008176F" w:rsidRPr="0008176F" w:rsidRDefault="0008176F" w:rsidP="0008176F">
      <w:pPr>
        <w:pStyle w:val="NoSpacing"/>
        <w:jc w:val="center"/>
        <w:rPr>
          <w:caps/>
        </w:rPr>
      </w:pPr>
    </w:p>
    <w:p w14:paraId="559C09A5" w14:textId="77777777" w:rsidR="0008176F" w:rsidRPr="0008176F" w:rsidRDefault="0008176F" w:rsidP="0008176F">
      <w:pPr>
        <w:pStyle w:val="NoSpacing"/>
        <w:jc w:val="center"/>
        <w:rPr>
          <w:caps/>
        </w:rPr>
      </w:pPr>
    </w:p>
    <w:p w14:paraId="5E2AF002" w14:textId="77777777" w:rsidR="0008176F" w:rsidRPr="0008176F" w:rsidRDefault="0008176F" w:rsidP="0008176F">
      <w:pPr>
        <w:pStyle w:val="NoSpacing"/>
        <w:jc w:val="center"/>
        <w:rPr>
          <w:caps/>
        </w:rPr>
      </w:pPr>
    </w:p>
    <w:p w14:paraId="3046713E" w14:textId="51A58870" w:rsidR="0008176F" w:rsidRPr="0008176F" w:rsidRDefault="00DB537A" w:rsidP="0008176F">
      <w:pPr>
        <w:pStyle w:val="NoSpacing"/>
        <w:jc w:val="center"/>
        <w:rPr>
          <w:caps/>
        </w:rPr>
      </w:pPr>
      <w:r>
        <w:rPr>
          <w:caps/>
        </w:rPr>
        <w:t>A Dissertation</w:t>
      </w:r>
    </w:p>
    <w:p w14:paraId="19731C4F" w14:textId="77777777" w:rsidR="0008176F" w:rsidRPr="0008176F" w:rsidRDefault="0008176F"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14:paraId="7011D2CC" w14:textId="77777777" w:rsidR="0008176F" w:rsidRPr="0008176F" w:rsidRDefault="0008176F" w:rsidP="0008176F">
          <w:pPr>
            <w:pStyle w:val="NoSpacing"/>
            <w:jc w:val="center"/>
            <w:rPr>
              <w:caps/>
            </w:rPr>
          </w:pPr>
          <w:r w:rsidRPr="0008176F">
            <w:rPr>
              <w:caps/>
            </w:rPr>
            <w:t>submitted to the Graduate Faculty</w:t>
          </w:r>
        </w:p>
        <w:p w14:paraId="76D0BC9D" w14:textId="77777777" w:rsidR="0008176F" w:rsidRDefault="0008176F" w:rsidP="0008176F">
          <w:pPr>
            <w:pStyle w:val="NoSpacing"/>
            <w:jc w:val="center"/>
          </w:pPr>
        </w:p>
        <w:p w14:paraId="40E0D171" w14:textId="77777777" w:rsidR="0008176F" w:rsidRDefault="0008176F" w:rsidP="0008176F">
          <w:pPr>
            <w:pStyle w:val="NoSpacing"/>
            <w:jc w:val="center"/>
          </w:pPr>
          <w:r>
            <w:t>in partial fulfillment of the requirements for the</w:t>
          </w:r>
        </w:p>
        <w:p w14:paraId="0BCFA004" w14:textId="77777777" w:rsidR="0008176F" w:rsidRDefault="0008176F" w:rsidP="0008176F">
          <w:pPr>
            <w:pStyle w:val="NoSpacing"/>
            <w:jc w:val="center"/>
          </w:pPr>
        </w:p>
        <w:p w14:paraId="373A6344" w14:textId="77777777" w:rsidR="0008176F" w:rsidRDefault="0008176F" w:rsidP="0008176F">
          <w:pPr>
            <w:pStyle w:val="NoSpacing"/>
            <w:jc w:val="center"/>
          </w:pPr>
          <w:r>
            <w:t>Degree of</w:t>
          </w:r>
        </w:p>
      </w:sdtContent>
    </w:sdt>
    <w:p w14:paraId="55FEE8D1" w14:textId="77777777" w:rsidR="0008176F" w:rsidRDefault="0008176F" w:rsidP="0008176F">
      <w:pPr>
        <w:pStyle w:val="NoSpacing"/>
        <w:jc w:val="center"/>
      </w:pPr>
    </w:p>
    <w:sdt>
      <w:sdtPr>
        <w:rPr>
          <w:caps/>
        </w:rPr>
        <w:alias w:val="Select the exact name of your degree"/>
        <w:tag w:val="Exact name of your degree in ALL CAPS"/>
        <w:id w:val="8173860"/>
        <w:placeholder>
          <w:docPart w:val="F1B82404F8FA4860B21733FA70F7B5FC"/>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Content>
        <w:p w14:paraId="2F366DD9" w14:textId="698B7FB4" w:rsidR="00746E16" w:rsidRDefault="00C53E22" w:rsidP="00746E16">
          <w:pPr>
            <w:pStyle w:val="NoSpacing"/>
            <w:spacing w:line="480" w:lineRule="auto"/>
            <w:jc w:val="center"/>
            <w:rPr>
              <w:caps/>
            </w:rPr>
          </w:pPr>
          <w:r>
            <w:rPr>
              <w:caps/>
            </w:rPr>
            <w:t>Doctor of Philosophy</w:t>
          </w:r>
        </w:p>
      </w:sdtContent>
    </w:sdt>
    <w:p w14:paraId="5620E217" w14:textId="77777777" w:rsidR="00730F0A" w:rsidRDefault="00730F0A" w:rsidP="0008176F">
      <w:pPr>
        <w:pStyle w:val="NoSpacing"/>
        <w:jc w:val="center"/>
      </w:pPr>
    </w:p>
    <w:p w14:paraId="468E7867" w14:textId="77777777" w:rsidR="00730F0A" w:rsidRDefault="00730F0A" w:rsidP="0008176F">
      <w:pPr>
        <w:pStyle w:val="NoSpacing"/>
        <w:jc w:val="center"/>
      </w:pPr>
    </w:p>
    <w:p w14:paraId="62ADDE68" w14:textId="77777777" w:rsidR="00730F0A" w:rsidRDefault="00730F0A" w:rsidP="0008176F">
      <w:pPr>
        <w:pStyle w:val="NoSpacing"/>
        <w:jc w:val="center"/>
      </w:pPr>
    </w:p>
    <w:p w14:paraId="433A3790" w14:textId="77777777" w:rsidR="00730F0A" w:rsidRDefault="00730F0A" w:rsidP="0008176F">
      <w:pPr>
        <w:pStyle w:val="NoSpacing"/>
        <w:jc w:val="center"/>
      </w:pPr>
    </w:p>
    <w:p w14:paraId="2B726BDA" w14:textId="77777777" w:rsidR="00730F0A" w:rsidRDefault="00730F0A" w:rsidP="0008176F">
      <w:pPr>
        <w:pStyle w:val="NoSpacing"/>
        <w:jc w:val="center"/>
      </w:pPr>
    </w:p>
    <w:p w14:paraId="5FA04A2F" w14:textId="77777777" w:rsidR="00730F0A" w:rsidRDefault="00730F0A" w:rsidP="0008176F">
      <w:pPr>
        <w:pStyle w:val="NoSpacing"/>
        <w:jc w:val="center"/>
      </w:pPr>
    </w:p>
    <w:p w14:paraId="234ACB90" w14:textId="77777777" w:rsidR="00730F0A" w:rsidRDefault="00730F0A" w:rsidP="0008176F">
      <w:pPr>
        <w:pStyle w:val="NoSpacing"/>
        <w:jc w:val="center"/>
      </w:pPr>
    </w:p>
    <w:p w14:paraId="077008AA" w14:textId="77777777" w:rsidR="00730F0A" w:rsidRDefault="00730F0A" w:rsidP="0008176F">
      <w:pPr>
        <w:pStyle w:val="NoSpacing"/>
        <w:jc w:val="center"/>
      </w:pPr>
    </w:p>
    <w:p w14:paraId="700921D2" w14:textId="77777777" w:rsidR="00730F0A" w:rsidRDefault="00730F0A" w:rsidP="0008176F">
      <w:pPr>
        <w:pStyle w:val="NoSpacing"/>
        <w:jc w:val="center"/>
      </w:pPr>
    </w:p>
    <w:p w14:paraId="29635ABE" w14:textId="77777777" w:rsidR="00730F0A" w:rsidRDefault="00730F0A" w:rsidP="0008176F">
      <w:pPr>
        <w:pStyle w:val="NoSpacing"/>
        <w:jc w:val="center"/>
      </w:pPr>
      <w:r>
        <w:t>By</w:t>
      </w:r>
    </w:p>
    <w:p w14:paraId="639D02C3"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Content>
        <w:p w14:paraId="197FE795" w14:textId="2402E6B3" w:rsidR="00746E16" w:rsidRDefault="00DB537A" w:rsidP="00746E16">
          <w:pPr>
            <w:pStyle w:val="NoSpacing"/>
            <w:jc w:val="center"/>
            <w:rPr>
              <w:caps/>
            </w:rPr>
          </w:pPr>
          <w:r>
            <w:rPr>
              <w:caps/>
            </w:rPr>
            <w:t>christopher lee waters</w:t>
          </w:r>
        </w:p>
      </w:sdtContent>
    </w:sdt>
    <w:sdt>
      <w:sdtPr>
        <w:id w:val="30091838"/>
        <w:lock w:val="contentLocked"/>
        <w:placeholder>
          <w:docPart w:val="A81F602006EA4C16A9F3206BB0D96450"/>
        </w:placeholder>
        <w:group/>
      </w:sdtPr>
      <w:sdtContent>
        <w:p w14:paraId="5AE3F274" w14:textId="77777777" w:rsidR="00730F0A" w:rsidRDefault="00746E16" w:rsidP="00746E16">
          <w:pPr>
            <w:pStyle w:val="NoSpacing"/>
            <w:jc w:val="center"/>
          </w:pPr>
          <w:r>
            <w:t xml:space="preserve"> </w:t>
          </w:r>
          <w:r w:rsidR="00730F0A">
            <w:t>Norman, Oklahoma</w:t>
          </w:r>
        </w:p>
      </w:sdtContent>
    </w:sdt>
    <w:p w14:paraId="2902A3CB" w14:textId="7710448B" w:rsidR="00730F0A" w:rsidRDefault="00463F52" w:rsidP="00A05469">
      <w:pPr>
        <w:pStyle w:val="NoSpacing"/>
        <w:jc w:val="center"/>
      </w:pPr>
      <w:sdt>
        <w:sdtPr>
          <w:alias w:val="Click to enter the year you are depositing the thesis"/>
          <w:tag w:val="Click to enter the year you are depositing the thesis"/>
          <w:id w:val="30091842"/>
          <w:placeholder>
            <w:docPart w:val="A81F602006EA4C16A9F3206BB0D96450"/>
          </w:placeholder>
        </w:sdtPr>
        <w:sdtContent>
          <w:r w:rsidR="00DB537A">
            <w:t>2016</w:t>
          </w:r>
        </w:sdtContent>
      </w:sdt>
      <w:r w:rsidR="00730F0A">
        <w:br w:type="page"/>
      </w:r>
    </w:p>
    <w:p w14:paraId="6552704C" w14:textId="77777777" w:rsidR="00730F0A" w:rsidRDefault="00730F0A" w:rsidP="00730F0A">
      <w:pPr>
        <w:pStyle w:val="NoSpacing"/>
        <w:jc w:val="center"/>
      </w:pPr>
    </w:p>
    <w:p w14:paraId="26AAED60" w14:textId="77777777" w:rsidR="00F93475" w:rsidRDefault="00F93475" w:rsidP="00730F0A">
      <w:pPr>
        <w:pStyle w:val="NoSpacing"/>
        <w:jc w:val="center"/>
      </w:pPr>
    </w:p>
    <w:p w14:paraId="06614695" w14:textId="77777777" w:rsidR="00F93475" w:rsidRDefault="00F93475" w:rsidP="00730F0A">
      <w:pPr>
        <w:pStyle w:val="NoSpacing"/>
        <w:jc w:val="center"/>
      </w:pPr>
    </w:p>
    <w:p w14:paraId="5CDD7946" w14:textId="77777777" w:rsidR="00730F0A" w:rsidRDefault="00730F0A" w:rsidP="00730F0A">
      <w:pPr>
        <w:pStyle w:val="NoSpacing"/>
        <w:jc w:val="center"/>
      </w:pPr>
    </w:p>
    <w:p w14:paraId="378266A5" w14:textId="77777777" w:rsidR="00730F0A" w:rsidRDefault="00730F0A" w:rsidP="00730F0A">
      <w:pPr>
        <w:pStyle w:val="NoSpacing"/>
        <w:jc w:val="center"/>
      </w:pPr>
    </w:p>
    <w:sdt>
      <w:sdtPr>
        <w:rPr>
          <w:caps/>
        </w:rPr>
        <w:alias w:val="Click to enter dissertation title"/>
        <w:tag w:val="Click to enter dissertation title"/>
        <w:id w:val="30091843"/>
        <w:lock w:val="sdtLocked"/>
        <w:placeholder>
          <w:docPart w:val="A81F602006EA4C16A9F3206BB0D96450"/>
        </w:placeholder>
      </w:sdtPr>
      <w:sdtContent>
        <w:p w14:paraId="20A89738" w14:textId="32217272" w:rsidR="00730F0A" w:rsidRPr="00730F0A" w:rsidRDefault="009255C0" w:rsidP="00730F0A">
          <w:pPr>
            <w:pStyle w:val="NoSpacing"/>
            <w:jc w:val="center"/>
            <w:rPr>
              <w:caps/>
            </w:rPr>
          </w:pPr>
          <w:r w:rsidRPr="009255C0">
            <w:rPr>
              <w:caps/>
            </w:rPr>
            <w:t>Understanding thermochemical process and feedstock compositional impacts on strategies to control pyrolysis and torrefaction product distributions</w:t>
          </w:r>
        </w:p>
      </w:sdtContent>
    </w:sdt>
    <w:p w14:paraId="7EBDF98F" w14:textId="77777777" w:rsidR="00730F0A" w:rsidRPr="00730F0A" w:rsidRDefault="00730F0A" w:rsidP="00730F0A">
      <w:pPr>
        <w:pStyle w:val="NoSpacing"/>
        <w:jc w:val="center"/>
        <w:rPr>
          <w:caps/>
        </w:rPr>
      </w:pPr>
    </w:p>
    <w:p w14:paraId="591BE852" w14:textId="77777777" w:rsidR="00730F0A" w:rsidRPr="00730F0A" w:rsidRDefault="00730F0A" w:rsidP="00730F0A">
      <w:pPr>
        <w:pStyle w:val="NoSpacing"/>
        <w:jc w:val="center"/>
        <w:rPr>
          <w:caps/>
        </w:rPr>
      </w:pPr>
    </w:p>
    <w:p w14:paraId="1EAC77EB" w14:textId="7F3A1AD1" w:rsidR="00730F0A" w:rsidRPr="00730F0A" w:rsidRDefault="00463F52" w:rsidP="00730F0A">
      <w:pPr>
        <w:pStyle w:val="NoSpacing"/>
        <w:jc w:val="center"/>
        <w:rPr>
          <w:caps/>
        </w:rPr>
      </w:pPr>
      <w:sdt>
        <w:sdtPr>
          <w:rPr>
            <w:caps/>
          </w:rPr>
          <w:id w:val="11707828"/>
          <w:lock w:val="contentLocked"/>
          <w:placeholder>
            <w:docPart w:val="A81F602006EA4C16A9F3206BB0D96450"/>
          </w:placeholder>
          <w:group/>
        </w:sdtPr>
        <w:sdtContent>
          <w:r w:rsidR="00730F0A" w:rsidRPr="00730F0A">
            <w:rPr>
              <w:caps/>
            </w:rPr>
            <w:t>A</w:t>
          </w:r>
        </w:sdtContent>
      </w:sdt>
      <w:r w:rsidR="00730F0A" w:rsidRPr="00730F0A">
        <w:rPr>
          <w:caps/>
        </w:rPr>
        <w:t xml:space="preserve"> </w:t>
      </w:r>
      <w:sdt>
        <w:sdtPr>
          <w:rPr>
            <w:caps/>
          </w:rPr>
          <w:alias w:val="D.M.A. candidates use &quot;document,&quot; all others use &quot;dissertation&quot;"/>
          <w:tag w:val="D.M.A. candidates use &quot;document,&quot; all others use &quot;dissertation&quot;"/>
          <w:id w:val="1170782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Content>
          <w:r w:rsidR="00C53E22">
            <w:rPr>
              <w:caps/>
            </w:rPr>
            <w:t>Dissertation</w:t>
          </w:r>
        </w:sdtContent>
      </w:sdt>
      <w:sdt>
        <w:sdtPr>
          <w:rPr>
            <w:caps/>
          </w:rPr>
          <w:id w:val="11707829"/>
          <w:lock w:val="contentLocked"/>
          <w:placeholder>
            <w:docPart w:val="A81F602006EA4C16A9F3206BB0D96450"/>
          </w:placeholder>
          <w:group/>
        </w:sdtPr>
        <w:sdtContent>
          <w:r w:rsidR="00730F0A" w:rsidRPr="00730F0A">
            <w:rPr>
              <w:caps/>
            </w:rPr>
            <w:t xml:space="preserve"> approved for the</w:t>
          </w:r>
        </w:sdtContent>
      </w:sdt>
    </w:p>
    <w:sdt>
      <w:sdtPr>
        <w:rPr>
          <w:caps/>
        </w:rPr>
        <w:alias w:val="Select the exact name of your academic unit"/>
        <w:tag w:val="Exact name of your academic unit in ALL CAPS"/>
        <w:id w:val="8173889"/>
        <w:placeholder>
          <w:docPart w:val="D03C234346724BF78727F2B57D844BFF"/>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School of Art and Art History" w:value="School of Art and Art History"/>
          <w:listItem w:displayText="Department of Bioengineering" w:value="Department of Bio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Content>
        <w:p w14:paraId="59813BF3" w14:textId="4C38F19C" w:rsidR="00746E16" w:rsidRDefault="00C53E22" w:rsidP="00746E16">
          <w:pPr>
            <w:pStyle w:val="NoSpacing"/>
            <w:jc w:val="center"/>
            <w:rPr>
              <w:caps/>
            </w:rPr>
          </w:pPr>
          <w:r>
            <w:rPr>
              <w:caps/>
            </w:rPr>
            <w:t>School of Chemical, Biological and Materials Engineering</w:t>
          </w:r>
        </w:p>
      </w:sdtContent>
    </w:sdt>
    <w:p w14:paraId="4DE5C15A" w14:textId="77777777" w:rsidR="00730F0A" w:rsidRPr="00730F0A" w:rsidRDefault="00730F0A" w:rsidP="00730F0A">
      <w:pPr>
        <w:pStyle w:val="NoSpacing"/>
        <w:jc w:val="center"/>
        <w:rPr>
          <w:caps/>
        </w:rPr>
      </w:pPr>
    </w:p>
    <w:p w14:paraId="02377F01" w14:textId="77777777" w:rsidR="00730F0A" w:rsidRPr="00730F0A" w:rsidRDefault="00730F0A" w:rsidP="00730F0A">
      <w:pPr>
        <w:pStyle w:val="NoSpacing"/>
        <w:jc w:val="center"/>
        <w:rPr>
          <w:caps/>
        </w:rPr>
      </w:pPr>
    </w:p>
    <w:p w14:paraId="260FECA8" w14:textId="77777777" w:rsidR="00730F0A" w:rsidRPr="00730F0A" w:rsidRDefault="00730F0A" w:rsidP="00730F0A">
      <w:pPr>
        <w:pStyle w:val="NoSpacing"/>
        <w:jc w:val="center"/>
        <w:rPr>
          <w:caps/>
        </w:rPr>
      </w:pPr>
    </w:p>
    <w:p w14:paraId="4BF6B1B7" w14:textId="77777777" w:rsidR="00730F0A" w:rsidRDefault="00730F0A" w:rsidP="00730F0A">
      <w:pPr>
        <w:pStyle w:val="NoSpacing"/>
        <w:jc w:val="center"/>
        <w:rPr>
          <w:caps/>
        </w:rPr>
      </w:pPr>
    </w:p>
    <w:p w14:paraId="520C8B4D" w14:textId="77777777" w:rsidR="00730F0A" w:rsidRPr="00730F0A" w:rsidRDefault="00730F0A" w:rsidP="00730F0A">
      <w:pPr>
        <w:pStyle w:val="NoSpacing"/>
        <w:jc w:val="center"/>
        <w:rPr>
          <w:caps/>
        </w:rPr>
      </w:pPr>
    </w:p>
    <w:p w14:paraId="4648F04C" w14:textId="77777777" w:rsidR="00730F0A" w:rsidRPr="00730F0A" w:rsidRDefault="00730F0A" w:rsidP="00730F0A">
      <w:pPr>
        <w:pStyle w:val="NoSpacing"/>
        <w:jc w:val="center"/>
        <w:rPr>
          <w:caps/>
        </w:rPr>
      </w:pPr>
    </w:p>
    <w:p w14:paraId="77377FF4" w14:textId="77777777" w:rsidR="00730F0A" w:rsidRPr="00730F0A" w:rsidRDefault="00730F0A" w:rsidP="00730F0A">
      <w:pPr>
        <w:pStyle w:val="NoSpacing"/>
        <w:jc w:val="center"/>
        <w:rPr>
          <w:caps/>
        </w:rPr>
      </w:pPr>
    </w:p>
    <w:p w14:paraId="2734A682" w14:textId="77777777" w:rsidR="00730F0A" w:rsidRPr="00730F0A" w:rsidRDefault="00730F0A" w:rsidP="00730F0A">
      <w:pPr>
        <w:pStyle w:val="NoSpacing"/>
        <w:jc w:val="center"/>
        <w:rPr>
          <w:caps/>
        </w:rPr>
      </w:pPr>
    </w:p>
    <w:sdt>
      <w:sdtPr>
        <w:rPr>
          <w:caps/>
          <w:color w:val="808080"/>
        </w:rPr>
        <w:id w:val="30091876"/>
        <w:lock w:val="contentLocked"/>
        <w:placeholder>
          <w:docPart w:val="A81F602006EA4C16A9F3206BB0D96450"/>
        </w:placeholder>
        <w:group/>
      </w:sdtPr>
      <w:sdtContent>
        <w:p w14:paraId="29E48E3D" w14:textId="77777777" w:rsidR="00730F0A" w:rsidRPr="00730F0A" w:rsidRDefault="00730F0A" w:rsidP="00730F0A">
          <w:pPr>
            <w:pStyle w:val="NoSpacing"/>
            <w:jc w:val="center"/>
            <w:rPr>
              <w:caps/>
            </w:rPr>
          </w:pPr>
          <w:r w:rsidRPr="00730F0A">
            <w:rPr>
              <w:caps/>
            </w:rPr>
            <w:t>By</w:t>
          </w:r>
        </w:p>
      </w:sdtContent>
    </w:sdt>
    <w:p w14:paraId="403178CD" w14:textId="77777777" w:rsidR="00730F0A" w:rsidRDefault="00730F0A" w:rsidP="00730F0A">
      <w:pPr>
        <w:pStyle w:val="NoSpacing"/>
        <w:jc w:val="center"/>
      </w:pPr>
    </w:p>
    <w:p w14:paraId="44F4249E" w14:textId="77777777" w:rsidR="00730F0A" w:rsidRDefault="00730F0A" w:rsidP="00730F0A">
      <w:pPr>
        <w:pStyle w:val="NoSpacing"/>
        <w:jc w:val="center"/>
      </w:pPr>
    </w:p>
    <w:p w14:paraId="652D9A90" w14:textId="77777777" w:rsidR="00730F0A" w:rsidRDefault="00730F0A" w:rsidP="00730F0A">
      <w:pPr>
        <w:pStyle w:val="NoSpacing"/>
        <w:jc w:val="center"/>
      </w:pPr>
    </w:p>
    <w:p w14:paraId="218F6600" w14:textId="77777777" w:rsidR="00730F0A" w:rsidRPr="006B4721" w:rsidRDefault="00730F0A" w:rsidP="00730F0A">
      <w:pPr>
        <w:pStyle w:val="NoSpacing"/>
        <w:jc w:val="right"/>
      </w:pPr>
      <w:r>
        <w:tab/>
      </w:r>
      <w:r>
        <w:tab/>
      </w:r>
      <w:r>
        <w:tab/>
      </w:r>
      <w:r>
        <w:tab/>
      </w:r>
      <w:r w:rsidR="006B4721">
        <w:t>______________________________</w:t>
      </w:r>
    </w:p>
    <w:p w14:paraId="1548BFC1" w14:textId="537285B1" w:rsidR="00730F0A" w:rsidRDefault="00463F52" w:rsidP="00730F0A">
      <w:pPr>
        <w:pStyle w:val="NoSpacing"/>
        <w:jc w:val="right"/>
      </w:pPr>
      <w:sdt>
        <w:sdtPr>
          <w:id w:val="2462164"/>
          <w:lock w:val="contentLocked"/>
          <w:placeholder>
            <w:docPart w:val="A81F602006EA4C16A9F3206BB0D96450"/>
          </w:placeholder>
          <w:group/>
        </w:sdtPr>
        <w:sdtContent>
          <w:sdt>
            <w:sdtPr>
              <w:id w:val="11707793"/>
              <w:lock w:val="contentLocked"/>
              <w:placeholder>
                <w:docPart w:val="A81F602006EA4C16A9F3206BB0D96450"/>
              </w:placeholder>
              <w:group/>
            </w:sdt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Content>
          <w:r w:rsidR="00C53E22">
            <w:t>Lance Lobban</w:t>
          </w:r>
        </w:sdtContent>
      </w:sdt>
      <w:r w:rsidR="00730F0A">
        <w:t>, Chair</w:t>
      </w:r>
    </w:p>
    <w:p w14:paraId="22F119F8" w14:textId="77777777" w:rsidR="00730F0A" w:rsidRDefault="00730F0A" w:rsidP="00730F0A">
      <w:pPr>
        <w:pStyle w:val="NoSpacing"/>
        <w:jc w:val="right"/>
      </w:pPr>
    </w:p>
    <w:p w14:paraId="167E042E" w14:textId="77777777" w:rsidR="00730F0A" w:rsidRDefault="00730F0A" w:rsidP="00730F0A">
      <w:pPr>
        <w:pStyle w:val="NoSpacing"/>
        <w:jc w:val="right"/>
      </w:pPr>
    </w:p>
    <w:p w14:paraId="7B731E51" w14:textId="77777777" w:rsidR="00730F0A" w:rsidRPr="006B4721" w:rsidRDefault="006B4721" w:rsidP="00730F0A">
      <w:pPr>
        <w:pStyle w:val="NoSpacing"/>
        <w:jc w:val="right"/>
      </w:pPr>
      <w:r>
        <w:t>______________________________</w:t>
      </w:r>
    </w:p>
    <w:p w14:paraId="0A5EFFD1" w14:textId="6DD9121D" w:rsidR="00730F0A" w:rsidRDefault="00463F52" w:rsidP="00730F0A">
      <w:pPr>
        <w:pStyle w:val="NoSpacing"/>
        <w:jc w:val="right"/>
      </w:pPr>
      <w:sdt>
        <w:sdtPr>
          <w:alias w:val="Select the appropriate prefix"/>
          <w:tag w:val="Prefix"/>
          <w:id w:val="8173872"/>
          <w:placeholder>
            <w:docPart w:val="FF296B929162474DB1A26C89C367C4FC"/>
          </w:placeholder>
          <w:dropDownList>
            <w:listItem w:displayText="[Prefix]" w:value="[Prefix]"/>
            <w:listItem w:displayText="Dr." w:value="Dr."/>
            <w:listItem w:displayText="Mr." w:value="Mr."/>
            <w:listItem w:displayText="Mrs." w:value="Mrs."/>
            <w:listItem w:displayText="Ms." w:value="Ms."/>
          </w:dropDownList>
        </w:sdtPr>
        <w:sdtContent>
          <w:r w:rsidR="00C53E22">
            <w:t>Dr.</w:t>
          </w:r>
        </w:sdtContent>
      </w:sdt>
      <w:r w:rsidR="00730F0A">
        <w:t xml:space="preserve"> </w:t>
      </w:r>
      <w:sdt>
        <w:sdtPr>
          <w:alias w:val="Click to enter 2nd member name"/>
          <w:tag w:val="2nd member"/>
          <w:id w:val="30091850"/>
          <w:lock w:val="sdtLocked"/>
          <w:placeholder>
            <w:docPart w:val="4E747200787E4E0C91EFDA8465C0B418"/>
          </w:placeholder>
        </w:sdtPr>
        <w:sdtContent>
          <w:r w:rsidR="00C53E22" w:rsidRPr="00C53E22">
            <w:t>Laura Bartley</w:t>
          </w:r>
        </w:sdtContent>
      </w:sdt>
    </w:p>
    <w:p w14:paraId="7988A819" w14:textId="77777777" w:rsidR="00730F0A" w:rsidRDefault="00730F0A" w:rsidP="00730F0A">
      <w:pPr>
        <w:pStyle w:val="NoSpacing"/>
        <w:jc w:val="right"/>
      </w:pPr>
    </w:p>
    <w:p w14:paraId="0AA5C99C" w14:textId="77777777" w:rsidR="00730F0A" w:rsidRDefault="00730F0A" w:rsidP="00730F0A">
      <w:pPr>
        <w:pStyle w:val="NoSpacing"/>
        <w:jc w:val="right"/>
      </w:pPr>
    </w:p>
    <w:p w14:paraId="15342956" w14:textId="77777777" w:rsidR="00730F0A" w:rsidRPr="006B4721" w:rsidRDefault="006B4721" w:rsidP="00730F0A">
      <w:pPr>
        <w:pStyle w:val="NoSpacing"/>
        <w:jc w:val="right"/>
      </w:pPr>
      <w:r>
        <w:t>______________________________</w:t>
      </w:r>
    </w:p>
    <w:p w14:paraId="0D227C8C" w14:textId="05BE648F" w:rsidR="00730F0A" w:rsidRDefault="00463F52" w:rsidP="00730F0A">
      <w:pPr>
        <w:pStyle w:val="NoSpacing"/>
        <w:jc w:val="right"/>
      </w:pPr>
      <w:sdt>
        <w:sdtPr>
          <w:alias w:val="Select the appropriate prefix"/>
          <w:tag w:val="Prefix"/>
          <w:id w:val="30091851"/>
          <w:placeholder>
            <w:docPart w:val="B0B85ABE7B3F434EA51BA9771FBB6931"/>
          </w:placeholder>
          <w:dropDownList>
            <w:listItem w:displayText="[Prefix]" w:value="[Prefix]"/>
            <w:listItem w:displayText="Dr." w:value="Dr."/>
            <w:listItem w:displayText="Mr." w:value="Mr."/>
            <w:listItem w:displayText="Mrs." w:value="Mrs."/>
            <w:listItem w:displayText="Ms." w:value="Ms."/>
          </w:dropDownList>
        </w:sdtPr>
        <w:sdtContent>
          <w:r w:rsidR="00C53E22">
            <w:t>Dr.</w:t>
          </w:r>
        </w:sdtContent>
      </w:sdt>
      <w:r w:rsidR="00746E16">
        <w:t xml:space="preserve"> </w:t>
      </w:r>
      <w:sdt>
        <w:sdtPr>
          <w:alias w:val="Click to enter 3rd member name"/>
          <w:tag w:val="3rd member"/>
          <w:id w:val="30091852"/>
          <w:lock w:val="sdtLocked"/>
          <w:placeholder>
            <w:docPart w:val="91E92CC32A8647FC976FCB879BC11161"/>
          </w:placeholder>
        </w:sdtPr>
        <w:sdtContent>
          <w:r w:rsidR="00C53E22" w:rsidRPr="00C53E22">
            <w:t>Steven Crossley</w:t>
          </w:r>
        </w:sdtContent>
      </w:sdt>
    </w:p>
    <w:p w14:paraId="7F10B217" w14:textId="77777777" w:rsidR="00730F0A" w:rsidRDefault="00730F0A" w:rsidP="00730F0A">
      <w:pPr>
        <w:pStyle w:val="NoSpacing"/>
        <w:jc w:val="right"/>
      </w:pPr>
    </w:p>
    <w:p w14:paraId="3E8D1524" w14:textId="77777777" w:rsidR="00730F0A" w:rsidRDefault="00730F0A" w:rsidP="00730F0A">
      <w:pPr>
        <w:pStyle w:val="NoSpacing"/>
        <w:jc w:val="right"/>
      </w:pPr>
    </w:p>
    <w:p w14:paraId="4570D86D" w14:textId="77777777" w:rsidR="00730F0A" w:rsidRPr="006B4721" w:rsidRDefault="006B4721" w:rsidP="00730F0A">
      <w:pPr>
        <w:pStyle w:val="NoSpacing"/>
        <w:jc w:val="right"/>
      </w:pPr>
      <w:r>
        <w:t>______________________________</w:t>
      </w:r>
    </w:p>
    <w:p w14:paraId="152B98FA" w14:textId="2DB9932C" w:rsidR="00FF0F0F" w:rsidRDefault="00463F52" w:rsidP="00FF0F0F">
      <w:pPr>
        <w:pStyle w:val="NoSpacing"/>
        <w:jc w:val="right"/>
      </w:pPr>
      <w:sdt>
        <w:sdtPr>
          <w:alias w:val="Select the appropriate prefix"/>
          <w:tag w:val="Prefix"/>
          <w:id w:val="30091854"/>
          <w:placeholder>
            <w:docPart w:val="3CBB864A9504463080A39DB16F6A8615"/>
          </w:placeholder>
          <w:dropDownList>
            <w:listItem w:displayText="[Prefix]" w:value="[Prefix]"/>
            <w:listItem w:displayText="Dr." w:value="Dr."/>
            <w:listItem w:displayText="Mr." w:value="Mr."/>
            <w:listItem w:displayText="Mrs." w:value="Mrs."/>
            <w:listItem w:displayText="Ms." w:value="Ms."/>
          </w:dropDownList>
        </w:sdtPr>
        <w:sdtContent>
          <w:r w:rsidR="00C53E22">
            <w:t>Dr.</w:t>
          </w:r>
        </w:sdtContent>
      </w:sdt>
      <w:r w:rsidR="00730F0A">
        <w:t xml:space="preserve"> </w:t>
      </w:r>
      <w:sdt>
        <w:sdtPr>
          <w:alias w:val="Click to enter 4th member name"/>
          <w:tag w:val="4th member"/>
          <w:id w:val="30091855"/>
          <w:lock w:val="sdtLocked"/>
          <w:placeholder>
            <w:docPart w:val="CDE79C69F22A480D9D131BF115AF9F60"/>
          </w:placeholder>
        </w:sdtPr>
        <w:sdtContent>
          <w:r w:rsidR="00C53E22" w:rsidRPr="00C53E22">
            <w:t>Richard Mallinson</w:t>
          </w:r>
        </w:sdtContent>
      </w:sdt>
    </w:p>
    <w:p w14:paraId="44987E52" w14:textId="77777777" w:rsidR="00FF0F0F" w:rsidRDefault="00FF0F0F" w:rsidP="00FF0F0F">
      <w:pPr>
        <w:pStyle w:val="NoSpacing"/>
        <w:jc w:val="right"/>
      </w:pPr>
    </w:p>
    <w:p w14:paraId="2932DEEA" w14:textId="77777777" w:rsidR="00FF0F0F" w:rsidRDefault="00FF0F0F" w:rsidP="00FF0F0F">
      <w:pPr>
        <w:pStyle w:val="NoSpacing"/>
        <w:jc w:val="right"/>
      </w:pPr>
    </w:p>
    <w:p w14:paraId="1F9E89A8" w14:textId="77777777" w:rsidR="00FF0F0F" w:rsidRPr="006B4721" w:rsidRDefault="006B4721" w:rsidP="00FF0F0F">
      <w:pPr>
        <w:pStyle w:val="NoSpacing"/>
        <w:jc w:val="right"/>
      </w:pPr>
      <w:r>
        <w:t>______________________________</w:t>
      </w:r>
    </w:p>
    <w:p w14:paraId="2013B2EC" w14:textId="02D2D078" w:rsidR="00FF0F0F" w:rsidRDefault="00463F52" w:rsidP="00FF0F0F">
      <w:pPr>
        <w:pStyle w:val="NoSpacing"/>
        <w:jc w:val="right"/>
      </w:pPr>
      <w:sdt>
        <w:sdtPr>
          <w:alias w:val="Select the appropriate prefix"/>
          <w:tag w:val="Prefix"/>
          <w:id w:val="11707803"/>
          <w:placeholder>
            <w:docPart w:val="6A6DE978A9E340799322029104930F95"/>
          </w:placeholder>
          <w:dropDownList>
            <w:listItem w:displayText="[Prefix]" w:value="[Prefix]"/>
            <w:listItem w:displayText="Dr." w:value="Dr."/>
            <w:listItem w:displayText="Mr." w:value="Mr."/>
            <w:listItem w:displayText="Mrs." w:value="Mrs."/>
            <w:listItem w:displayText="Ms." w:value="Ms."/>
          </w:dropDownList>
        </w:sdtPr>
        <w:sdtContent>
          <w:r w:rsidR="00C53E22">
            <w:t>Dr.</w:t>
          </w:r>
        </w:sdtContent>
      </w:sdt>
      <w:r w:rsidR="00FF0F0F">
        <w:t xml:space="preserve"> </w:t>
      </w:r>
      <w:sdt>
        <w:sdtPr>
          <w:alias w:val="Click to enter 5th member name"/>
          <w:tag w:val="5th member"/>
          <w:id w:val="11707804"/>
          <w:lock w:val="sdtLocked"/>
          <w:placeholder>
            <w:docPart w:val="7EC8D7C93170496D8C44606F111D3434"/>
          </w:placeholder>
        </w:sdtPr>
        <w:sdtContent>
          <w:r w:rsidR="00C53E22" w:rsidRPr="00C53E22">
            <w:t>Bin Wang</w:t>
          </w:r>
        </w:sdtContent>
      </w:sdt>
    </w:p>
    <w:p w14:paraId="2EC3C6C0" w14:textId="77777777" w:rsidR="00730F0A" w:rsidRDefault="00730F0A" w:rsidP="00730F0A">
      <w:pPr>
        <w:pStyle w:val="NoSpacing"/>
        <w:jc w:val="right"/>
      </w:pPr>
    </w:p>
    <w:p w14:paraId="27AC8460" w14:textId="77777777" w:rsidR="00730F0A" w:rsidRDefault="00730F0A" w:rsidP="00730F0A">
      <w:pPr>
        <w:pStyle w:val="NoSpacing"/>
        <w:jc w:val="right"/>
      </w:pPr>
    </w:p>
    <w:p w14:paraId="1CF46E9D" w14:textId="77777777" w:rsidR="00730F0A" w:rsidRDefault="00730F0A" w:rsidP="00730F0A">
      <w:pPr>
        <w:pStyle w:val="NoSpacing"/>
        <w:jc w:val="center"/>
      </w:pPr>
      <w:r>
        <w:br w:type="page"/>
      </w:r>
    </w:p>
    <w:p w14:paraId="68442DA9" w14:textId="77777777" w:rsidR="00730F0A" w:rsidRDefault="00730F0A" w:rsidP="00730F0A">
      <w:pPr>
        <w:pStyle w:val="NoSpacing"/>
        <w:jc w:val="center"/>
      </w:pPr>
    </w:p>
    <w:p w14:paraId="1A98A82E" w14:textId="77777777" w:rsidR="00730F0A" w:rsidRDefault="00730F0A" w:rsidP="00730F0A">
      <w:pPr>
        <w:pStyle w:val="NoSpacing"/>
        <w:jc w:val="center"/>
      </w:pPr>
    </w:p>
    <w:p w14:paraId="6D78A2E2" w14:textId="77777777" w:rsidR="00730F0A" w:rsidRDefault="00730F0A" w:rsidP="00730F0A">
      <w:pPr>
        <w:pStyle w:val="NoSpacing"/>
        <w:jc w:val="center"/>
      </w:pPr>
    </w:p>
    <w:p w14:paraId="480D9E74" w14:textId="77777777" w:rsidR="00730F0A" w:rsidRDefault="00730F0A" w:rsidP="00730F0A">
      <w:pPr>
        <w:pStyle w:val="NoSpacing"/>
        <w:jc w:val="center"/>
      </w:pPr>
    </w:p>
    <w:p w14:paraId="4D84A6C6" w14:textId="77777777" w:rsidR="00730F0A" w:rsidRDefault="00730F0A" w:rsidP="00730F0A">
      <w:pPr>
        <w:pStyle w:val="NoSpacing"/>
        <w:jc w:val="center"/>
      </w:pPr>
    </w:p>
    <w:p w14:paraId="74FEE393" w14:textId="77777777" w:rsidR="00730F0A" w:rsidRDefault="00730F0A" w:rsidP="00730F0A">
      <w:pPr>
        <w:pStyle w:val="NoSpacing"/>
        <w:jc w:val="center"/>
      </w:pPr>
    </w:p>
    <w:p w14:paraId="716D82F3" w14:textId="77777777" w:rsidR="00730F0A" w:rsidRDefault="00730F0A" w:rsidP="00730F0A">
      <w:pPr>
        <w:pStyle w:val="NoSpacing"/>
        <w:jc w:val="center"/>
      </w:pPr>
    </w:p>
    <w:p w14:paraId="11458A8F" w14:textId="77777777" w:rsidR="00730F0A" w:rsidRDefault="00730F0A" w:rsidP="00730F0A">
      <w:pPr>
        <w:pStyle w:val="NoSpacing"/>
        <w:jc w:val="center"/>
      </w:pPr>
    </w:p>
    <w:p w14:paraId="33E1412E" w14:textId="77777777" w:rsidR="00730F0A" w:rsidRDefault="00730F0A" w:rsidP="00730F0A">
      <w:pPr>
        <w:pStyle w:val="NoSpacing"/>
        <w:jc w:val="center"/>
      </w:pPr>
    </w:p>
    <w:p w14:paraId="638E4226" w14:textId="77777777" w:rsidR="00730F0A" w:rsidRDefault="00730F0A" w:rsidP="00730F0A">
      <w:pPr>
        <w:pStyle w:val="NoSpacing"/>
        <w:jc w:val="center"/>
      </w:pPr>
    </w:p>
    <w:p w14:paraId="638C8DBC" w14:textId="77777777" w:rsidR="00730F0A" w:rsidRDefault="00730F0A" w:rsidP="00730F0A">
      <w:pPr>
        <w:pStyle w:val="NoSpacing"/>
        <w:jc w:val="center"/>
      </w:pPr>
    </w:p>
    <w:p w14:paraId="22264EA6" w14:textId="77777777" w:rsidR="00730F0A" w:rsidRDefault="00730F0A" w:rsidP="00730F0A">
      <w:pPr>
        <w:pStyle w:val="NoSpacing"/>
        <w:jc w:val="center"/>
      </w:pPr>
    </w:p>
    <w:p w14:paraId="32A3F89E" w14:textId="77777777" w:rsidR="00730F0A" w:rsidRDefault="00730F0A" w:rsidP="00730F0A">
      <w:pPr>
        <w:pStyle w:val="NoSpacing"/>
        <w:jc w:val="center"/>
      </w:pPr>
    </w:p>
    <w:p w14:paraId="578595B8" w14:textId="77777777" w:rsidR="00730F0A" w:rsidRDefault="00730F0A" w:rsidP="00730F0A">
      <w:pPr>
        <w:pStyle w:val="NoSpacing"/>
        <w:jc w:val="center"/>
      </w:pPr>
    </w:p>
    <w:p w14:paraId="3ACDA942" w14:textId="77777777" w:rsidR="00730F0A" w:rsidRDefault="00730F0A" w:rsidP="00730F0A">
      <w:pPr>
        <w:pStyle w:val="NoSpacing"/>
        <w:jc w:val="center"/>
      </w:pPr>
    </w:p>
    <w:p w14:paraId="7EE314A7" w14:textId="77777777" w:rsidR="00730F0A" w:rsidRDefault="00730F0A" w:rsidP="00730F0A">
      <w:pPr>
        <w:pStyle w:val="NoSpacing"/>
        <w:jc w:val="center"/>
      </w:pPr>
    </w:p>
    <w:p w14:paraId="689C360A" w14:textId="77777777" w:rsidR="00730F0A" w:rsidRDefault="00730F0A" w:rsidP="00730F0A">
      <w:pPr>
        <w:pStyle w:val="NoSpacing"/>
        <w:jc w:val="center"/>
      </w:pPr>
    </w:p>
    <w:p w14:paraId="4BD202B6" w14:textId="77777777" w:rsidR="00730F0A" w:rsidRDefault="00730F0A" w:rsidP="00730F0A">
      <w:pPr>
        <w:pStyle w:val="NoSpacing"/>
        <w:jc w:val="center"/>
      </w:pPr>
    </w:p>
    <w:p w14:paraId="52BEDB3B" w14:textId="77777777" w:rsidR="00730F0A" w:rsidRDefault="00730F0A" w:rsidP="00730F0A">
      <w:pPr>
        <w:pStyle w:val="NoSpacing"/>
        <w:jc w:val="center"/>
      </w:pPr>
    </w:p>
    <w:p w14:paraId="7EED3B79" w14:textId="77777777" w:rsidR="00730F0A" w:rsidRDefault="00730F0A" w:rsidP="00730F0A">
      <w:pPr>
        <w:pStyle w:val="NoSpacing"/>
        <w:jc w:val="center"/>
      </w:pPr>
    </w:p>
    <w:p w14:paraId="6E0F9760" w14:textId="77777777" w:rsidR="00730F0A" w:rsidRDefault="00730F0A" w:rsidP="00730F0A">
      <w:pPr>
        <w:pStyle w:val="NoSpacing"/>
        <w:jc w:val="center"/>
      </w:pPr>
    </w:p>
    <w:p w14:paraId="672F38FB" w14:textId="77777777" w:rsidR="00730F0A" w:rsidRDefault="00730F0A" w:rsidP="00730F0A">
      <w:pPr>
        <w:pStyle w:val="NoSpacing"/>
        <w:jc w:val="center"/>
      </w:pPr>
    </w:p>
    <w:p w14:paraId="19A9DFCF" w14:textId="77777777" w:rsidR="00730F0A" w:rsidRDefault="00730F0A" w:rsidP="00730F0A">
      <w:pPr>
        <w:pStyle w:val="NoSpacing"/>
        <w:jc w:val="center"/>
      </w:pPr>
    </w:p>
    <w:p w14:paraId="24FBCDE2" w14:textId="77777777" w:rsidR="00730F0A" w:rsidRDefault="00730F0A" w:rsidP="00730F0A">
      <w:pPr>
        <w:pStyle w:val="NoSpacing"/>
        <w:jc w:val="center"/>
      </w:pPr>
    </w:p>
    <w:p w14:paraId="6B162E17" w14:textId="77777777" w:rsidR="00730F0A" w:rsidRDefault="00730F0A" w:rsidP="00730F0A">
      <w:pPr>
        <w:pStyle w:val="NoSpacing"/>
        <w:jc w:val="center"/>
      </w:pPr>
    </w:p>
    <w:p w14:paraId="4CF32423" w14:textId="77777777" w:rsidR="00730F0A" w:rsidRDefault="00730F0A" w:rsidP="00730F0A">
      <w:pPr>
        <w:pStyle w:val="NoSpacing"/>
        <w:jc w:val="center"/>
      </w:pPr>
    </w:p>
    <w:p w14:paraId="26BE2F41" w14:textId="77777777" w:rsidR="00730F0A" w:rsidRDefault="00730F0A" w:rsidP="00730F0A">
      <w:pPr>
        <w:pStyle w:val="NoSpacing"/>
        <w:jc w:val="center"/>
      </w:pPr>
    </w:p>
    <w:p w14:paraId="6927909A" w14:textId="77777777" w:rsidR="00730F0A" w:rsidRDefault="00730F0A" w:rsidP="00730F0A">
      <w:pPr>
        <w:pStyle w:val="NoSpacing"/>
        <w:jc w:val="center"/>
      </w:pPr>
    </w:p>
    <w:p w14:paraId="2DE3426E" w14:textId="77777777" w:rsidR="00730F0A" w:rsidRDefault="00730F0A" w:rsidP="00730F0A">
      <w:pPr>
        <w:pStyle w:val="NoSpacing"/>
        <w:jc w:val="center"/>
      </w:pPr>
    </w:p>
    <w:p w14:paraId="027851AD" w14:textId="77777777" w:rsidR="00730F0A" w:rsidRDefault="00730F0A" w:rsidP="00730F0A">
      <w:pPr>
        <w:pStyle w:val="NoSpacing"/>
        <w:jc w:val="center"/>
      </w:pPr>
    </w:p>
    <w:p w14:paraId="5CE219E9" w14:textId="77777777" w:rsidR="00730F0A" w:rsidRDefault="00730F0A" w:rsidP="00730F0A">
      <w:pPr>
        <w:pStyle w:val="NoSpacing"/>
        <w:jc w:val="center"/>
      </w:pPr>
    </w:p>
    <w:p w14:paraId="6908E519" w14:textId="77777777" w:rsidR="00730F0A" w:rsidRDefault="00730F0A" w:rsidP="00730F0A">
      <w:pPr>
        <w:pStyle w:val="NoSpacing"/>
        <w:jc w:val="center"/>
      </w:pPr>
    </w:p>
    <w:p w14:paraId="1549DEAE" w14:textId="77777777" w:rsidR="00730F0A" w:rsidRDefault="00730F0A" w:rsidP="00730F0A">
      <w:pPr>
        <w:pStyle w:val="NoSpacing"/>
        <w:jc w:val="center"/>
      </w:pPr>
    </w:p>
    <w:p w14:paraId="4DF07095" w14:textId="77777777" w:rsidR="00730F0A" w:rsidRDefault="00730F0A" w:rsidP="00730F0A">
      <w:pPr>
        <w:pStyle w:val="NoSpacing"/>
        <w:jc w:val="center"/>
      </w:pPr>
    </w:p>
    <w:p w14:paraId="1C1BE6E3" w14:textId="77777777" w:rsidR="00730F0A" w:rsidRDefault="00730F0A" w:rsidP="00730F0A">
      <w:pPr>
        <w:pStyle w:val="NoSpacing"/>
        <w:jc w:val="center"/>
      </w:pPr>
    </w:p>
    <w:p w14:paraId="7575555F" w14:textId="77777777" w:rsidR="00730F0A" w:rsidRDefault="00730F0A" w:rsidP="00730F0A">
      <w:pPr>
        <w:pStyle w:val="NoSpacing"/>
        <w:jc w:val="center"/>
      </w:pPr>
    </w:p>
    <w:p w14:paraId="31592595" w14:textId="77777777" w:rsidR="00730F0A" w:rsidRDefault="00730F0A" w:rsidP="00730F0A">
      <w:pPr>
        <w:pStyle w:val="NoSpacing"/>
        <w:jc w:val="center"/>
      </w:pPr>
    </w:p>
    <w:p w14:paraId="44039993" w14:textId="77777777" w:rsidR="00730F0A" w:rsidRDefault="00730F0A" w:rsidP="00730F0A">
      <w:pPr>
        <w:pStyle w:val="NoSpacing"/>
        <w:jc w:val="center"/>
      </w:pPr>
    </w:p>
    <w:p w14:paraId="59276B13" w14:textId="77777777" w:rsidR="00730F0A" w:rsidRDefault="00730F0A" w:rsidP="00730F0A">
      <w:pPr>
        <w:pStyle w:val="NoSpacing"/>
        <w:jc w:val="center"/>
      </w:pPr>
    </w:p>
    <w:p w14:paraId="5843AD77" w14:textId="77777777" w:rsidR="00730F0A" w:rsidRDefault="00730F0A" w:rsidP="00730F0A">
      <w:pPr>
        <w:pStyle w:val="NoSpacing"/>
        <w:jc w:val="center"/>
      </w:pPr>
    </w:p>
    <w:p w14:paraId="376287D8" w14:textId="77777777" w:rsidR="00730F0A" w:rsidRDefault="00730F0A" w:rsidP="00730F0A">
      <w:pPr>
        <w:pStyle w:val="NoSpacing"/>
        <w:jc w:val="center"/>
      </w:pPr>
    </w:p>
    <w:p w14:paraId="5A024C99" w14:textId="77777777" w:rsidR="00730F0A" w:rsidRDefault="00730F0A" w:rsidP="00730F0A">
      <w:pPr>
        <w:pStyle w:val="NoSpacing"/>
        <w:jc w:val="center"/>
      </w:pPr>
    </w:p>
    <w:p w14:paraId="25416F56" w14:textId="04146160" w:rsidR="00730F0A" w:rsidRDefault="00463F52" w:rsidP="00730F0A">
      <w:pPr>
        <w:pStyle w:val="NoSpacing"/>
        <w:jc w:val="center"/>
      </w:pPr>
      <w:sdt>
        <w:sdtPr>
          <w:id w:val="30091877"/>
          <w:lock w:val="contentLocked"/>
          <w:placeholder>
            <w:docPart w:val="A81F602006EA4C16A9F3206BB0D96450"/>
          </w:placeholder>
          <w:group/>
        </w:sdt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9255C0">
            <w:rPr>
              <w:caps/>
            </w:rPr>
            <w:t>CHRISTOPHER LEE WATERS</w:t>
          </w:r>
        </w:sdtContent>
      </w:sdt>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Content>
          <w:r w:rsidR="009255C0">
            <w:t>2016</w:t>
          </w:r>
        </w:sdtContent>
      </w:sdt>
    </w:p>
    <w:p w14:paraId="5A590358" w14:textId="77777777" w:rsidR="00730F0A" w:rsidRDefault="00730F0A" w:rsidP="00730F0A">
      <w:pPr>
        <w:pStyle w:val="NoSpacing"/>
        <w:jc w:val="center"/>
      </w:pPr>
      <w:r>
        <w:t>All Rights Reserved.</w:t>
      </w:r>
    </w:p>
    <w:p w14:paraId="22B690ED" w14:textId="33F7BB4B" w:rsidR="00953FD8" w:rsidRDefault="009255C0" w:rsidP="00953FD8">
      <w:pPr>
        <w:jc w:val="center"/>
      </w:pPr>
      <w:r>
        <w:t xml:space="preserve"> </w:t>
      </w:r>
    </w:p>
    <w:p w14:paraId="2149381B" w14:textId="20EA20CC" w:rsidR="00953FD8" w:rsidRPr="003A19A8" w:rsidRDefault="0033033E" w:rsidP="003A19A8">
      <w:pPr>
        <w:jc w:val="center"/>
        <w:rPr>
          <w:b/>
          <w:sz w:val="28"/>
        </w:rPr>
      </w:pPr>
      <w:r w:rsidRPr="003A19A8">
        <w:rPr>
          <w:b/>
          <w:sz w:val="28"/>
        </w:rPr>
        <w:lastRenderedPageBreak/>
        <w:t>Dedication</w:t>
      </w:r>
    </w:p>
    <w:p w14:paraId="0DD5738C" w14:textId="280D3052" w:rsidR="002C29C9" w:rsidRDefault="005F6FCD" w:rsidP="005F6FCD">
      <w:pPr>
        <w:jc w:val="center"/>
      </w:pPr>
      <w:r w:rsidRPr="005F6FCD">
        <w:t>This work is dedicated to</w:t>
      </w:r>
      <w:r w:rsidR="002C29C9">
        <w:t>:</w:t>
      </w:r>
    </w:p>
    <w:p w14:paraId="20991286" w14:textId="6854BE90" w:rsidR="00953FD8" w:rsidRDefault="002C29C9" w:rsidP="005F6FCD">
      <w:pPr>
        <w:jc w:val="center"/>
      </w:pPr>
      <w:r>
        <w:t>M</w:t>
      </w:r>
      <w:r w:rsidR="005F6FCD" w:rsidRPr="005F6FCD">
        <w:t xml:space="preserve">y God, who is the Father, and the Son, and the Holy Spirit, </w:t>
      </w:r>
      <w:r>
        <w:br/>
      </w:r>
      <w:r w:rsidR="005F6FCD" w:rsidRPr="005F6FCD">
        <w:t xml:space="preserve">who "has withheld many things, thus exercising our mind towards in-depth research, </w:t>
      </w:r>
      <w:r>
        <w:br/>
      </w:r>
      <w:r w:rsidR="005F6FCD" w:rsidRPr="005F6FCD">
        <w:t>by providing few things as the cause for pondering"</w:t>
      </w:r>
      <w:r>
        <w:t>;</w:t>
      </w:r>
    </w:p>
    <w:p w14:paraId="2B686F61" w14:textId="77777777" w:rsidR="00953FD8" w:rsidRDefault="00953FD8" w:rsidP="00953FD8">
      <w:pPr>
        <w:jc w:val="center"/>
      </w:pPr>
    </w:p>
    <w:p w14:paraId="69AD5351" w14:textId="4CD577F2" w:rsidR="00953FD8" w:rsidRDefault="002C29C9" w:rsidP="002C29C9">
      <w:pPr>
        <w:jc w:val="center"/>
      </w:pPr>
      <w:r>
        <w:t>M</w:t>
      </w:r>
      <w:r w:rsidR="00953FD8">
        <w:t>y wife, Christina</w:t>
      </w:r>
      <w:r>
        <w:t>, whose love, support, and patience are a gift beyond measure;</w:t>
      </w:r>
    </w:p>
    <w:p w14:paraId="23E21D4A" w14:textId="7DF33FB5" w:rsidR="008E1C26" w:rsidRDefault="00953FD8" w:rsidP="00953FD8">
      <w:pPr>
        <w:jc w:val="center"/>
        <w:sectPr w:rsidR="008E1C26" w:rsidSect="003A060D">
          <w:pgSz w:w="12240" w:h="15840" w:code="1"/>
          <w:pgMar w:top="1440" w:right="1440" w:bottom="1440" w:left="2304" w:header="720" w:footer="720" w:gutter="0"/>
          <w:cols w:space="720"/>
          <w:docGrid w:linePitch="360"/>
        </w:sectPr>
      </w:pPr>
      <w:r>
        <w:t xml:space="preserve">and </w:t>
      </w:r>
      <w:r w:rsidR="002C29C9">
        <w:t>our</w:t>
      </w:r>
      <w:r>
        <w:t xml:space="preserve"> daughter, </w:t>
      </w:r>
      <w:r w:rsidR="009255C0">
        <w:t>Elizabeth</w:t>
      </w:r>
      <w:r w:rsidR="002C29C9">
        <w:t>,</w:t>
      </w:r>
      <w:r w:rsidR="009255C0">
        <w:t xml:space="preserve"> </w:t>
      </w:r>
      <w:r w:rsidR="002C29C9">
        <w:t>who brings much joy and meaning to my life.</w:t>
      </w:r>
    </w:p>
    <w:p w14:paraId="348A5CF3" w14:textId="77777777" w:rsidR="008E1C26" w:rsidRDefault="00775701" w:rsidP="00C16C66">
      <w:pPr>
        <w:pStyle w:val="Heading1"/>
      </w:pPr>
      <w:bookmarkStart w:id="1" w:name="_Toc310579464"/>
      <w:bookmarkStart w:id="2" w:name="_Toc449964821"/>
      <w:r>
        <w:lastRenderedPageBreak/>
        <w:t>Acknowledgements</w:t>
      </w:r>
      <w:bookmarkEnd w:id="1"/>
      <w:bookmarkEnd w:id="2"/>
    </w:p>
    <w:p w14:paraId="2F506379" w14:textId="6F09787B" w:rsidR="00093E5D" w:rsidRDefault="00093E5D" w:rsidP="00093E5D">
      <w:r>
        <w:t>I would like to acknowledge the following people, without whose help</w:t>
      </w:r>
      <w:r w:rsidR="00953FD8">
        <w:t>,</w:t>
      </w:r>
      <w:r>
        <w:t xml:space="preserve"> support</w:t>
      </w:r>
      <w:r w:rsidR="00953FD8">
        <w:t xml:space="preserve">, </w:t>
      </w:r>
      <w:r w:rsidR="00846EA1">
        <w:t xml:space="preserve">patience, </w:t>
      </w:r>
      <w:r w:rsidR="00953FD8">
        <w:t>and in</w:t>
      </w:r>
      <w:r w:rsidR="00846EA1">
        <w:t>spiration</w:t>
      </w:r>
      <w:r>
        <w:t xml:space="preserve"> none o</w:t>
      </w:r>
      <w:r w:rsidR="002C29C9">
        <w:t>f this would have been possible:</w:t>
      </w:r>
    </w:p>
    <w:p w14:paraId="1914688C" w14:textId="77777777" w:rsidR="002C29C9" w:rsidRDefault="002C29C9" w:rsidP="00093E5D"/>
    <w:p w14:paraId="16D4D324" w14:textId="5512B4E6" w:rsidR="002C29C9" w:rsidRPr="00D37094" w:rsidRDefault="002C29C9" w:rsidP="00093E5D">
      <w:r w:rsidRPr="00D37094">
        <w:t>Drs. Richard Mallinson, Lance Lobban, Daniel Resasco, Laura Bartley, Steven Crossley, and Rolf Jentoft, whose guidance</w:t>
      </w:r>
      <w:r w:rsidR="00860458" w:rsidRPr="00D37094">
        <w:t xml:space="preserve">, </w:t>
      </w:r>
      <w:r w:rsidRPr="00D37094">
        <w:t>correction</w:t>
      </w:r>
      <w:r w:rsidR="00860458" w:rsidRPr="00D37094">
        <w:t>, and collaboration were invaluable, and to have been their student</w:t>
      </w:r>
      <w:r w:rsidRPr="00D37094">
        <w:t xml:space="preserve"> </w:t>
      </w:r>
      <w:r w:rsidR="00860458" w:rsidRPr="00D37094">
        <w:t>is</w:t>
      </w:r>
      <w:r w:rsidRPr="00D37094">
        <w:t xml:space="preserve"> </w:t>
      </w:r>
      <w:r w:rsidR="00860458" w:rsidRPr="00D37094">
        <w:t>a great honor and privilege</w:t>
      </w:r>
      <w:r w:rsidRPr="00D37094">
        <w:t xml:space="preserve">; </w:t>
      </w:r>
    </w:p>
    <w:p w14:paraId="7EE7584B" w14:textId="01D7C23A" w:rsidR="00846EA1" w:rsidRPr="00D37094" w:rsidRDefault="00846EA1" w:rsidP="00093E5D">
      <w:r w:rsidRPr="00D37094">
        <w:t>Christina Waters, whose love and support are beyond description;</w:t>
      </w:r>
    </w:p>
    <w:p w14:paraId="6D4B36AF" w14:textId="633BDB4C" w:rsidR="002C29C9" w:rsidRPr="00D37094" w:rsidRDefault="002C29C9" w:rsidP="00846EA1">
      <w:r w:rsidRPr="00D37094">
        <w:t>My parents, Charles &amp; Dr. Diana Waters,</w:t>
      </w:r>
      <w:r w:rsidR="00846EA1" w:rsidRPr="00D37094">
        <w:t xml:space="preserve"> whose sacrifice, teaching, and values were and are the reason I am the person I am today, a</w:t>
      </w:r>
      <w:r w:rsidR="003B4BE8" w:rsidRPr="00D37094">
        <w:t>nd</w:t>
      </w:r>
      <w:r w:rsidRPr="00D37094">
        <w:t xml:space="preserve"> </w:t>
      </w:r>
      <w:r w:rsidR="003B4BE8" w:rsidRPr="00D37094">
        <w:t>to whom I owe my life</w:t>
      </w:r>
      <w:r w:rsidRPr="00D37094">
        <w:t>;</w:t>
      </w:r>
    </w:p>
    <w:p w14:paraId="382A2E43" w14:textId="74AF8A08" w:rsidR="00871B91" w:rsidRPr="00D37094" w:rsidRDefault="002C29C9" w:rsidP="00AA7DC8">
      <w:pPr>
        <w:tabs>
          <w:tab w:val="right" w:pos="8496"/>
        </w:tabs>
      </w:pPr>
      <w:r w:rsidRPr="00D37094">
        <w:t xml:space="preserve">Dr. Shaolong Wan, whose </w:t>
      </w:r>
      <w:r w:rsidR="00846EA1" w:rsidRPr="00D37094">
        <w:t>work ethic is a continuing inspiration;</w:t>
      </w:r>
    </w:p>
    <w:p w14:paraId="37987A7F" w14:textId="3898B3AE" w:rsidR="00AA7DC8" w:rsidRPr="00D37094" w:rsidRDefault="00AA7DC8" w:rsidP="00AA7DC8">
      <w:pPr>
        <w:tabs>
          <w:tab w:val="right" w:pos="8496"/>
        </w:tabs>
      </w:pPr>
      <w:r w:rsidRPr="00D37094">
        <w:t xml:space="preserve">Adam Stevens, Fan Lin, Tyler Vann, Issac </w:t>
      </w:r>
      <w:r w:rsidR="00AA0A08" w:rsidRPr="00D37094">
        <w:t>Schneberger</w:t>
      </w:r>
      <w:r w:rsidRPr="00D37094">
        <w:t>, Eddie Rich, David Bjerkass, Kenneth Teel, ZhenXi Liang, and Daniel Dixon, my tireless colleagues, sounding-boards, and friends;</w:t>
      </w:r>
    </w:p>
    <w:p w14:paraId="116527A5" w14:textId="3AE2F40F" w:rsidR="00AA7DC8" w:rsidRPr="00D37094" w:rsidRDefault="00AA7DC8" w:rsidP="00AA7DC8">
      <w:pPr>
        <w:tabs>
          <w:tab w:val="right" w:pos="8496"/>
        </w:tabs>
      </w:pPr>
      <w:r w:rsidRPr="00D37094">
        <w:t>Caleb and Joshua Krell, my best friends, cheering section, and occasional tormentors;</w:t>
      </w:r>
    </w:p>
    <w:p w14:paraId="2FB9C1DC" w14:textId="2355E1EA" w:rsidR="00AA7DC8" w:rsidRPr="00D37094" w:rsidRDefault="00AA7DC8" w:rsidP="00AA7DC8">
      <w:pPr>
        <w:tabs>
          <w:tab w:val="right" w:pos="8496"/>
        </w:tabs>
      </w:pPr>
      <w:r w:rsidRPr="00D37094">
        <w:t xml:space="preserve">Clint Shore, for </w:t>
      </w:r>
      <w:r w:rsidR="00B6160A" w:rsidRPr="00D37094">
        <w:t>his</w:t>
      </w:r>
      <w:r w:rsidR="003B4BE8" w:rsidRPr="00D37094">
        <w:t xml:space="preserve"> unique viewpoints, tenacious questioning, and inspirational </w:t>
      </w:r>
      <w:r w:rsidR="00CF46A2" w:rsidRPr="00D37094">
        <w:t>commitment to realizing his ideals;</w:t>
      </w:r>
    </w:p>
    <w:p w14:paraId="37315050" w14:textId="1734245E" w:rsidR="003B4BE8" w:rsidRPr="00D37094" w:rsidRDefault="003B4BE8" w:rsidP="003B4BE8">
      <w:r w:rsidRPr="00D37094">
        <w:t>Fr. Jeremy Davis, David Swyden, and Jeannine Crouch, for their</w:t>
      </w:r>
      <w:r w:rsidR="00B6160A" w:rsidRPr="00D37094">
        <w:t xml:space="preserve"> </w:t>
      </w:r>
      <w:r w:rsidRPr="00D37094">
        <w:t>prayers</w:t>
      </w:r>
      <w:r w:rsidR="00B6160A" w:rsidRPr="00D37094">
        <w:t>;</w:t>
      </w:r>
    </w:p>
    <w:p w14:paraId="51BAADC4" w14:textId="04F15CF1" w:rsidR="00AA7DC8" w:rsidRPr="00D37094" w:rsidRDefault="003B4BE8" w:rsidP="00AA7DC8">
      <w:pPr>
        <w:tabs>
          <w:tab w:val="right" w:pos="8496"/>
        </w:tabs>
      </w:pPr>
      <w:r w:rsidRPr="00D37094">
        <w:t xml:space="preserve">Kyle Caldwell, for his unfailing capacity for intellectual stimulation and </w:t>
      </w:r>
      <w:r w:rsidR="00B6160A" w:rsidRPr="00D37094">
        <w:t>assistance</w:t>
      </w:r>
      <w:r w:rsidRPr="00D37094">
        <w:t xml:space="preserve"> in keeping things in perspective;</w:t>
      </w:r>
    </w:p>
    <w:p w14:paraId="4F11B710" w14:textId="18725455" w:rsidR="00AA7DC8" w:rsidRPr="00D37094" w:rsidRDefault="00846EA1" w:rsidP="00AA7DC8">
      <w:pPr>
        <w:tabs>
          <w:tab w:val="right" w:pos="8496"/>
        </w:tabs>
      </w:pPr>
      <w:r w:rsidRPr="00D37094">
        <w:t>Sherry Marshall, for her inspiration, dedication to education, and infectious attitude</w:t>
      </w:r>
      <w:r w:rsidR="00B6160A" w:rsidRPr="00D37094">
        <w:t>;</w:t>
      </w:r>
    </w:p>
    <w:p w14:paraId="68092EA1" w14:textId="3C346A1A" w:rsidR="00093E5D" w:rsidRPr="00D37094" w:rsidRDefault="00846EA1" w:rsidP="00860458">
      <w:pPr>
        <w:tabs>
          <w:tab w:val="right" w:pos="8496"/>
        </w:tabs>
      </w:pPr>
      <w:r w:rsidRPr="00D37094">
        <w:t xml:space="preserve">and Don Haas, for his </w:t>
      </w:r>
      <w:r w:rsidR="00860458" w:rsidRPr="00D37094">
        <w:t>motivation and inspiration to strive for more and never settle.</w:t>
      </w:r>
    </w:p>
    <w:p w14:paraId="56D3DE1D" w14:textId="3A04DFC4" w:rsidR="004A7222" w:rsidRPr="0078679A" w:rsidRDefault="00775701" w:rsidP="0074036B">
      <w:pPr>
        <w:pStyle w:val="Title"/>
      </w:pPr>
      <w:r>
        <w:br w:type="page"/>
      </w:r>
      <w:r>
        <w:lastRenderedPageBreak/>
        <w:t xml:space="preserve">Table of </w:t>
      </w:r>
      <w:r w:rsidRPr="00775701">
        <w:t>Contents</w:t>
      </w:r>
    </w:p>
    <w:p w14:paraId="126D2028" w14:textId="77777777" w:rsidR="00463F52" w:rsidRDefault="00F7122D">
      <w:pPr>
        <w:pStyle w:val="TOC1"/>
        <w:rPr>
          <w:rFonts w:asciiTheme="minorHAnsi" w:eastAsiaTheme="minorEastAsia" w:hAnsiTheme="minorHAnsi" w:cstheme="minorBidi"/>
          <w:noProof/>
        </w:rPr>
      </w:pPr>
      <w:r>
        <w:fldChar w:fldCharType="begin"/>
      </w:r>
      <w:r w:rsidR="000F56FF">
        <w:instrText xml:space="preserve"> TOC \o "3-3" \h \z \t "Heading 1,1,Heading 2,2,Chapter,1" </w:instrText>
      </w:r>
      <w:r>
        <w:fldChar w:fldCharType="separate"/>
      </w:r>
      <w:hyperlink w:anchor="_Toc449964821" w:history="1">
        <w:r w:rsidR="00463F52" w:rsidRPr="005B4E8F">
          <w:rPr>
            <w:rStyle w:val="Hyperlink"/>
            <w:noProof/>
            <w:lang w:bidi="en-US"/>
          </w:rPr>
          <w:t>Acknowledgements</w:t>
        </w:r>
        <w:r w:rsidR="00463F52">
          <w:rPr>
            <w:noProof/>
            <w:webHidden/>
          </w:rPr>
          <w:tab/>
        </w:r>
        <w:r w:rsidR="00463F52">
          <w:rPr>
            <w:noProof/>
            <w:webHidden/>
          </w:rPr>
          <w:fldChar w:fldCharType="begin"/>
        </w:r>
        <w:r w:rsidR="00463F52">
          <w:rPr>
            <w:noProof/>
            <w:webHidden/>
          </w:rPr>
          <w:instrText xml:space="preserve"> PAGEREF _Toc449964821 \h </w:instrText>
        </w:r>
        <w:r w:rsidR="00463F52">
          <w:rPr>
            <w:noProof/>
            <w:webHidden/>
          </w:rPr>
        </w:r>
        <w:r w:rsidR="00463F52">
          <w:rPr>
            <w:noProof/>
            <w:webHidden/>
          </w:rPr>
          <w:fldChar w:fldCharType="separate"/>
        </w:r>
        <w:r w:rsidR="00463F52">
          <w:rPr>
            <w:noProof/>
            <w:webHidden/>
          </w:rPr>
          <w:t>iv</w:t>
        </w:r>
        <w:r w:rsidR="00463F52">
          <w:rPr>
            <w:noProof/>
            <w:webHidden/>
          </w:rPr>
          <w:fldChar w:fldCharType="end"/>
        </w:r>
      </w:hyperlink>
    </w:p>
    <w:p w14:paraId="7F774F62" w14:textId="77777777" w:rsidR="00463F52" w:rsidRDefault="00463F52">
      <w:pPr>
        <w:pStyle w:val="TOC1"/>
        <w:rPr>
          <w:rFonts w:asciiTheme="minorHAnsi" w:eastAsiaTheme="minorEastAsia" w:hAnsiTheme="minorHAnsi" w:cstheme="minorBidi"/>
          <w:noProof/>
        </w:rPr>
      </w:pPr>
      <w:hyperlink w:anchor="_Toc449964822" w:history="1">
        <w:r w:rsidRPr="005B4E8F">
          <w:rPr>
            <w:rStyle w:val="Hyperlink"/>
            <w:noProof/>
            <w:lang w:bidi="en-US"/>
          </w:rPr>
          <w:t>List of Tables</w:t>
        </w:r>
        <w:r>
          <w:rPr>
            <w:noProof/>
            <w:webHidden/>
          </w:rPr>
          <w:tab/>
        </w:r>
        <w:r>
          <w:rPr>
            <w:noProof/>
            <w:webHidden/>
          </w:rPr>
          <w:fldChar w:fldCharType="begin"/>
        </w:r>
        <w:r>
          <w:rPr>
            <w:noProof/>
            <w:webHidden/>
          </w:rPr>
          <w:instrText xml:space="preserve"> PAGEREF _Toc449964822 \h </w:instrText>
        </w:r>
        <w:r>
          <w:rPr>
            <w:noProof/>
            <w:webHidden/>
          </w:rPr>
        </w:r>
        <w:r>
          <w:rPr>
            <w:noProof/>
            <w:webHidden/>
          </w:rPr>
          <w:fldChar w:fldCharType="separate"/>
        </w:r>
        <w:r>
          <w:rPr>
            <w:noProof/>
            <w:webHidden/>
          </w:rPr>
          <w:t>x</w:t>
        </w:r>
        <w:r>
          <w:rPr>
            <w:noProof/>
            <w:webHidden/>
          </w:rPr>
          <w:fldChar w:fldCharType="end"/>
        </w:r>
      </w:hyperlink>
    </w:p>
    <w:p w14:paraId="1F2D4CED" w14:textId="77777777" w:rsidR="00463F52" w:rsidRDefault="00463F52">
      <w:pPr>
        <w:pStyle w:val="TOC1"/>
        <w:rPr>
          <w:rFonts w:asciiTheme="minorHAnsi" w:eastAsiaTheme="minorEastAsia" w:hAnsiTheme="minorHAnsi" w:cstheme="minorBidi"/>
          <w:noProof/>
        </w:rPr>
      </w:pPr>
      <w:hyperlink w:anchor="_Toc449964823" w:history="1">
        <w:r w:rsidRPr="005B4E8F">
          <w:rPr>
            <w:rStyle w:val="Hyperlink"/>
            <w:noProof/>
            <w:lang w:bidi="en-US"/>
          </w:rPr>
          <w:t>List of Figures</w:t>
        </w:r>
        <w:r>
          <w:rPr>
            <w:noProof/>
            <w:webHidden/>
          </w:rPr>
          <w:tab/>
        </w:r>
        <w:r>
          <w:rPr>
            <w:noProof/>
            <w:webHidden/>
          </w:rPr>
          <w:fldChar w:fldCharType="begin"/>
        </w:r>
        <w:r>
          <w:rPr>
            <w:noProof/>
            <w:webHidden/>
          </w:rPr>
          <w:instrText xml:space="preserve"> PAGEREF _Toc449964823 \h </w:instrText>
        </w:r>
        <w:r>
          <w:rPr>
            <w:noProof/>
            <w:webHidden/>
          </w:rPr>
        </w:r>
        <w:r>
          <w:rPr>
            <w:noProof/>
            <w:webHidden/>
          </w:rPr>
          <w:fldChar w:fldCharType="separate"/>
        </w:r>
        <w:r>
          <w:rPr>
            <w:noProof/>
            <w:webHidden/>
          </w:rPr>
          <w:t>xii</w:t>
        </w:r>
        <w:r>
          <w:rPr>
            <w:noProof/>
            <w:webHidden/>
          </w:rPr>
          <w:fldChar w:fldCharType="end"/>
        </w:r>
      </w:hyperlink>
    </w:p>
    <w:p w14:paraId="27ECF059" w14:textId="77777777" w:rsidR="00463F52" w:rsidRDefault="00463F52">
      <w:pPr>
        <w:pStyle w:val="TOC1"/>
        <w:rPr>
          <w:rFonts w:asciiTheme="minorHAnsi" w:eastAsiaTheme="minorEastAsia" w:hAnsiTheme="minorHAnsi" w:cstheme="minorBidi"/>
          <w:noProof/>
        </w:rPr>
      </w:pPr>
      <w:hyperlink w:anchor="_Toc449964824" w:history="1">
        <w:r w:rsidRPr="005B4E8F">
          <w:rPr>
            <w:rStyle w:val="Hyperlink"/>
            <w:noProof/>
            <w:lang w:bidi="en-US"/>
          </w:rPr>
          <w:t>Abstract</w:t>
        </w:r>
        <w:r>
          <w:rPr>
            <w:noProof/>
            <w:webHidden/>
          </w:rPr>
          <w:tab/>
        </w:r>
        <w:r>
          <w:rPr>
            <w:noProof/>
            <w:webHidden/>
          </w:rPr>
          <w:fldChar w:fldCharType="begin"/>
        </w:r>
        <w:r>
          <w:rPr>
            <w:noProof/>
            <w:webHidden/>
          </w:rPr>
          <w:instrText xml:space="preserve"> PAGEREF _Toc449964824 \h </w:instrText>
        </w:r>
        <w:r>
          <w:rPr>
            <w:noProof/>
            <w:webHidden/>
          </w:rPr>
        </w:r>
        <w:r>
          <w:rPr>
            <w:noProof/>
            <w:webHidden/>
          </w:rPr>
          <w:fldChar w:fldCharType="separate"/>
        </w:r>
        <w:r>
          <w:rPr>
            <w:noProof/>
            <w:webHidden/>
          </w:rPr>
          <w:t>xix</w:t>
        </w:r>
        <w:r>
          <w:rPr>
            <w:noProof/>
            <w:webHidden/>
          </w:rPr>
          <w:fldChar w:fldCharType="end"/>
        </w:r>
      </w:hyperlink>
    </w:p>
    <w:p w14:paraId="47CD4E6A" w14:textId="77777777" w:rsidR="00463F52" w:rsidRDefault="00463F52">
      <w:pPr>
        <w:pStyle w:val="TOC1"/>
        <w:rPr>
          <w:rFonts w:asciiTheme="minorHAnsi" w:eastAsiaTheme="minorEastAsia" w:hAnsiTheme="minorHAnsi" w:cstheme="minorBidi"/>
          <w:noProof/>
        </w:rPr>
      </w:pPr>
      <w:hyperlink w:anchor="_Toc449964825" w:history="1">
        <w:r w:rsidRPr="005B4E8F">
          <w:rPr>
            <w:rStyle w:val="Hyperlink"/>
            <w:noProof/>
            <w:lang w:bidi="en-US"/>
          </w:rPr>
          <w:t>Chapter 1: Pyrolysis &amp; Catalysis Literature Review</w:t>
        </w:r>
        <w:r>
          <w:rPr>
            <w:noProof/>
            <w:webHidden/>
          </w:rPr>
          <w:tab/>
        </w:r>
        <w:r>
          <w:rPr>
            <w:noProof/>
            <w:webHidden/>
          </w:rPr>
          <w:fldChar w:fldCharType="begin"/>
        </w:r>
        <w:r>
          <w:rPr>
            <w:noProof/>
            <w:webHidden/>
          </w:rPr>
          <w:instrText xml:space="preserve"> PAGEREF _Toc449964825 \h </w:instrText>
        </w:r>
        <w:r>
          <w:rPr>
            <w:noProof/>
            <w:webHidden/>
          </w:rPr>
        </w:r>
        <w:r>
          <w:rPr>
            <w:noProof/>
            <w:webHidden/>
          </w:rPr>
          <w:fldChar w:fldCharType="separate"/>
        </w:r>
        <w:r>
          <w:rPr>
            <w:noProof/>
            <w:webHidden/>
          </w:rPr>
          <w:t>1</w:t>
        </w:r>
        <w:r>
          <w:rPr>
            <w:noProof/>
            <w:webHidden/>
          </w:rPr>
          <w:fldChar w:fldCharType="end"/>
        </w:r>
      </w:hyperlink>
    </w:p>
    <w:p w14:paraId="2A46084F" w14:textId="77777777" w:rsidR="00463F52" w:rsidRDefault="00463F52">
      <w:pPr>
        <w:pStyle w:val="TOC2"/>
        <w:tabs>
          <w:tab w:val="right" w:leader="dot" w:pos="8486"/>
        </w:tabs>
        <w:rPr>
          <w:rFonts w:asciiTheme="minorHAnsi" w:eastAsiaTheme="minorEastAsia" w:hAnsiTheme="minorHAnsi" w:cstheme="minorBidi"/>
          <w:noProof/>
        </w:rPr>
      </w:pPr>
      <w:hyperlink w:anchor="_Toc449964826" w:history="1">
        <w:r w:rsidRPr="005B4E8F">
          <w:rPr>
            <w:rStyle w:val="Hyperlink"/>
            <w:noProof/>
            <w:lang w:bidi="en-US"/>
          </w:rPr>
          <w:t>1.1 Introduction</w:t>
        </w:r>
        <w:r>
          <w:rPr>
            <w:noProof/>
            <w:webHidden/>
          </w:rPr>
          <w:tab/>
        </w:r>
        <w:r>
          <w:rPr>
            <w:noProof/>
            <w:webHidden/>
          </w:rPr>
          <w:fldChar w:fldCharType="begin"/>
        </w:r>
        <w:r>
          <w:rPr>
            <w:noProof/>
            <w:webHidden/>
          </w:rPr>
          <w:instrText xml:space="preserve"> PAGEREF _Toc449964826 \h </w:instrText>
        </w:r>
        <w:r>
          <w:rPr>
            <w:noProof/>
            <w:webHidden/>
          </w:rPr>
        </w:r>
        <w:r>
          <w:rPr>
            <w:noProof/>
            <w:webHidden/>
          </w:rPr>
          <w:fldChar w:fldCharType="separate"/>
        </w:r>
        <w:r>
          <w:rPr>
            <w:noProof/>
            <w:webHidden/>
          </w:rPr>
          <w:t>1</w:t>
        </w:r>
        <w:r>
          <w:rPr>
            <w:noProof/>
            <w:webHidden/>
          </w:rPr>
          <w:fldChar w:fldCharType="end"/>
        </w:r>
      </w:hyperlink>
    </w:p>
    <w:p w14:paraId="5BB98355" w14:textId="77777777" w:rsidR="00463F52" w:rsidRDefault="00463F52">
      <w:pPr>
        <w:pStyle w:val="TOC2"/>
        <w:tabs>
          <w:tab w:val="right" w:leader="dot" w:pos="8486"/>
        </w:tabs>
        <w:rPr>
          <w:rFonts w:asciiTheme="minorHAnsi" w:eastAsiaTheme="minorEastAsia" w:hAnsiTheme="minorHAnsi" w:cstheme="minorBidi"/>
          <w:noProof/>
        </w:rPr>
      </w:pPr>
      <w:hyperlink w:anchor="_Toc449964827" w:history="1">
        <w:r w:rsidRPr="005B4E8F">
          <w:rPr>
            <w:rStyle w:val="Hyperlink"/>
            <w:noProof/>
            <w:lang w:bidi="en-US"/>
          </w:rPr>
          <w:t>1.2 Challenges for Thermochemical Conversion</w:t>
        </w:r>
        <w:r>
          <w:rPr>
            <w:noProof/>
            <w:webHidden/>
          </w:rPr>
          <w:tab/>
        </w:r>
        <w:r>
          <w:rPr>
            <w:noProof/>
            <w:webHidden/>
          </w:rPr>
          <w:fldChar w:fldCharType="begin"/>
        </w:r>
        <w:r>
          <w:rPr>
            <w:noProof/>
            <w:webHidden/>
          </w:rPr>
          <w:instrText xml:space="preserve"> PAGEREF _Toc449964827 \h </w:instrText>
        </w:r>
        <w:r>
          <w:rPr>
            <w:noProof/>
            <w:webHidden/>
          </w:rPr>
        </w:r>
        <w:r>
          <w:rPr>
            <w:noProof/>
            <w:webHidden/>
          </w:rPr>
          <w:fldChar w:fldCharType="separate"/>
        </w:r>
        <w:r>
          <w:rPr>
            <w:noProof/>
            <w:webHidden/>
          </w:rPr>
          <w:t>2</w:t>
        </w:r>
        <w:r>
          <w:rPr>
            <w:noProof/>
            <w:webHidden/>
          </w:rPr>
          <w:fldChar w:fldCharType="end"/>
        </w:r>
      </w:hyperlink>
    </w:p>
    <w:p w14:paraId="76F03C67" w14:textId="77777777" w:rsidR="00463F52" w:rsidRDefault="00463F52">
      <w:pPr>
        <w:pStyle w:val="TOC2"/>
        <w:tabs>
          <w:tab w:val="right" w:leader="dot" w:pos="8486"/>
        </w:tabs>
        <w:rPr>
          <w:rFonts w:asciiTheme="minorHAnsi" w:eastAsiaTheme="minorEastAsia" w:hAnsiTheme="minorHAnsi" w:cstheme="minorBidi"/>
          <w:noProof/>
        </w:rPr>
      </w:pPr>
      <w:hyperlink w:anchor="_Toc449964828" w:history="1">
        <w:r w:rsidRPr="005B4E8F">
          <w:rPr>
            <w:rStyle w:val="Hyperlink"/>
            <w:noProof/>
            <w:lang w:bidi="en-US"/>
          </w:rPr>
          <w:t>1.3 Catalytic upgrading</w:t>
        </w:r>
        <w:r>
          <w:rPr>
            <w:noProof/>
            <w:webHidden/>
          </w:rPr>
          <w:tab/>
        </w:r>
        <w:r>
          <w:rPr>
            <w:noProof/>
            <w:webHidden/>
          </w:rPr>
          <w:fldChar w:fldCharType="begin"/>
        </w:r>
        <w:r>
          <w:rPr>
            <w:noProof/>
            <w:webHidden/>
          </w:rPr>
          <w:instrText xml:space="preserve"> PAGEREF _Toc449964828 \h </w:instrText>
        </w:r>
        <w:r>
          <w:rPr>
            <w:noProof/>
            <w:webHidden/>
          </w:rPr>
        </w:r>
        <w:r>
          <w:rPr>
            <w:noProof/>
            <w:webHidden/>
          </w:rPr>
          <w:fldChar w:fldCharType="separate"/>
        </w:r>
        <w:r>
          <w:rPr>
            <w:noProof/>
            <w:webHidden/>
          </w:rPr>
          <w:t>3</w:t>
        </w:r>
        <w:r>
          <w:rPr>
            <w:noProof/>
            <w:webHidden/>
          </w:rPr>
          <w:fldChar w:fldCharType="end"/>
        </w:r>
      </w:hyperlink>
    </w:p>
    <w:p w14:paraId="794A242A" w14:textId="77777777" w:rsidR="00463F52" w:rsidRDefault="00463F52">
      <w:pPr>
        <w:pStyle w:val="TOC2"/>
        <w:tabs>
          <w:tab w:val="right" w:leader="dot" w:pos="8486"/>
        </w:tabs>
        <w:rPr>
          <w:rFonts w:asciiTheme="minorHAnsi" w:eastAsiaTheme="minorEastAsia" w:hAnsiTheme="minorHAnsi" w:cstheme="minorBidi"/>
          <w:noProof/>
        </w:rPr>
      </w:pPr>
      <w:hyperlink w:anchor="_Toc449964829" w:history="1">
        <w:r w:rsidRPr="005B4E8F">
          <w:rPr>
            <w:rStyle w:val="Hyperlink"/>
            <w:noProof/>
            <w:lang w:bidi="en-US"/>
          </w:rPr>
          <w:t>1.4 Staged Thermal Fractionation</w:t>
        </w:r>
        <w:r>
          <w:rPr>
            <w:noProof/>
            <w:webHidden/>
          </w:rPr>
          <w:tab/>
        </w:r>
        <w:r>
          <w:rPr>
            <w:noProof/>
            <w:webHidden/>
          </w:rPr>
          <w:fldChar w:fldCharType="begin"/>
        </w:r>
        <w:r>
          <w:rPr>
            <w:noProof/>
            <w:webHidden/>
          </w:rPr>
          <w:instrText xml:space="preserve"> PAGEREF _Toc449964829 \h </w:instrText>
        </w:r>
        <w:r>
          <w:rPr>
            <w:noProof/>
            <w:webHidden/>
          </w:rPr>
        </w:r>
        <w:r>
          <w:rPr>
            <w:noProof/>
            <w:webHidden/>
          </w:rPr>
          <w:fldChar w:fldCharType="separate"/>
        </w:r>
        <w:r>
          <w:rPr>
            <w:noProof/>
            <w:webHidden/>
          </w:rPr>
          <w:t>6</w:t>
        </w:r>
        <w:r>
          <w:rPr>
            <w:noProof/>
            <w:webHidden/>
          </w:rPr>
          <w:fldChar w:fldCharType="end"/>
        </w:r>
      </w:hyperlink>
    </w:p>
    <w:p w14:paraId="2C5A5D10" w14:textId="77777777" w:rsidR="00463F52" w:rsidRDefault="00463F52">
      <w:pPr>
        <w:pStyle w:val="TOC1"/>
        <w:rPr>
          <w:rFonts w:asciiTheme="minorHAnsi" w:eastAsiaTheme="minorEastAsia" w:hAnsiTheme="minorHAnsi" w:cstheme="minorBidi"/>
          <w:noProof/>
        </w:rPr>
      </w:pPr>
      <w:hyperlink w:anchor="_Toc449964830" w:history="1">
        <w:r w:rsidRPr="005B4E8F">
          <w:rPr>
            <w:rStyle w:val="Hyperlink"/>
            <w:noProof/>
            <w:lang w:bidi="en-US"/>
          </w:rPr>
          <w:t>Chapter 2: Relationships between biomass composition and liquid products formed via pyrolysis</w:t>
        </w:r>
        <w:r>
          <w:rPr>
            <w:noProof/>
            <w:webHidden/>
          </w:rPr>
          <w:tab/>
        </w:r>
        <w:r>
          <w:rPr>
            <w:noProof/>
            <w:webHidden/>
          </w:rPr>
          <w:fldChar w:fldCharType="begin"/>
        </w:r>
        <w:r>
          <w:rPr>
            <w:noProof/>
            <w:webHidden/>
          </w:rPr>
          <w:instrText xml:space="preserve"> PAGEREF _Toc449964830 \h </w:instrText>
        </w:r>
        <w:r>
          <w:rPr>
            <w:noProof/>
            <w:webHidden/>
          </w:rPr>
        </w:r>
        <w:r>
          <w:rPr>
            <w:noProof/>
            <w:webHidden/>
          </w:rPr>
          <w:fldChar w:fldCharType="separate"/>
        </w:r>
        <w:r>
          <w:rPr>
            <w:noProof/>
            <w:webHidden/>
          </w:rPr>
          <w:t>10</w:t>
        </w:r>
        <w:r>
          <w:rPr>
            <w:noProof/>
            <w:webHidden/>
          </w:rPr>
          <w:fldChar w:fldCharType="end"/>
        </w:r>
      </w:hyperlink>
    </w:p>
    <w:p w14:paraId="21B107C1" w14:textId="77777777" w:rsidR="00463F52" w:rsidRDefault="00463F52">
      <w:pPr>
        <w:pStyle w:val="TOC2"/>
        <w:tabs>
          <w:tab w:val="right" w:leader="dot" w:pos="8486"/>
        </w:tabs>
        <w:rPr>
          <w:rFonts w:asciiTheme="minorHAnsi" w:eastAsiaTheme="minorEastAsia" w:hAnsiTheme="minorHAnsi" w:cstheme="minorBidi"/>
          <w:noProof/>
        </w:rPr>
      </w:pPr>
      <w:hyperlink w:anchor="_Toc449964831" w:history="1">
        <w:r w:rsidRPr="005B4E8F">
          <w:rPr>
            <w:rStyle w:val="Hyperlink"/>
            <w:noProof/>
            <w:lang w:bidi="en-US"/>
          </w:rPr>
          <w:t>2.1 Biomass composition and chemical structures</w:t>
        </w:r>
        <w:r>
          <w:rPr>
            <w:noProof/>
            <w:webHidden/>
          </w:rPr>
          <w:tab/>
        </w:r>
        <w:r>
          <w:rPr>
            <w:noProof/>
            <w:webHidden/>
          </w:rPr>
          <w:fldChar w:fldCharType="begin"/>
        </w:r>
        <w:r>
          <w:rPr>
            <w:noProof/>
            <w:webHidden/>
          </w:rPr>
          <w:instrText xml:space="preserve"> PAGEREF _Toc449964831 \h </w:instrText>
        </w:r>
        <w:r>
          <w:rPr>
            <w:noProof/>
            <w:webHidden/>
          </w:rPr>
        </w:r>
        <w:r>
          <w:rPr>
            <w:noProof/>
            <w:webHidden/>
          </w:rPr>
          <w:fldChar w:fldCharType="separate"/>
        </w:r>
        <w:r>
          <w:rPr>
            <w:noProof/>
            <w:webHidden/>
          </w:rPr>
          <w:t>10</w:t>
        </w:r>
        <w:r>
          <w:rPr>
            <w:noProof/>
            <w:webHidden/>
          </w:rPr>
          <w:fldChar w:fldCharType="end"/>
        </w:r>
      </w:hyperlink>
    </w:p>
    <w:p w14:paraId="1F8341E5" w14:textId="77777777" w:rsidR="00463F52" w:rsidRDefault="00463F52">
      <w:pPr>
        <w:pStyle w:val="TOC2"/>
        <w:tabs>
          <w:tab w:val="right" w:leader="dot" w:pos="8486"/>
        </w:tabs>
        <w:rPr>
          <w:rFonts w:asciiTheme="minorHAnsi" w:eastAsiaTheme="minorEastAsia" w:hAnsiTheme="minorHAnsi" w:cstheme="minorBidi"/>
          <w:noProof/>
        </w:rPr>
      </w:pPr>
      <w:hyperlink w:anchor="_Toc449964832" w:history="1">
        <w:r w:rsidRPr="005B4E8F">
          <w:rPr>
            <w:rStyle w:val="Hyperlink"/>
            <w:noProof/>
            <w:lang w:bidi="en-US"/>
          </w:rPr>
          <w:t>2.2 Models for relationships between biomass components and bio-oil product composition</w:t>
        </w:r>
        <w:r>
          <w:rPr>
            <w:noProof/>
            <w:webHidden/>
          </w:rPr>
          <w:tab/>
        </w:r>
        <w:r>
          <w:rPr>
            <w:noProof/>
            <w:webHidden/>
          </w:rPr>
          <w:fldChar w:fldCharType="begin"/>
        </w:r>
        <w:r>
          <w:rPr>
            <w:noProof/>
            <w:webHidden/>
          </w:rPr>
          <w:instrText xml:space="preserve"> PAGEREF _Toc449964832 \h </w:instrText>
        </w:r>
        <w:r>
          <w:rPr>
            <w:noProof/>
            <w:webHidden/>
          </w:rPr>
        </w:r>
        <w:r>
          <w:rPr>
            <w:noProof/>
            <w:webHidden/>
          </w:rPr>
          <w:fldChar w:fldCharType="separate"/>
        </w:r>
        <w:r>
          <w:rPr>
            <w:noProof/>
            <w:webHidden/>
          </w:rPr>
          <w:t>16</w:t>
        </w:r>
        <w:r>
          <w:rPr>
            <w:noProof/>
            <w:webHidden/>
          </w:rPr>
          <w:fldChar w:fldCharType="end"/>
        </w:r>
      </w:hyperlink>
    </w:p>
    <w:p w14:paraId="0983AC50" w14:textId="77777777" w:rsidR="00463F52" w:rsidRDefault="00463F52">
      <w:pPr>
        <w:pStyle w:val="TOC2"/>
        <w:tabs>
          <w:tab w:val="right" w:leader="dot" w:pos="8486"/>
        </w:tabs>
        <w:rPr>
          <w:rFonts w:asciiTheme="minorHAnsi" w:eastAsiaTheme="minorEastAsia" w:hAnsiTheme="minorHAnsi" w:cstheme="minorBidi"/>
          <w:noProof/>
        </w:rPr>
      </w:pPr>
      <w:hyperlink w:anchor="_Toc449964833" w:history="1">
        <w:r w:rsidRPr="005B4E8F">
          <w:rPr>
            <w:rStyle w:val="Hyperlink"/>
            <w:noProof/>
            <w:lang w:bidi="en-US"/>
          </w:rPr>
          <w:t>2.3 Evidence relating biomass content and bio-oil composition</w:t>
        </w:r>
        <w:r>
          <w:rPr>
            <w:noProof/>
            <w:webHidden/>
          </w:rPr>
          <w:tab/>
        </w:r>
        <w:r>
          <w:rPr>
            <w:noProof/>
            <w:webHidden/>
          </w:rPr>
          <w:fldChar w:fldCharType="begin"/>
        </w:r>
        <w:r>
          <w:rPr>
            <w:noProof/>
            <w:webHidden/>
          </w:rPr>
          <w:instrText xml:space="preserve"> PAGEREF _Toc449964833 \h </w:instrText>
        </w:r>
        <w:r>
          <w:rPr>
            <w:noProof/>
            <w:webHidden/>
          </w:rPr>
        </w:r>
        <w:r>
          <w:rPr>
            <w:noProof/>
            <w:webHidden/>
          </w:rPr>
          <w:fldChar w:fldCharType="separate"/>
        </w:r>
        <w:r>
          <w:rPr>
            <w:noProof/>
            <w:webHidden/>
          </w:rPr>
          <w:t>18</w:t>
        </w:r>
        <w:r>
          <w:rPr>
            <w:noProof/>
            <w:webHidden/>
          </w:rPr>
          <w:fldChar w:fldCharType="end"/>
        </w:r>
      </w:hyperlink>
    </w:p>
    <w:p w14:paraId="1B761C6E" w14:textId="77777777" w:rsidR="00463F52" w:rsidRDefault="00463F52">
      <w:pPr>
        <w:pStyle w:val="TOC3"/>
        <w:tabs>
          <w:tab w:val="right" w:leader="dot" w:pos="8486"/>
        </w:tabs>
        <w:rPr>
          <w:rFonts w:asciiTheme="minorHAnsi" w:eastAsiaTheme="minorEastAsia" w:hAnsiTheme="minorHAnsi" w:cstheme="minorBidi"/>
          <w:noProof/>
        </w:rPr>
      </w:pPr>
      <w:hyperlink w:anchor="_Toc449964834" w:history="1">
        <w:r w:rsidRPr="005B4E8F">
          <w:rPr>
            <w:rStyle w:val="Hyperlink"/>
            <w:noProof/>
            <w:lang w:bidi="en-US"/>
          </w:rPr>
          <w:t>2.3.1 Model 1: Direct products of cellulose, hemicellulose, and lignin</w:t>
        </w:r>
        <w:r>
          <w:rPr>
            <w:noProof/>
            <w:webHidden/>
          </w:rPr>
          <w:tab/>
        </w:r>
        <w:r>
          <w:rPr>
            <w:noProof/>
            <w:webHidden/>
          </w:rPr>
          <w:fldChar w:fldCharType="begin"/>
        </w:r>
        <w:r>
          <w:rPr>
            <w:noProof/>
            <w:webHidden/>
          </w:rPr>
          <w:instrText xml:space="preserve"> PAGEREF _Toc449964834 \h </w:instrText>
        </w:r>
        <w:r>
          <w:rPr>
            <w:noProof/>
            <w:webHidden/>
          </w:rPr>
        </w:r>
        <w:r>
          <w:rPr>
            <w:noProof/>
            <w:webHidden/>
          </w:rPr>
          <w:fldChar w:fldCharType="separate"/>
        </w:r>
        <w:r>
          <w:rPr>
            <w:noProof/>
            <w:webHidden/>
          </w:rPr>
          <w:t>26</w:t>
        </w:r>
        <w:r>
          <w:rPr>
            <w:noProof/>
            <w:webHidden/>
          </w:rPr>
          <w:fldChar w:fldCharType="end"/>
        </w:r>
      </w:hyperlink>
    </w:p>
    <w:p w14:paraId="1D2D779D" w14:textId="77777777" w:rsidR="00463F52" w:rsidRDefault="00463F52">
      <w:pPr>
        <w:pStyle w:val="TOC3"/>
        <w:tabs>
          <w:tab w:val="right" w:leader="dot" w:pos="8486"/>
        </w:tabs>
        <w:rPr>
          <w:rFonts w:asciiTheme="minorHAnsi" w:eastAsiaTheme="minorEastAsia" w:hAnsiTheme="minorHAnsi" w:cstheme="minorBidi"/>
          <w:noProof/>
        </w:rPr>
      </w:pPr>
      <w:hyperlink w:anchor="_Toc449964835" w:history="1">
        <w:r w:rsidRPr="005B4E8F">
          <w:rPr>
            <w:rStyle w:val="Hyperlink"/>
            <w:noProof/>
            <w:lang w:bidi="en-US"/>
          </w:rPr>
          <w:t>2.3.2 Model 2: Secondary reactions catalyzed by inorganic components</w:t>
        </w:r>
        <w:r>
          <w:rPr>
            <w:noProof/>
            <w:webHidden/>
          </w:rPr>
          <w:tab/>
        </w:r>
        <w:r>
          <w:rPr>
            <w:noProof/>
            <w:webHidden/>
          </w:rPr>
          <w:fldChar w:fldCharType="begin"/>
        </w:r>
        <w:r>
          <w:rPr>
            <w:noProof/>
            <w:webHidden/>
          </w:rPr>
          <w:instrText xml:space="preserve"> PAGEREF _Toc449964835 \h </w:instrText>
        </w:r>
        <w:r>
          <w:rPr>
            <w:noProof/>
            <w:webHidden/>
          </w:rPr>
        </w:r>
        <w:r>
          <w:rPr>
            <w:noProof/>
            <w:webHidden/>
          </w:rPr>
          <w:fldChar w:fldCharType="separate"/>
        </w:r>
        <w:r>
          <w:rPr>
            <w:noProof/>
            <w:webHidden/>
          </w:rPr>
          <w:t>27</w:t>
        </w:r>
        <w:r>
          <w:rPr>
            <w:noProof/>
            <w:webHidden/>
          </w:rPr>
          <w:fldChar w:fldCharType="end"/>
        </w:r>
      </w:hyperlink>
    </w:p>
    <w:p w14:paraId="745278BB" w14:textId="77777777" w:rsidR="00463F52" w:rsidRDefault="00463F52">
      <w:pPr>
        <w:pStyle w:val="TOC3"/>
        <w:tabs>
          <w:tab w:val="right" w:leader="dot" w:pos="8486"/>
        </w:tabs>
        <w:rPr>
          <w:rFonts w:asciiTheme="minorHAnsi" w:eastAsiaTheme="minorEastAsia" w:hAnsiTheme="minorHAnsi" w:cstheme="minorBidi"/>
          <w:noProof/>
        </w:rPr>
      </w:pPr>
      <w:hyperlink w:anchor="_Toc449964836" w:history="1">
        <w:r w:rsidRPr="005B4E8F">
          <w:rPr>
            <w:rStyle w:val="Hyperlink"/>
            <w:noProof/>
            <w:lang w:bidi="en-US"/>
          </w:rPr>
          <w:t>2.3.3 Model 3: Interactions and linkages between primary components</w:t>
        </w:r>
        <w:r>
          <w:rPr>
            <w:noProof/>
            <w:webHidden/>
          </w:rPr>
          <w:tab/>
        </w:r>
        <w:r>
          <w:rPr>
            <w:noProof/>
            <w:webHidden/>
          </w:rPr>
          <w:fldChar w:fldCharType="begin"/>
        </w:r>
        <w:r>
          <w:rPr>
            <w:noProof/>
            <w:webHidden/>
          </w:rPr>
          <w:instrText xml:space="preserve"> PAGEREF _Toc449964836 \h </w:instrText>
        </w:r>
        <w:r>
          <w:rPr>
            <w:noProof/>
            <w:webHidden/>
          </w:rPr>
        </w:r>
        <w:r>
          <w:rPr>
            <w:noProof/>
            <w:webHidden/>
          </w:rPr>
          <w:fldChar w:fldCharType="separate"/>
        </w:r>
        <w:r>
          <w:rPr>
            <w:noProof/>
            <w:webHidden/>
          </w:rPr>
          <w:t>28</w:t>
        </w:r>
        <w:r>
          <w:rPr>
            <w:noProof/>
            <w:webHidden/>
          </w:rPr>
          <w:fldChar w:fldCharType="end"/>
        </w:r>
      </w:hyperlink>
    </w:p>
    <w:p w14:paraId="1AEE8EB4" w14:textId="77777777" w:rsidR="00463F52" w:rsidRDefault="00463F52">
      <w:pPr>
        <w:pStyle w:val="TOC2"/>
        <w:tabs>
          <w:tab w:val="right" w:leader="dot" w:pos="8486"/>
        </w:tabs>
        <w:rPr>
          <w:rFonts w:asciiTheme="minorHAnsi" w:eastAsiaTheme="minorEastAsia" w:hAnsiTheme="minorHAnsi" w:cstheme="minorBidi"/>
          <w:noProof/>
        </w:rPr>
      </w:pPr>
      <w:hyperlink w:anchor="_Toc449964837" w:history="1">
        <w:r w:rsidRPr="005B4E8F">
          <w:rPr>
            <w:rStyle w:val="Hyperlink"/>
            <w:noProof/>
            <w:lang w:bidi="en-US"/>
          </w:rPr>
          <w:t>2.4 Conclusions</w:t>
        </w:r>
        <w:r>
          <w:rPr>
            <w:noProof/>
            <w:webHidden/>
          </w:rPr>
          <w:tab/>
        </w:r>
        <w:r>
          <w:rPr>
            <w:noProof/>
            <w:webHidden/>
          </w:rPr>
          <w:fldChar w:fldCharType="begin"/>
        </w:r>
        <w:r>
          <w:rPr>
            <w:noProof/>
            <w:webHidden/>
          </w:rPr>
          <w:instrText xml:space="preserve"> PAGEREF _Toc449964837 \h </w:instrText>
        </w:r>
        <w:r>
          <w:rPr>
            <w:noProof/>
            <w:webHidden/>
          </w:rPr>
        </w:r>
        <w:r>
          <w:rPr>
            <w:noProof/>
            <w:webHidden/>
          </w:rPr>
          <w:fldChar w:fldCharType="separate"/>
        </w:r>
        <w:r>
          <w:rPr>
            <w:noProof/>
            <w:webHidden/>
          </w:rPr>
          <w:t>31</w:t>
        </w:r>
        <w:r>
          <w:rPr>
            <w:noProof/>
            <w:webHidden/>
          </w:rPr>
          <w:fldChar w:fldCharType="end"/>
        </w:r>
      </w:hyperlink>
    </w:p>
    <w:p w14:paraId="4CE5511A" w14:textId="77777777" w:rsidR="00463F52" w:rsidRDefault="00463F52">
      <w:pPr>
        <w:pStyle w:val="TOC1"/>
        <w:rPr>
          <w:rFonts w:asciiTheme="minorHAnsi" w:eastAsiaTheme="minorEastAsia" w:hAnsiTheme="minorHAnsi" w:cstheme="minorBidi"/>
          <w:noProof/>
        </w:rPr>
      </w:pPr>
      <w:hyperlink w:anchor="_Toc449964838" w:history="1">
        <w:r w:rsidRPr="005B4E8F">
          <w:rPr>
            <w:rStyle w:val="Hyperlink"/>
            <w:noProof/>
            <w:lang w:bidi="en-US"/>
          </w:rPr>
          <w:t>Chapter 3: Experimental Methods</w:t>
        </w:r>
        <w:r>
          <w:rPr>
            <w:noProof/>
            <w:webHidden/>
          </w:rPr>
          <w:tab/>
        </w:r>
        <w:r>
          <w:rPr>
            <w:noProof/>
            <w:webHidden/>
          </w:rPr>
          <w:fldChar w:fldCharType="begin"/>
        </w:r>
        <w:r>
          <w:rPr>
            <w:noProof/>
            <w:webHidden/>
          </w:rPr>
          <w:instrText xml:space="preserve"> PAGEREF _Toc449964838 \h </w:instrText>
        </w:r>
        <w:r>
          <w:rPr>
            <w:noProof/>
            <w:webHidden/>
          </w:rPr>
        </w:r>
        <w:r>
          <w:rPr>
            <w:noProof/>
            <w:webHidden/>
          </w:rPr>
          <w:fldChar w:fldCharType="separate"/>
        </w:r>
        <w:r>
          <w:rPr>
            <w:noProof/>
            <w:webHidden/>
          </w:rPr>
          <w:t>36</w:t>
        </w:r>
        <w:r>
          <w:rPr>
            <w:noProof/>
            <w:webHidden/>
          </w:rPr>
          <w:fldChar w:fldCharType="end"/>
        </w:r>
      </w:hyperlink>
    </w:p>
    <w:p w14:paraId="146537C0" w14:textId="77777777" w:rsidR="00463F52" w:rsidRDefault="00463F52">
      <w:pPr>
        <w:pStyle w:val="TOC2"/>
        <w:tabs>
          <w:tab w:val="right" w:leader="dot" w:pos="8486"/>
        </w:tabs>
        <w:rPr>
          <w:rFonts w:asciiTheme="minorHAnsi" w:eastAsiaTheme="minorEastAsia" w:hAnsiTheme="minorHAnsi" w:cstheme="minorBidi"/>
          <w:noProof/>
        </w:rPr>
      </w:pPr>
      <w:hyperlink w:anchor="_Toc449964839" w:history="1">
        <w:r w:rsidRPr="005B4E8F">
          <w:rPr>
            <w:rStyle w:val="Hyperlink"/>
            <w:noProof/>
            <w:lang w:bidi="en-US"/>
          </w:rPr>
          <w:t>3.1 Bench scale torrefaction system</w:t>
        </w:r>
        <w:r>
          <w:rPr>
            <w:noProof/>
            <w:webHidden/>
          </w:rPr>
          <w:tab/>
        </w:r>
        <w:r>
          <w:rPr>
            <w:noProof/>
            <w:webHidden/>
          </w:rPr>
          <w:fldChar w:fldCharType="begin"/>
        </w:r>
        <w:r>
          <w:rPr>
            <w:noProof/>
            <w:webHidden/>
          </w:rPr>
          <w:instrText xml:space="preserve"> PAGEREF _Toc449964839 \h </w:instrText>
        </w:r>
        <w:r>
          <w:rPr>
            <w:noProof/>
            <w:webHidden/>
          </w:rPr>
        </w:r>
        <w:r>
          <w:rPr>
            <w:noProof/>
            <w:webHidden/>
          </w:rPr>
          <w:fldChar w:fldCharType="separate"/>
        </w:r>
        <w:r>
          <w:rPr>
            <w:noProof/>
            <w:webHidden/>
          </w:rPr>
          <w:t>36</w:t>
        </w:r>
        <w:r>
          <w:rPr>
            <w:noProof/>
            <w:webHidden/>
          </w:rPr>
          <w:fldChar w:fldCharType="end"/>
        </w:r>
      </w:hyperlink>
    </w:p>
    <w:p w14:paraId="0A188A68" w14:textId="77777777" w:rsidR="00463F52" w:rsidRDefault="00463F52">
      <w:pPr>
        <w:pStyle w:val="TOC2"/>
        <w:tabs>
          <w:tab w:val="right" w:leader="dot" w:pos="8486"/>
        </w:tabs>
        <w:rPr>
          <w:rFonts w:asciiTheme="minorHAnsi" w:eastAsiaTheme="minorEastAsia" w:hAnsiTheme="minorHAnsi" w:cstheme="minorBidi"/>
          <w:noProof/>
        </w:rPr>
      </w:pPr>
      <w:hyperlink w:anchor="_Toc449964840" w:history="1">
        <w:r w:rsidRPr="005B4E8F">
          <w:rPr>
            <w:rStyle w:val="Hyperlink"/>
            <w:noProof/>
            <w:lang w:bidi="en-US"/>
          </w:rPr>
          <w:t>3.2 Pyrolysis GCMS/FID</w:t>
        </w:r>
        <w:r>
          <w:rPr>
            <w:noProof/>
            <w:webHidden/>
          </w:rPr>
          <w:tab/>
        </w:r>
        <w:r>
          <w:rPr>
            <w:noProof/>
            <w:webHidden/>
          </w:rPr>
          <w:fldChar w:fldCharType="begin"/>
        </w:r>
        <w:r>
          <w:rPr>
            <w:noProof/>
            <w:webHidden/>
          </w:rPr>
          <w:instrText xml:space="preserve"> PAGEREF _Toc449964840 \h </w:instrText>
        </w:r>
        <w:r>
          <w:rPr>
            <w:noProof/>
            <w:webHidden/>
          </w:rPr>
        </w:r>
        <w:r>
          <w:rPr>
            <w:noProof/>
            <w:webHidden/>
          </w:rPr>
          <w:fldChar w:fldCharType="separate"/>
        </w:r>
        <w:r>
          <w:rPr>
            <w:noProof/>
            <w:webHidden/>
          </w:rPr>
          <w:t>37</w:t>
        </w:r>
        <w:r>
          <w:rPr>
            <w:noProof/>
            <w:webHidden/>
          </w:rPr>
          <w:fldChar w:fldCharType="end"/>
        </w:r>
      </w:hyperlink>
    </w:p>
    <w:p w14:paraId="6A828076" w14:textId="77777777" w:rsidR="00463F52" w:rsidRDefault="00463F52">
      <w:pPr>
        <w:pStyle w:val="TOC3"/>
        <w:tabs>
          <w:tab w:val="right" w:leader="dot" w:pos="8486"/>
        </w:tabs>
        <w:rPr>
          <w:rFonts w:asciiTheme="minorHAnsi" w:eastAsiaTheme="minorEastAsia" w:hAnsiTheme="minorHAnsi" w:cstheme="minorBidi"/>
          <w:noProof/>
        </w:rPr>
      </w:pPr>
      <w:hyperlink w:anchor="_Toc449964841" w:history="1">
        <w:r w:rsidRPr="005B4E8F">
          <w:rPr>
            <w:rStyle w:val="Hyperlink"/>
            <w:noProof/>
            <w:lang w:bidi="en-US"/>
          </w:rPr>
          <w:t>3.2.1 Sample Preparation</w:t>
        </w:r>
        <w:r>
          <w:rPr>
            <w:noProof/>
            <w:webHidden/>
          </w:rPr>
          <w:tab/>
        </w:r>
        <w:r>
          <w:rPr>
            <w:noProof/>
            <w:webHidden/>
          </w:rPr>
          <w:fldChar w:fldCharType="begin"/>
        </w:r>
        <w:r>
          <w:rPr>
            <w:noProof/>
            <w:webHidden/>
          </w:rPr>
          <w:instrText xml:space="preserve"> PAGEREF _Toc449964841 \h </w:instrText>
        </w:r>
        <w:r>
          <w:rPr>
            <w:noProof/>
            <w:webHidden/>
          </w:rPr>
        </w:r>
        <w:r>
          <w:rPr>
            <w:noProof/>
            <w:webHidden/>
          </w:rPr>
          <w:fldChar w:fldCharType="separate"/>
        </w:r>
        <w:r>
          <w:rPr>
            <w:noProof/>
            <w:webHidden/>
          </w:rPr>
          <w:t>37</w:t>
        </w:r>
        <w:r>
          <w:rPr>
            <w:noProof/>
            <w:webHidden/>
          </w:rPr>
          <w:fldChar w:fldCharType="end"/>
        </w:r>
      </w:hyperlink>
    </w:p>
    <w:p w14:paraId="2B87100D" w14:textId="77777777" w:rsidR="00463F52" w:rsidRDefault="00463F52">
      <w:pPr>
        <w:pStyle w:val="TOC3"/>
        <w:tabs>
          <w:tab w:val="right" w:leader="dot" w:pos="8486"/>
        </w:tabs>
        <w:rPr>
          <w:rFonts w:asciiTheme="minorHAnsi" w:eastAsiaTheme="minorEastAsia" w:hAnsiTheme="minorHAnsi" w:cstheme="minorBidi"/>
          <w:noProof/>
        </w:rPr>
      </w:pPr>
      <w:hyperlink w:anchor="_Toc449964842" w:history="1">
        <w:r w:rsidRPr="005B4E8F">
          <w:rPr>
            <w:rStyle w:val="Hyperlink"/>
            <w:noProof/>
            <w:lang w:bidi="en-US"/>
          </w:rPr>
          <w:t>3.2.2 Pyroprobe Apparatus</w:t>
        </w:r>
        <w:r>
          <w:rPr>
            <w:noProof/>
            <w:webHidden/>
          </w:rPr>
          <w:tab/>
        </w:r>
        <w:r>
          <w:rPr>
            <w:noProof/>
            <w:webHidden/>
          </w:rPr>
          <w:fldChar w:fldCharType="begin"/>
        </w:r>
        <w:r>
          <w:rPr>
            <w:noProof/>
            <w:webHidden/>
          </w:rPr>
          <w:instrText xml:space="preserve"> PAGEREF _Toc449964842 \h </w:instrText>
        </w:r>
        <w:r>
          <w:rPr>
            <w:noProof/>
            <w:webHidden/>
          </w:rPr>
        </w:r>
        <w:r>
          <w:rPr>
            <w:noProof/>
            <w:webHidden/>
          </w:rPr>
          <w:fldChar w:fldCharType="separate"/>
        </w:r>
        <w:r>
          <w:rPr>
            <w:noProof/>
            <w:webHidden/>
          </w:rPr>
          <w:t>38</w:t>
        </w:r>
        <w:r>
          <w:rPr>
            <w:noProof/>
            <w:webHidden/>
          </w:rPr>
          <w:fldChar w:fldCharType="end"/>
        </w:r>
      </w:hyperlink>
    </w:p>
    <w:p w14:paraId="777F8CC0" w14:textId="77777777" w:rsidR="00463F52" w:rsidRDefault="00463F52">
      <w:pPr>
        <w:pStyle w:val="TOC3"/>
        <w:tabs>
          <w:tab w:val="right" w:leader="dot" w:pos="8486"/>
        </w:tabs>
        <w:rPr>
          <w:rFonts w:asciiTheme="minorHAnsi" w:eastAsiaTheme="minorEastAsia" w:hAnsiTheme="minorHAnsi" w:cstheme="minorBidi"/>
          <w:noProof/>
        </w:rPr>
      </w:pPr>
      <w:hyperlink w:anchor="_Toc449964843" w:history="1">
        <w:r w:rsidRPr="005B4E8F">
          <w:rPr>
            <w:rStyle w:val="Hyperlink"/>
            <w:noProof/>
            <w:lang w:bidi="en-US"/>
          </w:rPr>
          <w:t>3.2.3 Gas chromatography</w:t>
        </w:r>
        <w:r>
          <w:rPr>
            <w:noProof/>
            <w:webHidden/>
          </w:rPr>
          <w:tab/>
        </w:r>
        <w:r>
          <w:rPr>
            <w:noProof/>
            <w:webHidden/>
          </w:rPr>
          <w:fldChar w:fldCharType="begin"/>
        </w:r>
        <w:r>
          <w:rPr>
            <w:noProof/>
            <w:webHidden/>
          </w:rPr>
          <w:instrText xml:space="preserve"> PAGEREF _Toc449964843 \h </w:instrText>
        </w:r>
        <w:r>
          <w:rPr>
            <w:noProof/>
            <w:webHidden/>
          </w:rPr>
        </w:r>
        <w:r>
          <w:rPr>
            <w:noProof/>
            <w:webHidden/>
          </w:rPr>
          <w:fldChar w:fldCharType="separate"/>
        </w:r>
        <w:r>
          <w:rPr>
            <w:noProof/>
            <w:webHidden/>
          </w:rPr>
          <w:t>41</w:t>
        </w:r>
        <w:r>
          <w:rPr>
            <w:noProof/>
            <w:webHidden/>
          </w:rPr>
          <w:fldChar w:fldCharType="end"/>
        </w:r>
      </w:hyperlink>
    </w:p>
    <w:p w14:paraId="73478D45" w14:textId="77777777" w:rsidR="00463F52" w:rsidRDefault="00463F52">
      <w:pPr>
        <w:pStyle w:val="TOC3"/>
        <w:tabs>
          <w:tab w:val="right" w:leader="dot" w:pos="8486"/>
        </w:tabs>
        <w:rPr>
          <w:rFonts w:asciiTheme="minorHAnsi" w:eastAsiaTheme="minorEastAsia" w:hAnsiTheme="minorHAnsi" w:cstheme="minorBidi"/>
          <w:noProof/>
        </w:rPr>
      </w:pPr>
      <w:hyperlink w:anchor="_Toc449964844" w:history="1">
        <w:r w:rsidRPr="005B4E8F">
          <w:rPr>
            <w:rStyle w:val="Hyperlink"/>
            <w:noProof/>
            <w:lang w:bidi="en-US"/>
          </w:rPr>
          <w:t>3.2.4 Compound Identification</w:t>
        </w:r>
        <w:r>
          <w:rPr>
            <w:noProof/>
            <w:webHidden/>
          </w:rPr>
          <w:tab/>
        </w:r>
        <w:r>
          <w:rPr>
            <w:noProof/>
            <w:webHidden/>
          </w:rPr>
          <w:fldChar w:fldCharType="begin"/>
        </w:r>
        <w:r>
          <w:rPr>
            <w:noProof/>
            <w:webHidden/>
          </w:rPr>
          <w:instrText xml:space="preserve"> PAGEREF _Toc449964844 \h </w:instrText>
        </w:r>
        <w:r>
          <w:rPr>
            <w:noProof/>
            <w:webHidden/>
          </w:rPr>
        </w:r>
        <w:r>
          <w:rPr>
            <w:noProof/>
            <w:webHidden/>
          </w:rPr>
          <w:fldChar w:fldCharType="separate"/>
        </w:r>
        <w:r>
          <w:rPr>
            <w:noProof/>
            <w:webHidden/>
          </w:rPr>
          <w:t>42</w:t>
        </w:r>
        <w:r>
          <w:rPr>
            <w:noProof/>
            <w:webHidden/>
          </w:rPr>
          <w:fldChar w:fldCharType="end"/>
        </w:r>
      </w:hyperlink>
    </w:p>
    <w:p w14:paraId="1B038315" w14:textId="77777777" w:rsidR="00463F52" w:rsidRDefault="00463F52">
      <w:pPr>
        <w:pStyle w:val="TOC3"/>
        <w:tabs>
          <w:tab w:val="right" w:leader="dot" w:pos="8486"/>
        </w:tabs>
        <w:rPr>
          <w:rFonts w:asciiTheme="minorHAnsi" w:eastAsiaTheme="minorEastAsia" w:hAnsiTheme="minorHAnsi" w:cstheme="minorBidi"/>
          <w:noProof/>
        </w:rPr>
      </w:pPr>
      <w:hyperlink w:anchor="_Toc449964845" w:history="1">
        <w:r w:rsidRPr="005B4E8F">
          <w:rPr>
            <w:rStyle w:val="Hyperlink"/>
            <w:noProof/>
            <w:lang w:bidi="en-US"/>
          </w:rPr>
          <w:t>3.2.5 Lumping approach</w:t>
        </w:r>
        <w:r>
          <w:rPr>
            <w:noProof/>
            <w:webHidden/>
          </w:rPr>
          <w:tab/>
        </w:r>
        <w:r>
          <w:rPr>
            <w:noProof/>
            <w:webHidden/>
          </w:rPr>
          <w:fldChar w:fldCharType="begin"/>
        </w:r>
        <w:r>
          <w:rPr>
            <w:noProof/>
            <w:webHidden/>
          </w:rPr>
          <w:instrText xml:space="preserve"> PAGEREF _Toc449964845 \h </w:instrText>
        </w:r>
        <w:r>
          <w:rPr>
            <w:noProof/>
            <w:webHidden/>
          </w:rPr>
        </w:r>
        <w:r>
          <w:rPr>
            <w:noProof/>
            <w:webHidden/>
          </w:rPr>
          <w:fldChar w:fldCharType="separate"/>
        </w:r>
        <w:r>
          <w:rPr>
            <w:noProof/>
            <w:webHidden/>
          </w:rPr>
          <w:t>43</w:t>
        </w:r>
        <w:r>
          <w:rPr>
            <w:noProof/>
            <w:webHidden/>
          </w:rPr>
          <w:fldChar w:fldCharType="end"/>
        </w:r>
      </w:hyperlink>
    </w:p>
    <w:p w14:paraId="70C88F92" w14:textId="77777777" w:rsidR="00463F52" w:rsidRDefault="00463F52">
      <w:pPr>
        <w:pStyle w:val="TOC3"/>
        <w:tabs>
          <w:tab w:val="right" w:leader="dot" w:pos="8486"/>
        </w:tabs>
        <w:rPr>
          <w:rFonts w:asciiTheme="minorHAnsi" w:eastAsiaTheme="minorEastAsia" w:hAnsiTheme="minorHAnsi" w:cstheme="minorBidi"/>
          <w:noProof/>
        </w:rPr>
      </w:pPr>
      <w:hyperlink w:anchor="_Toc449964846" w:history="1">
        <w:r w:rsidRPr="005B4E8F">
          <w:rPr>
            <w:rStyle w:val="Hyperlink"/>
            <w:noProof/>
            <w:lang w:bidi="en-US"/>
          </w:rPr>
          <w:t>3.2.6 FID Calibration</w:t>
        </w:r>
        <w:r>
          <w:rPr>
            <w:noProof/>
            <w:webHidden/>
          </w:rPr>
          <w:tab/>
        </w:r>
        <w:r>
          <w:rPr>
            <w:noProof/>
            <w:webHidden/>
          </w:rPr>
          <w:fldChar w:fldCharType="begin"/>
        </w:r>
        <w:r>
          <w:rPr>
            <w:noProof/>
            <w:webHidden/>
          </w:rPr>
          <w:instrText xml:space="preserve"> PAGEREF _Toc449964846 \h </w:instrText>
        </w:r>
        <w:r>
          <w:rPr>
            <w:noProof/>
            <w:webHidden/>
          </w:rPr>
        </w:r>
        <w:r>
          <w:rPr>
            <w:noProof/>
            <w:webHidden/>
          </w:rPr>
          <w:fldChar w:fldCharType="separate"/>
        </w:r>
        <w:r>
          <w:rPr>
            <w:noProof/>
            <w:webHidden/>
          </w:rPr>
          <w:t>44</w:t>
        </w:r>
        <w:r>
          <w:rPr>
            <w:noProof/>
            <w:webHidden/>
          </w:rPr>
          <w:fldChar w:fldCharType="end"/>
        </w:r>
      </w:hyperlink>
    </w:p>
    <w:p w14:paraId="5938D72A" w14:textId="77777777" w:rsidR="00463F52" w:rsidRDefault="00463F52">
      <w:pPr>
        <w:pStyle w:val="TOC2"/>
        <w:tabs>
          <w:tab w:val="right" w:leader="dot" w:pos="8486"/>
        </w:tabs>
        <w:rPr>
          <w:rFonts w:asciiTheme="minorHAnsi" w:eastAsiaTheme="minorEastAsia" w:hAnsiTheme="minorHAnsi" w:cstheme="minorBidi"/>
          <w:noProof/>
        </w:rPr>
      </w:pPr>
      <w:hyperlink w:anchor="_Toc449964847" w:history="1">
        <w:r w:rsidRPr="005B4E8F">
          <w:rPr>
            <w:rStyle w:val="Hyperlink"/>
            <w:noProof/>
            <w:lang w:bidi="en-US"/>
          </w:rPr>
          <w:t>3.3 Water content analysis</w:t>
        </w:r>
        <w:r>
          <w:rPr>
            <w:noProof/>
            <w:webHidden/>
          </w:rPr>
          <w:tab/>
        </w:r>
        <w:r>
          <w:rPr>
            <w:noProof/>
            <w:webHidden/>
          </w:rPr>
          <w:fldChar w:fldCharType="begin"/>
        </w:r>
        <w:r>
          <w:rPr>
            <w:noProof/>
            <w:webHidden/>
          </w:rPr>
          <w:instrText xml:space="preserve"> PAGEREF _Toc449964847 \h </w:instrText>
        </w:r>
        <w:r>
          <w:rPr>
            <w:noProof/>
            <w:webHidden/>
          </w:rPr>
        </w:r>
        <w:r>
          <w:rPr>
            <w:noProof/>
            <w:webHidden/>
          </w:rPr>
          <w:fldChar w:fldCharType="separate"/>
        </w:r>
        <w:r>
          <w:rPr>
            <w:noProof/>
            <w:webHidden/>
          </w:rPr>
          <w:t>44</w:t>
        </w:r>
        <w:r>
          <w:rPr>
            <w:noProof/>
            <w:webHidden/>
          </w:rPr>
          <w:fldChar w:fldCharType="end"/>
        </w:r>
      </w:hyperlink>
    </w:p>
    <w:p w14:paraId="74A33B4C" w14:textId="77777777" w:rsidR="00463F52" w:rsidRDefault="00463F52">
      <w:pPr>
        <w:pStyle w:val="TOC2"/>
        <w:tabs>
          <w:tab w:val="right" w:leader="dot" w:pos="8486"/>
        </w:tabs>
        <w:rPr>
          <w:rFonts w:asciiTheme="minorHAnsi" w:eastAsiaTheme="minorEastAsia" w:hAnsiTheme="minorHAnsi" w:cstheme="minorBidi"/>
          <w:noProof/>
        </w:rPr>
      </w:pPr>
      <w:hyperlink w:anchor="_Toc449964848" w:history="1">
        <w:r w:rsidRPr="005B4E8F">
          <w:rPr>
            <w:rStyle w:val="Hyperlink"/>
            <w:noProof/>
            <w:lang w:bidi="en-US"/>
          </w:rPr>
          <w:t>3.4 Catalytic reactions</w:t>
        </w:r>
        <w:r>
          <w:rPr>
            <w:noProof/>
            <w:webHidden/>
          </w:rPr>
          <w:tab/>
        </w:r>
        <w:r>
          <w:rPr>
            <w:noProof/>
            <w:webHidden/>
          </w:rPr>
          <w:fldChar w:fldCharType="begin"/>
        </w:r>
        <w:r>
          <w:rPr>
            <w:noProof/>
            <w:webHidden/>
          </w:rPr>
          <w:instrText xml:space="preserve"> PAGEREF _Toc449964848 \h </w:instrText>
        </w:r>
        <w:r>
          <w:rPr>
            <w:noProof/>
            <w:webHidden/>
          </w:rPr>
        </w:r>
        <w:r>
          <w:rPr>
            <w:noProof/>
            <w:webHidden/>
          </w:rPr>
          <w:fldChar w:fldCharType="separate"/>
        </w:r>
        <w:r>
          <w:rPr>
            <w:noProof/>
            <w:webHidden/>
          </w:rPr>
          <w:t>45</w:t>
        </w:r>
        <w:r>
          <w:rPr>
            <w:noProof/>
            <w:webHidden/>
          </w:rPr>
          <w:fldChar w:fldCharType="end"/>
        </w:r>
      </w:hyperlink>
    </w:p>
    <w:p w14:paraId="3526D908" w14:textId="77777777" w:rsidR="00463F52" w:rsidRDefault="00463F52">
      <w:pPr>
        <w:pStyle w:val="TOC3"/>
        <w:tabs>
          <w:tab w:val="right" w:leader="dot" w:pos="8486"/>
        </w:tabs>
        <w:rPr>
          <w:rFonts w:asciiTheme="minorHAnsi" w:eastAsiaTheme="minorEastAsia" w:hAnsiTheme="minorHAnsi" w:cstheme="minorBidi"/>
          <w:noProof/>
        </w:rPr>
      </w:pPr>
      <w:hyperlink w:anchor="_Toc449964849" w:history="1">
        <w:r w:rsidRPr="005B4E8F">
          <w:rPr>
            <w:rStyle w:val="Hyperlink"/>
            <w:noProof/>
            <w:lang w:bidi="en-US"/>
          </w:rPr>
          <w:t>3.4.1 Catalytic reactor</w:t>
        </w:r>
        <w:r>
          <w:rPr>
            <w:noProof/>
            <w:webHidden/>
          </w:rPr>
          <w:tab/>
        </w:r>
        <w:r>
          <w:rPr>
            <w:noProof/>
            <w:webHidden/>
          </w:rPr>
          <w:fldChar w:fldCharType="begin"/>
        </w:r>
        <w:r>
          <w:rPr>
            <w:noProof/>
            <w:webHidden/>
          </w:rPr>
          <w:instrText xml:space="preserve"> PAGEREF _Toc449964849 \h </w:instrText>
        </w:r>
        <w:r>
          <w:rPr>
            <w:noProof/>
            <w:webHidden/>
          </w:rPr>
        </w:r>
        <w:r>
          <w:rPr>
            <w:noProof/>
            <w:webHidden/>
          </w:rPr>
          <w:fldChar w:fldCharType="separate"/>
        </w:r>
        <w:r>
          <w:rPr>
            <w:noProof/>
            <w:webHidden/>
          </w:rPr>
          <w:t>45</w:t>
        </w:r>
        <w:r>
          <w:rPr>
            <w:noProof/>
            <w:webHidden/>
          </w:rPr>
          <w:fldChar w:fldCharType="end"/>
        </w:r>
      </w:hyperlink>
    </w:p>
    <w:p w14:paraId="2E60DCA7" w14:textId="77777777" w:rsidR="00463F52" w:rsidRDefault="00463F52">
      <w:pPr>
        <w:pStyle w:val="TOC3"/>
        <w:tabs>
          <w:tab w:val="right" w:leader="dot" w:pos="8486"/>
        </w:tabs>
        <w:rPr>
          <w:rFonts w:asciiTheme="minorHAnsi" w:eastAsiaTheme="minorEastAsia" w:hAnsiTheme="minorHAnsi" w:cstheme="minorBidi"/>
          <w:noProof/>
        </w:rPr>
      </w:pPr>
      <w:hyperlink w:anchor="_Toc449964850" w:history="1">
        <w:r w:rsidRPr="005B4E8F">
          <w:rPr>
            <w:rStyle w:val="Hyperlink"/>
            <w:noProof/>
            <w:lang w:bidi="en-US"/>
          </w:rPr>
          <w:t>3.4.2 Catalyst characterization</w:t>
        </w:r>
        <w:r>
          <w:rPr>
            <w:noProof/>
            <w:webHidden/>
          </w:rPr>
          <w:tab/>
        </w:r>
        <w:r>
          <w:rPr>
            <w:noProof/>
            <w:webHidden/>
          </w:rPr>
          <w:fldChar w:fldCharType="begin"/>
        </w:r>
        <w:r>
          <w:rPr>
            <w:noProof/>
            <w:webHidden/>
          </w:rPr>
          <w:instrText xml:space="preserve"> PAGEREF _Toc449964850 \h </w:instrText>
        </w:r>
        <w:r>
          <w:rPr>
            <w:noProof/>
            <w:webHidden/>
          </w:rPr>
        </w:r>
        <w:r>
          <w:rPr>
            <w:noProof/>
            <w:webHidden/>
          </w:rPr>
          <w:fldChar w:fldCharType="separate"/>
        </w:r>
        <w:r>
          <w:rPr>
            <w:noProof/>
            <w:webHidden/>
          </w:rPr>
          <w:t>46</w:t>
        </w:r>
        <w:r>
          <w:rPr>
            <w:noProof/>
            <w:webHidden/>
          </w:rPr>
          <w:fldChar w:fldCharType="end"/>
        </w:r>
      </w:hyperlink>
    </w:p>
    <w:p w14:paraId="54FDB6DA" w14:textId="77777777" w:rsidR="00463F52" w:rsidRDefault="00463F52">
      <w:pPr>
        <w:pStyle w:val="TOC3"/>
        <w:tabs>
          <w:tab w:val="right" w:leader="dot" w:pos="8486"/>
        </w:tabs>
        <w:rPr>
          <w:rFonts w:asciiTheme="minorHAnsi" w:eastAsiaTheme="minorEastAsia" w:hAnsiTheme="minorHAnsi" w:cstheme="minorBidi"/>
          <w:noProof/>
        </w:rPr>
      </w:pPr>
      <w:hyperlink w:anchor="_Toc449964851" w:history="1">
        <w:r w:rsidRPr="005B4E8F">
          <w:rPr>
            <w:rStyle w:val="Hyperlink"/>
            <w:noProof/>
            <w:lang w:bidi="en-US"/>
          </w:rPr>
          <w:t>3.4.3 Coke on spent catalyst</w:t>
        </w:r>
        <w:r>
          <w:rPr>
            <w:noProof/>
            <w:webHidden/>
          </w:rPr>
          <w:tab/>
        </w:r>
        <w:r>
          <w:rPr>
            <w:noProof/>
            <w:webHidden/>
          </w:rPr>
          <w:fldChar w:fldCharType="begin"/>
        </w:r>
        <w:r>
          <w:rPr>
            <w:noProof/>
            <w:webHidden/>
          </w:rPr>
          <w:instrText xml:space="preserve"> PAGEREF _Toc449964851 \h </w:instrText>
        </w:r>
        <w:r>
          <w:rPr>
            <w:noProof/>
            <w:webHidden/>
          </w:rPr>
        </w:r>
        <w:r>
          <w:rPr>
            <w:noProof/>
            <w:webHidden/>
          </w:rPr>
          <w:fldChar w:fldCharType="separate"/>
        </w:r>
        <w:r>
          <w:rPr>
            <w:noProof/>
            <w:webHidden/>
          </w:rPr>
          <w:t>46</w:t>
        </w:r>
        <w:r>
          <w:rPr>
            <w:noProof/>
            <w:webHidden/>
          </w:rPr>
          <w:fldChar w:fldCharType="end"/>
        </w:r>
      </w:hyperlink>
    </w:p>
    <w:p w14:paraId="245CAE47" w14:textId="77777777" w:rsidR="00463F52" w:rsidRDefault="00463F52">
      <w:pPr>
        <w:pStyle w:val="TOC3"/>
        <w:tabs>
          <w:tab w:val="right" w:leader="dot" w:pos="8486"/>
        </w:tabs>
        <w:rPr>
          <w:rFonts w:asciiTheme="minorHAnsi" w:eastAsiaTheme="minorEastAsia" w:hAnsiTheme="minorHAnsi" w:cstheme="minorBidi"/>
          <w:noProof/>
        </w:rPr>
      </w:pPr>
      <w:hyperlink w:anchor="_Toc449964852" w:history="1">
        <w:r w:rsidRPr="005B4E8F">
          <w:rPr>
            <w:rStyle w:val="Hyperlink"/>
            <w:noProof/>
            <w:lang w:bidi="en-US"/>
          </w:rPr>
          <w:t>3.4.4 Permanent gas analysis</w:t>
        </w:r>
        <w:r>
          <w:rPr>
            <w:noProof/>
            <w:webHidden/>
          </w:rPr>
          <w:tab/>
        </w:r>
        <w:r>
          <w:rPr>
            <w:noProof/>
            <w:webHidden/>
          </w:rPr>
          <w:fldChar w:fldCharType="begin"/>
        </w:r>
        <w:r>
          <w:rPr>
            <w:noProof/>
            <w:webHidden/>
          </w:rPr>
          <w:instrText xml:space="preserve"> PAGEREF _Toc449964852 \h </w:instrText>
        </w:r>
        <w:r>
          <w:rPr>
            <w:noProof/>
            <w:webHidden/>
          </w:rPr>
        </w:r>
        <w:r>
          <w:rPr>
            <w:noProof/>
            <w:webHidden/>
          </w:rPr>
          <w:fldChar w:fldCharType="separate"/>
        </w:r>
        <w:r>
          <w:rPr>
            <w:noProof/>
            <w:webHidden/>
          </w:rPr>
          <w:t>47</w:t>
        </w:r>
        <w:r>
          <w:rPr>
            <w:noProof/>
            <w:webHidden/>
          </w:rPr>
          <w:fldChar w:fldCharType="end"/>
        </w:r>
      </w:hyperlink>
    </w:p>
    <w:p w14:paraId="12968E8C" w14:textId="77777777" w:rsidR="00463F52" w:rsidRDefault="00463F52">
      <w:pPr>
        <w:pStyle w:val="TOC2"/>
        <w:tabs>
          <w:tab w:val="right" w:leader="dot" w:pos="8486"/>
        </w:tabs>
        <w:rPr>
          <w:rFonts w:asciiTheme="minorHAnsi" w:eastAsiaTheme="minorEastAsia" w:hAnsiTheme="minorHAnsi" w:cstheme="minorBidi"/>
          <w:noProof/>
        </w:rPr>
      </w:pPr>
      <w:hyperlink w:anchor="_Toc449964853" w:history="1">
        <w:r w:rsidRPr="005B4E8F">
          <w:rPr>
            <w:rStyle w:val="Hyperlink"/>
            <w:noProof/>
            <w:lang w:bidi="en-US"/>
          </w:rPr>
          <w:t>3.5 Biomass characterization</w:t>
        </w:r>
        <w:r>
          <w:rPr>
            <w:noProof/>
            <w:webHidden/>
          </w:rPr>
          <w:tab/>
        </w:r>
        <w:r>
          <w:rPr>
            <w:noProof/>
            <w:webHidden/>
          </w:rPr>
          <w:fldChar w:fldCharType="begin"/>
        </w:r>
        <w:r>
          <w:rPr>
            <w:noProof/>
            <w:webHidden/>
          </w:rPr>
          <w:instrText xml:space="preserve"> PAGEREF _Toc449964853 \h </w:instrText>
        </w:r>
        <w:r>
          <w:rPr>
            <w:noProof/>
            <w:webHidden/>
          </w:rPr>
        </w:r>
        <w:r>
          <w:rPr>
            <w:noProof/>
            <w:webHidden/>
          </w:rPr>
          <w:fldChar w:fldCharType="separate"/>
        </w:r>
        <w:r>
          <w:rPr>
            <w:noProof/>
            <w:webHidden/>
          </w:rPr>
          <w:t>47</w:t>
        </w:r>
        <w:r>
          <w:rPr>
            <w:noProof/>
            <w:webHidden/>
          </w:rPr>
          <w:fldChar w:fldCharType="end"/>
        </w:r>
      </w:hyperlink>
    </w:p>
    <w:p w14:paraId="34E73F8A" w14:textId="77777777" w:rsidR="00463F52" w:rsidRDefault="00463F52">
      <w:pPr>
        <w:pStyle w:val="TOC3"/>
        <w:tabs>
          <w:tab w:val="right" w:leader="dot" w:pos="8486"/>
        </w:tabs>
        <w:rPr>
          <w:rFonts w:asciiTheme="minorHAnsi" w:eastAsiaTheme="minorEastAsia" w:hAnsiTheme="minorHAnsi" w:cstheme="minorBidi"/>
          <w:noProof/>
        </w:rPr>
      </w:pPr>
      <w:hyperlink w:anchor="_Toc449964854" w:history="1">
        <w:r w:rsidRPr="005B4E8F">
          <w:rPr>
            <w:rStyle w:val="Hyperlink"/>
            <w:noProof/>
            <w:lang w:bidi="en-US"/>
          </w:rPr>
          <w:t>3.5.1 Oak cell wall composition</w:t>
        </w:r>
        <w:r>
          <w:rPr>
            <w:noProof/>
            <w:webHidden/>
          </w:rPr>
          <w:tab/>
        </w:r>
        <w:r>
          <w:rPr>
            <w:noProof/>
            <w:webHidden/>
          </w:rPr>
          <w:fldChar w:fldCharType="begin"/>
        </w:r>
        <w:r>
          <w:rPr>
            <w:noProof/>
            <w:webHidden/>
          </w:rPr>
          <w:instrText xml:space="preserve"> PAGEREF _Toc449964854 \h </w:instrText>
        </w:r>
        <w:r>
          <w:rPr>
            <w:noProof/>
            <w:webHidden/>
          </w:rPr>
        </w:r>
        <w:r>
          <w:rPr>
            <w:noProof/>
            <w:webHidden/>
          </w:rPr>
          <w:fldChar w:fldCharType="separate"/>
        </w:r>
        <w:r>
          <w:rPr>
            <w:noProof/>
            <w:webHidden/>
          </w:rPr>
          <w:t>47</w:t>
        </w:r>
        <w:r>
          <w:rPr>
            <w:noProof/>
            <w:webHidden/>
          </w:rPr>
          <w:fldChar w:fldCharType="end"/>
        </w:r>
      </w:hyperlink>
    </w:p>
    <w:p w14:paraId="267D7131" w14:textId="77777777" w:rsidR="00463F52" w:rsidRDefault="00463F52">
      <w:pPr>
        <w:pStyle w:val="TOC3"/>
        <w:tabs>
          <w:tab w:val="right" w:leader="dot" w:pos="8486"/>
        </w:tabs>
        <w:rPr>
          <w:rFonts w:asciiTheme="minorHAnsi" w:eastAsiaTheme="minorEastAsia" w:hAnsiTheme="minorHAnsi" w:cstheme="minorBidi"/>
          <w:noProof/>
        </w:rPr>
      </w:pPr>
      <w:hyperlink w:anchor="_Toc449964855" w:history="1">
        <w:r w:rsidRPr="005B4E8F">
          <w:rPr>
            <w:rStyle w:val="Hyperlink"/>
            <w:noProof/>
            <w:lang w:bidi="en-US"/>
          </w:rPr>
          <w:t>3.5.2 Switchgrass NIRS Characterization</w:t>
        </w:r>
        <w:r>
          <w:rPr>
            <w:noProof/>
            <w:webHidden/>
          </w:rPr>
          <w:tab/>
        </w:r>
        <w:r>
          <w:rPr>
            <w:noProof/>
            <w:webHidden/>
          </w:rPr>
          <w:fldChar w:fldCharType="begin"/>
        </w:r>
        <w:r>
          <w:rPr>
            <w:noProof/>
            <w:webHidden/>
          </w:rPr>
          <w:instrText xml:space="preserve"> PAGEREF _Toc449964855 \h </w:instrText>
        </w:r>
        <w:r>
          <w:rPr>
            <w:noProof/>
            <w:webHidden/>
          </w:rPr>
        </w:r>
        <w:r>
          <w:rPr>
            <w:noProof/>
            <w:webHidden/>
          </w:rPr>
          <w:fldChar w:fldCharType="separate"/>
        </w:r>
        <w:r>
          <w:rPr>
            <w:noProof/>
            <w:webHidden/>
          </w:rPr>
          <w:t>47</w:t>
        </w:r>
        <w:r>
          <w:rPr>
            <w:noProof/>
            <w:webHidden/>
          </w:rPr>
          <w:fldChar w:fldCharType="end"/>
        </w:r>
      </w:hyperlink>
    </w:p>
    <w:p w14:paraId="356C3965" w14:textId="77777777" w:rsidR="00463F52" w:rsidRDefault="00463F52">
      <w:pPr>
        <w:pStyle w:val="TOC3"/>
        <w:tabs>
          <w:tab w:val="right" w:leader="dot" w:pos="8486"/>
        </w:tabs>
        <w:rPr>
          <w:rFonts w:asciiTheme="minorHAnsi" w:eastAsiaTheme="minorEastAsia" w:hAnsiTheme="minorHAnsi" w:cstheme="minorBidi"/>
          <w:noProof/>
        </w:rPr>
      </w:pPr>
      <w:hyperlink w:anchor="_Toc449964856" w:history="1">
        <w:r w:rsidRPr="005B4E8F">
          <w:rPr>
            <w:rStyle w:val="Hyperlink"/>
            <w:noProof/>
            <w:lang w:bidi="en-US"/>
          </w:rPr>
          <w:t>3.5.3 Switchgrass cell wall chemical assay</w:t>
        </w:r>
        <w:r>
          <w:rPr>
            <w:noProof/>
            <w:webHidden/>
          </w:rPr>
          <w:tab/>
        </w:r>
        <w:r>
          <w:rPr>
            <w:noProof/>
            <w:webHidden/>
          </w:rPr>
          <w:fldChar w:fldCharType="begin"/>
        </w:r>
        <w:r>
          <w:rPr>
            <w:noProof/>
            <w:webHidden/>
          </w:rPr>
          <w:instrText xml:space="preserve"> PAGEREF _Toc449964856 \h </w:instrText>
        </w:r>
        <w:r>
          <w:rPr>
            <w:noProof/>
            <w:webHidden/>
          </w:rPr>
        </w:r>
        <w:r>
          <w:rPr>
            <w:noProof/>
            <w:webHidden/>
          </w:rPr>
          <w:fldChar w:fldCharType="separate"/>
        </w:r>
        <w:r>
          <w:rPr>
            <w:noProof/>
            <w:webHidden/>
          </w:rPr>
          <w:t>50</w:t>
        </w:r>
        <w:r>
          <w:rPr>
            <w:noProof/>
            <w:webHidden/>
          </w:rPr>
          <w:fldChar w:fldCharType="end"/>
        </w:r>
      </w:hyperlink>
    </w:p>
    <w:p w14:paraId="13E2B44E" w14:textId="77777777" w:rsidR="00463F52" w:rsidRDefault="00463F52">
      <w:pPr>
        <w:pStyle w:val="TOC1"/>
        <w:rPr>
          <w:rFonts w:asciiTheme="minorHAnsi" w:eastAsiaTheme="minorEastAsia" w:hAnsiTheme="minorHAnsi" w:cstheme="minorBidi"/>
          <w:noProof/>
        </w:rPr>
      </w:pPr>
      <w:hyperlink w:anchor="_Toc449964857" w:history="1">
        <w:r w:rsidRPr="005B4E8F">
          <w:rPr>
            <w:rStyle w:val="Hyperlink"/>
            <w:noProof/>
            <w:lang w:bidi="en-US"/>
          </w:rPr>
          <w:t>Chapter 4: Decoupling HZSM-5 Catalyst Activity from Deactivation During Upgrading of Pyrolysis Oil Vapors</w:t>
        </w:r>
        <w:r>
          <w:rPr>
            <w:noProof/>
            <w:webHidden/>
          </w:rPr>
          <w:tab/>
        </w:r>
        <w:r>
          <w:rPr>
            <w:noProof/>
            <w:webHidden/>
          </w:rPr>
          <w:fldChar w:fldCharType="begin"/>
        </w:r>
        <w:r>
          <w:rPr>
            <w:noProof/>
            <w:webHidden/>
          </w:rPr>
          <w:instrText xml:space="preserve"> PAGEREF _Toc449964857 \h </w:instrText>
        </w:r>
        <w:r>
          <w:rPr>
            <w:noProof/>
            <w:webHidden/>
          </w:rPr>
        </w:r>
        <w:r>
          <w:rPr>
            <w:noProof/>
            <w:webHidden/>
          </w:rPr>
          <w:fldChar w:fldCharType="separate"/>
        </w:r>
        <w:r>
          <w:rPr>
            <w:noProof/>
            <w:webHidden/>
          </w:rPr>
          <w:t>51</w:t>
        </w:r>
        <w:r>
          <w:rPr>
            <w:noProof/>
            <w:webHidden/>
          </w:rPr>
          <w:fldChar w:fldCharType="end"/>
        </w:r>
      </w:hyperlink>
    </w:p>
    <w:p w14:paraId="7B2BDB4A" w14:textId="77777777" w:rsidR="00463F52" w:rsidRDefault="00463F52">
      <w:pPr>
        <w:pStyle w:val="TOC2"/>
        <w:tabs>
          <w:tab w:val="right" w:leader="dot" w:pos="8486"/>
        </w:tabs>
        <w:rPr>
          <w:rFonts w:asciiTheme="minorHAnsi" w:eastAsiaTheme="minorEastAsia" w:hAnsiTheme="minorHAnsi" w:cstheme="minorBidi"/>
          <w:noProof/>
        </w:rPr>
      </w:pPr>
      <w:hyperlink w:anchor="_Toc449964858" w:history="1">
        <w:r w:rsidRPr="005B4E8F">
          <w:rPr>
            <w:rStyle w:val="Hyperlink"/>
            <w:noProof/>
            <w:lang w:bidi="en-US"/>
          </w:rPr>
          <w:t>4.1 Abstract</w:t>
        </w:r>
        <w:r>
          <w:rPr>
            <w:noProof/>
            <w:webHidden/>
          </w:rPr>
          <w:tab/>
        </w:r>
        <w:r>
          <w:rPr>
            <w:noProof/>
            <w:webHidden/>
          </w:rPr>
          <w:fldChar w:fldCharType="begin"/>
        </w:r>
        <w:r>
          <w:rPr>
            <w:noProof/>
            <w:webHidden/>
          </w:rPr>
          <w:instrText xml:space="preserve"> PAGEREF _Toc449964858 \h </w:instrText>
        </w:r>
        <w:r>
          <w:rPr>
            <w:noProof/>
            <w:webHidden/>
          </w:rPr>
        </w:r>
        <w:r>
          <w:rPr>
            <w:noProof/>
            <w:webHidden/>
          </w:rPr>
          <w:fldChar w:fldCharType="separate"/>
        </w:r>
        <w:r>
          <w:rPr>
            <w:noProof/>
            <w:webHidden/>
          </w:rPr>
          <w:t>51</w:t>
        </w:r>
        <w:r>
          <w:rPr>
            <w:noProof/>
            <w:webHidden/>
          </w:rPr>
          <w:fldChar w:fldCharType="end"/>
        </w:r>
      </w:hyperlink>
    </w:p>
    <w:p w14:paraId="5C88A69C" w14:textId="77777777" w:rsidR="00463F52" w:rsidRDefault="00463F52">
      <w:pPr>
        <w:pStyle w:val="TOC2"/>
        <w:tabs>
          <w:tab w:val="right" w:leader="dot" w:pos="8486"/>
        </w:tabs>
        <w:rPr>
          <w:rFonts w:asciiTheme="minorHAnsi" w:eastAsiaTheme="minorEastAsia" w:hAnsiTheme="minorHAnsi" w:cstheme="minorBidi"/>
          <w:noProof/>
        </w:rPr>
      </w:pPr>
      <w:hyperlink w:anchor="_Toc449964859" w:history="1">
        <w:r w:rsidRPr="005B4E8F">
          <w:rPr>
            <w:rStyle w:val="Hyperlink"/>
            <w:noProof/>
            <w:lang w:bidi="en-US"/>
          </w:rPr>
          <w:t>4.2 Introduction</w:t>
        </w:r>
        <w:r>
          <w:rPr>
            <w:noProof/>
            <w:webHidden/>
          </w:rPr>
          <w:tab/>
        </w:r>
        <w:r>
          <w:rPr>
            <w:noProof/>
            <w:webHidden/>
          </w:rPr>
          <w:fldChar w:fldCharType="begin"/>
        </w:r>
        <w:r>
          <w:rPr>
            <w:noProof/>
            <w:webHidden/>
          </w:rPr>
          <w:instrText xml:space="preserve"> PAGEREF _Toc449964859 \h </w:instrText>
        </w:r>
        <w:r>
          <w:rPr>
            <w:noProof/>
            <w:webHidden/>
          </w:rPr>
        </w:r>
        <w:r>
          <w:rPr>
            <w:noProof/>
            <w:webHidden/>
          </w:rPr>
          <w:fldChar w:fldCharType="separate"/>
        </w:r>
        <w:r>
          <w:rPr>
            <w:noProof/>
            <w:webHidden/>
          </w:rPr>
          <w:t>51</w:t>
        </w:r>
        <w:r>
          <w:rPr>
            <w:noProof/>
            <w:webHidden/>
          </w:rPr>
          <w:fldChar w:fldCharType="end"/>
        </w:r>
      </w:hyperlink>
    </w:p>
    <w:p w14:paraId="016C8AEA" w14:textId="77777777" w:rsidR="00463F52" w:rsidRDefault="00463F52">
      <w:pPr>
        <w:pStyle w:val="TOC2"/>
        <w:tabs>
          <w:tab w:val="right" w:leader="dot" w:pos="8486"/>
        </w:tabs>
        <w:rPr>
          <w:rFonts w:asciiTheme="minorHAnsi" w:eastAsiaTheme="minorEastAsia" w:hAnsiTheme="minorHAnsi" w:cstheme="minorBidi"/>
          <w:noProof/>
        </w:rPr>
      </w:pPr>
      <w:hyperlink w:anchor="_Toc449964860" w:history="1">
        <w:r w:rsidRPr="005B4E8F">
          <w:rPr>
            <w:rStyle w:val="Hyperlink"/>
            <w:noProof/>
            <w:lang w:bidi="en-US"/>
          </w:rPr>
          <w:t>4.3 Experimental</w:t>
        </w:r>
        <w:r>
          <w:rPr>
            <w:noProof/>
            <w:webHidden/>
          </w:rPr>
          <w:tab/>
        </w:r>
        <w:r>
          <w:rPr>
            <w:noProof/>
            <w:webHidden/>
          </w:rPr>
          <w:fldChar w:fldCharType="begin"/>
        </w:r>
        <w:r>
          <w:rPr>
            <w:noProof/>
            <w:webHidden/>
          </w:rPr>
          <w:instrText xml:space="preserve"> PAGEREF _Toc449964860 \h </w:instrText>
        </w:r>
        <w:r>
          <w:rPr>
            <w:noProof/>
            <w:webHidden/>
          </w:rPr>
        </w:r>
        <w:r>
          <w:rPr>
            <w:noProof/>
            <w:webHidden/>
          </w:rPr>
          <w:fldChar w:fldCharType="separate"/>
        </w:r>
        <w:r>
          <w:rPr>
            <w:noProof/>
            <w:webHidden/>
          </w:rPr>
          <w:t>54</w:t>
        </w:r>
        <w:r>
          <w:rPr>
            <w:noProof/>
            <w:webHidden/>
          </w:rPr>
          <w:fldChar w:fldCharType="end"/>
        </w:r>
      </w:hyperlink>
    </w:p>
    <w:p w14:paraId="3C19D720" w14:textId="77777777" w:rsidR="00463F52" w:rsidRDefault="00463F52">
      <w:pPr>
        <w:pStyle w:val="TOC2"/>
        <w:tabs>
          <w:tab w:val="right" w:leader="dot" w:pos="8486"/>
        </w:tabs>
        <w:rPr>
          <w:rFonts w:asciiTheme="minorHAnsi" w:eastAsiaTheme="minorEastAsia" w:hAnsiTheme="minorHAnsi" w:cstheme="minorBidi"/>
          <w:noProof/>
        </w:rPr>
      </w:pPr>
      <w:hyperlink w:anchor="_Toc449964861" w:history="1">
        <w:r w:rsidRPr="005B4E8F">
          <w:rPr>
            <w:rStyle w:val="Hyperlink"/>
            <w:noProof/>
            <w:lang w:bidi="en-US"/>
          </w:rPr>
          <w:t>4.4 Results and Discussion</w:t>
        </w:r>
        <w:r>
          <w:rPr>
            <w:noProof/>
            <w:webHidden/>
          </w:rPr>
          <w:tab/>
        </w:r>
        <w:r>
          <w:rPr>
            <w:noProof/>
            <w:webHidden/>
          </w:rPr>
          <w:fldChar w:fldCharType="begin"/>
        </w:r>
        <w:r>
          <w:rPr>
            <w:noProof/>
            <w:webHidden/>
          </w:rPr>
          <w:instrText xml:space="preserve"> PAGEREF _Toc449964861 \h </w:instrText>
        </w:r>
        <w:r>
          <w:rPr>
            <w:noProof/>
            <w:webHidden/>
          </w:rPr>
        </w:r>
        <w:r>
          <w:rPr>
            <w:noProof/>
            <w:webHidden/>
          </w:rPr>
          <w:fldChar w:fldCharType="separate"/>
        </w:r>
        <w:r>
          <w:rPr>
            <w:noProof/>
            <w:webHidden/>
          </w:rPr>
          <w:t>55</w:t>
        </w:r>
        <w:r>
          <w:rPr>
            <w:noProof/>
            <w:webHidden/>
          </w:rPr>
          <w:fldChar w:fldCharType="end"/>
        </w:r>
      </w:hyperlink>
    </w:p>
    <w:p w14:paraId="465EAF3B" w14:textId="77777777" w:rsidR="00463F52" w:rsidRDefault="00463F52">
      <w:pPr>
        <w:pStyle w:val="TOC3"/>
        <w:tabs>
          <w:tab w:val="right" w:leader="dot" w:pos="8486"/>
        </w:tabs>
        <w:rPr>
          <w:rFonts w:asciiTheme="minorHAnsi" w:eastAsiaTheme="minorEastAsia" w:hAnsiTheme="minorHAnsi" w:cstheme="minorBidi"/>
          <w:noProof/>
        </w:rPr>
      </w:pPr>
      <w:hyperlink w:anchor="_Toc449964862" w:history="1">
        <w:r w:rsidRPr="005B4E8F">
          <w:rPr>
            <w:rStyle w:val="Hyperlink"/>
            <w:noProof/>
            <w:lang w:bidi="en-US"/>
          </w:rPr>
          <w:t>4.4.1 Catalyst characterization</w:t>
        </w:r>
        <w:r>
          <w:rPr>
            <w:noProof/>
            <w:webHidden/>
          </w:rPr>
          <w:tab/>
        </w:r>
        <w:r>
          <w:rPr>
            <w:noProof/>
            <w:webHidden/>
          </w:rPr>
          <w:fldChar w:fldCharType="begin"/>
        </w:r>
        <w:r>
          <w:rPr>
            <w:noProof/>
            <w:webHidden/>
          </w:rPr>
          <w:instrText xml:space="preserve"> PAGEREF _Toc449964862 \h </w:instrText>
        </w:r>
        <w:r>
          <w:rPr>
            <w:noProof/>
            <w:webHidden/>
          </w:rPr>
        </w:r>
        <w:r>
          <w:rPr>
            <w:noProof/>
            <w:webHidden/>
          </w:rPr>
          <w:fldChar w:fldCharType="separate"/>
        </w:r>
        <w:r>
          <w:rPr>
            <w:noProof/>
            <w:webHidden/>
          </w:rPr>
          <w:t>55</w:t>
        </w:r>
        <w:r>
          <w:rPr>
            <w:noProof/>
            <w:webHidden/>
          </w:rPr>
          <w:fldChar w:fldCharType="end"/>
        </w:r>
      </w:hyperlink>
    </w:p>
    <w:p w14:paraId="3975501D" w14:textId="77777777" w:rsidR="00463F52" w:rsidRDefault="00463F52">
      <w:pPr>
        <w:pStyle w:val="TOC3"/>
        <w:tabs>
          <w:tab w:val="right" w:leader="dot" w:pos="8486"/>
        </w:tabs>
        <w:rPr>
          <w:rFonts w:asciiTheme="minorHAnsi" w:eastAsiaTheme="minorEastAsia" w:hAnsiTheme="minorHAnsi" w:cstheme="minorBidi"/>
          <w:noProof/>
        </w:rPr>
      </w:pPr>
      <w:hyperlink w:anchor="_Toc449964863" w:history="1">
        <w:r w:rsidRPr="005B4E8F">
          <w:rPr>
            <w:rStyle w:val="Hyperlink"/>
            <w:noProof/>
            <w:lang w:bidi="en-US"/>
          </w:rPr>
          <w:t>4.4.2 Role of catalyst temperature</w:t>
        </w:r>
        <w:r>
          <w:rPr>
            <w:noProof/>
            <w:webHidden/>
          </w:rPr>
          <w:tab/>
        </w:r>
        <w:r>
          <w:rPr>
            <w:noProof/>
            <w:webHidden/>
          </w:rPr>
          <w:fldChar w:fldCharType="begin"/>
        </w:r>
        <w:r>
          <w:rPr>
            <w:noProof/>
            <w:webHidden/>
          </w:rPr>
          <w:instrText xml:space="preserve"> PAGEREF _Toc449964863 \h </w:instrText>
        </w:r>
        <w:r>
          <w:rPr>
            <w:noProof/>
            <w:webHidden/>
          </w:rPr>
        </w:r>
        <w:r>
          <w:rPr>
            <w:noProof/>
            <w:webHidden/>
          </w:rPr>
          <w:fldChar w:fldCharType="separate"/>
        </w:r>
        <w:r>
          <w:rPr>
            <w:noProof/>
            <w:webHidden/>
          </w:rPr>
          <w:t>57</w:t>
        </w:r>
        <w:r>
          <w:rPr>
            <w:noProof/>
            <w:webHidden/>
          </w:rPr>
          <w:fldChar w:fldCharType="end"/>
        </w:r>
      </w:hyperlink>
    </w:p>
    <w:p w14:paraId="648F2EAB" w14:textId="77777777" w:rsidR="00463F52" w:rsidRDefault="00463F52">
      <w:pPr>
        <w:pStyle w:val="TOC3"/>
        <w:tabs>
          <w:tab w:val="right" w:leader="dot" w:pos="8486"/>
        </w:tabs>
        <w:rPr>
          <w:rFonts w:asciiTheme="minorHAnsi" w:eastAsiaTheme="minorEastAsia" w:hAnsiTheme="minorHAnsi" w:cstheme="minorBidi"/>
          <w:noProof/>
        </w:rPr>
      </w:pPr>
      <w:hyperlink w:anchor="_Toc449964864" w:history="1">
        <w:r w:rsidRPr="005B4E8F">
          <w:rPr>
            <w:rStyle w:val="Hyperlink"/>
            <w:noProof/>
            <w:lang w:bidi="en-US"/>
          </w:rPr>
          <w:t>4.4.3 Varying acid site density</w:t>
        </w:r>
        <w:r>
          <w:rPr>
            <w:noProof/>
            <w:webHidden/>
          </w:rPr>
          <w:tab/>
        </w:r>
        <w:r>
          <w:rPr>
            <w:noProof/>
            <w:webHidden/>
          </w:rPr>
          <w:fldChar w:fldCharType="begin"/>
        </w:r>
        <w:r>
          <w:rPr>
            <w:noProof/>
            <w:webHidden/>
          </w:rPr>
          <w:instrText xml:space="preserve"> PAGEREF _Toc449964864 \h </w:instrText>
        </w:r>
        <w:r>
          <w:rPr>
            <w:noProof/>
            <w:webHidden/>
          </w:rPr>
        </w:r>
        <w:r>
          <w:rPr>
            <w:noProof/>
            <w:webHidden/>
          </w:rPr>
          <w:fldChar w:fldCharType="separate"/>
        </w:r>
        <w:r>
          <w:rPr>
            <w:noProof/>
            <w:webHidden/>
          </w:rPr>
          <w:t>66</w:t>
        </w:r>
        <w:r>
          <w:rPr>
            <w:noProof/>
            <w:webHidden/>
          </w:rPr>
          <w:fldChar w:fldCharType="end"/>
        </w:r>
      </w:hyperlink>
    </w:p>
    <w:p w14:paraId="63FE308F" w14:textId="77777777" w:rsidR="00463F52" w:rsidRDefault="00463F52">
      <w:pPr>
        <w:pStyle w:val="TOC3"/>
        <w:tabs>
          <w:tab w:val="right" w:leader="dot" w:pos="8486"/>
        </w:tabs>
        <w:rPr>
          <w:rFonts w:asciiTheme="minorHAnsi" w:eastAsiaTheme="minorEastAsia" w:hAnsiTheme="minorHAnsi" w:cstheme="minorBidi"/>
          <w:noProof/>
        </w:rPr>
      </w:pPr>
      <w:hyperlink w:anchor="_Toc449964865" w:history="1">
        <w:r w:rsidRPr="005B4E8F">
          <w:rPr>
            <w:rStyle w:val="Hyperlink"/>
            <w:noProof/>
            <w:lang w:bidi="en-US"/>
          </w:rPr>
          <w:t>4.4.4 Product yields</w:t>
        </w:r>
        <w:r>
          <w:rPr>
            <w:noProof/>
            <w:webHidden/>
          </w:rPr>
          <w:tab/>
        </w:r>
        <w:r>
          <w:rPr>
            <w:noProof/>
            <w:webHidden/>
          </w:rPr>
          <w:fldChar w:fldCharType="begin"/>
        </w:r>
        <w:r>
          <w:rPr>
            <w:noProof/>
            <w:webHidden/>
          </w:rPr>
          <w:instrText xml:space="preserve"> PAGEREF _Toc449964865 \h </w:instrText>
        </w:r>
        <w:r>
          <w:rPr>
            <w:noProof/>
            <w:webHidden/>
          </w:rPr>
        </w:r>
        <w:r>
          <w:rPr>
            <w:noProof/>
            <w:webHidden/>
          </w:rPr>
          <w:fldChar w:fldCharType="separate"/>
        </w:r>
        <w:r>
          <w:rPr>
            <w:noProof/>
            <w:webHidden/>
          </w:rPr>
          <w:t>78</w:t>
        </w:r>
        <w:r>
          <w:rPr>
            <w:noProof/>
            <w:webHidden/>
          </w:rPr>
          <w:fldChar w:fldCharType="end"/>
        </w:r>
      </w:hyperlink>
    </w:p>
    <w:p w14:paraId="2999C102" w14:textId="77777777" w:rsidR="00463F52" w:rsidRDefault="00463F52">
      <w:pPr>
        <w:pStyle w:val="TOC2"/>
        <w:tabs>
          <w:tab w:val="right" w:leader="dot" w:pos="8486"/>
        </w:tabs>
        <w:rPr>
          <w:rFonts w:asciiTheme="minorHAnsi" w:eastAsiaTheme="minorEastAsia" w:hAnsiTheme="minorHAnsi" w:cstheme="minorBidi"/>
          <w:noProof/>
        </w:rPr>
      </w:pPr>
      <w:hyperlink w:anchor="_Toc449964866" w:history="1">
        <w:r w:rsidRPr="005B4E8F">
          <w:rPr>
            <w:rStyle w:val="Hyperlink"/>
            <w:noProof/>
            <w:lang w:bidi="en-US"/>
          </w:rPr>
          <w:t>4.5 Conclusions</w:t>
        </w:r>
        <w:r>
          <w:rPr>
            <w:noProof/>
            <w:webHidden/>
          </w:rPr>
          <w:tab/>
        </w:r>
        <w:r>
          <w:rPr>
            <w:noProof/>
            <w:webHidden/>
          </w:rPr>
          <w:fldChar w:fldCharType="begin"/>
        </w:r>
        <w:r>
          <w:rPr>
            <w:noProof/>
            <w:webHidden/>
          </w:rPr>
          <w:instrText xml:space="preserve"> PAGEREF _Toc449964866 \h </w:instrText>
        </w:r>
        <w:r>
          <w:rPr>
            <w:noProof/>
            <w:webHidden/>
          </w:rPr>
        </w:r>
        <w:r>
          <w:rPr>
            <w:noProof/>
            <w:webHidden/>
          </w:rPr>
          <w:fldChar w:fldCharType="separate"/>
        </w:r>
        <w:r>
          <w:rPr>
            <w:noProof/>
            <w:webHidden/>
          </w:rPr>
          <w:t>80</w:t>
        </w:r>
        <w:r>
          <w:rPr>
            <w:noProof/>
            <w:webHidden/>
          </w:rPr>
          <w:fldChar w:fldCharType="end"/>
        </w:r>
      </w:hyperlink>
    </w:p>
    <w:p w14:paraId="0A8E2227" w14:textId="77777777" w:rsidR="00463F52" w:rsidRDefault="00463F52">
      <w:pPr>
        <w:pStyle w:val="TOC2"/>
        <w:tabs>
          <w:tab w:val="right" w:leader="dot" w:pos="8486"/>
        </w:tabs>
        <w:rPr>
          <w:rFonts w:asciiTheme="minorHAnsi" w:eastAsiaTheme="minorEastAsia" w:hAnsiTheme="minorHAnsi" w:cstheme="minorBidi"/>
          <w:noProof/>
        </w:rPr>
      </w:pPr>
      <w:hyperlink w:anchor="_Toc449964867" w:history="1">
        <w:r w:rsidRPr="005B4E8F">
          <w:rPr>
            <w:rStyle w:val="Hyperlink"/>
            <w:noProof/>
            <w:lang w:bidi="en-US"/>
          </w:rPr>
          <w:t>4.6 Acknowledgements</w:t>
        </w:r>
        <w:r>
          <w:rPr>
            <w:noProof/>
            <w:webHidden/>
          </w:rPr>
          <w:tab/>
        </w:r>
        <w:r>
          <w:rPr>
            <w:noProof/>
            <w:webHidden/>
          </w:rPr>
          <w:fldChar w:fldCharType="begin"/>
        </w:r>
        <w:r>
          <w:rPr>
            <w:noProof/>
            <w:webHidden/>
          </w:rPr>
          <w:instrText xml:space="preserve"> PAGEREF _Toc449964867 \h </w:instrText>
        </w:r>
        <w:r>
          <w:rPr>
            <w:noProof/>
            <w:webHidden/>
          </w:rPr>
        </w:r>
        <w:r>
          <w:rPr>
            <w:noProof/>
            <w:webHidden/>
          </w:rPr>
          <w:fldChar w:fldCharType="separate"/>
        </w:r>
        <w:r>
          <w:rPr>
            <w:noProof/>
            <w:webHidden/>
          </w:rPr>
          <w:t>80</w:t>
        </w:r>
        <w:r>
          <w:rPr>
            <w:noProof/>
            <w:webHidden/>
          </w:rPr>
          <w:fldChar w:fldCharType="end"/>
        </w:r>
      </w:hyperlink>
    </w:p>
    <w:p w14:paraId="09C0DD08" w14:textId="77777777" w:rsidR="00463F52" w:rsidRDefault="00463F52">
      <w:pPr>
        <w:pStyle w:val="TOC1"/>
        <w:rPr>
          <w:rFonts w:asciiTheme="minorHAnsi" w:eastAsiaTheme="minorEastAsia" w:hAnsiTheme="minorHAnsi" w:cstheme="minorBidi"/>
          <w:noProof/>
        </w:rPr>
      </w:pPr>
      <w:hyperlink w:anchor="_Toc449964868" w:history="1">
        <w:r w:rsidRPr="005B4E8F">
          <w:rPr>
            <w:rStyle w:val="Hyperlink"/>
            <w:noProof/>
            <w:lang w:bidi="en-US"/>
          </w:rPr>
          <w:t>Chapter 5: Staged Thermal Fractionation for Segregation of Lignin and Cellulose Pyrolysis Products: An Experimental Study of Residence Time and Temperature Effects</w:t>
        </w:r>
        <w:r>
          <w:rPr>
            <w:noProof/>
            <w:webHidden/>
          </w:rPr>
          <w:tab/>
        </w:r>
        <w:r>
          <w:rPr>
            <w:noProof/>
            <w:webHidden/>
          </w:rPr>
          <w:fldChar w:fldCharType="begin"/>
        </w:r>
        <w:r>
          <w:rPr>
            <w:noProof/>
            <w:webHidden/>
          </w:rPr>
          <w:instrText xml:space="preserve"> PAGEREF _Toc449964868 \h </w:instrText>
        </w:r>
        <w:r>
          <w:rPr>
            <w:noProof/>
            <w:webHidden/>
          </w:rPr>
        </w:r>
        <w:r>
          <w:rPr>
            <w:noProof/>
            <w:webHidden/>
          </w:rPr>
          <w:fldChar w:fldCharType="separate"/>
        </w:r>
        <w:r>
          <w:rPr>
            <w:noProof/>
            <w:webHidden/>
          </w:rPr>
          <w:t>81</w:t>
        </w:r>
        <w:r>
          <w:rPr>
            <w:noProof/>
            <w:webHidden/>
          </w:rPr>
          <w:fldChar w:fldCharType="end"/>
        </w:r>
      </w:hyperlink>
    </w:p>
    <w:p w14:paraId="46EC2B7C" w14:textId="77777777" w:rsidR="00463F52" w:rsidRDefault="00463F52">
      <w:pPr>
        <w:pStyle w:val="TOC2"/>
        <w:tabs>
          <w:tab w:val="right" w:leader="dot" w:pos="8486"/>
        </w:tabs>
        <w:rPr>
          <w:rFonts w:asciiTheme="minorHAnsi" w:eastAsiaTheme="minorEastAsia" w:hAnsiTheme="minorHAnsi" w:cstheme="minorBidi"/>
          <w:noProof/>
        </w:rPr>
      </w:pPr>
      <w:hyperlink w:anchor="_Toc449964869" w:history="1">
        <w:r w:rsidRPr="005B4E8F">
          <w:rPr>
            <w:rStyle w:val="Hyperlink"/>
            <w:noProof/>
            <w:lang w:bidi="en-US"/>
          </w:rPr>
          <w:t>5.1 Abstract</w:t>
        </w:r>
        <w:r>
          <w:rPr>
            <w:noProof/>
            <w:webHidden/>
          </w:rPr>
          <w:tab/>
        </w:r>
        <w:r>
          <w:rPr>
            <w:noProof/>
            <w:webHidden/>
          </w:rPr>
          <w:fldChar w:fldCharType="begin"/>
        </w:r>
        <w:r>
          <w:rPr>
            <w:noProof/>
            <w:webHidden/>
          </w:rPr>
          <w:instrText xml:space="preserve"> PAGEREF _Toc449964869 \h </w:instrText>
        </w:r>
        <w:r>
          <w:rPr>
            <w:noProof/>
            <w:webHidden/>
          </w:rPr>
        </w:r>
        <w:r>
          <w:rPr>
            <w:noProof/>
            <w:webHidden/>
          </w:rPr>
          <w:fldChar w:fldCharType="separate"/>
        </w:r>
        <w:r>
          <w:rPr>
            <w:noProof/>
            <w:webHidden/>
          </w:rPr>
          <w:t>81</w:t>
        </w:r>
        <w:r>
          <w:rPr>
            <w:noProof/>
            <w:webHidden/>
          </w:rPr>
          <w:fldChar w:fldCharType="end"/>
        </w:r>
      </w:hyperlink>
    </w:p>
    <w:p w14:paraId="6D4D1AFF" w14:textId="77777777" w:rsidR="00463F52" w:rsidRDefault="00463F52">
      <w:pPr>
        <w:pStyle w:val="TOC2"/>
        <w:tabs>
          <w:tab w:val="right" w:leader="dot" w:pos="8486"/>
        </w:tabs>
        <w:rPr>
          <w:rFonts w:asciiTheme="minorHAnsi" w:eastAsiaTheme="minorEastAsia" w:hAnsiTheme="minorHAnsi" w:cstheme="minorBidi"/>
          <w:noProof/>
        </w:rPr>
      </w:pPr>
      <w:hyperlink w:anchor="_Toc449964870" w:history="1">
        <w:r w:rsidRPr="005B4E8F">
          <w:rPr>
            <w:rStyle w:val="Hyperlink"/>
            <w:noProof/>
            <w:lang w:bidi="en-US"/>
          </w:rPr>
          <w:t>5.2 Introduction</w:t>
        </w:r>
        <w:r>
          <w:rPr>
            <w:noProof/>
            <w:webHidden/>
          </w:rPr>
          <w:tab/>
        </w:r>
        <w:r>
          <w:rPr>
            <w:noProof/>
            <w:webHidden/>
          </w:rPr>
          <w:fldChar w:fldCharType="begin"/>
        </w:r>
        <w:r>
          <w:rPr>
            <w:noProof/>
            <w:webHidden/>
          </w:rPr>
          <w:instrText xml:space="preserve"> PAGEREF _Toc449964870 \h </w:instrText>
        </w:r>
        <w:r>
          <w:rPr>
            <w:noProof/>
            <w:webHidden/>
          </w:rPr>
        </w:r>
        <w:r>
          <w:rPr>
            <w:noProof/>
            <w:webHidden/>
          </w:rPr>
          <w:fldChar w:fldCharType="separate"/>
        </w:r>
        <w:r>
          <w:rPr>
            <w:noProof/>
            <w:webHidden/>
          </w:rPr>
          <w:t>82</w:t>
        </w:r>
        <w:r>
          <w:rPr>
            <w:noProof/>
            <w:webHidden/>
          </w:rPr>
          <w:fldChar w:fldCharType="end"/>
        </w:r>
      </w:hyperlink>
    </w:p>
    <w:p w14:paraId="42119881" w14:textId="77777777" w:rsidR="00463F52" w:rsidRDefault="00463F52">
      <w:pPr>
        <w:pStyle w:val="TOC2"/>
        <w:tabs>
          <w:tab w:val="right" w:leader="dot" w:pos="8486"/>
        </w:tabs>
        <w:rPr>
          <w:rFonts w:asciiTheme="minorHAnsi" w:eastAsiaTheme="minorEastAsia" w:hAnsiTheme="minorHAnsi" w:cstheme="minorBidi"/>
          <w:noProof/>
        </w:rPr>
      </w:pPr>
      <w:hyperlink w:anchor="_Toc449964871" w:history="1">
        <w:r w:rsidRPr="005B4E8F">
          <w:rPr>
            <w:rStyle w:val="Hyperlink"/>
            <w:noProof/>
            <w:lang w:bidi="en-US"/>
          </w:rPr>
          <w:t>5.3 Experimental</w:t>
        </w:r>
        <w:r>
          <w:rPr>
            <w:noProof/>
            <w:webHidden/>
          </w:rPr>
          <w:tab/>
        </w:r>
        <w:r>
          <w:rPr>
            <w:noProof/>
            <w:webHidden/>
          </w:rPr>
          <w:fldChar w:fldCharType="begin"/>
        </w:r>
        <w:r>
          <w:rPr>
            <w:noProof/>
            <w:webHidden/>
          </w:rPr>
          <w:instrText xml:space="preserve"> PAGEREF _Toc449964871 \h </w:instrText>
        </w:r>
        <w:r>
          <w:rPr>
            <w:noProof/>
            <w:webHidden/>
          </w:rPr>
        </w:r>
        <w:r>
          <w:rPr>
            <w:noProof/>
            <w:webHidden/>
          </w:rPr>
          <w:fldChar w:fldCharType="separate"/>
        </w:r>
        <w:r>
          <w:rPr>
            <w:noProof/>
            <w:webHidden/>
          </w:rPr>
          <w:t>82</w:t>
        </w:r>
        <w:r>
          <w:rPr>
            <w:noProof/>
            <w:webHidden/>
          </w:rPr>
          <w:fldChar w:fldCharType="end"/>
        </w:r>
      </w:hyperlink>
    </w:p>
    <w:p w14:paraId="38146E0C" w14:textId="77777777" w:rsidR="00463F52" w:rsidRDefault="00463F52">
      <w:pPr>
        <w:pStyle w:val="TOC3"/>
        <w:tabs>
          <w:tab w:val="right" w:leader="dot" w:pos="8486"/>
        </w:tabs>
        <w:rPr>
          <w:rFonts w:asciiTheme="minorHAnsi" w:eastAsiaTheme="minorEastAsia" w:hAnsiTheme="minorHAnsi" w:cstheme="minorBidi"/>
          <w:noProof/>
        </w:rPr>
      </w:pPr>
      <w:hyperlink w:anchor="_Toc449964872" w:history="1">
        <w:r w:rsidRPr="005B4E8F">
          <w:rPr>
            <w:rStyle w:val="Hyperlink"/>
            <w:noProof/>
            <w:lang w:bidi="en-US"/>
          </w:rPr>
          <w:t>5.3.1 Biomass Feedstock</w:t>
        </w:r>
        <w:r>
          <w:rPr>
            <w:noProof/>
            <w:webHidden/>
          </w:rPr>
          <w:tab/>
        </w:r>
        <w:r>
          <w:rPr>
            <w:noProof/>
            <w:webHidden/>
          </w:rPr>
          <w:fldChar w:fldCharType="begin"/>
        </w:r>
        <w:r>
          <w:rPr>
            <w:noProof/>
            <w:webHidden/>
          </w:rPr>
          <w:instrText xml:space="preserve"> PAGEREF _Toc449964872 \h </w:instrText>
        </w:r>
        <w:r>
          <w:rPr>
            <w:noProof/>
            <w:webHidden/>
          </w:rPr>
        </w:r>
        <w:r>
          <w:rPr>
            <w:noProof/>
            <w:webHidden/>
          </w:rPr>
          <w:fldChar w:fldCharType="separate"/>
        </w:r>
        <w:r>
          <w:rPr>
            <w:noProof/>
            <w:webHidden/>
          </w:rPr>
          <w:t>82</w:t>
        </w:r>
        <w:r>
          <w:rPr>
            <w:noProof/>
            <w:webHidden/>
          </w:rPr>
          <w:fldChar w:fldCharType="end"/>
        </w:r>
      </w:hyperlink>
    </w:p>
    <w:p w14:paraId="02CE8C65" w14:textId="77777777" w:rsidR="00463F52" w:rsidRDefault="00463F52">
      <w:pPr>
        <w:pStyle w:val="TOC3"/>
        <w:tabs>
          <w:tab w:val="right" w:leader="dot" w:pos="8486"/>
        </w:tabs>
        <w:rPr>
          <w:rFonts w:asciiTheme="minorHAnsi" w:eastAsiaTheme="minorEastAsia" w:hAnsiTheme="minorHAnsi" w:cstheme="minorBidi"/>
          <w:noProof/>
        </w:rPr>
      </w:pPr>
      <w:hyperlink w:anchor="_Toc449964873" w:history="1">
        <w:r w:rsidRPr="005B4E8F">
          <w:rPr>
            <w:rStyle w:val="Hyperlink"/>
            <w:noProof/>
            <w:lang w:bidi="en-US"/>
          </w:rPr>
          <w:t>5.3.2 Selection of initial conditions</w:t>
        </w:r>
        <w:r>
          <w:rPr>
            <w:noProof/>
            <w:webHidden/>
          </w:rPr>
          <w:tab/>
        </w:r>
        <w:r>
          <w:rPr>
            <w:noProof/>
            <w:webHidden/>
          </w:rPr>
          <w:fldChar w:fldCharType="begin"/>
        </w:r>
        <w:r>
          <w:rPr>
            <w:noProof/>
            <w:webHidden/>
          </w:rPr>
          <w:instrText xml:space="preserve"> PAGEREF _Toc449964873 \h </w:instrText>
        </w:r>
        <w:r>
          <w:rPr>
            <w:noProof/>
            <w:webHidden/>
          </w:rPr>
        </w:r>
        <w:r>
          <w:rPr>
            <w:noProof/>
            <w:webHidden/>
          </w:rPr>
          <w:fldChar w:fldCharType="separate"/>
        </w:r>
        <w:r>
          <w:rPr>
            <w:noProof/>
            <w:webHidden/>
          </w:rPr>
          <w:t>83</w:t>
        </w:r>
        <w:r>
          <w:rPr>
            <w:noProof/>
            <w:webHidden/>
          </w:rPr>
          <w:fldChar w:fldCharType="end"/>
        </w:r>
      </w:hyperlink>
    </w:p>
    <w:p w14:paraId="48EC9D7D" w14:textId="77777777" w:rsidR="00463F52" w:rsidRDefault="00463F52">
      <w:pPr>
        <w:pStyle w:val="TOC3"/>
        <w:tabs>
          <w:tab w:val="right" w:leader="dot" w:pos="8486"/>
        </w:tabs>
        <w:rPr>
          <w:rFonts w:asciiTheme="minorHAnsi" w:eastAsiaTheme="minorEastAsia" w:hAnsiTheme="minorHAnsi" w:cstheme="minorBidi"/>
          <w:noProof/>
        </w:rPr>
      </w:pPr>
      <w:hyperlink w:anchor="_Toc449964874" w:history="1">
        <w:r w:rsidRPr="005B4E8F">
          <w:rPr>
            <w:rStyle w:val="Hyperlink"/>
            <w:noProof/>
            <w:lang w:bidi="en-US"/>
          </w:rPr>
          <w:t>5.3.3 Conversion of stage 1 solid samples at stage 2 conditions</w:t>
        </w:r>
        <w:r>
          <w:rPr>
            <w:noProof/>
            <w:webHidden/>
          </w:rPr>
          <w:tab/>
        </w:r>
        <w:r>
          <w:rPr>
            <w:noProof/>
            <w:webHidden/>
          </w:rPr>
          <w:fldChar w:fldCharType="begin"/>
        </w:r>
        <w:r>
          <w:rPr>
            <w:noProof/>
            <w:webHidden/>
          </w:rPr>
          <w:instrText xml:space="preserve"> PAGEREF _Toc449964874 \h </w:instrText>
        </w:r>
        <w:r>
          <w:rPr>
            <w:noProof/>
            <w:webHidden/>
          </w:rPr>
        </w:r>
        <w:r>
          <w:rPr>
            <w:noProof/>
            <w:webHidden/>
          </w:rPr>
          <w:fldChar w:fldCharType="separate"/>
        </w:r>
        <w:r>
          <w:rPr>
            <w:noProof/>
            <w:webHidden/>
          </w:rPr>
          <w:t>86</w:t>
        </w:r>
        <w:r>
          <w:rPr>
            <w:noProof/>
            <w:webHidden/>
          </w:rPr>
          <w:fldChar w:fldCharType="end"/>
        </w:r>
      </w:hyperlink>
    </w:p>
    <w:p w14:paraId="386290FD" w14:textId="77777777" w:rsidR="00463F52" w:rsidRDefault="00463F52">
      <w:pPr>
        <w:pStyle w:val="TOC2"/>
        <w:tabs>
          <w:tab w:val="right" w:leader="dot" w:pos="8486"/>
        </w:tabs>
        <w:rPr>
          <w:rFonts w:asciiTheme="minorHAnsi" w:eastAsiaTheme="minorEastAsia" w:hAnsiTheme="minorHAnsi" w:cstheme="minorBidi"/>
          <w:noProof/>
        </w:rPr>
      </w:pPr>
      <w:hyperlink w:anchor="_Toc449964875" w:history="1">
        <w:r w:rsidRPr="005B4E8F">
          <w:rPr>
            <w:rStyle w:val="Hyperlink"/>
            <w:noProof/>
            <w:lang w:bidi="en-US"/>
          </w:rPr>
          <w:t>5.4 Results &amp; Discussion</w:t>
        </w:r>
        <w:r>
          <w:rPr>
            <w:noProof/>
            <w:webHidden/>
          </w:rPr>
          <w:tab/>
        </w:r>
        <w:r>
          <w:rPr>
            <w:noProof/>
            <w:webHidden/>
          </w:rPr>
          <w:fldChar w:fldCharType="begin"/>
        </w:r>
        <w:r>
          <w:rPr>
            <w:noProof/>
            <w:webHidden/>
          </w:rPr>
          <w:instrText xml:space="preserve"> PAGEREF _Toc449964875 \h </w:instrText>
        </w:r>
        <w:r>
          <w:rPr>
            <w:noProof/>
            <w:webHidden/>
          </w:rPr>
        </w:r>
        <w:r>
          <w:rPr>
            <w:noProof/>
            <w:webHidden/>
          </w:rPr>
          <w:fldChar w:fldCharType="separate"/>
        </w:r>
        <w:r>
          <w:rPr>
            <w:noProof/>
            <w:webHidden/>
          </w:rPr>
          <w:t>87</w:t>
        </w:r>
        <w:r>
          <w:rPr>
            <w:noProof/>
            <w:webHidden/>
          </w:rPr>
          <w:fldChar w:fldCharType="end"/>
        </w:r>
      </w:hyperlink>
    </w:p>
    <w:p w14:paraId="38611CD1" w14:textId="77777777" w:rsidR="00463F52" w:rsidRDefault="00463F52">
      <w:pPr>
        <w:pStyle w:val="TOC3"/>
        <w:tabs>
          <w:tab w:val="right" w:leader="dot" w:pos="8486"/>
        </w:tabs>
        <w:rPr>
          <w:rFonts w:asciiTheme="minorHAnsi" w:eastAsiaTheme="minorEastAsia" w:hAnsiTheme="minorHAnsi" w:cstheme="minorBidi"/>
          <w:noProof/>
        </w:rPr>
      </w:pPr>
      <w:hyperlink w:anchor="_Toc449964876" w:history="1">
        <w:r w:rsidRPr="005B4E8F">
          <w:rPr>
            <w:rStyle w:val="Hyperlink"/>
            <w:noProof/>
            <w:lang w:bidi="en-US"/>
          </w:rPr>
          <w:t>5.4.1 First temperature step products characterization</w:t>
        </w:r>
        <w:r>
          <w:rPr>
            <w:noProof/>
            <w:webHidden/>
          </w:rPr>
          <w:tab/>
        </w:r>
        <w:r>
          <w:rPr>
            <w:noProof/>
            <w:webHidden/>
          </w:rPr>
          <w:fldChar w:fldCharType="begin"/>
        </w:r>
        <w:r>
          <w:rPr>
            <w:noProof/>
            <w:webHidden/>
          </w:rPr>
          <w:instrText xml:space="preserve"> PAGEREF _Toc449964876 \h </w:instrText>
        </w:r>
        <w:r>
          <w:rPr>
            <w:noProof/>
            <w:webHidden/>
          </w:rPr>
        </w:r>
        <w:r>
          <w:rPr>
            <w:noProof/>
            <w:webHidden/>
          </w:rPr>
          <w:fldChar w:fldCharType="separate"/>
        </w:r>
        <w:r>
          <w:rPr>
            <w:noProof/>
            <w:webHidden/>
          </w:rPr>
          <w:t>87</w:t>
        </w:r>
        <w:r>
          <w:rPr>
            <w:noProof/>
            <w:webHidden/>
          </w:rPr>
          <w:fldChar w:fldCharType="end"/>
        </w:r>
      </w:hyperlink>
    </w:p>
    <w:p w14:paraId="009B4EC7" w14:textId="77777777" w:rsidR="00463F52" w:rsidRDefault="00463F52">
      <w:pPr>
        <w:pStyle w:val="TOC3"/>
        <w:tabs>
          <w:tab w:val="right" w:leader="dot" w:pos="8486"/>
        </w:tabs>
        <w:rPr>
          <w:rFonts w:asciiTheme="minorHAnsi" w:eastAsiaTheme="minorEastAsia" w:hAnsiTheme="minorHAnsi" w:cstheme="minorBidi"/>
          <w:noProof/>
        </w:rPr>
      </w:pPr>
      <w:hyperlink w:anchor="_Toc449964877" w:history="1">
        <w:r w:rsidRPr="005B4E8F">
          <w:rPr>
            <w:rStyle w:val="Hyperlink"/>
            <w:noProof/>
            <w:lang w:bidi="en-US"/>
          </w:rPr>
          <w:t>5.4.2 Total Yields</w:t>
        </w:r>
        <w:r>
          <w:rPr>
            <w:noProof/>
            <w:webHidden/>
          </w:rPr>
          <w:tab/>
        </w:r>
        <w:r>
          <w:rPr>
            <w:noProof/>
            <w:webHidden/>
          </w:rPr>
          <w:fldChar w:fldCharType="begin"/>
        </w:r>
        <w:r>
          <w:rPr>
            <w:noProof/>
            <w:webHidden/>
          </w:rPr>
          <w:instrText xml:space="preserve"> PAGEREF _Toc449964877 \h </w:instrText>
        </w:r>
        <w:r>
          <w:rPr>
            <w:noProof/>
            <w:webHidden/>
          </w:rPr>
        </w:r>
        <w:r>
          <w:rPr>
            <w:noProof/>
            <w:webHidden/>
          </w:rPr>
          <w:fldChar w:fldCharType="separate"/>
        </w:r>
        <w:r>
          <w:rPr>
            <w:noProof/>
            <w:webHidden/>
          </w:rPr>
          <w:t>88</w:t>
        </w:r>
        <w:r>
          <w:rPr>
            <w:noProof/>
            <w:webHidden/>
          </w:rPr>
          <w:fldChar w:fldCharType="end"/>
        </w:r>
      </w:hyperlink>
    </w:p>
    <w:p w14:paraId="6129DB64" w14:textId="77777777" w:rsidR="00463F52" w:rsidRDefault="00463F52">
      <w:pPr>
        <w:pStyle w:val="TOC3"/>
        <w:tabs>
          <w:tab w:val="right" w:leader="dot" w:pos="8486"/>
        </w:tabs>
        <w:rPr>
          <w:rFonts w:asciiTheme="minorHAnsi" w:eastAsiaTheme="minorEastAsia" w:hAnsiTheme="minorHAnsi" w:cstheme="minorBidi"/>
          <w:noProof/>
        </w:rPr>
      </w:pPr>
      <w:hyperlink w:anchor="_Toc449964878" w:history="1">
        <w:r w:rsidRPr="005B4E8F">
          <w:rPr>
            <w:rStyle w:val="Hyperlink"/>
            <w:noProof/>
            <w:lang w:bidi="en-US"/>
          </w:rPr>
          <w:t>5.4.3 Segregation Ability</w:t>
        </w:r>
        <w:r>
          <w:rPr>
            <w:noProof/>
            <w:webHidden/>
          </w:rPr>
          <w:tab/>
        </w:r>
        <w:r>
          <w:rPr>
            <w:noProof/>
            <w:webHidden/>
          </w:rPr>
          <w:fldChar w:fldCharType="begin"/>
        </w:r>
        <w:r>
          <w:rPr>
            <w:noProof/>
            <w:webHidden/>
          </w:rPr>
          <w:instrText xml:space="preserve"> PAGEREF _Toc449964878 \h </w:instrText>
        </w:r>
        <w:r>
          <w:rPr>
            <w:noProof/>
            <w:webHidden/>
          </w:rPr>
        </w:r>
        <w:r>
          <w:rPr>
            <w:noProof/>
            <w:webHidden/>
          </w:rPr>
          <w:fldChar w:fldCharType="separate"/>
        </w:r>
        <w:r>
          <w:rPr>
            <w:noProof/>
            <w:webHidden/>
          </w:rPr>
          <w:t>100</w:t>
        </w:r>
        <w:r>
          <w:rPr>
            <w:noProof/>
            <w:webHidden/>
          </w:rPr>
          <w:fldChar w:fldCharType="end"/>
        </w:r>
      </w:hyperlink>
    </w:p>
    <w:p w14:paraId="1DD286E3" w14:textId="77777777" w:rsidR="00463F52" w:rsidRDefault="00463F52">
      <w:pPr>
        <w:pStyle w:val="TOC2"/>
        <w:tabs>
          <w:tab w:val="right" w:leader="dot" w:pos="8486"/>
        </w:tabs>
        <w:rPr>
          <w:rFonts w:asciiTheme="minorHAnsi" w:eastAsiaTheme="minorEastAsia" w:hAnsiTheme="minorHAnsi" w:cstheme="minorBidi"/>
          <w:noProof/>
        </w:rPr>
      </w:pPr>
      <w:hyperlink w:anchor="_Toc449964879" w:history="1">
        <w:r w:rsidRPr="005B4E8F">
          <w:rPr>
            <w:rStyle w:val="Hyperlink"/>
            <w:noProof/>
            <w:lang w:bidi="en-US"/>
          </w:rPr>
          <w:t>5.5 Conclusions</w:t>
        </w:r>
        <w:r>
          <w:rPr>
            <w:noProof/>
            <w:webHidden/>
          </w:rPr>
          <w:tab/>
        </w:r>
        <w:r>
          <w:rPr>
            <w:noProof/>
            <w:webHidden/>
          </w:rPr>
          <w:fldChar w:fldCharType="begin"/>
        </w:r>
        <w:r>
          <w:rPr>
            <w:noProof/>
            <w:webHidden/>
          </w:rPr>
          <w:instrText xml:space="preserve"> PAGEREF _Toc449964879 \h </w:instrText>
        </w:r>
        <w:r>
          <w:rPr>
            <w:noProof/>
            <w:webHidden/>
          </w:rPr>
        </w:r>
        <w:r>
          <w:rPr>
            <w:noProof/>
            <w:webHidden/>
          </w:rPr>
          <w:fldChar w:fldCharType="separate"/>
        </w:r>
        <w:r>
          <w:rPr>
            <w:noProof/>
            <w:webHidden/>
          </w:rPr>
          <w:t>104</w:t>
        </w:r>
        <w:r>
          <w:rPr>
            <w:noProof/>
            <w:webHidden/>
          </w:rPr>
          <w:fldChar w:fldCharType="end"/>
        </w:r>
      </w:hyperlink>
    </w:p>
    <w:p w14:paraId="308D8590" w14:textId="77777777" w:rsidR="00463F52" w:rsidRDefault="00463F52">
      <w:pPr>
        <w:pStyle w:val="TOC2"/>
        <w:tabs>
          <w:tab w:val="right" w:leader="dot" w:pos="8486"/>
        </w:tabs>
        <w:rPr>
          <w:rFonts w:asciiTheme="minorHAnsi" w:eastAsiaTheme="minorEastAsia" w:hAnsiTheme="minorHAnsi" w:cstheme="minorBidi"/>
          <w:noProof/>
        </w:rPr>
      </w:pPr>
      <w:hyperlink w:anchor="_Toc449964880" w:history="1">
        <w:r w:rsidRPr="005B4E8F">
          <w:rPr>
            <w:rStyle w:val="Hyperlink"/>
            <w:noProof/>
            <w:lang w:bidi="en-US"/>
          </w:rPr>
          <w:t>5.6 Acknowledgements</w:t>
        </w:r>
        <w:r>
          <w:rPr>
            <w:noProof/>
            <w:webHidden/>
          </w:rPr>
          <w:tab/>
        </w:r>
        <w:r>
          <w:rPr>
            <w:noProof/>
            <w:webHidden/>
          </w:rPr>
          <w:fldChar w:fldCharType="begin"/>
        </w:r>
        <w:r>
          <w:rPr>
            <w:noProof/>
            <w:webHidden/>
          </w:rPr>
          <w:instrText xml:space="preserve"> PAGEREF _Toc449964880 \h </w:instrText>
        </w:r>
        <w:r>
          <w:rPr>
            <w:noProof/>
            <w:webHidden/>
          </w:rPr>
        </w:r>
        <w:r>
          <w:rPr>
            <w:noProof/>
            <w:webHidden/>
          </w:rPr>
          <w:fldChar w:fldCharType="separate"/>
        </w:r>
        <w:r>
          <w:rPr>
            <w:noProof/>
            <w:webHidden/>
          </w:rPr>
          <w:t>108</w:t>
        </w:r>
        <w:r>
          <w:rPr>
            <w:noProof/>
            <w:webHidden/>
          </w:rPr>
          <w:fldChar w:fldCharType="end"/>
        </w:r>
      </w:hyperlink>
    </w:p>
    <w:p w14:paraId="4049A9A6" w14:textId="77777777" w:rsidR="00463F52" w:rsidRDefault="00463F52">
      <w:pPr>
        <w:pStyle w:val="TOC1"/>
        <w:rPr>
          <w:rFonts w:asciiTheme="minorHAnsi" w:eastAsiaTheme="minorEastAsia" w:hAnsiTheme="minorHAnsi" w:cstheme="minorBidi"/>
          <w:noProof/>
        </w:rPr>
      </w:pPr>
      <w:hyperlink w:anchor="_Toc449964881" w:history="1">
        <w:r w:rsidRPr="005B4E8F">
          <w:rPr>
            <w:rStyle w:val="Hyperlink"/>
            <w:noProof/>
            <w:lang w:bidi="en-US"/>
          </w:rPr>
          <w:t>Chapter 6: Predictive modeling of switchgrass thermochemical products from biomass compositional features</w:t>
        </w:r>
        <w:r>
          <w:rPr>
            <w:noProof/>
            <w:webHidden/>
          </w:rPr>
          <w:tab/>
        </w:r>
        <w:r>
          <w:rPr>
            <w:noProof/>
            <w:webHidden/>
          </w:rPr>
          <w:fldChar w:fldCharType="begin"/>
        </w:r>
        <w:r>
          <w:rPr>
            <w:noProof/>
            <w:webHidden/>
          </w:rPr>
          <w:instrText xml:space="preserve"> PAGEREF _Toc449964881 \h </w:instrText>
        </w:r>
        <w:r>
          <w:rPr>
            <w:noProof/>
            <w:webHidden/>
          </w:rPr>
        </w:r>
        <w:r>
          <w:rPr>
            <w:noProof/>
            <w:webHidden/>
          </w:rPr>
          <w:fldChar w:fldCharType="separate"/>
        </w:r>
        <w:r>
          <w:rPr>
            <w:noProof/>
            <w:webHidden/>
          </w:rPr>
          <w:t>109</w:t>
        </w:r>
        <w:r>
          <w:rPr>
            <w:noProof/>
            <w:webHidden/>
          </w:rPr>
          <w:fldChar w:fldCharType="end"/>
        </w:r>
      </w:hyperlink>
    </w:p>
    <w:p w14:paraId="64FE11F4" w14:textId="77777777" w:rsidR="00463F52" w:rsidRDefault="00463F52">
      <w:pPr>
        <w:pStyle w:val="TOC2"/>
        <w:tabs>
          <w:tab w:val="right" w:leader="dot" w:pos="8486"/>
        </w:tabs>
        <w:rPr>
          <w:rFonts w:asciiTheme="minorHAnsi" w:eastAsiaTheme="minorEastAsia" w:hAnsiTheme="minorHAnsi" w:cstheme="minorBidi"/>
          <w:noProof/>
        </w:rPr>
      </w:pPr>
      <w:hyperlink w:anchor="_Toc449964882" w:history="1">
        <w:r w:rsidRPr="005B4E8F">
          <w:rPr>
            <w:rStyle w:val="Hyperlink"/>
            <w:noProof/>
            <w:lang w:bidi="en-US"/>
          </w:rPr>
          <w:t>6.1 Abstract</w:t>
        </w:r>
        <w:r>
          <w:rPr>
            <w:noProof/>
            <w:webHidden/>
          </w:rPr>
          <w:tab/>
        </w:r>
        <w:r>
          <w:rPr>
            <w:noProof/>
            <w:webHidden/>
          </w:rPr>
          <w:fldChar w:fldCharType="begin"/>
        </w:r>
        <w:r>
          <w:rPr>
            <w:noProof/>
            <w:webHidden/>
          </w:rPr>
          <w:instrText xml:space="preserve"> PAGEREF _Toc449964882 \h </w:instrText>
        </w:r>
        <w:r>
          <w:rPr>
            <w:noProof/>
            <w:webHidden/>
          </w:rPr>
        </w:r>
        <w:r>
          <w:rPr>
            <w:noProof/>
            <w:webHidden/>
          </w:rPr>
          <w:fldChar w:fldCharType="separate"/>
        </w:r>
        <w:r>
          <w:rPr>
            <w:noProof/>
            <w:webHidden/>
          </w:rPr>
          <w:t>109</w:t>
        </w:r>
        <w:r>
          <w:rPr>
            <w:noProof/>
            <w:webHidden/>
          </w:rPr>
          <w:fldChar w:fldCharType="end"/>
        </w:r>
      </w:hyperlink>
    </w:p>
    <w:p w14:paraId="0203B6E1" w14:textId="77777777" w:rsidR="00463F52" w:rsidRDefault="00463F52">
      <w:pPr>
        <w:pStyle w:val="TOC2"/>
        <w:tabs>
          <w:tab w:val="right" w:leader="dot" w:pos="8486"/>
        </w:tabs>
        <w:rPr>
          <w:rFonts w:asciiTheme="minorHAnsi" w:eastAsiaTheme="minorEastAsia" w:hAnsiTheme="minorHAnsi" w:cstheme="minorBidi"/>
          <w:noProof/>
        </w:rPr>
      </w:pPr>
      <w:hyperlink w:anchor="_Toc449964883" w:history="1">
        <w:r w:rsidRPr="005B4E8F">
          <w:rPr>
            <w:rStyle w:val="Hyperlink"/>
            <w:noProof/>
            <w:lang w:bidi="en-US"/>
          </w:rPr>
          <w:t>6.2 Introduction</w:t>
        </w:r>
        <w:r>
          <w:rPr>
            <w:noProof/>
            <w:webHidden/>
          </w:rPr>
          <w:tab/>
        </w:r>
        <w:r>
          <w:rPr>
            <w:noProof/>
            <w:webHidden/>
          </w:rPr>
          <w:fldChar w:fldCharType="begin"/>
        </w:r>
        <w:r>
          <w:rPr>
            <w:noProof/>
            <w:webHidden/>
          </w:rPr>
          <w:instrText xml:space="preserve"> PAGEREF _Toc449964883 \h </w:instrText>
        </w:r>
        <w:r>
          <w:rPr>
            <w:noProof/>
            <w:webHidden/>
          </w:rPr>
        </w:r>
        <w:r>
          <w:rPr>
            <w:noProof/>
            <w:webHidden/>
          </w:rPr>
          <w:fldChar w:fldCharType="separate"/>
        </w:r>
        <w:r>
          <w:rPr>
            <w:noProof/>
            <w:webHidden/>
          </w:rPr>
          <w:t>110</w:t>
        </w:r>
        <w:r>
          <w:rPr>
            <w:noProof/>
            <w:webHidden/>
          </w:rPr>
          <w:fldChar w:fldCharType="end"/>
        </w:r>
      </w:hyperlink>
    </w:p>
    <w:p w14:paraId="638B852B" w14:textId="77777777" w:rsidR="00463F52" w:rsidRDefault="00463F52">
      <w:pPr>
        <w:pStyle w:val="TOC2"/>
        <w:tabs>
          <w:tab w:val="right" w:leader="dot" w:pos="8486"/>
        </w:tabs>
        <w:rPr>
          <w:rFonts w:asciiTheme="minorHAnsi" w:eastAsiaTheme="minorEastAsia" w:hAnsiTheme="minorHAnsi" w:cstheme="minorBidi"/>
          <w:noProof/>
        </w:rPr>
      </w:pPr>
      <w:hyperlink w:anchor="_Toc449964884" w:history="1">
        <w:r w:rsidRPr="005B4E8F">
          <w:rPr>
            <w:rStyle w:val="Hyperlink"/>
            <w:noProof/>
            <w:lang w:bidi="en-US"/>
          </w:rPr>
          <w:t>6.3 Experimental</w:t>
        </w:r>
        <w:r>
          <w:rPr>
            <w:noProof/>
            <w:webHidden/>
          </w:rPr>
          <w:tab/>
        </w:r>
        <w:r>
          <w:rPr>
            <w:noProof/>
            <w:webHidden/>
          </w:rPr>
          <w:fldChar w:fldCharType="begin"/>
        </w:r>
        <w:r>
          <w:rPr>
            <w:noProof/>
            <w:webHidden/>
          </w:rPr>
          <w:instrText xml:space="preserve"> PAGEREF _Toc449964884 \h </w:instrText>
        </w:r>
        <w:r>
          <w:rPr>
            <w:noProof/>
            <w:webHidden/>
          </w:rPr>
        </w:r>
        <w:r>
          <w:rPr>
            <w:noProof/>
            <w:webHidden/>
          </w:rPr>
          <w:fldChar w:fldCharType="separate"/>
        </w:r>
        <w:r>
          <w:rPr>
            <w:noProof/>
            <w:webHidden/>
          </w:rPr>
          <w:t>111</w:t>
        </w:r>
        <w:r>
          <w:rPr>
            <w:noProof/>
            <w:webHidden/>
          </w:rPr>
          <w:fldChar w:fldCharType="end"/>
        </w:r>
      </w:hyperlink>
    </w:p>
    <w:p w14:paraId="7A809BA3" w14:textId="77777777" w:rsidR="00463F52" w:rsidRDefault="00463F52">
      <w:pPr>
        <w:pStyle w:val="TOC3"/>
        <w:tabs>
          <w:tab w:val="right" w:leader="dot" w:pos="8486"/>
        </w:tabs>
        <w:rPr>
          <w:rFonts w:asciiTheme="minorHAnsi" w:eastAsiaTheme="minorEastAsia" w:hAnsiTheme="minorHAnsi" w:cstheme="minorBidi"/>
          <w:noProof/>
        </w:rPr>
      </w:pPr>
      <w:hyperlink w:anchor="_Toc449964885" w:history="1">
        <w:r w:rsidRPr="005B4E8F">
          <w:rPr>
            <w:rStyle w:val="Hyperlink"/>
            <w:noProof/>
            <w:lang w:bidi="en-US"/>
          </w:rPr>
          <w:t>6.3.1 Thermochemical Characterization</w:t>
        </w:r>
        <w:r>
          <w:rPr>
            <w:noProof/>
            <w:webHidden/>
          </w:rPr>
          <w:tab/>
        </w:r>
        <w:r>
          <w:rPr>
            <w:noProof/>
            <w:webHidden/>
          </w:rPr>
          <w:fldChar w:fldCharType="begin"/>
        </w:r>
        <w:r>
          <w:rPr>
            <w:noProof/>
            <w:webHidden/>
          </w:rPr>
          <w:instrText xml:space="preserve"> PAGEREF _Toc449964885 \h </w:instrText>
        </w:r>
        <w:r>
          <w:rPr>
            <w:noProof/>
            <w:webHidden/>
          </w:rPr>
        </w:r>
        <w:r>
          <w:rPr>
            <w:noProof/>
            <w:webHidden/>
          </w:rPr>
          <w:fldChar w:fldCharType="separate"/>
        </w:r>
        <w:r>
          <w:rPr>
            <w:noProof/>
            <w:webHidden/>
          </w:rPr>
          <w:t>112</w:t>
        </w:r>
        <w:r>
          <w:rPr>
            <w:noProof/>
            <w:webHidden/>
          </w:rPr>
          <w:fldChar w:fldCharType="end"/>
        </w:r>
      </w:hyperlink>
    </w:p>
    <w:p w14:paraId="32DFA4F7" w14:textId="77777777" w:rsidR="00463F52" w:rsidRDefault="00463F52">
      <w:pPr>
        <w:pStyle w:val="TOC3"/>
        <w:tabs>
          <w:tab w:val="right" w:leader="dot" w:pos="8486"/>
        </w:tabs>
        <w:rPr>
          <w:rFonts w:asciiTheme="minorHAnsi" w:eastAsiaTheme="minorEastAsia" w:hAnsiTheme="minorHAnsi" w:cstheme="minorBidi"/>
          <w:noProof/>
        </w:rPr>
      </w:pPr>
      <w:hyperlink w:anchor="_Toc449964886" w:history="1">
        <w:r w:rsidRPr="005B4E8F">
          <w:rPr>
            <w:rStyle w:val="Hyperlink"/>
            <w:noProof/>
            <w:lang w:bidi="en-US"/>
          </w:rPr>
          <w:t>6.3.2 Linear modeling</w:t>
        </w:r>
        <w:r>
          <w:rPr>
            <w:noProof/>
            <w:webHidden/>
          </w:rPr>
          <w:tab/>
        </w:r>
        <w:r>
          <w:rPr>
            <w:noProof/>
            <w:webHidden/>
          </w:rPr>
          <w:fldChar w:fldCharType="begin"/>
        </w:r>
        <w:r>
          <w:rPr>
            <w:noProof/>
            <w:webHidden/>
          </w:rPr>
          <w:instrText xml:space="preserve"> PAGEREF _Toc449964886 \h </w:instrText>
        </w:r>
        <w:r>
          <w:rPr>
            <w:noProof/>
            <w:webHidden/>
          </w:rPr>
        </w:r>
        <w:r>
          <w:rPr>
            <w:noProof/>
            <w:webHidden/>
          </w:rPr>
          <w:fldChar w:fldCharType="separate"/>
        </w:r>
        <w:r>
          <w:rPr>
            <w:noProof/>
            <w:webHidden/>
          </w:rPr>
          <w:t>115</w:t>
        </w:r>
        <w:r>
          <w:rPr>
            <w:noProof/>
            <w:webHidden/>
          </w:rPr>
          <w:fldChar w:fldCharType="end"/>
        </w:r>
      </w:hyperlink>
    </w:p>
    <w:p w14:paraId="48C86F2C" w14:textId="77777777" w:rsidR="00463F52" w:rsidRDefault="00463F52">
      <w:pPr>
        <w:pStyle w:val="TOC2"/>
        <w:tabs>
          <w:tab w:val="right" w:leader="dot" w:pos="8486"/>
        </w:tabs>
        <w:rPr>
          <w:rFonts w:asciiTheme="minorHAnsi" w:eastAsiaTheme="minorEastAsia" w:hAnsiTheme="minorHAnsi" w:cstheme="minorBidi"/>
          <w:noProof/>
        </w:rPr>
      </w:pPr>
      <w:hyperlink w:anchor="_Toc449964887" w:history="1">
        <w:r w:rsidRPr="005B4E8F">
          <w:rPr>
            <w:rStyle w:val="Hyperlink"/>
            <w:noProof/>
            <w:lang w:bidi="en-US"/>
          </w:rPr>
          <w:t>6.4 Results &amp; Discussion</w:t>
        </w:r>
        <w:r>
          <w:rPr>
            <w:noProof/>
            <w:webHidden/>
          </w:rPr>
          <w:tab/>
        </w:r>
        <w:r>
          <w:rPr>
            <w:noProof/>
            <w:webHidden/>
          </w:rPr>
          <w:fldChar w:fldCharType="begin"/>
        </w:r>
        <w:r>
          <w:rPr>
            <w:noProof/>
            <w:webHidden/>
          </w:rPr>
          <w:instrText xml:space="preserve"> PAGEREF _Toc449964887 \h </w:instrText>
        </w:r>
        <w:r>
          <w:rPr>
            <w:noProof/>
            <w:webHidden/>
          </w:rPr>
        </w:r>
        <w:r>
          <w:rPr>
            <w:noProof/>
            <w:webHidden/>
          </w:rPr>
          <w:fldChar w:fldCharType="separate"/>
        </w:r>
        <w:r>
          <w:rPr>
            <w:noProof/>
            <w:webHidden/>
          </w:rPr>
          <w:t>119</w:t>
        </w:r>
        <w:r>
          <w:rPr>
            <w:noProof/>
            <w:webHidden/>
          </w:rPr>
          <w:fldChar w:fldCharType="end"/>
        </w:r>
      </w:hyperlink>
    </w:p>
    <w:p w14:paraId="4C5DC3D9" w14:textId="77777777" w:rsidR="00463F52" w:rsidRDefault="00463F52">
      <w:pPr>
        <w:pStyle w:val="TOC3"/>
        <w:tabs>
          <w:tab w:val="right" w:leader="dot" w:pos="8486"/>
        </w:tabs>
        <w:rPr>
          <w:rFonts w:asciiTheme="minorHAnsi" w:eastAsiaTheme="minorEastAsia" w:hAnsiTheme="minorHAnsi" w:cstheme="minorBidi"/>
          <w:noProof/>
        </w:rPr>
      </w:pPr>
      <w:hyperlink w:anchor="_Toc449964888" w:history="1">
        <w:r w:rsidRPr="005B4E8F">
          <w:rPr>
            <w:rStyle w:val="Hyperlink"/>
            <w:noProof/>
            <w:lang w:bidi="en-US"/>
          </w:rPr>
          <w:t>6.4.1 Linear modeling</w:t>
        </w:r>
        <w:r>
          <w:rPr>
            <w:noProof/>
            <w:webHidden/>
          </w:rPr>
          <w:tab/>
        </w:r>
        <w:r>
          <w:rPr>
            <w:noProof/>
            <w:webHidden/>
          </w:rPr>
          <w:fldChar w:fldCharType="begin"/>
        </w:r>
        <w:r>
          <w:rPr>
            <w:noProof/>
            <w:webHidden/>
          </w:rPr>
          <w:instrText xml:space="preserve"> PAGEREF _Toc449964888 \h </w:instrText>
        </w:r>
        <w:r>
          <w:rPr>
            <w:noProof/>
            <w:webHidden/>
          </w:rPr>
        </w:r>
        <w:r>
          <w:rPr>
            <w:noProof/>
            <w:webHidden/>
          </w:rPr>
          <w:fldChar w:fldCharType="separate"/>
        </w:r>
        <w:r>
          <w:rPr>
            <w:noProof/>
            <w:webHidden/>
          </w:rPr>
          <w:t>119</w:t>
        </w:r>
        <w:r>
          <w:rPr>
            <w:noProof/>
            <w:webHidden/>
          </w:rPr>
          <w:fldChar w:fldCharType="end"/>
        </w:r>
      </w:hyperlink>
    </w:p>
    <w:p w14:paraId="442F4601" w14:textId="77777777" w:rsidR="00463F52" w:rsidRDefault="00463F52">
      <w:pPr>
        <w:pStyle w:val="TOC3"/>
        <w:tabs>
          <w:tab w:val="right" w:leader="dot" w:pos="8486"/>
        </w:tabs>
        <w:rPr>
          <w:rFonts w:asciiTheme="minorHAnsi" w:eastAsiaTheme="minorEastAsia" w:hAnsiTheme="minorHAnsi" w:cstheme="minorBidi"/>
          <w:noProof/>
        </w:rPr>
      </w:pPr>
      <w:hyperlink w:anchor="_Toc449964889" w:history="1">
        <w:r w:rsidRPr="005B4E8F">
          <w:rPr>
            <w:rStyle w:val="Hyperlink"/>
            <w:noProof/>
            <w:lang w:bidi="en-US"/>
          </w:rPr>
          <w:t>6.4.2 Torrefaction Schema 1 Relationships</w:t>
        </w:r>
        <w:r>
          <w:rPr>
            <w:noProof/>
            <w:webHidden/>
          </w:rPr>
          <w:tab/>
        </w:r>
        <w:r>
          <w:rPr>
            <w:noProof/>
            <w:webHidden/>
          </w:rPr>
          <w:fldChar w:fldCharType="begin"/>
        </w:r>
        <w:r>
          <w:rPr>
            <w:noProof/>
            <w:webHidden/>
          </w:rPr>
          <w:instrText xml:space="preserve"> PAGEREF _Toc449964889 \h </w:instrText>
        </w:r>
        <w:r>
          <w:rPr>
            <w:noProof/>
            <w:webHidden/>
          </w:rPr>
        </w:r>
        <w:r>
          <w:rPr>
            <w:noProof/>
            <w:webHidden/>
          </w:rPr>
          <w:fldChar w:fldCharType="separate"/>
        </w:r>
        <w:r>
          <w:rPr>
            <w:noProof/>
            <w:webHidden/>
          </w:rPr>
          <w:t>121</w:t>
        </w:r>
        <w:r>
          <w:rPr>
            <w:noProof/>
            <w:webHidden/>
          </w:rPr>
          <w:fldChar w:fldCharType="end"/>
        </w:r>
      </w:hyperlink>
    </w:p>
    <w:p w14:paraId="649D7CF6" w14:textId="77777777" w:rsidR="00463F52" w:rsidRDefault="00463F52">
      <w:pPr>
        <w:pStyle w:val="TOC3"/>
        <w:tabs>
          <w:tab w:val="right" w:leader="dot" w:pos="8486"/>
        </w:tabs>
        <w:rPr>
          <w:rFonts w:asciiTheme="minorHAnsi" w:eastAsiaTheme="minorEastAsia" w:hAnsiTheme="minorHAnsi" w:cstheme="minorBidi"/>
          <w:noProof/>
        </w:rPr>
      </w:pPr>
      <w:hyperlink w:anchor="_Toc449964890" w:history="1">
        <w:r w:rsidRPr="005B4E8F">
          <w:rPr>
            <w:rStyle w:val="Hyperlink"/>
            <w:noProof/>
            <w:lang w:bidi="en-US"/>
          </w:rPr>
          <w:t>6.4.3 Pyrolysis Schema 1 Relationships</w:t>
        </w:r>
        <w:r>
          <w:rPr>
            <w:noProof/>
            <w:webHidden/>
          </w:rPr>
          <w:tab/>
        </w:r>
        <w:r>
          <w:rPr>
            <w:noProof/>
            <w:webHidden/>
          </w:rPr>
          <w:fldChar w:fldCharType="begin"/>
        </w:r>
        <w:r>
          <w:rPr>
            <w:noProof/>
            <w:webHidden/>
          </w:rPr>
          <w:instrText xml:space="preserve"> PAGEREF _Toc449964890 \h </w:instrText>
        </w:r>
        <w:r>
          <w:rPr>
            <w:noProof/>
            <w:webHidden/>
          </w:rPr>
        </w:r>
        <w:r>
          <w:rPr>
            <w:noProof/>
            <w:webHidden/>
          </w:rPr>
          <w:fldChar w:fldCharType="separate"/>
        </w:r>
        <w:r>
          <w:rPr>
            <w:noProof/>
            <w:webHidden/>
          </w:rPr>
          <w:t>126</w:t>
        </w:r>
        <w:r>
          <w:rPr>
            <w:noProof/>
            <w:webHidden/>
          </w:rPr>
          <w:fldChar w:fldCharType="end"/>
        </w:r>
      </w:hyperlink>
    </w:p>
    <w:p w14:paraId="08CFD917" w14:textId="77777777" w:rsidR="00463F52" w:rsidRDefault="00463F52">
      <w:pPr>
        <w:pStyle w:val="TOC3"/>
        <w:tabs>
          <w:tab w:val="right" w:leader="dot" w:pos="8486"/>
        </w:tabs>
        <w:rPr>
          <w:rFonts w:asciiTheme="minorHAnsi" w:eastAsiaTheme="minorEastAsia" w:hAnsiTheme="minorHAnsi" w:cstheme="minorBidi"/>
          <w:noProof/>
        </w:rPr>
      </w:pPr>
      <w:hyperlink w:anchor="_Toc449964891" w:history="1">
        <w:r w:rsidRPr="005B4E8F">
          <w:rPr>
            <w:rStyle w:val="Hyperlink"/>
            <w:noProof/>
            <w:lang w:bidi="en-US"/>
          </w:rPr>
          <w:t>6.4.4 Torrefaction Schema 2 Relationships</w:t>
        </w:r>
        <w:r>
          <w:rPr>
            <w:noProof/>
            <w:webHidden/>
          </w:rPr>
          <w:tab/>
        </w:r>
        <w:r>
          <w:rPr>
            <w:noProof/>
            <w:webHidden/>
          </w:rPr>
          <w:fldChar w:fldCharType="begin"/>
        </w:r>
        <w:r>
          <w:rPr>
            <w:noProof/>
            <w:webHidden/>
          </w:rPr>
          <w:instrText xml:space="preserve"> PAGEREF _Toc449964891 \h </w:instrText>
        </w:r>
        <w:r>
          <w:rPr>
            <w:noProof/>
            <w:webHidden/>
          </w:rPr>
        </w:r>
        <w:r>
          <w:rPr>
            <w:noProof/>
            <w:webHidden/>
          </w:rPr>
          <w:fldChar w:fldCharType="separate"/>
        </w:r>
        <w:r>
          <w:rPr>
            <w:noProof/>
            <w:webHidden/>
          </w:rPr>
          <w:t>126</w:t>
        </w:r>
        <w:r>
          <w:rPr>
            <w:noProof/>
            <w:webHidden/>
          </w:rPr>
          <w:fldChar w:fldCharType="end"/>
        </w:r>
      </w:hyperlink>
    </w:p>
    <w:p w14:paraId="28C7F42A" w14:textId="77777777" w:rsidR="00463F52" w:rsidRDefault="00463F52">
      <w:pPr>
        <w:pStyle w:val="TOC3"/>
        <w:tabs>
          <w:tab w:val="right" w:leader="dot" w:pos="8486"/>
        </w:tabs>
        <w:rPr>
          <w:rFonts w:asciiTheme="minorHAnsi" w:eastAsiaTheme="minorEastAsia" w:hAnsiTheme="minorHAnsi" w:cstheme="minorBidi"/>
          <w:noProof/>
        </w:rPr>
      </w:pPr>
      <w:hyperlink w:anchor="_Toc449964892" w:history="1">
        <w:r w:rsidRPr="005B4E8F">
          <w:rPr>
            <w:rStyle w:val="Hyperlink"/>
            <w:noProof/>
            <w:lang w:bidi="en-US"/>
          </w:rPr>
          <w:t>6.4.5 Pyrolysis Schema 2 Relationships</w:t>
        </w:r>
        <w:r>
          <w:rPr>
            <w:noProof/>
            <w:webHidden/>
          </w:rPr>
          <w:tab/>
        </w:r>
        <w:r>
          <w:rPr>
            <w:noProof/>
            <w:webHidden/>
          </w:rPr>
          <w:fldChar w:fldCharType="begin"/>
        </w:r>
        <w:r>
          <w:rPr>
            <w:noProof/>
            <w:webHidden/>
          </w:rPr>
          <w:instrText xml:space="preserve"> PAGEREF _Toc449964892 \h </w:instrText>
        </w:r>
        <w:r>
          <w:rPr>
            <w:noProof/>
            <w:webHidden/>
          </w:rPr>
        </w:r>
        <w:r>
          <w:rPr>
            <w:noProof/>
            <w:webHidden/>
          </w:rPr>
          <w:fldChar w:fldCharType="separate"/>
        </w:r>
        <w:r>
          <w:rPr>
            <w:noProof/>
            <w:webHidden/>
          </w:rPr>
          <w:t>127</w:t>
        </w:r>
        <w:r>
          <w:rPr>
            <w:noProof/>
            <w:webHidden/>
          </w:rPr>
          <w:fldChar w:fldCharType="end"/>
        </w:r>
      </w:hyperlink>
    </w:p>
    <w:p w14:paraId="19EEBA90" w14:textId="77777777" w:rsidR="00463F52" w:rsidRDefault="00463F52">
      <w:pPr>
        <w:pStyle w:val="TOC3"/>
        <w:tabs>
          <w:tab w:val="right" w:leader="dot" w:pos="8486"/>
        </w:tabs>
        <w:rPr>
          <w:rFonts w:asciiTheme="minorHAnsi" w:eastAsiaTheme="minorEastAsia" w:hAnsiTheme="minorHAnsi" w:cstheme="minorBidi"/>
          <w:noProof/>
        </w:rPr>
      </w:pPr>
      <w:hyperlink w:anchor="_Toc449964893" w:history="1">
        <w:r w:rsidRPr="005B4E8F">
          <w:rPr>
            <w:rStyle w:val="Hyperlink"/>
            <w:noProof/>
            <w:lang w:bidi="en-US"/>
          </w:rPr>
          <w:t>6.4.6 Schema 3 Relationships</w:t>
        </w:r>
        <w:r>
          <w:rPr>
            <w:noProof/>
            <w:webHidden/>
          </w:rPr>
          <w:tab/>
        </w:r>
        <w:r>
          <w:rPr>
            <w:noProof/>
            <w:webHidden/>
          </w:rPr>
          <w:fldChar w:fldCharType="begin"/>
        </w:r>
        <w:r>
          <w:rPr>
            <w:noProof/>
            <w:webHidden/>
          </w:rPr>
          <w:instrText xml:space="preserve"> PAGEREF _Toc449964893 \h </w:instrText>
        </w:r>
        <w:r>
          <w:rPr>
            <w:noProof/>
            <w:webHidden/>
          </w:rPr>
        </w:r>
        <w:r>
          <w:rPr>
            <w:noProof/>
            <w:webHidden/>
          </w:rPr>
          <w:fldChar w:fldCharType="separate"/>
        </w:r>
        <w:r>
          <w:rPr>
            <w:noProof/>
            <w:webHidden/>
          </w:rPr>
          <w:t>128</w:t>
        </w:r>
        <w:r>
          <w:rPr>
            <w:noProof/>
            <w:webHidden/>
          </w:rPr>
          <w:fldChar w:fldCharType="end"/>
        </w:r>
      </w:hyperlink>
    </w:p>
    <w:p w14:paraId="7677EED7" w14:textId="77777777" w:rsidR="00463F52" w:rsidRDefault="00463F52">
      <w:pPr>
        <w:pStyle w:val="TOC3"/>
        <w:tabs>
          <w:tab w:val="right" w:leader="dot" w:pos="8486"/>
        </w:tabs>
        <w:rPr>
          <w:rFonts w:asciiTheme="minorHAnsi" w:eastAsiaTheme="minorEastAsia" w:hAnsiTheme="minorHAnsi" w:cstheme="minorBidi"/>
          <w:noProof/>
        </w:rPr>
      </w:pPr>
      <w:hyperlink w:anchor="_Toc449964894" w:history="1">
        <w:r w:rsidRPr="005B4E8F">
          <w:rPr>
            <w:rStyle w:val="Hyperlink"/>
            <w:noProof/>
            <w:lang w:bidi="en-US"/>
          </w:rPr>
          <w:t>6.4.7 Bad models – things we couldn’t predict</w:t>
        </w:r>
        <w:r>
          <w:rPr>
            <w:noProof/>
            <w:webHidden/>
          </w:rPr>
          <w:tab/>
        </w:r>
        <w:r>
          <w:rPr>
            <w:noProof/>
            <w:webHidden/>
          </w:rPr>
          <w:fldChar w:fldCharType="begin"/>
        </w:r>
        <w:r>
          <w:rPr>
            <w:noProof/>
            <w:webHidden/>
          </w:rPr>
          <w:instrText xml:space="preserve"> PAGEREF _Toc449964894 \h </w:instrText>
        </w:r>
        <w:r>
          <w:rPr>
            <w:noProof/>
            <w:webHidden/>
          </w:rPr>
        </w:r>
        <w:r>
          <w:rPr>
            <w:noProof/>
            <w:webHidden/>
          </w:rPr>
          <w:fldChar w:fldCharType="separate"/>
        </w:r>
        <w:r>
          <w:rPr>
            <w:noProof/>
            <w:webHidden/>
          </w:rPr>
          <w:t>130</w:t>
        </w:r>
        <w:r>
          <w:rPr>
            <w:noProof/>
            <w:webHidden/>
          </w:rPr>
          <w:fldChar w:fldCharType="end"/>
        </w:r>
      </w:hyperlink>
    </w:p>
    <w:p w14:paraId="7212A7B6" w14:textId="77777777" w:rsidR="00463F52" w:rsidRDefault="00463F52">
      <w:pPr>
        <w:pStyle w:val="TOC3"/>
        <w:tabs>
          <w:tab w:val="right" w:leader="dot" w:pos="8486"/>
        </w:tabs>
        <w:rPr>
          <w:rFonts w:asciiTheme="minorHAnsi" w:eastAsiaTheme="minorEastAsia" w:hAnsiTheme="minorHAnsi" w:cstheme="minorBidi"/>
          <w:noProof/>
        </w:rPr>
      </w:pPr>
      <w:hyperlink w:anchor="_Toc449964895" w:history="1">
        <w:r w:rsidRPr="005B4E8F">
          <w:rPr>
            <w:rStyle w:val="Hyperlink"/>
            <w:noProof/>
            <w:lang w:bidi="en-US"/>
          </w:rPr>
          <w:t>6.4.8 Prediction of larger association panel population</w:t>
        </w:r>
        <w:r>
          <w:rPr>
            <w:noProof/>
            <w:webHidden/>
          </w:rPr>
          <w:tab/>
        </w:r>
        <w:r>
          <w:rPr>
            <w:noProof/>
            <w:webHidden/>
          </w:rPr>
          <w:fldChar w:fldCharType="begin"/>
        </w:r>
        <w:r>
          <w:rPr>
            <w:noProof/>
            <w:webHidden/>
          </w:rPr>
          <w:instrText xml:space="preserve"> PAGEREF _Toc449964895 \h </w:instrText>
        </w:r>
        <w:r>
          <w:rPr>
            <w:noProof/>
            <w:webHidden/>
          </w:rPr>
        </w:r>
        <w:r>
          <w:rPr>
            <w:noProof/>
            <w:webHidden/>
          </w:rPr>
          <w:fldChar w:fldCharType="separate"/>
        </w:r>
        <w:r>
          <w:rPr>
            <w:noProof/>
            <w:webHidden/>
          </w:rPr>
          <w:t>131</w:t>
        </w:r>
        <w:r>
          <w:rPr>
            <w:noProof/>
            <w:webHidden/>
          </w:rPr>
          <w:fldChar w:fldCharType="end"/>
        </w:r>
      </w:hyperlink>
    </w:p>
    <w:p w14:paraId="50B8E9D3" w14:textId="77777777" w:rsidR="00463F52" w:rsidRDefault="00463F52">
      <w:pPr>
        <w:pStyle w:val="TOC2"/>
        <w:tabs>
          <w:tab w:val="right" w:leader="dot" w:pos="8486"/>
        </w:tabs>
        <w:rPr>
          <w:rFonts w:asciiTheme="minorHAnsi" w:eastAsiaTheme="minorEastAsia" w:hAnsiTheme="minorHAnsi" w:cstheme="minorBidi"/>
          <w:noProof/>
        </w:rPr>
      </w:pPr>
      <w:hyperlink w:anchor="_Toc449964896" w:history="1">
        <w:r w:rsidRPr="005B4E8F">
          <w:rPr>
            <w:rStyle w:val="Hyperlink"/>
            <w:noProof/>
            <w:lang w:bidi="en-US"/>
          </w:rPr>
          <w:t>6.5 Conclusions</w:t>
        </w:r>
        <w:r>
          <w:rPr>
            <w:noProof/>
            <w:webHidden/>
          </w:rPr>
          <w:tab/>
        </w:r>
        <w:r>
          <w:rPr>
            <w:noProof/>
            <w:webHidden/>
          </w:rPr>
          <w:fldChar w:fldCharType="begin"/>
        </w:r>
        <w:r>
          <w:rPr>
            <w:noProof/>
            <w:webHidden/>
          </w:rPr>
          <w:instrText xml:space="preserve"> PAGEREF _Toc449964896 \h </w:instrText>
        </w:r>
        <w:r>
          <w:rPr>
            <w:noProof/>
            <w:webHidden/>
          </w:rPr>
        </w:r>
        <w:r>
          <w:rPr>
            <w:noProof/>
            <w:webHidden/>
          </w:rPr>
          <w:fldChar w:fldCharType="separate"/>
        </w:r>
        <w:r>
          <w:rPr>
            <w:noProof/>
            <w:webHidden/>
          </w:rPr>
          <w:t>139</w:t>
        </w:r>
        <w:r>
          <w:rPr>
            <w:noProof/>
            <w:webHidden/>
          </w:rPr>
          <w:fldChar w:fldCharType="end"/>
        </w:r>
      </w:hyperlink>
    </w:p>
    <w:p w14:paraId="60EF3577" w14:textId="77777777" w:rsidR="00463F52" w:rsidRDefault="00463F52">
      <w:pPr>
        <w:pStyle w:val="TOC2"/>
        <w:tabs>
          <w:tab w:val="right" w:leader="dot" w:pos="8486"/>
        </w:tabs>
        <w:rPr>
          <w:rFonts w:asciiTheme="minorHAnsi" w:eastAsiaTheme="minorEastAsia" w:hAnsiTheme="minorHAnsi" w:cstheme="minorBidi"/>
          <w:noProof/>
        </w:rPr>
      </w:pPr>
      <w:hyperlink w:anchor="_Toc449964897" w:history="1">
        <w:r w:rsidRPr="005B4E8F">
          <w:rPr>
            <w:rStyle w:val="Hyperlink"/>
            <w:noProof/>
            <w:lang w:bidi="en-US"/>
          </w:rPr>
          <w:t>6.6 Acknowledgements</w:t>
        </w:r>
        <w:r>
          <w:rPr>
            <w:noProof/>
            <w:webHidden/>
          </w:rPr>
          <w:tab/>
        </w:r>
        <w:r>
          <w:rPr>
            <w:noProof/>
            <w:webHidden/>
          </w:rPr>
          <w:fldChar w:fldCharType="begin"/>
        </w:r>
        <w:r>
          <w:rPr>
            <w:noProof/>
            <w:webHidden/>
          </w:rPr>
          <w:instrText xml:space="preserve"> PAGEREF _Toc449964897 \h </w:instrText>
        </w:r>
        <w:r>
          <w:rPr>
            <w:noProof/>
            <w:webHidden/>
          </w:rPr>
        </w:r>
        <w:r>
          <w:rPr>
            <w:noProof/>
            <w:webHidden/>
          </w:rPr>
          <w:fldChar w:fldCharType="separate"/>
        </w:r>
        <w:r>
          <w:rPr>
            <w:noProof/>
            <w:webHidden/>
          </w:rPr>
          <w:t>142</w:t>
        </w:r>
        <w:r>
          <w:rPr>
            <w:noProof/>
            <w:webHidden/>
          </w:rPr>
          <w:fldChar w:fldCharType="end"/>
        </w:r>
      </w:hyperlink>
    </w:p>
    <w:p w14:paraId="53E3130F" w14:textId="77777777" w:rsidR="00463F52" w:rsidRDefault="00463F52">
      <w:pPr>
        <w:pStyle w:val="TOC1"/>
        <w:rPr>
          <w:rFonts w:asciiTheme="minorHAnsi" w:eastAsiaTheme="minorEastAsia" w:hAnsiTheme="minorHAnsi" w:cstheme="minorBidi"/>
          <w:noProof/>
        </w:rPr>
      </w:pPr>
      <w:hyperlink w:anchor="_Toc449964898" w:history="1">
        <w:r w:rsidRPr="005B4E8F">
          <w:rPr>
            <w:rStyle w:val="Hyperlink"/>
            <w:noProof/>
            <w:lang w:bidi="en-US"/>
          </w:rPr>
          <w:t>Chapter 7: The effect of genetic modification of the lignin biosynthesis pathway on low temperature pyrolysis product yields</w:t>
        </w:r>
        <w:r>
          <w:rPr>
            <w:noProof/>
            <w:webHidden/>
          </w:rPr>
          <w:tab/>
        </w:r>
        <w:r>
          <w:rPr>
            <w:noProof/>
            <w:webHidden/>
          </w:rPr>
          <w:fldChar w:fldCharType="begin"/>
        </w:r>
        <w:r>
          <w:rPr>
            <w:noProof/>
            <w:webHidden/>
          </w:rPr>
          <w:instrText xml:space="preserve"> PAGEREF _Toc449964898 \h </w:instrText>
        </w:r>
        <w:r>
          <w:rPr>
            <w:noProof/>
            <w:webHidden/>
          </w:rPr>
        </w:r>
        <w:r>
          <w:rPr>
            <w:noProof/>
            <w:webHidden/>
          </w:rPr>
          <w:fldChar w:fldCharType="separate"/>
        </w:r>
        <w:r>
          <w:rPr>
            <w:noProof/>
            <w:webHidden/>
          </w:rPr>
          <w:t>143</w:t>
        </w:r>
        <w:r>
          <w:rPr>
            <w:noProof/>
            <w:webHidden/>
          </w:rPr>
          <w:fldChar w:fldCharType="end"/>
        </w:r>
      </w:hyperlink>
    </w:p>
    <w:p w14:paraId="495F17D1" w14:textId="77777777" w:rsidR="00463F52" w:rsidRDefault="00463F52">
      <w:pPr>
        <w:pStyle w:val="TOC2"/>
        <w:tabs>
          <w:tab w:val="right" w:leader="dot" w:pos="8486"/>
        </w:tabs>
        <w:rPr>
          <w:rFonts w:asciiTheme="minorHAnsi" w:eastAsiaTheme="minorEastAsia" w:hAnsiTheme="minorHAnsi" w:cstheme="minorBidi"/>
          <w:noProof/>
        </w:rPr>
      </w:pPr>
      <w:hyperlink w:anchor="_Toc449964899" w:history="1">
        <w:r w:rsidRPr="005B4E8F">
          <w:rPr>
            <w:rStyle w:val="Hyperlink"/>
            <w:noProof/>
            <w:lang w:bidi="en-US"/>
          </w:rPr>
          <w:t>7.1 Introduction</w:t>
        </w:r>
        <w:r>
          <w:rPr>
            <w:noProof/>
            <w:webHidden/>
          </w:rPr>
          <w:tab/>
        </w:r>
        <w:r>
          <w:rPr>
            <w:noProof/>
            <w:webHidden/>
          </w:rPr>
          <w:fldChar w:fldCharType="begin"/>
        </w:r>
        <w:r>
          <w:rPr>
            <w:noProof/>
            <w:webHidden/>
          </w:rPr>
          <w:instrText xml:space="preserve"> PAGEREF _Toc449964899 \h </w:instrText>
        </w:r>
        <w:r>
          <w:rPr>
            <w:noProof/>
            <w:webHidden/>
          </w:rPr>
        </w:r>
        <w:r>
          <w:rPr>
            <w:noProof/>
            <w:webHidden/>
          </w:rPr>
          <w:fldChar w:fldCharType="separate"/>
        </w:r>
        <w:r>
          <w:rPr>
            <w:noProof/>
            <w:webHidden/>
          </w:rPr>
          <w:t>143</w:t>
        </w:r>
        <w:r>
          <w:rPr>
            <w:noProof/>
            <w:webHidden/>
          </w:rPr>
          <w:fldChar w:fldCharType="end"/>
        </w:r>
      </w:hyperlink>
    </w:p>
    <w:p w14:paraId="60217FF2" w14:textId="77777777" w:rsidR="00463F52" w:rsidRDefault="00463F52">
      <w:pPr>
        <w:pStyle w:val="TOC2"/>
        <w:tabs>
          <w:tab w:val="right" w:leader="dot" w:pos="8486"/>
        </w:tabs>
        <w:rPr>
          <w:rFonts w:asciiTheme="minorHAnsi" w:eastAsiaTheme="minorEastAsia" w:hAnsiTheme="minorHAnsi" w:cstheme="minorBidi"/>
          <w:noProof/>
        </w:rPr>
      </w:pPr>
      <w:hyperlink w:anchor="_Toc449964900" w:history="1">
        <w:r w:rsidRPr="005B4E8F">
          <w:rPr>
            <w:rStyle w:val="Hyperlink"/>
            <w:noProof/>
            <w:lang w:bidi="en-US"/>
          </w:rPr>
          <w:t>7.2 Experimental</w:t>
        </w:r>
        <w:r>
          <w:rPr>
            <w:noProof/>
            <w:webHidden/>
          </w:rPr>
          <w:tab/>
        </w:r>
        <w:r>
          <w:rPr>
            <w:noProof/>
            <w:webHidden/>
          </w:rPr>
          <w:fldChar w:fldCharType="begin"/>
        </w:r>
        <w:r>
          <w:rPr>
            <w:noProof/>
            <w:webHidden/>
          </w:rPr>
          <w:instrText xml:space="preserve"> PAGEREF _Toc449964900 \h </w:instrText>
        </w:r>
        <w:r>
          <w:rPr>
            <w:noProof/>
            <w:webHidden/>
          </w:rPr>
        </w:r>
        <w:r>
          <w:rPr>
            <w:noProof/>
            <w:webHidden/>
          </w:rPr>
          <w:fldChar w:fldCharType="separate"/>
        </w:r>
        <w:r>
          <w:rPr>
            <w:noProof/>
            <w:webHidden/>
          </w:rPr>
          <w:t>149</w:t>
        </w:r>
        <w:r>
          <w:rPr>
            <w:noProof/>
            <w:webHidden/>
          </w:rPr>
          <w:fldChar w:fldCharType="end"/>
        </w:r>
      </w:hyperlink>
    </w:p>
    <w:p w14:paraId="00364AA6" w14:textId="77777777" w:rsidR="00463F52" w:rsidRDefault="00463F52">
      <w:pPr>
        <w:pStyle w:val="TOC2"/>
        <w:tabs>
          <w:tab w:val="right" w:leader="dot" w:pos="8486"/>
        </w:tabs>
        <w:rPr>
          <w:rFonts w:asciiTheme="minorHAnsi" w:eastAsiaTheme="minorEastAsia" w:hAnsiTheme="minorHAnsi" w:cstheme="minorBidi"/>
          <w:noProof/>
        </w:rPr>
      </w:pPr>
      <w:hyperlink w:anchor="_Toc449964901" w:history="1">
        <w:r w:rsidRPr="005B4E8F">
          <w:rPr>
            <w:rStyle w:val="Hyperlink"/>
            <w:noProof/>
            <w:lang w:bidi="en-US"/>
          </w:rPr>
          <w:t>7.3 Results</w:t>
        </w:r>
        <w:r>
          <w:rPr>
            <w:noProof/>
            <w:webHidden/>
          </w:rPr>
          <w:tab/>
        </w:r>
        <w:r>
          <w:rPr>
            <w:noProof/>
            <w:webHidden/>
          </w:rPr>
          <w:fldChar w:fldCharType="begin"/>
        </w:r>
        <w:r>
          <w:rPr>
            <w:noProof/>
            <w:webHidden/>
          </w:rPr>
          <w:instrText xml:space="preserve"> PAGEREF _Toc449964901 \h </w:instrText>
        </w:r>
        <w:r>
          <w:rPr>
            <w:noProof/>
            <w:webHidden/>
          </w:rPr>
        </w:r>
        <w:r>
          <w:rPr>
            <w:noProof/>
            <w:webHidden/>
          </w:rPr>
          <w:fldChar w:fldCharType="separate"/>
        </w:r>
        <w:r>
          <w:rPr>
            <w:noProof/>
            <w:webHidden/>
          </w:rPr>
          <w:t>152</w:t>
        </w:r>
        <w:r>
          <w:rPr>
            <w:noProof/>
            <w:webHidden/>
          </w:rPr>
          <w:fldChar w:fldCharType="end"/>
        </w:r>
      </w:hyperlink>
    </w:p>
    <w:p w14:paraId="3DDA6CB7" w14:textId="77777777" w:rsidR="00463F52" w:rsidRDefault="00463F52">
      <w:pPr>
        <w:pStyle w:val="TOC2"/>
        <w:tabs>
          <w:tab w:val="right" w:leader="dot" w:pos="8486"/>
        </w:tabs>
        <w:rPr>
          <w:rFonts w:asciiTheme="minorHAnsi" w:eastAsiaTheme="minorEastAsia" w:hAnsiTheme="minorHAnsi" w:cstheme="minorBidi"/>
          <w:noProof/>
        </w:rPr>
      </w:pPr>
      <w:hyperlink w:anchor="_Toc449964902" w:history="1">
        <w:r w:rsidRPr="005B4E8F">
          <w:rPr>
            <w:rStyle w:val="Hyperlink"/>
            <w:noProof/>
            <w:lang w:bidi="en-US"/>
          </w:rPr>
          <w:t>7.4 Discussion</w:t>
        </w:r>
        <w:r>
          <w:rPr>
            <w:noProof/>
            <w:webHidden/>
          </w:rPr>
          <w:tab/>
        </w:r>
        <w:r>
          <w:rPr>
            <w:noProof/>
            <w:webHidden/>
          </w:rPr>
          <w:fldChar w:fldCharType="begin"/>
        </w:r>
        <w:r>
          <w:rPr>
            <w:noProof/>
            <w:webHidden/>
          </w:rPr>
          <w:instrText xml:space="preserve"> PAGEREF _Toc449964902 \h </w:instrText>
        </w:r>
        <w:r>
          <w:rPr>
            <w:noProof/>
            <w:webHidden/>
          </w:rPr>
        </w:r>
        <w:r>
          <w:rPr>
            <w:noProof/>
            <w:webHidden/>
          </w:rPr>
          <w:fldChar w:fldCharType="separate"/>
        </w:r>
        <w:r>
          <w:rPr>
            <w:noProof/>
            <w:webHidden/>
          </w:rPr>
          <w:t>160</w:t>
        </w:r>
        <w:r>
          <w:rPr>
            <w:noProof/>
            <w:webHidden/>
          </w:rPr>
          <w:fldChar w:fldCharType="end"/>
        </w:r>
      </w:hyperlink>
    </w:p>
    <w:p w14:paraId="7F897AF9" w14:textId="77777777" w:rsidR="00463F52" w:rsidRDefault="00463F52">
      <w:pPr>
        <w:pStyle w:val="TOC3"/>
        <w:tabs>
          <w:tab w:val="right" w:leader="dot" w:pos="8486"/>
        </w:tabs>
        <w:rPr>
          <w:rFonts w:asciiTheme="minorHAnsi" w:eastAsiaTheme="minorEastAsia" w:hAnsiTheme="minorHAnsi" w:cstheme="minorBidi"/>
          <w:noProof/>
        </w:rPr>
      </w:pPr>
      <w:hyperlink w:anchor="_Toc449964903" w:history="1">
        <w:r w:rsidRPr="005B4E8F">
          <w:rPr>
            <w:rStyle w:val="Hyperlink"/>
            <w:noProof/>
            <w:lang w:bidi="en-US"/>
          </w:rPr>
          <w:t>7.4.1 Alternative hypothesis</w:t>
        </w:r>
        <w:r>
          <w:rPr>
            <w:noProof/>
            <w:webHidden/>
          </w:rPr>
          <w:tab/>
        </w:r>
        <w:r>
          <w:rPr>
            <w:noProof/>
            <w:webHidden/>
          </w:rPr>
          <w:fldChar w:fldCharType="begin"/>
        </w:r>
        <w:r>
          <w:rPr>
            <w:noProof/>
            <w:webHidden/>
          </w:rPr>
          <w:instrText xml:space="preserve"> PAGEREF _Toc449964903 \h </w:instrText>
        </w:r>
        <w:r>
          <w:rPr>
            <w:noProof/>
            <w:webHidden/>
          </w:rPr>
        </w:r>
        <w:r>
          <w:rPr>
            <w:noProof/>
            <w:webHidden/>
          </w:rPr>
          <w:fldChar w:fldCharType="separate"/>
        </w:r>
        <w:r>
          <w:rPr>
            <w:noProof/>
            <w:webHidden/>
          </w:rPr>
          <w:t>160</w:t>
        </w:r>
        <w:r>
          <w:rPr>
            <w:noProof/>
            <w:webHidden/>
          </w:rPr>
          <w:fldChar w:fldCharType="end"/>
        </w:r>
      </w:hyperlink>
    </w:p>
    <w:p w14:paraId="583FB085" w14:textId="77777777" w:rsidR="00463F52" w:rsidRDefault="00463F52">
      <w:pPr>
        <w:pStyle w:val="TOC2"/>
        <w:tabs>
          <w:tab w:val="right" w:leader="dot" w:pos="8486"/>
        </w:tabs>
        <w:rPr>
          <w:rFonts w:asciiTheme="minorHAnsi" w:eastAsiaTheme="minorEastAsia" w:hAnsiTheme="minorHAnsi" w:cstheme="minorBidi"/>
          <w:noProof/>
        </w:rPr>
      </w:pPr>
      <w:hyperlink w:anchor="_Toc449964904" w:history="1">
        <w:r w:rsidRPr="005B4E8F">
          <w:rPr>
            <w:rStyle w:val="Hyperlink"/>
            <w:noProof/>
            <w:lang w:bidi="en-US"/>
          </w:rPr>
          <w:t>7.5 Acknowledgements</w:t>
        </w:r>
        <w:r>
          <w:rPr>
            <w:noProof/>
            <w:webHidden/>
          </w:rPr>
          <w:tab/>
        </w:r>
        <w:r>
          <w:rPr>
            <w:noProof/>
            <w:webHidden/>
          </w:rPr>
          <w:fldChar w:fldCharType="begin"/>
        </w:r>
        <w:r>
          <w:rPr>
            <w:noProof/>
            <w:webHidden/>
          </w:rPr>
          <w:instrText xml:space="preserve"> PAGEREF _Toc449964904 \h </w:instrText>
        </w:r>
        <w:r>
          <w:rPr>
            <w:noProof/>
            <w:webHidden/>
          </w:rPr>
        </w:r>
        <w:r>
          <w:rPr>
            <w:noProof/>
            <w:webHidden/>
          </w:rPr>
          <w:fldChar w:fldCharType="separate"/>
        </w:r>
        <w:r>
          <w:rPr>
            <w:noProof/>
            <w:webHidden/>
          </w:rPr>
          <w:t>162</w:t>
        </w:r>
        <w:r>
          <w:rPr>
            <w:noProof/>
            <w:webHidden/>
          </w:rPr>
          <w:fldChar w:fldCharType="end"/>
        </w:r>
      </w:hyperlink>
    </w:p>
    <w:p w14:paraId="1E63C725" w14:textId="77777777" w:rsidR="00463F52" w:rsidRDefault="00463F52">
      <w:pPr>
        <w:pStyle w:val="TOC1"/>
        <w:rPr>
          <w:rFonts w:asciiTheme="minorHAnsi" w:eastAsiaTheme="minorEastAsia" w:hAnsiTheme="minorHAnsi" w:cstheme="minorBidi"/>
          <w:noProof/>
        </w:rPr>
      </w:pPr>
      <w:hyperlink w:anchor="_Toc449964905" w:history="1">
        <w:r w:rsidRPr="005B4E8F">
          <w:rPr>
            <w:rStyle w:val="Hyperlink"/>
            <w:noProof/>
            <w:lang w:bidi="en-US"/>
          </w:rPr>
          <w:t>Chapter 8: Looking ahead</w:t>
        </w:r>
        <w:r>
          <w:rPr>
            <w:noProof/>
            <w:webHidden/>
          </w:rPr>
          <w:tab/>
        </w:r>
        <w:r>
          <w:rPr>
            <w:noProof/>
            <w:webHidden/>
          </w:rPr>
          <w:fldChar w:fldCharType="begin"/>
        </w:r>
        <w:r>
          <w:rPr>
            <w:noProof/>
            <w:webHidden/>
          </w:rPr>
          <w:instrText xml:space="preserve"> PAGEREF _Toc449964905 \h </w:instrText>
        </w:r>
        <w:r>
          <w:rPr>
            <w:noProof/>
            <w:webHidden/>
          </w:rPr>
        </w:r>
        <w:r>
          <w:rPr>
            <w:noProof/>
            <w:webHidden/>
          </w:rPr>
          <w:fldChar w:fldCharType="separate"/>
        </w:r>
        <w:r>
          <w:rPr>
            <w:noProof/>
            <w:webHidden/>
          </w:rPr>
          <w:t>163</w:t>
        </w:r>
        <w:r>
          <w:rPr>
            <w:noProof/>
            <w:webHidden/>
          </w:rPr>
          <w:fldChar w:fldCharType="end"/>
        </w:r>
      </w:hyperlink>
    </w:p>
    <w:p w14:paraId="74DB8E56" w14:textId="77777777" w:rsidR="00463F52" w:rsidRDefault="00463F52">
      <w:pPr>
        <w:pStyle w:val="TOC2"/>
        <w:tabs>
          <w:tab w:val="right" w:leader="dot" w:pos="8486"/>
        </w:tabs>
        <w:rPr>
          <w:rFonts w:asciiTheme="minorHAnsi" w:eastAsiaTheme="minorEastAsia" w:hAnsiTheme="minorHAnsi" w:cstheme="minorBidi"/>
          <w:noProof/>
        </w:rPr>
      </w:pPr>
      <w:hyperlink w:anchor="_Toc449964906" w:history="1">
        <w:r w:rsidRPr="005B4E8F">
          <w:rPr>
            <w:rStyle w:val="Hyperlink"/>
            <w:noProof/>
            <w:lang w:bidi="en-US"/>
          </w:rPr>
          <w:t>8.1 Further optimization of staged thermal fractionation</w:t>
        </w:r>
        <w:r>
          <w:rPr>
            <w:noProof/>
            <w:webHidden/>
          </w:rPr>
          <w:tab/>
        </w:r>
        <w:r>
          <w:rPr>
            <w:noProof/>
            <w:webHidden/>
          </w:rPr>
          <w:fldChar w:fldCharType="begin"/>
        </w:r>
        <w:r>
          <w:rPr>
            <w:noProof/>
            <w:webHidden/>
          </w:rPr>
          <w:instrText xml:space="preserve"> PAGEREF _Toc449964906 \h </w:instrText>
        </w:r>
        <w:r>
          <w:rPr>
            <w:noProof/>
            <w:webHidden/>
          </w:rPr>
        </w:r>
        <w:r>
          <w:rPr>
            <w:noProof/>
            <w:webHidden/>
          </w:rPr>
          <w:fldChar w:fldCharType="separate"/>
        </w:r>
        <w:r>
          <w:rPr>
            <w:noProof/>
            <w:webHidden/>
          </w:rPr>
          <w:t>163</w:t>
        </w:r>
        <w:r>
          <w:rPr>
            <w:noProof/>
            <w:webHidden/>
          </w:rPr>
          <w:fldChar w:fldCharType="end"/>
        </w:r>
      </w:hyperlink>
    </w:p>
    <w:p w14:paraId="25F0666A" w14:textId="77777777" w:rsidR="00463F52" w:rsidRDefault="00463F52">
      <w:pPr>
        <w:pStyle w:val="TOC3"/>
        <w:tabs>
          <w:tab w:val="right" w:leader="dot" w:pos="8486"/>
        </w:tabs>
        <w:rPr>
          <w:rFonts w:asciiTheme="minorHAnsi" w:eastAsiaTheme="minorEastAsia" w:hAnsiTheme="minorHAnsi" w:cstheme="minorBidi"/>
          <w:noProof/>
        </w:rPr>
      </w:pPr>
      <w:hyperlink w:anchor="_Toc449964907" w:history="1">
        <w:r w:rsidRPr="005B4E8F">
          <w:rPr>
            <w:rStyle w:val="Hyperlink"/>
            <w:noProof/>
            <w:lang w:bidi="en-US"/>
          </w:rPr>
          <w:t>8.1.1 Stage 1 optimization</w:t>
        </w:r>
        <w:r>
          <w:rPr>
            <w:noProof/>
            <w:webHidden/>
          </w:rPr>
          <w:tab/>
        </w:r>
        <w:r>
          <w:rPr>
            <w:noProof/>
            <w:webHidden/>
          </w:rPr>
          <w:fldChar w:fldCharType="begin"/>
        </w:r>
        <w:r>
          <w:rPr>
            <w:noProof/>
            <w:webHidden/>
          </w:rPr>
          <w:instrText xml:space="preserve"> PAGEREF _Toc449964907 \h </w:instrText>
        </w:r>
        <w:r>
          <w:rPr>
            <w:noProof/>
            <w:webHidden/>
          </w:rPr>
        </w:r>
        <w:r>
          <w:rPr>
            <w:noProof/>
            <w:webHidden/>
          </w:rPr>
          <w:fldChar w:fldCharType="separate"/>
        </w:r>
        <w:r>
          <w:rPr>
            <w:noProof/>
            <w:webHidden/>
          </w:rPr>
          <w:t>163</w:t>
        </w:r>
        <w:r>
          <w:rPr>
            <w:noProof/>
            <w:webHidden/>
          </w:rPr>
          <w:fldChar w:fldCharType="end"/>
        </w:r>
      </w:hyperlink>
    </w:p>
    <w:p w14:paraId="1295BD03" w14:textId="77777777" w:rsidR="00463F52" w:rsidRDefault="00463F52">
      <w:pPr>
        <w:pStyle w:val="TOC3"/>
        <w:tabs>
          <w:tab w:val="right" w:leader="dot" w:pos="8486"/>
        </w:tabs>
        <w:rPr>
          <w:rFonts w:asciiTheme="minorHAnsi" w:eastAsiaTheme="minorEastAsia" w:hAnsiTheme="minorHAnsi" w:cstheme="minorBidi"/>
          <w:noProof/>
        </w:rPr>
      </w:pPr>
      <w:hyperlink w:anchor="_Toc449964908" w:history="1">
        <w:r w:rsidRPr="005B4E8F">
          <w:rPr>
            <w:rStyle w:val="Hyperlink"/>
            <w:noProof/>
            <w:lang w:bidi="en-US"/>
          </w:rPr>
          <w:t>8.1.2 Optimization with other feedstocks</w:t>
        </w:r>
        <w:r>
          <w:rPr>
            <w:noProof/>
            <w:webHidden/>
          </w:rPr>
          <w:tab/>
        </w:r>
        <w:r>
          <w:rPr>
            <w:noProof/>
            <w:webHidden/>
          </w:rPr>
          <w:fldChar w:fldCharType="begin"/>
        </w:r>
        <w:r>
          <w:rPr>
            <w:noProof/>
            <w:webHidden/>
          </w:rPr>
          <w:instrText xml:space="preserve"> PAGEREF _Toc449964908 \h </w:instrText>
        </w:r>
        <w:r>
          <w:rPr>
            <w:noProof/>
            <w:webHidden/>
          </w:rPr>
        </w:r>
        <w:r>
          <w:rPr>
            <w:noProof/>
            <w:webHidden/>
          </w:rPr>
          <w:fldChar w:fldCharType="separate"/>
        </w:r>
        <w:r>
          <w:rPr>
            <w:noProof/>
            <w:webHidden/>
          </w:rPr>
          <w:t>164</w:t>
        </w:r>
        <w:r>
          <w:rPr>
            <w:noProof/>
            <w:webHidden/>
          </w:rPr>
          <w:fldChar w:fldCharType="end"/>
        </w:r>
      </w:hyperlink>
    </w:p>
    <w:p w14:paraId="1580E107" w14:textId="77777777" w:rsidR="00463F52" w:rsidRDefault="00463F52">
      <w:pPr>
        <w:pStyle w:val="TOC2"/>
        <w:tabs>
          <w:tab w:val="right" w:leader="dot" w:pos="8486"/>
        </w:tabs>
        <w:rPr>
          <w:rFonts w:asciiTheme="minorHAnsi" w:eastAsiaTheme="minorEastAsia" w:hAnsiTheme="minorHAnsi" w:cstheme="minorBidi"/>
          <w:noProof/>
        </w:rPr>
      </w:pPr>
      <w:hyperlink w:anchor="_Toc449964909" w:history="1">
        <w:r w:rsidRPr="005B4E8F">
          <w:rPr>
            <w:rStyle w:val="Hyperlink"/>
            <w:noProof/>
            <w:lang w:bidi="en-US"/>
          </w:rPr>
          <w:t>8.2 Further investigation into biomass compositional effects</w:t>
        </w:r>
        <w:r>
          <w:rPr>
            <w:noProof/>
            <w:webHidden/>
          </w:rPr>
          <w:tab/>
        </w:r>
        <w:r>
          <w:rPr>
            <w:noProof/>
            <w:webHidden/>
          </w:rPr>
          <w:fldChar w:fldCharType="begin"/>
        </w:r>
        <w:r>
          <w:rPr>
            <w:noProof/>
            <w:webHidden/>
          </w:rPr>
          <w:instrText xml:space="preserve"> PAGEREF _Toc449964909 \h </w:instrText>
        </w:r>
        <w:r>
          <w:rPr>
            <w:noProof/>
            <w:webHidden/>
          </w:rPr>
        </w:r>
        <w:r>
          <w:rPr>
            <w:noProof/>
            <w:webHidden/>
          </w:rPr>
          <w:fldChar w:fldCharType="separate"/>
        </w:r>
        <w:r>
          <w:rPr>
            <w:noProof/>
            <w:webHidden/>
          </w:rPr>
          <w:t>165</w:t>
        </w:r>
        <w:r>
          <w:rPr>
            <w:noProof/>
            <w:webHidden/>
          </w:rPr>
          <w:fldChar w:fldCharType="end"/>
        </w:r>
      </w:hyperlink>
    </w:p>
    <w:p w14:paraId="0C458138" w14:textId="77777777" w:rsidR="00463F52" w:rsidRDefault="00463F52">
      <w:pPr>
        <w:pStyle w:val="TOC3"/>
        <w:tabs>
          <w:tab w:val="right" w:leader="dot" w:pos="8486"/>
        </w:tabs>
        <w:rPr>
          <w:rFonts w:asciiTheme="minorHAnsi" w:eastAsiaTheme="minorEastAsia" w:hAnsiTheme="minorHAnsi" w:cstheme="minorBidi"/>
          <w:noProof/>
        </w:rPr>
      </w:pPr>
      <w:hyperlink w:anchor="_Toc449964910" w:history="1">
        <w:r w:rsidRPr="005B4E8F">
          <w:rPr>
            <w:rStyle w:val="Hyperlink"/>
            <w:noProof/>
            <w:lang w:bidi="en-US"/>
          </w:rPr>
          <w:t>8.2.1 Direct analysis of NIR spectra</w:t>
        </w:r>
        <w:r>
          <w:rPr>
            <w:noProof/>
            <w:webHidden/>
          </w:rPr>
          <w:tab/>
        </w:r>
        <w:r>
          <w:rPr>
            <w:noProof/>
            <w:webHidden/>
          </w:rPr>
          <w:fldChar w:fldCharType="begin"/>
        </w:r>
        <w:r>
          <w:rPr>
            <w:noProof/>
            <w:webHidden/>
          </w:rPr>
          <w:instrText xml:space="preserve"> PAGEREF _Toc449964910 \h </w:instrText>
        </w:r>
        <w:r>
          <w:rPr>
            <w:noProof/>
            <w:webHidden/>
          </w:rPr>
        </w:r>
        <w:r>
          <w:rPr>
            <w:noProof/>
            <w:webHidden/>
          </w:rPr>
          <w:fldChar w:fldCharType="separate"/>
        </w:r>
        <w:r>
          <w:rPr>
            <w:noProof/>
            <w:webHidden/>
          </w:rPr>
          <w:t>165</w:t>
        </w:r>
        <w:r>
          <w:rPr>
            <w:noProof/>
            <w:webHidden/>
          </w:rPr>
          <w:fldChar w:fldCharType="end"/>
        </w:r>
      </w:hyperlink>
    </w:p>
    <w:p w14:paraId="617AF33F" w14:textId="77777777" w:rsidR="00463F52" w:rsidRDefault="00463F52">
      <w:pPr>
        <w:pStyle w:val="TOC2"/>
        <w:tabs>
          <w:tab w:val="right" w:leader="dot" w:pos="8486"/>
        </w:tabs>
        <w:rPr>
          <w:rFonts w:asciiTheme="minorHAnsi" w:eastAsiaTheme="minorEastAsia" w:hAnsiTheme="minorHAnsi" w:cstheme="minorBidi"/>
          <w:noProof/>
        </w:rPr>
      </w:pPr>
      <w:hyperlink w:anchor="_Toc449964911" w:history="1">
        <w:r w:rsidRPr="005B4E8F">
          <w:rPr>
            <w:rStyle w:val="Hyperlink"/>
            <w:noProof/>
            <w:lang w:bidi="en-US"/>
          </w:rPr>
          <w:t>8.3 Improving data collection</w:t>
        </w:r>
        <w:r>
          <w:rPr>
            <w:noProof/>
            <w:webHidden/>
          </w:rPr>
          <w:tab/>
        </w:r>
        <w:r>
          <w:rPr>
            <w:noProof/>
            <w:webHidden/>
          </w:rPr>
          <w:fldChar w:fldCharType="begin"/>
        </w:r>
        <w:r>
          <w:rPr>
            <w:noProof/>
            <w:webHidden/>
          </w:rPr>
          <w:instrText xml:space="preserve"> PAGEREF _Toc449964911 \h </w:instrText>
        </w:r>
        <w:r>
          <w:rPr>
            <w:noProof/>
            <w:webHidden/>
          </w:rPr>
        </w:r>
        <w:r>
          <w:rPr>
            <w:noProof/>
            <w:webHidden/>
          </w:rPr>
          <w:fldChar w:fldCharType="separate"/>
        </w:r>
        <w:r>
          <w:rPr>
            <w:noProof/>
            <w:webHidden/>
          </w:rPr>
          <w:t>167</w:t>
        </w:r>
        <w:r>
          <w:rPr>
            <w:noProof/>
            <w:webHidden/>
          </w:rPr>
          <w:fldChar w:fldCharType="end"/>
        </w:r>
      </w:hyperlink>
    </w:p>
    <w:p w14:paraId="44D290AD" w14:textId="77777777" w:rsidR="00463F52" w:rsidRDefault="00463F52">
      <w:pPr>
        <w:pStyle w:val="TOC3"/>
        <w:tabs>
          <w:tab w:val="right" w:leader="dot" w:pos="8486"/>
        </w:tabs>
        <w:rPr>
          <w:rFonts w:asciiTheme="minorHAnsi" w:eastAsiaTheme="minorEastAsia" w:hAnsiTheme="minorHAnsi" w:cstheme="minorBidi"/>
          <w:noProof/>
        </w:rPr>
      </w:pPr>
      <w:hyperlink w:anchor="_Toc449964912" w:history="1">
        <w:r w:rsidRPr="005B4E8F">
          <w:rPr>
            <w:rStyle w:val="Hyperlink"/>
            <w:noProof/>
            <w:lang w:bidi="en-US"/>
          </w:rPr>
          <w:t>8.3.1 Optimization of the GC program</w:t>
        </w:r>
        <w:r>
          <w:rPr>
            <w:noProof/>
            <w:webHidden/>
          </w:rPr>
          <w:tab/>
        </w:r>
        <w:r>
          <w:rPr>
            <w:noProof/>
            <w:webHidden/>
          </w:rPr>
          <w:fldChar w:fldCharType="begin"/>
        </w:r>
        <w:r>
          <w:rPr>
            <w:noProof/>
            <w:webHidden/>
          </w:rPr>
          <w:instrText xml:space="preserve"> PAGEREF _Toc449964912 \h </w:instrText>
        </w:r>
        <w:r>
          <w:rPr>
            <w:noProof/>
            <w:webHidden/>
          </w:rPr>
        </w:r>
        <w:r>
          <w:rPr>
            <w:noProof/>
            <w:webHidden/>
          </w:rPr>
          <w:fldChar w:fldCharType="separate"/>
        </w:r>
        <w:r>
          <w:rPr>
            <w:noProof/>
            <w:webHidden/>
          </w:rPr>
          <w:t>167</w:t>
        </w:r>
        <w:r>
          <w:rPr>
            <w:noProof/>
            <w:webHidden/>
          </w:rPr>
          <w:fldChar w:fldCharType="end"/>
        </w:r>
      </w:hyperlink>
    </w:p>
    <w:p w14:paraId="5D05200D" w14:textId="77777777" w:rsidR="00463F52" w:rsidRDefault="00463F52">
      <w:pPr>
        <w:pStyle w:val="TOC3"/>
        <w:tabs>
          <w:tab w:val="right" w:leader="dot" w:pos="8486"/>
        </w:tabs>
        <w:rPr>
          <w:rFonts w:asciiTheme="minorHAnsi" w:eastAsiaTheme="minorEastAsia" w:hAnsiTheme="minorHAnsi" w:cstheme="minorBidi"/>
          <w:noProof/>
        </w:rPr>
      </w:pPr>
      <w:hyperlink w:anchor="_Toc449964913" w:history="1">
        <w:r w:rsidRPr="005B4E8F">
          <w:rPr>
            <w:rStyle w:val="Hyperlink"/>
            <w:noProof/>
            <w:lang w:bidi="en-US"/>
          </w:rPr>
          <w:t>8.3.2 Reducing or eliminating the need for technical replicates in the pyroprobe</w:t>
        </w:r>
        <w:r>
          <w:rPr>
            <w:noProof/>
            <w:webHidden/>
          </w:rPr>
          <w:tab/>
        </w:r>
        <w:r>
          <w:rPr>
            <w:noProof/>
            <w:webHidden/>
          </w:rPr>
          <w:fldChar w:fldCharType="begin"/>
        </w:r>
        <w:r>
          <w:rPr>
            <w:noProof/>
            <w:webHidden/>
          </w:rPr>
          <w:instrText xml:space="preserve"> PAGEREF _Toc449964913 \h </w:instrText>
        </w:r>
        <w:r>
          <w:rPr>
            <w:noProof/>
            <w:webHidden/>
          </w:rPr>
        </w:r>
        <w:r>
          <w:rPr>
            <w:noProof/>
            <w:webHidden/>
          </w:rPr>
          <w:fldChar w:fldCharType="separate"/>
        </w:r>
        <w:r>
          <w:rPr>
            <w:noProof/>
            <w:webHidden/>
          </w:rPr>
          <w:t>168</w:t>
        </w:r>
        <w:r>
          <w:rPr>
            <w:noProof/>
            <w:webHidden/>
          </w:rPr>
          <w:fldChar w:fldCharType="end"/>
        </w:r>
      </w:hyperlink>
    </w:p>
    <w:p w14:paraId="28AB7F72" w14:textId="77777777" w:rsidR="00463F52" w:rsidRDefault="00463F52">
      <w:pPr>
        <w:pStyle w:val="TOC2"/>
        <w:tabs>
          <w:tab w:val="right" w:leader="dot" w:pos="8486"/>
        </w:tabs>
        <w:rPr>
          <w:rFonts w:asciiTheme="minorHAnsi" w:eastAsiaTheme="minorEastAsia" w:hAnsiTheme="minorHAnsi" w:cstheme="minorBidi"/>
          <w:noProof/>
        </w:rPr>
      </w:pPr>
      <w:hyperlink w:anchor="_Toc449964914" w:history="1">
        <w:r w:rsidRPr="005B4E8F">
          <w:rPr>
            <w:rStyle w:val="Hyperlink"/>
            <w:noProof/>
            <w:lang w:bidi="en-US"/>
          </w:rPr>
          <w:t>8.4 Further investigation into catalytic upgrading approaches and requirements</w:t>
        </w:r>
        <w:r>
          <w:rPr>
            <w:noProof/>
            <w:webHidden/>
          </w:rPr>
          <w:tab/>
        </w:r>
        <w:r>
          <w:rPr>
            <w:noProof/>
            <w:webHidden/>
          </w:rPr>
          <w:fldChar w:fldCharType="begin"/>
        </w:r>
        <w:r>
          <w:rPr>
            <w:noProof/>
            <w:webHidden/>
          </w:rPr>
          <w:instrText xml:space="preserve"> PAGEREF _Toc449964914 \h </w:instrText>
        </w:r>
        <w:r>
          <w:rPr>
            <w:noProof/>
            <w:webHidden/>
          </w:rPr>
        </w:r>
        <w:r>
          <w:rPr>
            <w:noProof/>
            <w:webHidden/>
          </w:rPr>
          <w:fldChar w:fldCharType="separate"/>
        </w:r>
        <w:r>
          <w:rPr>
            <w:noProof/>
            <w:webHidden/>
          </w:rPr>
          <w:t>170</w:t>
        </w:r>
        <w:r>
          <w:rPr>
            <w:noProof/>
            <w:webHidden/>
          </w:rPr>
          <w:fldChar w:fldCharType="end"/>
        </w:r>
      </w:hyperlink>
    </w:p>
    <w:p w14:paraId="56450165" w14:textId="77777777" w:rsidR="00463F52" w:rsidRDefault="00463F52">
      <w:pPr>
        <w:pStyle w:val="TOC3"/>
        <w:tabs>
          <w:tab w:val="right" w:leader="dot" w:pos="8486"/>
        </w:tabs>
        <w:rPr>
          <w:rFonts w:asciiTheme="minorHAnsi" w:eastAsiaTheme="minorEastAsia" w:hAnsiTheme="minorHAnsi" w:cstheme="minorBidi"/>
          <w:noProof/>
        </w:rPr>
      </w:pPr>
      <w:hyperlink w:anchor="_Toc449964915" w:history="1">
        <w:r w:rsidRPr="005B4E8F">
          <w:rPr>
            <w:rStyle w:val="Hyperlink"/>
            <w:noProof/>
            <w:lang w:bidi="en-US"/>
          </w:rPr>
          <w:t>8.4.1 Switchgrass variants for catalyst deactivation experiments</w:t>
        </w:r>
        <w:r>
          <w:rPr>
            <w:noProof/>
            <w:webHidden/>
          </w:rPr>
          <w:tab/>
        </w:r>
        <w:r>
          <w:rPr>
            <w:noProof/>
            <w:webHidden/>
          </w:rPr>
          <w:fldChar w:fldCharType="begin"/>
        </w:r>
        <w:r>
          <w:rPr>
            <w:noProof/>
            <w:webHidden/>
          </w:rPr>
          <w:instrText xml:space="preserve"> PAGEREF _Toc449964915 \h </w:instrText>
        </w:r>
        <w:r>
          <w:rPr>
            <w:noProof/>
            <w:webHidden/>
          </w:rPr>
        </w:r>
        <w:r>
          <w:rPr>
            <w:noProof/>
            <w:webHidden/>
          </w:rPr>
          <w:fldChar w:fldCharType="separate"/>
        </w:r>
        <w:r>
          <w:rPr>
            <w:noProof/>
            <w:webHidden/>
          </w:rPr>
          <w:t>170</w:t>
        </w:r>
        <w:r>
          <w:rPr>
            <w:noProof/>
            <w:webHidden/>
          </w:rPr>
          <w:fldChar w:fldCharType="end"/>
        </w:r>
      </w:hyperlink>
    </w:p>
    <w:p w14:paraId="30535662" w14:textId="77777777" w:rsidR="00463F52" w:rsidRDefault="00463F52">
      <w:pPr>
        <w:pStyle w:val="TOC3"/>
        <w:tabs>
          <w:tab w:val="right" w:leader="dot" w:pos="8486"/>
        </w:tabs>
        <w:rPr>
          <w:rFonts w:asciiTheme="minorHAnsi" w:eastAsiaTheme="minorEastAsia" w:hAnsiTheme="minorHAnsi" w:cstheme="minorBidi"/>
          <w:noProof/>
        </w:rPr>
      </w:pPr>
      <w:hyperlink w:anchor="_Toc449964916" w:history="1">
        <w:r w:rsidRPr="005B4E8F">
          <w:rPr>
            <w:rStyle w:val="Hyperlink"/>
            <w:noProof/>
            <w:lang w:bidi="en-US"/>
          </w:rPr>
          <w:t>8.4.2 Torrefaction liquid stability exploration</w:t>
        </w:r>
        <w:r>
          <w:rPr>
            <w:noProof/>
            <w:webHidden/>
          </w:rPr>
          <w:tab/>
        </w:r>
        <w:r>
          <w:rPr>
            <w:noProof/>
            <w:webHidden/>
          </w:rPr>
          <w:fldChar w:fldCharType="begin"/>
        </w:r>
        <w:r>
          <w:rPr>
            <w:noProof/>
            <w:webHidden/>
          </w:rPr>
          <w:instrText xml:space="preserve"> PAGEREF _Toc449964916 \h </w:instrText>
        </w:r>
        <w:r>
          <w:rPr>
            <w:noProof/>
            <w:webHidden/>
          </w:rPr>
        </w:r>
        <w:r>
          <w:rPr>
            <w:noProof/>
            <w:webHidden/>
          </w:rPr>
          <w:fldChar w:fldCharType="separate"/>
        </w:r>
        <w:r>
          <w:rPr>
            <w:noProof/>
            <w:webHidden/>
          </w:rPr>
          <w:t>170</w:t>
        </w:r>
        <w:r>
          <w:rPr>
            <w:noProof/>
            <w:webHidden/>
          </w:rPr>
          <w:fldChar w:fldCharType="end"/>
        </w:r>
      </w:hyperlink>
    </w:p>
    <w:p w14:paraId="0825CD83" w14:textId="77777777" w:rsidR="00463F52" w:rsidRDefault="00463F52">
      <w:pPr>
        <w:pStyle w:val="TOC1"/>
        <w:rPr>
          <w:rFonts w:asciiTheme="minorHAnsi" w:eastAsiaTheme="minorEastAsia" w:hAnsiTheme="minorHAnsi" w:cstheme="minorBidi"/>
          <w:noProof/>
        </w:rPr>
      </w:pPr>
      <w:hyperlink w:anchor="_Toc449964917" w:history="1">
        <w:r w:rsidRPr="005B4E8F">
          <w:rPr>
            <w:rStyle w:val="Hyperlink"/>
            <w:noProof/>
            <w:lang w:bidi="en-US"/>
          </w:rPr>
          <w:t>References</w:t>
        </w:r>
        <w:r>
          <w:rPr>
            <w:noProof/>
            <w:webHidden/>
          </w:rPr>
          <w:tab/>
        </w:r>
        <w:r>
          <w:rPr>
            <w:noProof/>
            <w:webHidden/>
          </w:rPr>
          <w:fldChar w:fldCharType="begin"/>
        </w:r>
        <w:r>
          <w:rPr>
            <w:noProof/>
            <w:webHidden/>
          </w:rPr>
          <w:instrText xml:space="preserve"> PAGEREF _Toc449964917 \h </w:instrText>
        </w:r>
        <w:r>
          <w:rPr>
            <w:noProof/>
            <w:webHidden/>
          </w:rPr>
        </w:r>
        <w:r>
          <w:rPr>
            <w:noProof/>
            <w:webHidden/>
          </w:rPr>
          <w:fldChar w:fldCharType="separate"/>
        </w:r>
        <w:r>
          <w:rPr>
            <w:noProof/>
            <w:webHidden/>
          </w:rPr>
          <w:t>172</w:t>
        </w:r>
        <w:r>
          <w:rPr>
            <w:noProof/>
            <w:webHidden/>
          </w:rPr>
          <w:fldChar w:fldCharType="end"/>
        </w:r>
      </w:hyperlink>
    </w:p>
    <w:p w14:paraId="2D49E140" w14:textId="77777777" w:rsidR="00463F52" w:rsidRDefault="00463F52">
      <w:pPr>
        <w:pStyle w:val="TOC1"/>
        <w:rPr>
          <w:rFonts w:asciiTheme="minorHAnsi" w:eastAsiaTheme="minorEastAsia" w:hAnsiTheme="minorHAnsi" w:cstheme="minorBidi"/>
          <w:noProof/>
        </w:rPr>
      </w:pPr>
      <w:hyperlink w:anchor="_Toc449964918" w:history="1">
        <w:r w:rsidRPr="005B4E8F">
          <w:rPr>
            <w:rStyle w:val="Hyperlink"/>
            <w:noProof/>
            <w:lang w:bidi="en-US"/>
          </w:rPr>
          <w:t>Appendix A: Source code for implementation of torrefaction weight loss model</w:t>
        </w:r>
        <w:r>
          <w:rPr>
            <w:noProof/>
            <w:webHidden/>
          </w:rPr>
          <w:tab/>
        </w:r>
        <w:r>
          <w:rPr>
            <w:noProof/>
            <w:webHidden/>
          </w:rPr>
          <w:fldChar w:fldCharType="begin"/>
        </w:r>
        <w:r>
          <w:rPr>
            <w:noProof/>
            <w:webHidden/>
          </w:rPr>
          <w:instrText xml:space="preserve"> PAGEREF _Toc449964918 \h </w:instrText>
        </w:r>
        <w:r>
          <w:rPr>
            <w:noProof/>
            <w:webHidden/>
          </w:rPr>
        </w:r>
        <w:r>
          <w:rPr>
            <w:noProof/>
            <w:webHidden/>
          </w:rPr>
          <w:fldChar w:fldCharType="separate"/>
        </w:r>
        <w:r>
          <w:rPr>
            <w:noProof/>
            <w:webHidden/>
          </w:rPr>
          <w:t>187</w:t>
        </w:r>
        <w:r>
          <w:rPr>
            <w:noProof/>
            <w:webHidden/>
          </w:rPr>
          <w:fldChar w:fldCharType="end"/>
        </w:r>
      </w:hyperlink>
    </w:p>
    <w:p w14:paraId="065312BE" w14:textId="77777777" w:rsidR="00463F52" w:rsidRDefault="00463F52">
      <w:pPr>
        <w:pStyle w:val="TOC1"/>
        <w:rPr>
          <w:rFonts w:asciiTheme="minorHAnsi" w:eastAsiaTheme="minorEastAsia" w:hAnsiTheme="minorHAnsi" w:cstheme="minorBidi"/>
          <w:noProof/>
        </w:rPr>
      </w:pPr>
      <w:hyperlink w:anchor="_Toc449964919" w:history="1">
        <w:r w:rsidRPr="005B4E8F">
          <w:rPr>
            <w:rStyle w:val="Hyperlink"/>
            <w:noProof/>
            <w:lang w:bidi="en-US"/>
          </w:rPr>
          <w:t>Appendix B: Source code for linear models data preparation</w:t>
        </w:r>
        <w:r>
          <w:rPr>
            <w:noProof/>
            <w:webHidden/>
          </w:rPr>
          <w:tab/>
        </w:r>
        <w:r>
          <w:rPr>
            <w:noProof/>
            <w:webHidden/>
          </w:rPr>
          <w:fldChar w:fldCharType="begin"/>
        </w:r>
        <w:r>
          <w:rPr>
            <w:noProof/>
            <w:webHidden/>
          </w:rPr>
          <w:instrText xml:space="preserve"> PAGEREF _Toc449964919 \h </w:instrText>
        </w:r>
        <w:r>
          <w:rPr>
            <w:noProof/>
            <w:webHidden/>
          </w:rPr>
        </w:r>
        <w:r>
          <w:rPr>
            <w:noProof/>
            <w:webHidden/>
          </w:rPr>
          <w:fldChar w:fldCharType="separate"/>
        </w:r>
        <w:r>
          <w:rPr>
            <w:noProof/>
            <w:webHidden/>
          </w:rPr>
          <w:t>197</w:t>
        </w:r>
        <w:r>
          <w:rPr>
            <w:noProof/>
            <w:webHidden/>
          </w:rPr>
          <w:fldChar w:fldCharType="end"/>
        </w:r>
      </w:hyperlink>
    </w:p>
    <w:p w14:paraId="3C02C93B" w14:textId="77777777" w:rsidR="00463F52" w:rsidRDefault="00463F52">
      <w:pPr>
        <w:pStyle w:val="TOC1"/>
        <w:rPr>
          <w:rFonts w:asciiTheme="minorHAnsi" w:eastAsiaTheme="minorEastAsia" w:hAnsiTheme="minorHAnsi" w:cstheme="minorBidi"/>
          <w:noProof/>
        </w:rPr>
      </w:pPr>
      <w:hyperlink w:anchor="_Toc449964920" w:history="1">
        <w:r w:rsidRPr="005B4E8F">
          <w:rPr>
            <w:rStyle w:val="Hyperlink"/>
            <w:noProof/>
            <w:lang w:bidi="en-US"/>
          </w:rPr>
          <w:t>Appendix C: Source code for torrefaction models</w:t>
        </w:r>
        <w:r>
          <w:rPr>
            <w:noProof/>
            <w:webHidden/>
          </w:rPr>
          <w:tab/>
        </w:r>
        <w:r>
          <w:rPr>
            <w:noProof/>
            <w:webHidden/>
          </w:rPr>
          <w:fldChar w:fldCharType="begin"/>
        </w:r>
        <w:r>
          <w:rPr>
            <w:noProof/>
            <w:webHidden/>
          </w:rPr>
          <w:instrText xml:space="preserve"> PAGEREF _Toc449964920 \h </w:instrText>
        </w:r>
        <w:r>
          <w:rPr>
            <w:noProof/>
            <w:webHidden/>
          </w:rPr>
        </w:r>
        <w:r>
          <w:rPr>
            <w:noProof/>
            <w:webHidden/>
          </w:rPr>
          <w:fldChar w:fldCharType="separate"/>
        </w:r>
        <w:r>
          <w:rPr>
            <w:noProof/>
            <w:webHidden/>
          </w:rPr>
          <w:t>202</w:t>
        </w:r>
        <w:r>
          <w:rPr>
            <w:noProof/>
            <w:webHidden/>
          </w:rPr>
          <w:fldChar w:fldCharType="end"/>
        </w:r>
      </w:hyperlink>
    </w:p>
    <w:p w14:paraId="51EEBDD7" w14:textId="77777777" w:rsidR="00463F52" w:rsidRDefault="00463F52">
      <w:pPr>
        <w:pStyle w:val="TOC1"/>
        <w:rPr>
          <w:rFonts w:asciiTheme="minorHAnsi" w:eastAsiaTheme="minorEastAsia" w:hAnsiTheme="minorHAnsi" w:cstheme="minorBidi"/>
          <w:noProof/>
        </w:rPr>
      </w:pPr>
      <w:hyperlink w:anchor="_Toc449964921" w:history="1">
        <w:r w:rsidRPr="005B4E8F">
          <w:rPr>
            <w:rStyle w:val="Hyperlink"/>
            <w:noProof/>
            <w:lang w:bidi="en-US"/>
          </w:rPr>
          <w:t>Appendix D: Source code for pyrolysis models</w:t>
        </w:r>
        <w:r>
          <w:rPr>
            <w:noProof/>
            <w:webHidden/>
          </w:rPr>
          <w:tab/>
        </w:r>
        <w:r>
          <w:rPr>
            <w:noProof/>
            <w:webHidden/>
          </w:rPr>
          <w:fldChar w:fldCharType="begin"/>
        </w:r>
        <w:r>
          <w:rPr>
            <w:noProof/>
            <w:webHidden/>
          </w:rPr>
          <w:instrText xml:space="preserve"> PAGEREF _Toc449964921 \h </w:instrText>
        </w:r>
        <w:r>
          <w:rPr>
            <w:noProof/>
            <w:webHidden/>
          </w:rPr>
        </w:r>
        <w:r>
          <w:rPr>
            <w:noProof/>
            <w:webHidden/>
          </w:rPr>
          <w:fldChar w:fldCharType="separate"/>
        </w:r>
        <w:r>
          <w:rPr>
            <w:noProof/>
            <w:webHidden/>
          </w:rPr>
          <w:t>221</w:t>
        </w:r>
        <w:r>
          <w:rPr>
            <w:noProof/>
            <w:webHidden/>
          </w:rPr>
          <w:fldChar w:fldCharType="end"/>
        </w:r>
      </w:hyperlink>
    </w:p>
    <w:p w14:paraId="7936C130" w14:textId="77777777" w:rsidR="00DA1971" w:rsidRDefault="00F7122D" w:rsidP="00DA1971">
      <w:r>
        <w:fldChar w:fldCharType="end"/>
      </w:r>
      <w:r w:rsidR="00C92079">
        <w:t xml:space="preserve"> </w:t>
      </w:r>
    </w:p>
    <w:p w14:paraId="449E41AD" w14:textId="77777777" w:rsidR="00775701" w:rsidRDefault="00DA1971" w:rsidP="00C16C66">
      <w:pPr>
        <w:pStyle w:val="Heading1"/>
      </w:pPr>
      <w:r>
        <w:br w:type="page"/>
      </w:r>
      <w:bookmarkStart w:id="3" w:name="_Toc310579465"/>
      <w:bookmarkStart w:id="4" w:name="_Toc449964822"/>
      <w:r>
        <w:lastRenderedPageBreak/>
        <w:t>List of Tables</w:t>
      </w:r>
      <w:bookmarkEnd w:id="3"/>
      <w:bookmarkEnd w:id="4"/>
    </w:p>
    <w:p w14:paraId="70FB904B" w14:textId="77777777" w:rsidR="004A7222" w:rsidRDefault="004A7222" w:rsidP="004A7222">
      <w:pPr>
        <w:pStyle w:val="NoSpacing"/>
      </w:pPr>
    </w:p>
    <w:p w14:paraId="6595A718" w14:textId="77777777" w:rsidR="00463F52" w:rsidRDefault="00F7122D">
      <w:pPr>
        <w:pStyle w:val="TableofFigures"/>
        <w:tabs>
          <w:tab w:val="right" w:leader="dot" w:pos="8486"/>
        </w:tabs>
        <w:rPr>
          <w:rFonts w:asciiTheme="minorHAnsi" w:eastAsiaTheme="minorEastAsia" w:hAnsiTheme="minorHAnsi" w:cstheme="minorBidi"/>
          <w:noProof/>
        </w:rPr>
      </w:pPr>
      <w:r>
        <w:fldChar w:fldCharType="begin"/>
      </w:r>
      <w:r w:rsidR="00CC7E26">
        <w:instrText xml:space="preserve"> TOC \h \z \c "Table" </w:instrText>
      </w:r>
      <w:r>
        <w:fldChar w:fldCharType="separate"/>
      </w:r>
      <w:hyperlink w:anchor="_Toc449964922" w:history="1">
        <w:r w:rsidR="00463F52" w:rsidRPr="000A28C1">
          <w:rPr>
            <w:rStyle w:val="Hyperlink"/>
            <w:noProof/>
          </w:rPr>
          <w:t>Table 1.1. The percentage ranges and categories of major bio-oil components.</w:t>
        </w:r>
        <w:r w:rsidR="00463F52">
          <w:rPr>
            <w:noProof/>
            <w:webHidden/>
          </w:rPr>
          <w:tab/>
        </w:r>
        <w:r w:rsidR="00463F52">
          <w:rPr>
            <w:noProof/>
            <w:webHidden/>
          </w:rPr>
          <w:fldChar w:fldCharType="begin"/>
        </w:r>
        <w:r w:rsidR="00463F52">
          <w:rPr>
            <w:noProof/>
            <w:webHidden/>
          </w:rPr>
          <w:instrText xml:space="preserve"> PAGEREF _Toc449964922 \h </w:instrText>
        </w:r>
        <w:r w:rsidR="00463F52">
          <w:rPr>
            <w:noProof/>
            <w:webHidden/>
          </w:rPr>
        </w:r>
        <w:r w:rsidR="00463F52">
          <w:rPr>
            <w:noProof/>
            <w:webHidden/>
          </w:rPr>
          <w:fldChar w:fldCharType="separate"/>
        </w:r>
        <w:r w:rsidR="00463F52">
          <w:rPr>
            <w:noProof/>
            <w:webHidden/>
          </w:rPr>
          <w:t>3</w:t>
        </w:r>
        <w:r w:rsidR="00463F52">
          <w:rPr>
            <w:noProof/>
            <w:webHidden/>
          </w:rPr>
          <w:fldChar w:fldCharType="end"/>
        </w:r>
      </w:hyperlink>
    </w:p>
    <w:p w14:paraId="39382859" w14:textId="77777777" w:rsidR="00463F52" w:rsidRDefault="00463F52">
      <w:pPr>
        <w:pStyle w:val="TableofFigures"/>
        <w:tabs>
          <w:tab w:val="right" w:leader="dot" w:pos="8486"/>
        </w:tabs>
        <w:rPr>
          <w:rFonts w:asciiTheme="minorHAnsi" w:eastAsiaTheme="minorEastAsia" w:hAnsiTheme="minorHAnsi" w:cstheme="minorBidi"/>
          <w:noProof/>
        </w:rPr>
      </w:pPr>
      <w:hyperlink w:anchor="_Toc449964923" w:history="1">
        <w:r w:rsidRPr="000A28C1">
          <w:rPr>
            <w:rStyle w:val="Hyperlink"/>
            <w:noProof/>
          </w:rPr>
          <w:t>Table 1.2. Product distribution from fast pyrolysis of three biopolymer fractions.</w:t>
        </w:r>
        <w:r>
          <w:rPr>
            <w:noProof/>
            <w:webHidden/>
          </w:rPr>
          <w:tab/>
        </w:r>
        <w:r>
          <w:rPr>
            <w:noProof/>
            <w:webHidden/>
          </w:rPr>
          <w:fldChar w:fldCharType="begin"/>
        </w:r>
        <w:r>
          <w:rPr>
            <w:noProof/>
            <w:webHidden/>
          </w:rPr>
          <w:instrText xml:space="preserve"> PAGEREF _Toc449964923 \h </w:instrText>
        </w:r>
        <w:r>
          <w:rPr>
            <w:noProof/>
            <w:webHidden/>
          </w:rPr>
        </w:r>
        <w:r>
          <w:rPr>
            <w:noProof/>
            <w:webHidden/>
          </w:rPr>
          <w:fldChar w:fldCharType="separate"/>
        </w:r>
        <w:r>
          <w:rPr>
            <w:noProof/>
            <w:webHidden/>
          </w:rPr>
          <w:t>7</w:t>
        </w:r>
        <w:r>
          <w:rPr>
            <w:noProof/>
            <w:webHidden/>
          </w:rPr>
          <w:fldChar w:fldCharType="end"/>
        </w:r>
      </w:hyperlink>
    </w:p>
    <w:p w14:paraId="3A70B600" w14:textId="77777777" w:rsidR="00463F52" w:rsidRDefault="00463F52">
      <w:pPr>
        <w:pStyle w:val="TableofFigures"/>
        <w:tabs>
          <w:tab w:val="right" w:leader="dot" w:pos="8486"/>
        </w:tabs>
        <w:rPr>
          <w:rFonts w:asciiTheme="minorHAnsi" w:eastAsiaTheme="minorEastAsia" w:hAnsiTheme="minorHAnsi" w:cstheme="minorBidi"/>
          <w:noProof/>
        </w:rPr>
      </w:pPr>
      <w:hyperlink w:anchor="_Toc449964924" w:history="1">
        <w:r w:rsidRPr="000A28C1">
          <w:rPr>
            <w:rStyle w:val="Hyperlink"/>
            <w:noProof/>
          </w:rPr>
          <w:t>Table 2.1. The variation of biomass components among vascular plants including grasses, softwoods, and hardwoods.</w:t>
        </w:r>
        <w:r>
          <w:rPr>
            <w:noProof/>
            <w:webHidden/>
          </w:rPr>
          <w:tab/>
        </w:r>
        <w:r>
          <w:rPr>
            <w:noProof/>
            <w:webHidden/>
          </w:rPr>
          <w:fldChar w:fldCharType="begin"/>
        </w:r>
        <w:r>
          <w:rPr>
            <w:noProof/>
            <w:webHidden/>
          </w:rPr>
          <w:instrText xml:space="preserve"> PAGEREF _Toc449964924 \h </w:instrText>
        </w:r>
        <w:r>
          <w:rPr>
            <w:noProof/>
            <w:webHidden/>
          </w:rPr>
        </w:r>
        <w:r>
          <w:rPr>
            <w:noProof/>
            <w:webHidden/>
          </w:rPr>
          <w:fldChar w:fldCharType="separate"/>
        </w:r>
        <w:r>
          <w:rPr>
            <w:noProof/>
            <w:webHidden/>
          </w:rPr>
          <w:t>11</w:t>
        </w:r>
        <w:r>
          <w:rPr>
            <w:noProof/>
            <w:webHidden/>
          </w:rPr>
          <w:fldChar w:fldCharType="end"/>
        </w:r>
      </w:hyperlink>
    </w:p>
    <w:p w14:paraId="1102E569" w14:textId="77777777" w:rsidR="00463F52" w:rsidRDefault="00463F52">
      <w:pPr>
        <w:pStyle w:val="TableofFigures"/>
        <w:tabs>
          <w:tab w:val="right" w:leader="dot" w:pos="8486"/>
        </w:tabs>
        <w:rPr>
          <w:rFonts w:asciiTheme="minorHAnsi" w:eastAsiaTheme="minorEastAsia" w:hAnsiTheme="minorHAnsi" w:cstheme="minorBidi"/>
          <w:noProof/>
        </w:rPr>
      </w:pPr>
      <w:hyperlink w:anchor="_Toc449964925" w:history="1">
        <w:r w:rsidRPr="000A28C1">
          <w:rPr>
            <w:rStyle w:val="Hyperlink"/>
            <w:noProof/>
          </w:rPr>
          <w:t>Table 2.2. Evidence in the literature for the three models described in section 2.2</w:t>
        </w:r>
        <w:r>
          <w:rPr>
            <w:noProof/>
            <w:webHidden/>
          </w:rPr>
          <w:tab/>
        </w:r>
        <w:r>
          <w:rPr>
            <w:noProof/>
            <w:webHidden/>
          </w:rPr>
          <w:fldChar w:fldCharType="begin"/>
        </w:r>
        <w:r>
          <w:rPr>
            <w:noProof/>
            <w:webHidden/>
          </w:rPr>
          <w:instrText xml:space="preserve"> PAGEREF _Toc449964925 \h </w:instrText>
        </w:r>
        <w:r>
          <w:rPr>
            <w:noProof/>
            <w:webHidden/>
          </w:rPr>
        </w:r>
        <w:r>
          <w:rPr>
            <w:noProof/>
            <w:webHidden/>
          </w:rPr>
          <w:fldChar w:fldCharType="separate"/>
        </w:r>
        <w:r>
          <w:rPr>
            <w:noProof/>
            <w:webHidden/>
          </w:rPr>
          <w:t>20</w:t>
        </w:r>
        <w:r>
          <w:rPr>
            <w:noProof/>
            <w:webHidden/>
          </w:rPr>
          <w:fldChar w:fldCharType="end"/>
        </w:r>
      </w:hyperlink>
    </w:p>
    <w:p w14:paraId="3727A498" w14:textId="77777777" w:rsidR="00463F52" w:rsidRDefault="00463F52">
      <w:pPr>
        <w:pStyle w:val="TableofFigures"/>
        <w:tabs>
          <w:tab w:val="right" w:leader="dot" w:pos="8486"/>
        </w:tabs>
        <w:rPr>
          <w:rFonts w:asciiTheme="minorHAnsi" w:eastAsiaTheme="minorEastAsia" w:hAnsiTheme="minorHAnsi" w:cstheme="minorBidi"/>
          <w:noProof/>
        </w:rPr>
      </w:pPr>
      <w:hyperlink w:anchor="_Toc449964926" w:history="1">
        <w:r w:rsidRPr="000A28C1">
          <w:rPr>
            <w:rStyle w:val="Hyperlink"/>
            <w:noProof/>
          </w:rPr>
          <w:t>Table 3.1. Switchgrass compositional features.</w:t>
        </w:r>
        <w:r>
          <w:rPr>
            <w:noProof/>
            <w:webHidden/>
          </w:rPr>
          <w:tab/>
        </w:r>
        <w:r>
          <w:rPr>
            <w:noProof/>
            <w:webHidden/>
          </w:rPr>
          <w:fldChar w:fldCharType="begin"/>
        </w:r>
        <w:r>
          <w:rPr>
            <w:noProof/>
            <w:webHidden/>
          </w:rPr>
          <w:instrText xml:space="preserve"> PAGEREF _Toc449964926 \h </w:instrText>
        </w:r>
        <w:r>
          <w:rPr>
            <w:noProof/>
            <w:webHidden/>
          </w:rPr>
        </w:r>
        <w:r>
          <w:rPr>
            <w:noProof/>
            <w:webHidden/>
          </w:rPr>
          <w:fldChar w:fldCharType="separate"/>
        </w:r>
        <w:r>
          <w:rPr>
            <w:noProof/>
            <w:webHidden/>
          </w:rPr>
          <w:t>48</w:t>
        </w:r>
        <w:r>
          <w:rPr>
            <w:noProof/>
            <w:webHidden/>
          </w:rPr>
          <w:fldChar w:fldCharType="end"/>
        </w:r>
      </w:hyperlink>
    </w:p>
    <w:p w14:paraId="06E21E95" w14:textId="77777777" w:rsidR="00463F52" w:rsidRDefault="00463F52">
      <w:pPr>
        <w:pStyle w:val="TableofFigures"/>
        <w:tabs>
          <w:tab w:val="right" w:leader="dot" w:pos="8486"/>
        </w:tabs>
        <w:rPr>
          <w:rFonts w:asciiTheme="minorHAnsi" w:eastAsiaTheme="minorEastAsia" w:hAnsiTheme="minorHAnsi" w:cstheme="minorBidi"/>
          <w:noProof/>
        </w:rPr>
      </w:pPr>
      <w:hyperlink w:anchor="_Toc449964927" w:history="1">
        <w:r w:rsidRPr="000A28C1">
          <w:rPr>
            <w:rStyle w:val="Hyperlink"/>
            <w:noProof/>
          </w:rPr>
          <w:t>Table 4.1. Comparison of coke on spent catalysts after 10 pulses of biomass injected.</w:t>
        </w:r>
        <w:r>
          <w:rPr>
            <w:noProof/>
            <w:webHidden/>
          </w:rPr>
          <w:tab/>
        </w:r>
        <w:r>
          <w:rPr>
            <w:noProof/>
            <w:webHidden/>
          </w:rPr>
          <w:fldChar w:fldCharType="begin"/>
        </w:r>
        <w:r>
          <w:rPr>
            <w:noProof/>
            <w:webHidden/>
          </w:rPr>
          <w:instrText xml:space="preserve"> PAGEREF _Toc449964927 \h </w:instrText>
        </w:r>
        <w:r>
          <w:rPr>
            <w:noProof/>
            <w:webHidden/>
          </w:rPr>
        </w:r>
        <w:r>
          <w:rPr>
            <w:noProof/>
            <w:webHidden/>
          </w:rPr>
          <w:fldChar w:fldCharType="separate"/>
        </w:r>
        <w:r>
          <w:rPr>
            <w:noProof/>
            <w:webHidden/>
          </w:rPr>
          <w:t>65</w:t>
        </w:r>
        <w:r>
          <w:rPr>
            <w:noProof/>
            <w:webHidden/>
          </w:rPr>
          <w:fldChar w:fldCharType="end"/>
        </w:r>
      </w:hyperlink>
    </w:p>
    <w:p w14:paraId="2BBBF8EC" w14:textId="77777777" w:rsidR="00463F52" w:rsidRDefault="00463F52">
      <w:pPr>
        <w:pStyle w:val="TableofFigures"/>
        <w:tabs>
          <w:tab w:val="right" w:leader="dot" w:pos="8486"/>
        </w:tabs>
        <w:rPr>
          <w:rFonts w:asciiTheme="minorHAnsi" w:eastAsiaTheme="minorEastAsia" w:hAnsiTheme="minorHAnsi" w:cstheme="minorBidi"/>
          <w:noProof/>
        </w:rPr>
      </w:pPr>
      <w:hyperlink w:anchor="_Toc449964928" w:history="1">
        <w:r w:rsidRPr="000A28C1">
          <w:rPr>
            <w:rStyle w:val="Hyperlink"/>
            <w:noProof/>
          </w:rPr>
          <w:t>Table 4.2. Comparison of micropore volume and measured Brønsted sites on fresh and spent catalysts after exposure to 46 mg of biomass at 500°C.</w:t>
        </w:r>
        <w:r>
          <w:rPr>
            <w:noProof/>
            <w:webHidden/>
          </w:rPr>
          <w:tab/>
        </w:r>
        <w:r>
          <w:rPr>
            <w:noProof/>
            <w:webHidden/>
          </w:rPr>
          <w:fldChar w:fldCharType="begin"/>
        </w:r>
        <w:r>
          <w:rPr>
            <w:noProof/>
            <w:webHidden/>
          </w:rPr>
          <w:instrText xml:space="preserve"> PAGEREF _Toc449964928 \h </w:instrText>
        </w:r>
        <w:r>
          <w:rPr>
            <w:noProof/>
            <w:webHidden/>
          </w:rPr>
        </w:r>
        <w:r>
          <w:rPr>
            <w:noProof/>
            <w:webHidden/>
          </w:rPr>
          <w:fldChar w:fldCharType="separate"/>
        </w:r>
        <w:r>
          <w:rPr>
            <w:noProof/>
            <w:webHidden/>
          </w:rPr>
          <w:t>76</w:t>
        </w:r>
        <w:r>
          <w:rPr>
            <w:noProof/>
            <w:webHidden/>
          </w:rPr>
          <w:fldChar w:fldCharType="end"/>
        </w:r>
      </w:hyperlink>
    </w:p>
    <w:p w14:paraId="65493173" w14:textId="77777777" w:rsidR="00463F52" w:rsidRDefault="00463F52">
      <w:pPr>
        <w:pStyle w:val="TableofFigures"/>
        <w:tabs>
          <w:tab w:val="right" w:leader="dot" w:pos="8486"/>
        </w:tabs>
        <w:rPr>
          <w:rFonts w:asciiTheme="minorHAnsi" w:eastAsiaTheme="minorEastAsia" w:hAnsiTheme="minorHAnsi" w:cstheme="minorBidi"/>
          <w:noProof/>
        </w:rPr>
      </w:pPr>
      <w:hyperlink w:anchor="_Toc449964929" w:history="1">
        <w:r w:rsidRPr="000A28C1">
          <w:rPr>
            <w:rStyle w:val="Hyperlink"/>
            <w:noProof/>
          </w:rPr>
          <w:t>Table 5.1. Oak feedstock compositional data.</w:t>
        </w:r>
        <w:r>
          <w:rPr>
            <w:noProof/>
            <w:webHidden/>
          </w:rPr>
          <w:tab/>
        </w:r>
        <w:r>
          <w:rPr>
            <w:noProof/>
            <w:webHidden/>
          </w:rPr>
          <w:fldChar w:fldCharType="begin"/>
        </w:r>
        <w:r>
          <w:rPr>
            <w:noProof/>
            <w:webHidden/>
          </w:rPr>
          <w:instrText xml:space="preserve"> PAGEREF _Toc449964929 \h </w:instrText>
        </w:r>
        <w:r>
          <w:rPr>
            <w:noProof/>
            <w:webHidden/>
          </w:rPr>
        </w:r>
        <w:r>
          <w:rPr>
            <w:noProof/>
            <w:webHidden/>
          </w:rPr>
          <w:fldChar w:fldCharType="separate"/>
        </w:r>
        <w:r>
          <w:rPr>
            <w:noProof/>
            <w:webHidden/>
          </w:rPr>
          <w:t>83</w:t>
        </w:r>
        <w:r>
          <w:rPr>
            <w:noProof/>
            <w:webHidden/>
          </w:rPr>
          <w:fldChar w:fldCharType="end"/>
        </w:r>
      </w:hyperlink>
    </w:p>
    <w:p w14:paraId="43FB0010" w14:textId="77777777" w:rsidR="00463F52" w:rsidRDefault="00463F52">
      <w:pPr>
        <w:pStyle w:val="TableofFigures"/>
        <w:tabs>
          <w:tab w:val="right" w:leader="dot" w:pos="8486"/>
        </w:tabs>
        <w:rPr>
          <w:rFonts w:asciiTheme="minorHAnsi" w:eastAsiaTheme="minorEastAsia" w:hAnsiTheme="minorHAnsi" w:cstheme="minorBidi"/>
          <w:noProof/>
        </w:rPr>
      </w:pPr>
      <w:hyperlink w:anchor="_Toc449964930" w:history="1">
        <w:r w:rsidRPr="000A28C1">
          <w:rPr>
            <w:rStyle w:val="Hyperlink"/>
            <w:noProof/>
          </w:rPr>
          <w:t>Table 5.2. Oak feedstock elemental analysis data.</w:t>
        </w:r>
        <w:r>
          <w:rPr>
            <w:noProof/>
            <w:webHidden/>
          </w:rPr>
          <w:tab/>
        </w:r>
        <w:r>
          <w:rPr>
            <w:noProof/>
            <w:webHidden/>
          </w:rPr>
          <w:fldChar w:fldCharType="begin"/>
        </w:r>
        <w:r>
          <w:rPr>
            <w:noProof/>
            <w:webHidden/>
          </w:rPr>
          <w:instrText xml:space="preserve"> PAGEREF _Toc449964930 \h </w:instrText>
        </w:r>
        <w:r>
          <w:rPr>
            <w:noProof/>
            <w:webHidden/>
          </w:rPr>
        </w:r>
        <w:r>
          <w:rPr>
            <w:noProof/>
            <w:webHidden/>
          </w:rPr>
          <w:fldChar w:fldCharType="separate"/>
        </w:r>
        <w:r>
          <w:rPr>
            <w:noProof/>
            <w:webHidden/>
          </w:rPr>
          <w:t>83</w:t>
        </w:r>
        <w:r>
          <w:rPr>
            <w:noProof/>
            <w:webHidden/>
          </w:rPr>
          <w:fldChar w:fldCharType="end"/>
        </w:r>
      </w:hyperlink>
    </w:p>
    <w:p w14:paraId="0F3E4640" w14:textId="77777777" w:rsidR="00463F52" w:rsidRDefault="00463F52">
      <w:pPr>
        <w:pStyle w:val="TableofFigures"/>
        <w:tabs>
          <w:tab w:val="right" w:leader="dot" w:pos="8486"/>
        </w:tabs>
        <w:rPr>
          <w:rFonts w:asciiTheme="minorHAnsi" w:eastAsiaTheme="minorEastAsia" w:hAnsiTheme="minorHAnsi" w:cstheme="minorBidi"/>
          <w:noProof/>
        </w:rPr>
      </w:pPr>
      <w:hyperlink w:anchor="_Toc449964931" w:history="1">
        <w:r w:rsidRPr="000A28C1">
          <w:rPr>
            <w:rStyle w:val="Hyperlink"/>
            <w:noProof/>
          </w:rPr>
          <w:t>Table 5.3. Kinetic model weight loss predictions for oak biomass.</w:t>
        </w:r>
        <w:r>
          <w:rPr>
            <w:noProof/>
            <w:webHidden/>
          </w:rPr>
          <w:tab/>
        </w:r>
        <w:r>
          <w:rPr>
            <w:noProof/>
            <w:webHidden/>
          </w:rPr>
          <w:fldChar w:fldCharType="begin"/>
        </w:r>
        <w:r>
          <w:rPr>
            <w:noProof/>
            <w:webHidden/>
          </w:rPr>
          <w:instrText xml:space="preserve"> PAGEREF _Toc449964931 \h </w:instrText>
        </w:r>
        <w:r>
          <w:rPr>
            <w:noProof/>
            <w:webHidden/>
          </w:rPr>
        </w:r>
        <w:r>
          <w:rPr>
            <w:noProof/>
            <w:webHidden/>
          </w:rPr>
          <w:fldChar w:fldCharType="separate"/>
        </w:r>
        <w:r>
          <w:rPr>
            <w:noProof/>
            <w:webHidden/>
          </w:rPr>
          <w:t>84</w:t>
        </w:r>
        <w:r>
          <w:rPr>
            <w:noProof/>
            <w:webHidden/>
          </w:rPr>
          <w:fldChar w:fldCharType="end"/>
        </w:r>
      </w:hyperlink>
    </w:p>
    <w:p w14:paraId="6319AFF5" w14:textId="77777777" w:rsidR="00463F52" w:rsidRDefault="00463F52">
      <w:pPr>
        <w:pStyle w:val="TableofFigures"/>
        <w:tabs>
          <w:tab w:val="right" w:leader="dot" w:pos="8486"/>
        </w:tabs>
        <w:rPr>
          <w:rFonts w:asciiTheme="minorHAnsi" w:eastAsiaTheme="minorEastAsia" w:hAnsiTheme="minorHAnsi" w:cstheme="minorBidi"/>
          <w:noProof/>
        </w:rPr>
      </w:pPr>
      <w:hyperlink w:anchor="_Toc449964932" w:history="1">
        <w:r w:rsidRPr="000A28C1">
          <w:rPr>
            <w:rStyle w:val="Hyperlink"/>
            <w:noProof/>
          </w:rPr>
          <w:t>Table 5.4. Identified compounds and lumps in this study.</w:t>
        </w:r>
        <w:r>
          <w:rPr>
            <w:noProof/>
            <w:webHidden/>
          </w:rPr>
          <w:tab/>
        </w:r>
        <w:r>
          <w:rPr>
            <w:noProof/>
            <w:webHidden/>
          </w:rPr>
          <w:fldChar w:fldCharType="begin"/>
        </w:r>
        <w:r>
          <w:rPr>
            <w:noProof/>
            <w:webHidden/>
          </w:rPr>
          <w:instrText xml:space="preserve"> PAGEREF _Toc449964932 \h </w:instrText>
        </w:r>
        <w:r>
          <w:rPr>
            <w:noProof/>
            <w:webHidden/>
          </w:rPr>
        </w:r>
        <w:r>
          <w:rPr>
            <w:noProof/>
            <w:webHidden/>
          </w:rPr>
          <w:fldChar w:fldCharType="separate"/>
        </w:r>
        <w:r>
          <w:rPr>
            <w:noProof/>
            <w:webHidden/>
          </w:rPr>
          <w:t>87</w:t>
        </w:r>
        <w:r>
          <w:rPr>
            <w:noProof/>
            <w:webHidden/>
          </w:rPr>
          <w:fldChar w:fldCharType="end"/>
        </w:r>
      </w:hyperlink>
    </w:p>
    <w:p w14:paraId="6B80385F" w14:textId="77777777" w:rsidR="00463F52" w:rsidRDefault="00463F52">
      <w:pPr>
        <w:pStyle w:val="TableofFigures"/>
        <w:tabs>
          <w:tab w:val="right" w:leader="dot" w:pos="8486"/>
        </w:tabs>
        <w:rPr>
          <w:rFonts w:asciiTheme="minorHAnsi" w:eastAsiaTheme="minorEastAsia" w:hAnsiTheme="minorHAnsi" w:cstheme="minorBidi"/>
          <w:noProof/>
        </w:rPr>
      </w:pPr>
      <w:hyperlink w:anchor="_Toc449964933" w:history="1">
        <w:r w:rsidRPr="000A28C1">
          <w:rPr>
            <w:rStyle w:val="Hyperlink"/>
            <w:noProof/>
          </w:rPr>
          <w:t>Table 5.5. Mass balance of Stage 1 Thermal Treatment.</w:t>
        </w:r>
        <w:r>
          <w:rPr>
            <w:noProof/>
            <w:webHidden/>
          </w:rPr>
          <w:tab/>
        </w:r>
        <w:r>
          <w:rPr>
            <w:noProof/>
            <w:webHidden/>
          </w:rPr>
          <w:fldChar w:fldCharType="begin"/>
        </w:r>
        <w:r>
          <w:rPr>
            <w:noProof/>
            <w:webHidden/>
          </w:rPr>
          <w:instrText xml:space="preserve"> PAGEREF _Toc449964933 \h </w:instrText>
        </w:r>
        <w:r>
          <w:rPr>
            <w:noProof/>
            <w:webHidden/>
          </w:rPr>
        </w:r>
        <w:r>
          <w:rPr>
            <w:noProof/>
            <w:webHidden/>
          </w:rPr>
          <w:fldChar w:fldCharType="separate"/>
        </w:r>
        <w:r>
          <w:rPr>
            <w:noProof/>
            <w:webHidden/>
          </w:rPr>
          <w:t>88</w:t>
        </w:r>
        <w:r>
          <w:rPr>
            <w:noProof/>
            <w:webHidden/>
          </w:rPr>
          <w:fldChar w:fldCharType="end"/>
        </w:r>
      </w:hyperlink>
    </w:p>
    <w:p w14:paraId="30FF83B5" w14:textId="77777777" w:rsidR="00463F52" w:rsidRDefault="00463F52">
      <w:pPr>
        <w:pStyle w:val="TableofFigures"/>
        <w:tabs>
          <w:tab w:val="right" w:leader="dot" w:pos="8486"/>
        </w:tabs>
        <w:rPr>
          <w:rFonts w:asciiTheme="minorHAnsi" w:eastAsiaTheme="minorEastAsia" w:hAnsiTheme="minorHAnsi" w:cstheme="minorBidi"/>
          <w:noProof/>
        </w:rPr>
      </w:pPr>
      <w:hyperlink w:anchor="_Toc449964934" w:history="1">
        <w:r w:rsidRPr="000A28C1">
          <w:rPr>
            <w:rStyle w:val="Hyperlink"/>
            <w:noProof/>
          </w:rPr>
          <w:t>Table 5.6. Carbon yields for stages 1, 2 &amp; 3.</w:t>
        </w:r>
        <w:r>
          <w:rPr>
            <w:noProof/>
            <w:webHidden/>
          </w:rPr>
          <w:tab/>
        </w:r>
        <w:r>
          <w:rPr>
            <w:noProof/>
            <w:webHidden/>
          </w:rPr>
          <w:fldChar w:fldCharType="begin"/>
        </w:r>
        <w:r>
          <w:rPr>
            <w:noProof/>
            <w:webHidden/>
          </w:rPr>
          <w:instrText xml:space="preserve"> PAGEREF _Toc449964934 \h </w:instrText>
        </w:r>
        <w:r>
          <w:rPr>
            <w:noProof/>
            <w:webHidden/>
          </w:rPr>
        </w:r>
        <w:r>
          <w:rPr>
            <w:noProof/>
            <w:webHidden/>
          </w:rPr>
          <w:fldChar w:fldCharType="separate"/>
        </w:r>
        <w:r>
          <w:rPr>
            <w:noProof/>
            <w:webHidden/>
          </w:rPr>
          <w:t>90</w:t>
        </w:r>
        <w:r>
          <w:rPr>
            <w:noProof/>
            <w:webHidden/>
          </w:rPr>
          <w:fldChar w:fldCharType="end"/>
        </w:r>
      </w:hyperlink>
    </w:p>
    <w:p w14:paraId="556C7F82" w14:textId="77777777" w:rsidR="00463F52" w:rsidRDefault="00463F52">
      <w:pPr>
        <w:pStyle w:val="TableofFigures"/>
        <w:tabs>
          <w:tab w:val="right" w:leader="dot" w:pos="8486"/>
        </w:tabs>
        <w:rPr>
          <w:rFonts w:asciiTheme="minorHAnsi" w:eastAsiaTheme="minorEastAsia" w:hAnsiTheme="minorHAnsi" w:cstheme="minorBidi"/>
          <w:noProof/>
        </w:rPr>
      </w:pPr>
      <w:hyperlink w:anchor="_Toc449964935" w:history="1">
        <w:r w:rsidRPr="000A28C1">
          <w:rPr>
            <w:rStyle w:val="Hyperlink"/>
            <w:noProof/>
          </w:rPr>
          <w:t>Table 6.1. Compounds and lumps used for torrefaction modeling.</w:t>
        </w:r>
        <w:r>
          <w:rPr>
            <w:noProof/>
            <w:webHidden/>
          </w:rPr>
          <w:tab/>
        </w:r>
        <w:r>
          <w:rPr>
            <w:noProof/>
            <w:webHidden/>
          </w:rPr>
          <w:fldChar w:fldCharType="begin"/>
        </w:r>
        <w:r>
          <w:rPr>
            <w:noProof/>
            <w:webHidden/>
          </w:rPr>
          <w:instrText xml:space="preserve"> PAGEREF _Toc449964935 \h </w:instrText>
        </w:r>
        <w:r>
          <w:rPr>
            <w:noProof/>
            <w:webHidden/>
          </w:rPr>
        </w:r>
        <w:r>
          <w:rPr>
            <w:noProof/>
            <w:webHidden/>
          </w:rPr>
          <w:fldChar w:fldCharType="separate"/>
        </w:r>
        <w:r>
          <w:rPr>
            <w:noProof/>
            <w:webHidden/>
          </w:rPr>
          <w:t>113</w:t>
        </w:r>
        <w:r>
          <w:rPr>
            <w:noProof/>
            <w:webHidden/>
          </w:rPr>
          <w:fldChar w:fldCharType="end"/>
        </w:r>
      </w:hyperlink>
    </w:p>
    <w:p w14:paraId="3E648661" w14:textId="77777777" w:rsidR="00463F52" w:rsidRDefault="00463F52">
      <w:pPr>
        <w:pStyle w:val="TableofFigures"/>
        <w:tabs>
          <w:tab w:val="right" w:leader="dot" w:pos="8486"/>
        </w:tabs>
        <w:rPr>
          <w:rFonts w:asciiTheme="minorHAnsi" w:eastAsiaTheme="minorEastAsia" w:hAnsiTheme="minorHAnsi" w:cstheme="minorBidi"/>
          <w:noProof/>
        </w:rPr>
      </w:pPr>
      <w:hyperlink w:anchor="_Toc449964936" w:history="1">
        <w:r w:rsidRPr="000A28C1">
          <w:rPr>
            <w:rStyle w:val="Hyperlink"/>
            <w:noProof/>
          </w:rPr>
          <w:t>Table 6.2. Compounds and lumps used for pyrolysis modeling.</w:t>
        </w:r>
        <w:r>
          <w:rPr>
            <w:noProof/>
            <w:webHidden/>
          </w:rPr>
          <w:tab/>
        </w:r>
        <w:r>
          <w:rPr>
            <w:noProof/>
            <w:webHidden/>
          </w:rPr>
          <w:fldChar w:fldCharType="begin"/>
        </w:r>
        <w:r>
          <w:rPr>
            <w:noProof/>
            <w:webHidden/>
          </w:rPr>
          <w:instrText xml:space="preserve"> PAGEREF _Toc449964936 \h </w:instrText>
        </w:r>
        <w:r>
          <w:rPr>
            <w:noProof/>
            <w:webHidden/>
          </w:rPr>
        </w:r>
        <w:r>
          <w:rPr>
            <w:noProof/>
            <w:webHidden/>
          </w:rPr>
          <w:fldChar w:fldCharType="separate"/>
        </w:r>
        <w:r>
          <w:rPr>
            <w:noProof/>
            <w:webHidden/>
          </w:rPr>
          <w:t>114</w:t>
        </w:r>
        <w:r>
          <w:rPr>
            <w:noProof/>
            <w:webHidden/>
          </w:rPr>
          <w:fldChar w:fldCharType="end"/>
        </w:r>
      </w:hyperlink>
    </w:p>
    <w:p w14:paraId="3183FD26" w14:textId="77777777" w:rsidR="00463F52" w:rsidRDefault="00463F52">
      <w:pPr>
        <w:pStyle w:val="TableofFigures"/>
        <w:tabs>
          <w:tab w:val="right" w:leader="dot" w:pos="8486"/>
        </w:tabs>
        <w:rPr>
          <w:rFonts w:asciiTheme="minorHAnsi" w:eastAsiaTheme="minorEastAsia" w:hAnsiTheme="minorHAnsi" w:cstheme="minorBidi"/>
          <w:noProof/>
        </w:rPr>
      </w:pPr>
      <w:hyperlink w:anchor="_Toc449964937" w:history="1">
        <w:r w:rsidRPr="000A28C1">
          <w:rPr>
            <w:rStyle w:val="Hyperlink"/>
            <w:noProof/>
          </w:rPr>
          <w:t>Table 6.3. Model variable importance scores for top seven torrefaction random forest variables.</w:t>
        </w:r>
        <w:r>
          <w:rPr>
            <w:noProof/>
            <w:webHidden/>
          </w:rPr>
          <w:tab/>
        </w:r>
        <w:r>
          <w:rPr>
            <w:noProof/>
            <w:webHidden/>
          </w:rPr>
          <w:fldChar w:fldCharType="begin"/>
        </w:r>
        <w:r>
          <w:rPr>
            <w:noProof/>
            <w:webHidden/>
          </w:rPr>
          <w:instrText xml:space="preserve"> PAGEREF _Toc449964937 \h </w:instrText>
        </w:r>
        <w:r>
          <w:rPr>
            <w:noProof/>
            <w:webHidden/>
          </w:rPr>
        </w:r>
        <w:r>
          <w:rPr>
            <w:noProof/>
            <w:webHidden/>
          </w:rPr>
          <w:fldChar w:fldCharType="separate"/>
        </w:r>
        <w:r>
          <w:rPr>
            <w:noProof/>
            <w:webHidden/>
          </w:rPr>
          <w:t>116</w:t>
        </w:r>
        <w:r>
          <w:rPr>
            <w:noProof/>
            <w:webHidden/>
          </w:rPr>
          <w:fldChar w:fldCharType="end"/>
        </w:r>
      </w:hyperlink>
    </w:p>
    <w:p w14:paraId="2F936057" w14:textId="77777777" w:rsidR="00463F52" w:rsidRDefault="00463F52">
      <w:pPr>
        <w:pStyle w:val="TableofFigures"/>
        <w:tabs>
          <w:tab w:val="right" w:leader="dot" w:pos="8486"/>
        </w:tabs>
        <w:rPr>
          <w:rFonts w:asciiTheme="minorHAnsi" w:eastAsiaTheme="minorEastAsia" w:hAnsiTheme="minorHAnsi" w:cstheme="minorBidi"/>
          <w:noProof/>
        </w:rPr>
      </w:pPr>
      <w:hyperlink w:anchor="_Toc449964938" w:history="1">
        <w:r w:rsidRPr="000A28C1">
          <w:rPr>
            <w:rStyle w:val="Hyperlink"/>
            <w:noProof/>
          </w:rPr>
          <w:t>Table 6.4. Model variable importance scores for top seven pyrolysis random forest variables.</w:t>
        </w:r>
        <w:r>
          <w:rPr>
            <w:noProof/>
            <w:webHidden/>
          </w:rPr>
          <w:tab/>
        </w:r>
        <w:r>
          <w:rPr>
            <w:noProof/>
            <w:webHidden/>
          </w:rPr>
          <w:fldChar w:fldCharType="begin"/>
        </w:r>
        <w:r>
          <w:rPr>
            <w:noProof/>
            <w:webHidden/>
          </w:rPr>
          <w:instrText xml:space="preserve"> PAGEREF _Toc449964938 \h </w:instrText>
        </w:r>
        <w:r>
          <w:rPr>
            <w:noProof/>
            <w:webHidden/>
          </w:rPr>
        </w:r>
        <w:r>
          <w:rPr>
            <w:noProof/>
            <w:webHidden/>
          </w:rPr>
          <w:fldChar w:fldCharType="separate"/>
        </w:r>
        <w:r>
          <w:rPr>
            <w:noProof/>
            <w:webHidden/>
          </w:rPr>
          <w:t>117</w:t>
        </w:r>
        <w:r>
          <w:rPr>
            <w:noProof/>
            <w:webHidden/>
          </w:rPr>
          <w:fldChar w:fldCharType="end"/>
        </w:r>
      </w:hyperlink>
    </w:p>
    <w:p w14:paraId="43E3B2A9" w14:textId="77777777" w:rsidR="00463F52" w:rsidRDefault="00463F52">
      <w:pPr>
        <w:pStyle w:val="TableofFigures"/>
        <w:tabs>
          <w:tab w:val="right" w:leader="dot" w:pos="8486"/>
        </w:tabs>
        <w:rPr>
          <w:rFonts w:asciiTheme="minorHAnsi" w:eastAsiaTheme="minorEastAsia" w:hAnsiTheme="minorHAnsi" w:cstheme="minorBidi"/>
          <w:noProof/>
        </w:rPr>
      </w:pPr>
      <w:hyperlink w:anchor="_Toc449964939" w:history="1">
        <w:r w:rsidRPr="000A28C1">
          <w:rPr>
            <w:rStyle w:val="Hyperlink"/>
            <w:noProof/>
          </w:rPr>
          <w:t>Table 6.5. Final model coefficients developed for the torrefaction thermochemical lump indicated.</w:t>
        </w:r>
        <w:r>
          <w:rPr>
            <w:noProof/>
            <w:webHidden/>
          </w:rPr>
          <w:tab/>
        </w:r>
        <w:r>
          <w:rPr>
            <w:noProof/>
            <w:webHidden/>
          </w:rPr>
          <w:fldChar w:fldCharType="begin"/>
        </w:r>
        <w:r>
          <w:rPr>
            <w:noProof/>
            <w:webHidden/>
          </w:rPr>
          <w:instrText xml:space="preserve"> PAGEREF _Toc449964939 \h </w:instrText>
        </w:r>
        <w:r>
          <w:rPr>
            <w:noProof/>
            <w:webHidden/>
          </w:rPr>
        </w:r>
        <w:r>
          <w:rPr>
            <w:noProof/>
            <w:webHidden/>
          </w:rPr>
          <w:fldChar w:fldCharType="separate"/>
        </w:r>
        <w:r>
          <w:rPr>
            <w:noProof/>
            <w:webHidden/>
          </w:rPr>
          <w:t>118</w:t>
        </w:r>
        <w:r>
          <w:rPr>
            <w:noProof/>
            <w:webHidden/>
          </w:rPr>
          <w:fldChar w:fldCharType="end"/>
        </w:r>
      </w:hyperlink>
    </w:p>
    <w:p w14:paraId="1149DB0F" w14:textId="77777777" w:rsidR="00463F52" w:rsidRDefault="00463F52">
      <w:pPr>
        <w:pStyle w:val="TableofFigures"/>
        <w:tabs>
          <w:tab w:val="right" w:leader="dot" w:pos="8486"/>
        </w:tabs>
        <w:rPr>
          <w:rFonts w:asciiTheme="minorHAnsi" w:eastAsiaTheme="minorEastAsia" w:hAnsiTheme="minorHAnsi" w:cstheme="minorBidi"/>
          <w:noProof/>
        </w:rPr>
      </w:pPr>
      <w:hyperlink w:anchor="_Toc449964940" w:history="1">
        <w:r w:rsidRPr="000A28C1">
          <w:rPr>
            <w:rStyle w:val="Hyperlink"/>
            <w:noProof/>
          </w:rPr>
          <w:t>Table 6.6. Final model coefficients developed for the pyrolysis thermochemical lump indicated.</w:t>
        </w:r>
        <w:r>
          <w:rPr>
            <w:noProof/>
            <w:webHidden/>
          </w:rPr>
          <w:tab/>
        </w:r>
        <w:r>
          <w:rPr>
            <w:noProof/>
            <w:webHidden/>
          </w:rPr>
          <w:fldChar w:fldCharType="begin"/>
        </w:r>
        <w:r>
          <w:rPr>
            <w:noProof/>
            <w:webHidden/>
          </w:rPr>
          <w:instrText xml:space="preserve"> PAGEREF _Toc449964940 \h </w:instrText>
        </w:r>
        <w:r>
          <w:rPr>
            <w:noProof/>
            <w:webHidden/>
          </w:rPr>
        </w:r>
        <w:r>
          <w:rPr>
            <w:noProof/>
            <w:webHidden/>
          </w:rPr>
          <w:fldChar w:fldCharType="separate"/>
        </w:r>
        <w:r>
          <w:rPr>
            <w:noProof/>
            <w:webHidden/>
          </w:rPr>
          <w:t>119</w:t>
        </w:r>
        <w:r>
          <w:rPr>
            <w:noProof/>
            <w:webHidden/>
          </w:rPr>
          <w:fldChar w:fldCharType="end"/>
        </w:r>
      </w:hyperlink>
    </w:p>
    <w:p w14:paraId="596583DF" w14:textId="77777777" w:rsidR="00463F52" w:rsidRDefault="00463F52">
      <w:pPr>
        <w:pStyle w:val="TableofFigures"/>
        <w:tabs>
          <w:tab w:val="right" w:leader="dot" w:pos="8486"/>
        </w:tabs>
        <w:rPr>
          <w:rFonts w:asciiTheme="minorHAnsi" w:eastAsiaTheme="minorEastAsia" w:hAnsiTheme="minorHAnsi" w:cstheme="minorBidi"/>
          <w:noProof/>
        </w:rPr>
      </w:pPr>
      <w:hyperlink w:anchor="_Toc449964941" w:history="1">
        <w:r w:rsidRPr="000A28C1">
          <w:rPr>
            <w:rStyle w:val="Hyperlink"/>
            <w:noProof/>
          </w:rPr>
          <w:t>Table 6.7. Torrefaction and pyrolysis stepwise model R</w:t>
        </w:r>
        <w:r w:rsidRPr="000A28C1">
          <w:rPr>
            <w:rStyle w:val="Hyperlink"/>
            <w:noProof/>
            <w:vertAlign w:val="superscript"/>
          </w:rPr>
          <w:t>2</w:t>
        </w:r>
        <w:r w:rsidRPr="000A28C1">
          <w:rPr>
            <w:rStyle w:val="Hyperlink"/>
            <w:noProof/>
          </w:rPr>
          <w:t xml:space="preserve"> values for re-prediction of observed values.</w:t>
        </w:r>
        <w:r>
          <w:rPr>
            <w:noProof/>
            <w:webHidden/>
          </w:rPr>
          <w:tab/>
        </w:r>
        <w:r>
          <w:rPr>
            <w:noProof/>
            <w:webHidden/>
          </w:rPr>
          <w:fldChar w:fldCharType="begin"/>
        </w:r>
        <w:r>
          <w:rPr>
            <w:noProof/>
            <w:webHidden/>
          </w:rPr>
          <w:instrText xml:space="preserve"> PAGEREF _Toc449964941 \h </w:instrText>
        </w:r>
        <w:r>
          <w:rPr>
            <w:noProof/>
            <w:webHidden/>
          </w:rPr>
        </w:r>
        <w:r>
          <w:rPr>
            <w:noProof/>
            <w:webHidden/>
          </w:rPr>
          <w:fldChar w:fldCharType="separate"/>
        </w:r>
        <w:r>
          <w:rPr>
            <w:noProof/>
            <w:webHidden/>
          </w:rPr>
          <w:t>120</w:t>
        </w:r>
        <w:r>
          <w:rPr>
            <w:noProof/>
            <w:webHidden/>
          </w:rPr>
          <w:fldChar w:fldCharType="end"/>
        </w:r>
      </w:hyperlink>
    </w:p>
    <w:p w14:paraId="2680EF69" w14:textId="77777777" w:rsidR="00463F52" w:rsidRDefault="00463F52">
      <w:pPr>
        <w:pStyle w:val="TableofFigures"/>
        <w:tabs>
          <w:tab w:val="right" w:leader="dot" w:pos="8486"/>
        </w:tabs>
        <w:rPr>
          <w:rFonts w:asciiTheme="minorHAnsi" w:eastAsiaTheme="minorEastAsia" w:hAnsiTheme="minorHAnsi" w:cstheme="minorBidi"/>
          <w:noProof/>
        </w:rPr>
      </w:pPr>
      <w:hyperlink w:anchor="_Toc449964942" w:history="1">
        <w:r w:rsidRPr="000A28C1">
          <w:rPr>
            <w:rStyle w:val="Hyperlink"/>
            <w:noProof/>
          </w:rPr>
          <w:t>Table 6.8. Torrefaction model coefficients and their signs.</w:t>
        </w:r>
        <w:r>
          <w:rPr>
            <w:noProof/>
            <w:webHidden/>
          </w:rPr>
          <w:tab/>
        </w:r>
        <w:r>
          <w:rPr>
            <w:noProof/>
            <w:webHidden/>
          </w:rPr>
          <w:fldChar w:fldCharType="begin"/>
        </w:r>
        <w:r>
          <w:rPr>
            <w:noProof/>
            <w:webHidden/>
          </w:rPr>
          <w:instrText xml:space="preserve"> PAGEREF _Toc449964942 \h </w:instrText>
        </w:r>
        <w:r>
          <w:rPr>
            <w:noProof/>
            <w:webHidden/>
          </w:rPr>
        </w:r>
        <w:r>
          <w:rPr>
            <w:noProof/>
            <w:webHidden/>
          </w:rPr>
          <w:fldChar w:fldCharType="separate"/>
        </w:r>
        <w:r>
          <w:rPr>
            <w:noProof/>
            <w:webHidden/>
          </w:rPr>
          <w:t>120</w:t>
        </w:r>
        <w:r>
          <w:rPr>
            <w:noProof/>
            <w:webHidden/>
          </w:rPr>
          <w:fldChar w:fldCharType="end"/>
        </w:r>
      </w:hyperlink>
    </w:p>
    <w:p w14:paraId="3B6D4A1D" w14:textId="77777777" w:rsidR="00463F52" w:rsidRDefault="00463F52">
      <w:pPr>
        <w:pStyle w:val="TableofFigures"/>
        <w:tabs>
          <w:tab w:val="right" w:leader="dot" w:pos="8486"/>
        </w:tabs>
        <w:rPr>
          <w:rFonts w:asciiTheme="minorHAnsi" w:eastAsiaTheme="minorEastAsia" w:hAnsiTheme="minorHAnsi" w:cstheme="minorBidi"/>
          <w:noProof/>
        </w:rPr>
      </w:pPr>
      <w:hyperlink w:anchor="_Toc449964943" w:history="1">
        <w:r w:rsidRPr="000A28C1">
          <w:rPr>
            <w:rStyle w:val="Hyperlink"/>
            <w:noProof/>
          </w:rPr>
          <w:t>Table 6.9. Pyrolysis model coefficients and their signs.</w:t>
        </w:r>
        <w:r>
          <w:rPr>
            <w:noProof/>
            <w:webHidden/>
          </w:rPr>
          <w:tab/>
        </w:r>
        <w:r>
          <w:rPr>
            <w:noProof/>
            <w:webHidden/>
          </w:rPr>
          <w:fldChar w:fldCharType="begin"/>
        </w:r>
        <w:r>
          <w:rPr>
            <w:noProof/>
            <w:webHidden/>
          </w:rPr>
          <w:instrText xml:space="preserve"> PAGEREF _Toc449964943 \h </w:instrText>
        </w:r>
        <w:r>
          <w:rPr>
            <w:noProof/>
            <w:webHidden/>
          </w:rPr>
        </w:r>
        <w:r>
          <w:rPr>
            <w:noProof/>
            <w:webHidden/>
          </w:rPr>
          <w:fldChar w:fldCharType="separate"/>
        </w:r>
        <w:r>
          <w:rPr>
            <w:noProof/>
            <w:webHidden/>
          </w:rPr>
          <w:t>120</w:t>
        </w:r>
        <w:r>
          <w:rPr>
            <w:noProof/>
            <w:webHidden/>
          </w:rPr>
          <w:fldChar w:fldCharType="end"/>
        </w:r>
      </w:hyperlink>
    </w:p>
    <w:p w14:paraId="6AC11280" w14:textId="77777777" w:rsidR="00463F52" w:rsidRDefault="00463F52">
      <w:pPr>
        <w:pStyle w:val="TableofFigures"/>
        <w:tabs>
          <w:tab w:val="right" w:leader="dot" w:pos="8486"/>
        </w:tabs>
        <w:rPr>
          <w:rFonts w:asciiTheme="minorHAnsi" w:eastAsiaTheme="minorEastAsia" w:hAnsiTheme="minorHAnsi" w:cstheme="minorBidi"/>
          <w:noProof/>
        </w:rPr>
      </w:pPr>
      <w:hyperlink w:anchor="_Toc449964944" w:history="1">
        <w:r w:rsidRPr="000A28C1">
          <w:rPr>
            <w:rStyle w:val="Hyperlink"/>
            <w:noProof/>
          </w:rPr>
          <w:t>Table 6.10. Torrefaction model coefficients and their relationship schemas.</w:t>
        </w:r>
        <w:r>
          <w:rPr>
            <w:noProof/>
            <w:webHidden/>
          </w:rPr>
          <w:tab/>
        </w:r>
        <w:r>
          <w:rPr>
            <w:noProof/>
            <w:webHidden/>
          </w:rPr>
          <w:fldChar w:fldCharType="begin"/>
        </w:r>
        <w:r>
          <w:rPr>
            <w:noProof/>
            <w:webHidden/>
          </w:rPr>
          <w:instrText xml:space="preserve"> PAGEREF _Toc449964944 \h </w:instrText>
        </w:r>
        <w:r>
          <w:rPr>
            <w:noProof/>
            <w:webHidden/>
          </w:rPr>
        </w:r>
        <w:r>
          <w:rPr>
            <w:noProof/>
            <w:webHidden/>
          </w:rPr>
          <w:fldChar w:fldCharType="separate"/>
        </w:r>
        <w:r>
          <w:rPr>
            <w:noProof/>
            <w:webHidden/>
          </w:rPr>
          <w:t>121</w:t>
        </w:r>
        <w:r>
          <w:rPr>
            <w:noProof/>
            <w:webHidden/>
          </w:rPr>
          <w:fldChar w:fldCharType="end"/>
        </w:r>
      </w:hyperlink>
    </w:p>
    <w:p w14:paraId="0BEF9BC9" w14:textId="77777777" w:rsidR="00463F52" w:rsidRDefault="00463F52">
      <w:pPr>
        <w:pStyle w:val="TableofFigures"/>
        <w:tabs>
          <w:tab w:val="right" w:leader="dot" w:pos="8486"/>
        </w:tabs>
        <w:rPr>
          <w:rFonts w:asciiTheme="minorHAnsi" w:eastAsiaTheme="minorEastAsia" w:hAnsiTheme="minorHAnsi" w:cstheme="minorBidi"/>
          <w:noProof/>
        </w:rPr>
      </w:pPr>
      <w:hyperlink w:anchor="_Toc449964945" w:history="1">
        <w:r w:rsidRPr="000A28C1">
          <w:rPr>
            <w:rStyle w:val="Hyperlink"/>
            <w:noProof/>
          </w:rPr>
          <w:t>Table 6.11. Pyrolysis model coefficients and their relationship schemas.</w:t>
        </w:r>
        <w:r>
          <w:rPr>
            <w:noProof/>
            <w:webHidden/>
          </w:rPr>
          <w:tab/>
        </w:r>
        <w:r>
          <w:rPr>
            <w:noProof/>
            <w:webHidden/>
          </w:rPr>
          <w:fldChar w:fldCharType="begin"/>
        </w:r>
        <w:r>
          <w:rPr>
            <w:noProof/>
            <w:webHidden/>
          </w:rPr>
          <w:instrText xml:space="preserve"> PAGEREF _Toc449964945 \h </w:instrText>
        </w:r>
        <w:r>
          <w:rPr>
            <w:noProof/>
            <w:webHidden/>
          </w:rPr>
        </w:r>
        <w:r>
          <w:rPr>
            <w:noProof/>
            <w:webHidden/>
          </w:rPr>
          <w:fldChar w:fldCharType="separate"/>
        </w:r>
        <w:r>
          <w:rPr>
            <w:noProof/>
            <w:webHidden/>
          </w:rPr>
          <w:t>121</w:t>
        </w:r>
        <w:r>
          <w:rPr>
            <w:noProof/>
            <w:webHidden/>
          </w:rPr>
          <w:fldChar w:fldCharType="end"/>
        </w:r>
      </w:hyperlink>
    </w:p>
    <w:p w14:paraId="023814FD" w14:textId="77777777" w:rsidR="00463F52" w:rsidRDefault="00463F52">
      <w:pPr>
        <w:pStyle w:val="TableofFigures"/>
        <w:tabs>
          <w:tab w:val="right" w:leader="dot" w:pos="8486"/>
        </w:tabs>
        <w:rPr>
          <w:rFonts w:asciiTheme="minorHAnsi" w:eastAsiaTheme="minorEastAsia" w:hAnsiTheme="minorHAnsi" w:cstheme="minorBidi"/>
          <w:noProof/>
        </w:rPr>
      </w:pPr>
      <w:hyperlink w:anchor="_Toc449964946" w:history="1">
        <w:r w:rsidRPr="000A28C1">
          <w:rPr>
            <w:rStyle w:val="Hyperlink"/>
            <w:noProof/>
          </w:rPr>
          <w:t>Table 7.1. Summarized results from DFT calculations of the enthalpy of dissociation for six common lignin crosslinks.</w:t>
        </w:r>
        <w:r>
          <w:rPr>
            <w:noProof/>
            <w:webHidden/>
          </w:rPr>
          <w:tab/>
        </w:r>
        <w:r>
          <w:rPr>
            <w:noProof/>
            <w:webHidden/>
          </w:rPr>
          <w:fldChar w:fldCharType="begin"/>
        </w:r>
        <w:r>
          <w:rPr>
            <w:noProof/>
            <w:webHidden/>
          </w:rPr>
          <w:instrText xml:space="preserve"> PAGEREF _Toc449964946 \h </w:instrText>
        </w:r>
        <w:r>
          <w:rPr>
            <w:noProof/>
            <w:webHidden/>
          </w:rPr>
        </w:r>
        <w:r>
          <w:rPr>
            <w:noProof/>
            <w:webHidden/>
          </w:rPr>
          <w:fldChar w:fldCharType="separate"/>
        </w:r>
        <w:r>
          <w:rPr>
            <w:noProof/>
            <w:webHidden/>
          </w:rPr>
          <w:t>147</w:t>
        </w:r>
        <w:r>
          <w:rPr>
            <w:noProof/>
            <w:webHidden/>
          </w:rPr>
          <w:fldChar w:fldCharType="end"/>
        </w:r>
      </w:hyperlink>
    </w:p>
    <w:p w14:paraId="3C89CC68" w14:textId="77777777" w:rsidR="00463F52" w:rsidRDefault="00463F52">
      <w:pPr>
        <w:pStyle w:val="TableofFigures"/>
        <w:tabs>
          <w:tab w:val="right" w:leader="dot" w:pos="8486"/>
        </w:tabs>
        <w:rPr>
          <w:rFonts w:asciiTheme="minorHAnsi" w:eastAsiaTheme="minorEastAsia" w:hAnsiTheme="minorHAnsi" w:cstheme="minorBidi"/>
          <w:noProof/>
        </w:rPr>
      </w:pPr>
      <w:hyperlink w:anchor="_Toc449964947" w:history="1">
        <w:r w:rsidRPr="000A28C1">
          <w:rPr>
            <w:rStyle w:val="Hyperlink"/>
            <w:noProof/>
          </w:rPr>
          <w:t>Table 7.2. Switchgrass compositional information. From (</w:t>
        </w:r>
        <w:r w:rsidRPr="000A28C1">
          <w:rPr>
            <w:rStyle w:val="Hyperlink"/>
            <w:i/>
            <w:iCs/>
            <w:noProof/>
          </w:rPr>
          <w:t>126</w:t>
        </w:r>
        <w:r w:rsidRPr="000A28C1">
          <w:rPr>
            <w:rStyle w:val="Hyperlink"/>
            <w:noProof/>
          </w:rPr>
          <w:t>)</w:t>
        </w:r>
        <w:r>
          <w:rPr>
            <w:noProof/>
            <w:webHidden/>
          </w:rPr>
          <w:tab/>
        </w:r>
        <w:r>
          <w:rPr>
            <w:noProof/>
            <w:webHidden/>
          </w:rPr>
          <w:fldChar w:fldCharType="begin"/>
        </w:r>
        <w:r>
          <w:rPr>
            <w:noProof/>
            <w:webHidden/>
          </w:rPr>
          <w:instrText xml:space="preserve"> PAGEREF _Toc449964947 \h </w:instrText>
        </w:r>
        <w:r>
          <w:rPr>
            <w:noProof/>
            <w:webHidden/>
          </w:rPr>
        </w:r>
        <w:r>
          <w:rPr>
            <w:noProof/>
            <w:webHidden/>
          </w:rPr>
          <w:fldChar w:fldCharType="separate"/>
        </w:r>
        <w:r>
          <w:rPr>
            <w:noProof/>
            <w:webHidden/>
          </w:rPr>
          <w:t>150</w:t>
        </w:r>
        <w:r>
          <w:rPr>
            <w:noProof/>
            <w:webHidden/>
          </w:rPr>
          <w:fldChar w:fldCharType="end"/>
        </w:r>
      </w:hyperlink>
    </w:p>
    <w:p w14:paraId="0D7388DB" w14:textId="77777777" w:rsidR="00463F52" w:rsidRDefault="00463F52">
      <w:pPr>
        <w:pStyle w:val="TableofFigures"/>
        <w:tabs>
          <w:tab w:val="right" w:leader="dot" w:pos="8486"/>
        </w:tabs>
        <w:rPr>
          <w:rFonts w:asciiTheme="minorHAnsi" w:eastAsiaTheme="minorEastAsia" w:hAnsiTheme="minorHAnsi" w:cstheme="minorBidi"/>
          <w:noProof/>
        </w:rPr>
      </w:pPr>
      <w:hyperlink w:anchor="_Toc449964948" w:history="1">
        <w:r w:rsidRPr="000A28C1">
          <w:rPr>
            <w:rStyle w:val="Hyperlink"/>
            <w:noProof/>
          </w:rPr>
          <w:t>Table 7.3. Compounds identified and used in this study.</w:t>
        </w:r>
        <w:r>
          <w:rPr>
            <w:noProof/>
            <w:webHidden/>
          </w:rPr>
          <w:tab/>
        </w:r>
        <w:r>
          <w:rPr>
            <w:noProof/>
            <w:webHidden/>
          </w:rPr>
          <w:fldChar w:fldCharType="begin"/>
        </w:r>
        <w:r>
          <w:rPr>
            <w:noProof/>
            <w:webHidden/>
          </w:rPr>
          <w:instrText xml:space="preserve"> PAGEREF _Toc449964948 \h </w:instrText>
        </w:r>
        <w:r>
          <w:rPr>
            <w:noProof/>
            <w:webHidden/>
          </w:rPr>
        </w:r>
        <w:r>
          <w:rPr>
            <w:noProof/>
            <w:webHidden/>
          </w:rPr>
          <w:fldChar w:fldCharType="separate"/>
        </w:r>
        <w:r>
          <w:rPr>
            <w:noProof/>
            <w:webHidden/>
          </w:rPr>
          <w:t>151</w:t>
        </w:r>
        <w:r>
          <w:rPr>
            <w:noProof/>
            <w:webHidden/>
          </w:rPr>
          <w:fldChar w:fldCharType="end"/>
        </w:r>
      </w:hyperlink>
    </w:p>
    <w:p w14:paraId="2455E039" w14:textId="77777777" w:rsidR="00463F52" w:rsidRDefault="00463F52">
      <w:pPr>
        <w:pStyle w:val="TableofFigures"/>
        <w:tabs>
          <w:tab w:val="right" w:leader="dot" w:pos="8486"/>
        </w:tabs>
        <w:rPr>
          <w:rFonts w:asciiTheme="minorHAnsi" w:eastAsiaTheme="minorEastAsia" w:hAnsiTheme="minorHAnsi" w:cstheme="minorBidi"/>
          <w:noProof/>
        </w:rPr>
      </w:pPr>
      <w:hyperlink w:anchor="_Toc449964949" w:history="1">
        <w:r w:rsidRPr="000A28C1">
          <w:rPr>
            <w:rStyle w:val="Hyperlink"/>
            <w:noProof/>
          </w:rPr>
          <w:t>Table 7.4. t-test of sample means of phenolic yields normalized to the amount of lignin in switchgrass samples.</w:t>
        </w:r>
        <w:r>
          <w:rPr>
            <w:noProof/>
            <w:webHidden/>
          </w:rPr>
          <w:tab/>
        </w:r>
        <w:r>
          <w:rPr>
            <w:noProof/>
            <w:webHidden/>
          </w:rPr>
          <w:fldChar w:fldCharType="begin"/>
        </w:r>
        <w:r>
          <w:rPr>
            <w:noProof/>
            <w:webHidden/>
          </w:rPr>
          <w:instrText xml:space="preserve"> PAGEREF _Toc449964949 \h </w:instrText>
        </w:r>
        <w:r>
          <w:rPr>
            <w:noProof/>
            <w:webHidden/>
          </w:rPr>
        </w:r>
        <w:r>
          <w:rPr>
            <w:noProof/>
            <w:webHidden/>
          </w:rPr>
          <w:fldChar w:fldCharType="separate"/>
        </w:r>
        <w:r>
          <w:rPr>
            <w:noProof/>
            <w:webHidden/>
          </w:rPr>
          <w:t>155</w:t>
        </w:r>
        <w:r>
          <w:rPr>
            <w:noProof/>
            <w:webHidden/>
          </w:rPr>
          <w:fldChar w:fldCharType="end"/>
        </w:r>
      </w:hyperlink>
    </w:p>
    <w:p w14:paraId="0D87BA0F" w14:textId="77777777" w:rsidR="00463F52" w:rsidRDefault="00463F52">
      <w:pPr>
        <w:pStyle w:val="TableofFigures"/>
        <w:tabs>
          <w:tab w:val="right" w:leader="dot" w:pos="8486"/>
        </w:tabs>
        <w:rPr>
          <w:rFonts w:asciiTheme="minorHAnsi" w:eastAsiaTheme="minorEastAsia" w:hAnsiTheme="minorHAnsi" w:cstheme="minorBidi"/>
          <w:noProof/>
        </w:rPr>
      </w:pPr>
      <w:hyperlink w:anchor="_Toc449964950" w:history="1">
        <w:r w:rsidRPr="000A28C1">
          <w:rPr>
            <w:rStyle w:val="Hyperlink"/>
            <w:noProof/>
          </w:rPr>
          <w:t>Table 7.5. t-Test: Paired Two Sample for Means – G-unit products only.</w:t>
        </w:r>
        <w:r>
          <w:rPr>
            <w:noProof/>
            <w:webHidden/>
          </w:rPr>
          <w:tab/>
        </w:r>
        <w:r>
          <w:rPr>
            <w:noProof/>
            <w:webHidden/>
          </w:rPr>
          <w:fldChar w:fldCharType="begin"/>
        </w:r>
        <w:r>
          <w:rPr>
            <w:noProof/>
            <w:webHidden/>
          </w:rPr>
          <w:instrText xml:space="preserve"> PAGEREF _Toc449964950 \h </w:instrText>
        </w:r>
        <w:r>
          <w:rPr>
            <w:noProof/>
            <w:webHidden/>
          </w:rPr>
        </w:r>
        <w:r>
          <w:rPr>
            <w:noProof/>
            <w:webHidden/>
          </w:rPr>
          <w:fldChar w:fldCharType="separate"/>
        </w:r>
        <w:r>
          <w:rPr>
            <w:noProof/>
            <w:webHidden/>
          </w:rPr>
          <w:t>159</w:t>
        </w:r>
        <w:r>
          <w:rPr>
            <w:noProof/>
            <w:webHidden/>
          </w:rPr>
          <w:fldChar w:fldCharType="end"/>
        </w:r>
      </w:hyperlink>
    </w:p>
    <w:p w14:paraId="2AF992A3" w14:textId="77777777" w:rsidR="00463F52" w:rsidRDefault="00463F52">
      <w:pPr>
        <w:pStyle w:val="TableofFigures"/>
        <w:tabs>
          <w:tab w:val="right" w:leader="dot" w:pos="8486"/>
        </w:tabs>
        <w:rPr>
          <w:rFonts w:asciiTheme="minorHAnsi" w:eastAsiaTheme="minorEastAsia" w:hAnsiTheme="minorHAnsi" w:cstheme="minorBidi"/>
          <w:noProof/>
        </w:rPr>
      </w:pPr>
      <w:hyperlink w:anchor="_Toc449964951" w:history="1">
        <w:r w:rsidRPr="000A28C1">
          <w:rPr>
            <w:rStyle w:val="Hyperlink"/>
            <w:noProof/>
          </w:rPr>
          <w:t>Table 7.6. t-Test: Paired Two Sample for Means – S-unit products only.</w:t>
        </w:r>
        <w:r>
          <w:rPr>
            <w:noProof/>
            <w:webHidden/>
          </w:rPr>
          <w:tab/>
        </w:r>
        <w:r>
          <w:rPr>
            <w:noProof/>
            <w:webHidden/>
          </w:rPr>
          <w:fldChar w:fldCharType="begin"/>
        </w:r>
        <w:r>
          <w:rPr>
            <w:noProof/>
            <w:webHidden/>
          </w:rPr>
          <w:instrText xml:space="preserve"> PAGEREF _Toc449964951 \h </w:instrText>
        </w:r>
        <w:r>
          <w:rPr>
            <w:noProof/>
            <w:webHidden/>
          </w:rPr>
        </w:r>
        <w:r>
          <w:rPr>
            <w:noProof/>
            <w:webHidden/>
          </w:rPr>
          <w:fldChar w:fldCharType="separate"/>
        </w:r>
        <w:r>
          <w:rPr>
            <w:noProof/>
            <w:webHidden/>
          </w:rPr>
          <w:t>160</w:t>
        </w:r>
        <w:r>
          <w:rPr>
            <w:noProof/>
            <w:webHidden/>
          </w:rPr>
          <w:fldChar w:fldCharType="end"/>
        </w:r>
      </w:hyperlink>
    </w:p>
    <w:p w14:paraId="5D4C8AB3" w14:textId="77777777" w:rsidR="00DE1EF7" w:rsidRDefault="00F7122D" w:rsidP="00DE1EF7">
      <w:r>
        <w:fldChar w:fldCharType="end"/>
      </w:r>
    </w:p>
    <w:p w14:paraId="5C71EB1D" w14:textId="77777777" w:rsidR="00DA1971" w:rsidRDefault="00DA1971" w:rsidP="00C16C66">
      <w:pPr>
        <w:pStyle w:val="Heading1"/>
      </w:pPr>
      <w:r>
        <w:br w:type="page"/>
      </w:r>
      <w:bookmarkStart w:id="5" w:name="_Toc310579466"/>
      <w:bookmarkStart w:id="6" w:name="_Toc449964823"/>
      <w:sdt>
        <w:sdtPr>
          <w:alias w:val="List of Figures/Illustrations"/>
          <w:tag w:val="List of Figures/Illustrations"/>
          <w:id w:val="30091882"/>
          <w:placeholder>
            <w:docPart w:val="759BC30D3C1F4056B5956C77E5F08E9F"/>
          </w:placeholder>
          <w:dropDownList>
            <w:listItem w:displayText="List of Figures" w:value="List of Figures"/>
            <w:listItem w:displayText="List of Illustrations" w:value="List of Illustrations"/>
          </w:dropDownList>
        </w:sdtPr>
        <w:sdtContent>
          <w:r w:rsidR="001B12EF">
            <w:t>List of Figures</w:t>
          </w:r>
        </w:sdtContent>
      </w:sdt>
      <w:bookmarkEnd w:id="5"/>
      <w:bookmarkEnd w:id="6"/>
    </w:p>
    <w:p w14:paraId="6A77CB66" w14:textId="77777777" w:rsidR="00463F52" w:rsidRDefault="00F7122D">
      <w:pPr>
        <w:pStyle w:val="TableofFigures"/>
        <w:tabs>
          <w:tab w:val="right" w:leader="dot" w:pos="8486"/>
        </w:tabs>
        <w:rPr>
          <w:rFonts w:asciiTheme="minorHAnsi" w:eastAsiaTheme="minorEastAsia" w:hAnsiTheme="minorHAnsi" w:cstheme="minorBidi"/>
          <w:noProof/>
        </w:rPr>
      </w:pPr>
      <w:r>
        <w:fldChar w:fldCharType="begin"/>
      </w:r>
      <w:r w:rsidR="00CC7E26">
        <w:instrText xml:space="preserve"> TOC \h \z \c "Figure" </w:instrText>
      </w:r>
      <w:r>
        <w:fldChar w:fldCharType="separate"/>
      </w:r>
      <w:hyperlink w:anchor="_Toc449964952" w:history="1">
        <w:r w:rsidR="00463F52" w:rsidRPr="00CA239E">
          <w:rPr>
            <w:rStyle w:val="Hyperlink"/>
            <w:noProof/>
          </w:rPr>
          <w:t>Figure 1.1. Hypothetical configuration for thermal fractionation of lignocellulosic biomass with resultant purified product streams</w:t>
        </w:r>
        <w:r w:rsidR="00463F52">
          <w:rPr>
            <w:noProof/>
            <w:webHidden/>
          </w:rPr>
          <w:tab/>
        </w:r>
        <w:r w:rsidR="00463F52">
          <w:rPr>
            <w:noProof/>
            <w:webHidden/>
          </w:rPr>
          <w:fldChar w:fldCharType="begin"/>
        </w:r>
        <w:r w:rsidR="00463F52">
          <w:rPr>
            <w:noProof/>
            <w:webHidden/>
          </w:rPr>
          <w:instrText xml:space="preserve"> PAGEREF _Toc449964952 \h </w:instrText>
        </w:r>
        <w:r w:rsidR="00463F52">
          <w:rPr>
            <w:noProof/>
            <w:webHidden/>
          </w:rPr>
        </w:r>
        <w:r w:rsidR="00463F52">
          <w:rPr>
            <w:noProof/>
            <w:webHidden/>
          </w:rPr>
          <w:fldChar w:fldCharType="separate"/>
        </w:r>
        <w:r w:rsidR="00463F52">
          <w:rPr>
            <w:noProof/>
            <w:webHidden/>
          </w:rPr>
          <w:t>8</w:t>
        </w:r>
        <w:r w:rsidR="00463F52">
          <w:rPr>
            <w:noProof/>
            <w:webHidden/>
          </w:rPr>
          <w:fldChar w:fldCharType="end"/>
        </w:r>
      </w:hyperlink>
    </w:p>
    <w:p w14:paraId="10C3026A" w14:textId="77777777" w:rsidR="00463F52" w:rsidRDefault="00463F52">
      <w:pPr>
        <w:pStyle w:val="TableofFigures"/>
        <w:tabs>
          <w:tab w:val="right" w:leader="dot" w:pos="8486"/>
        </w:tabs>
        <w:rPr>
          <w:rFonts w:asciiTheme="minorHAnsi" w:eastAsiaTheme="minorEastAsia" w:hAnsiTheme="minorHAnsi" w:cstheme="minorBidi"/>
          <w:noProof/>
        </w:rPr>
      </w:pPr>
      <w:hyperlink w:anchor="_Toc449964953" w:history="1">
        <w:r w:rsidRPr="00CA239E">
          <w:rPr>
            <w:rStyle w:val="Hyperlink"/>
            <w:noProof/>
          </w:rPr>
          <w:t>Figure 2.1. Structure of the major basic units of biomass polymers and related products</w:t>
        </w:r>
        <w:r>
          <w:rPr>
            <w:noProof/>
            <w:webHidden/>
          </w:rPr>
          <w:tab/>
        </w:r>
        <w:r>
          <w:rPr>
            <w:noProof/>
            <w:webHidden/>
          </w:rPr>
          <w:fldChar w:fldCharType="begin"/>
        </w:r>
        <w:r>
          <w:rPr>
            <w:noProof/>
            <w:webHidden/>
          </w:rPr>
          <w:instrText xml:space="preserve"> PAGEREF _Toc449964953 \h </w:instrText>
        </w:r>
        <w:r>
          <w:rPr>
            <w:noProof/>
            <w:webHidden/>
          </w:rPr>
        </w:r>
        <w:r>
          <w:rPr>
            <w:noProof/>
            <w:webHidden/>
          </w:rPr>
          <w:fldChar w:fldCharType="separate"/>
        </w:r>
        <w:r>
          <w:rPr>
            <w:noProof/>
            <w:webHidden/>
          </w:rPr>
          <w:t>11</w:t>
        </w:r>
        <w:r>
          <w:rPr>
            <w:noProof/>
            <w:webHidden/>
          </w:rPr>
          <w:fldChar w:fldCharType="end"/>
        </w:r>
      </w:hyperlink>
    </w:p>
    <w:p w14:paraId="244067BD" w14:textId="77777777" w:rsidR="00463F52" w:rsidRDefault="00463F52">
      <w:pPr>
        <w:pStyle w:val="TableofFigures"/>
        <w:tabs>
          <w:tab w:val="right" w:leader="dot" w:pos="8486"/>
        </w:tabs>
        <w:rPr>
          <w:rFonts w:asciiTheme="minorHAnsi" w:eastAsiaTheme="minorEastAsia" w:hAnsiTheme="minorHAnsi" w:cstheme="minorBidi"/>
          <w:noProof/>
        </w:rPr>
      </w:pPr>
      <w:hyperlink w:anchor="_Toc449964954" w:history="1">
        <w:r w:rsidRPr="00CA239E">
          <w:rPr>
            <w:rStyle w:val="Hyperlink"/>
            <w:noProof/>
          </w:rPr>
          <w:t>Figure 2.2. Three models of how biomass components and their interactions affect the formation of thermal products.</w:t>
        </w:r>
        <w:r>
          <w:rPr>
            <w:noProof/>
            <w:webHidden/>
          </w:rPr>
          <w:tab/>
        </w:r>
        <w:r>
          <w:rPr>
            <w:noProof/>
            <w:webHidden/>
          </w:rPr>
          <w:fldChar w:fldCharType="begin"/>
        </w:r>
        <w:r>
          <w:rPr>
            <w:noProof/>
            <w:webHidden/>
          </w:rPr>
          <w:instrText xml:space="preserve"> PAGEREF _Toc449964954 \h </w:instrText>
        </w:r>
        <w:r>
          <w:rPr>
            <w:noProof/>
            <w:webHidden/>
          </w:rPr>
        </w:r>
        <w:r>
          <w:rPr>
            <w:noProof/>
            <w:webHidden/>
          </w:rPr>
          <w:fldChar w:fldCharType="separate"/>
        </w:r>
        <w:r>
          <w:rPr>
            <w:noProof/>
            <w:webHidden/>
          </w:rPr>
          <w:t>17</w:t>
        </w:r>
        <w:r>
          <w:rPr>
            <w:noProof/>
            <w:webHidden/>
          </w:rPr>
          <w:fldChar w:fldCharType="end"/>
        </w:r>
      </w:hyperlink>
    </w:p>
    <w:p w14:paraId="55D87F39" w14:textId="77777777" w:rsidR="00463F52" w:rsidRDefault="00463F52">
      <w:pPr>
        <w:pStyle w:val="TableofFigures"/>
        <w:tabs>
          <w:tab w:val="right" w:leader="dot" w:pos="8486"/>
        </w:tabs>
        <w:rPr>
          <w:rFonts w:asciiTheme="minorHAnsi" w:eastAsiaTheme="minorEastAsia" w:hAnsiTheme="minorHAnsi" w:cstheme="minorBidi"/>
          <w:noProof/>
        </w:rPr>
      </w:pPr>
      <w:hyperlink w:anchor="_Toc449964955" w:history="1">
        <w:r w:rsidRPr="00CA239E">
          <w:rPr>
            <w:rStyle w:val="Hyperlink"/>
            <w:noProof/>
          </w:rPr>
          <w:t>Figure 3.1. Bench scale torrefaction reactor</w:t>
        </w:r>
        <w:r>
          <w:rPr>
            <w:noProof/>
            <w:webHidden/>
          </w:rPr>
          <w:tab/>
        </w:r>
        <w:r>
          <w:rPr>
            <w:noProof/>
            <w:webHidden/>
          </w:rPr>
          <w:fldChar w:fldCharType="begin"/>
        </w:r>
        <w:r>
          <w:rPr>
            <w:noProof/>
            <w:webHidden/>
          </w:rPr>
          <w:instrText xml:space="preserve"> PAGEREF _Toc449964955 \h </w:instrText>
        </w:r>
        <w:r>
          <w:rPr>
            <w:noProof/>
            <w:webHidden/>
          </w:rPr>
        </w:r>
        <w:r>
          <w:rPr>
            <w:noProof/>
            <w:webHidden/>
          </w:rPr>
          <w:fldChar w:fldCharType="separate"/>
        </w:r>
        <w:r>
          <w:rPr>
            <w:noProof/>
            <w:webHidden/>
          </w:rPr>
          <w:t>37</w:t>
        </w:r>
        <w:r>
          <w:rPr>
            <w:noProof/>
            <w:webHidden/>
          </w:rPr>
          <w:fldChar w:fldCharType="end"/>
        </w:r>
      </w:hyperlink>
    </w:p>
    <w:p w14:paraId="6D958512" w14:textId="77777777" w:rsidR="00463F52" w:rsidRDefault="00463F52">
      <w:pPr>
        <w:pStyle w:val="TableofFigures"/>
        <w:tabs>
          <w:tab w:val="right" w:leader="dot" w:pos="8486"/>
        </w:tabs>
        <w:rPr>
          <w:rFonts w:asciiTheme="minorHAnsi" w:eastAsiaTheme="minorEastAsia" w:hAnsiTheme="minorHAnsi" w:cstheme="minorBidi"/>
          <w:noProof/>
        </w:rPr>
      </w:pPr>
      <w:hyperlink w:anchor="_Toc449964956" w:history="1">
        <w:r w:rsidRPr="00CA239E">
          <w:rPr>
            <w:rStyle w:val="Hyperlink"/>
            <w:noProof/>
          </w:rPr>
          <w:t>Figure 3.2. Quartz sample tube diagram (not to scale)</w:t>
        </w:r>
        <w:r>
          <w:rPr>
            <w:noProof/>
            <w:webHidden/>
          </w:rPr>
          <w:tab/>
        </w:r>
        <w:r>
          <w:rPr>
            <w:noProof/>
            <w:webHidden/>
          </w:rPr>
          <w:fldChar w:fldCharType="begin"/>
        </w:r>
        <w:r>
          <w:rPr>
            <w:noProof/>
            <w:webHidden/>
          </w:rPr>
          <w:instrText xml:space="preserve"> PAGEREF _Toc449964956 \h </w:instrText>
        </w:r>
        <w:r>
          <w:rPr>
            <w:noProof/>
            <w:webHidden/>
          </w:rPr>
        </w:r>
        <w:r>
          <w:rPr>
            <w:noProof/>
            <w:webHidden/>
          </w:rPr>
          <w:fldChar w:fldCharType="separate"/>
        </w:r>
        <w:r>
          <w:rPr>
            <w:noProof/>
            <w:webHidden/>
          </w:rPr>
          <w:t>38</w:t>
        </w:r>
        <w:r>
          <w:rPr>
            <w:noProof/>
            <w:webHidden/>
          </w:rPr>
          <w:fldChar w:fldCharType="end"/>
        </w:r>
      </w:hyperlink>
    </w:p>
    <w:p w14:paraId="1C1EFBCD" w14:textId="77777777" w:rsidR="00463F52" w:rsidRDefault="00463F52">
      <w:pPr>
        <w:pStyle w:val="TableofFigures"/>
        <w:tabs>
          <w:tab w:val="right" w:leader="dot" w:pos="8486"/>
        </w:tabs>
        <w:rPr>
          <w:rFonts w:asciiTheme="minorHAnsi" w:eastAsiaTheme="minorEastAsia" w:hAnsiTheme="minorHAnsi" w:cstheme="minorBidi"/>
          <w:noProof/>
        </w:rPr>
      </w:pPr>
      <w:hyperlink w:anchor="_Toc449964957" w:history="1">
        <w:r w:rsidRPr="00CA239E">
          <w:rPr>
            <w:rStyle w:val="Hyperlink"/>
            <w:noProof/>
          </w:rPr>
          <w:t>Figure 3.3. Pyroprobe apparatus.</w:t>
        </w:r>
        <w:r>
          <w:rPr>
            <w:noProof/>
            <w:webHidden/>
          </w:rPr>
          <w:tab/>
        </w:r>
        <w:r>
          <w:rPr>
            <w:noProof/>
            <w:webHidden/>
          </w:rPr>
          <w:fldChar w:fldCharType="begin"/>
        </w:r>
        <w:r>
          <w:rPr>
            <w:noProof/>
            <w:webHidden/>
          </w:rPr>
          <w:instrText xml:space="preserve"> PAGEREF _Toc449964957 \h </w:instrText>
        </w:r>
        <w:r>
          <w:rPr>
            <w:noProof/>
            <w:webHidden/>
          </w:rPr>
        </w:r>
        <w:r>
          <w:rPr>
            <w:noProof/>
            <w:webHidden/>
          </w:rPr>
          <w:fldChar w:fldCharType="separate"/>
        </w:r>
        <w:r>
          <w:rPr>
            <w:noProof/>
            <w:webHidden/>
          </w:rPr>
          <w:t>39</w:t>
        </w:r>
        <w:r>
          <w:rPr>
            <w:noProof/>
            <w:webHidden/>
          </w:rPr>
          <w:fldChar w:fldCharType="end"/>
        </w:r>
      </w:hyperlink>
    </w:p>
    <w:p w14:paraId="6BAEAF7A" w14:textId="77777777" w:rsidR="00463F52" w:rsidRDefault="00463F52">
      <w:pPr>
        <w:pStyle w:val="TableofFigures"/>
        <w:tabs>
          <w:tab w:val="right" w:leader="dot" w:pos="8486"/>
        </w:tabs>
        <w:rPr>
          <w:rFonts w:asciiTheme="minorHAnsi" w:eastAsiaTheme="minorEastAsia" w:hAnsiTheme="minorHAnsi" w:cstheme="minorBidi"/>
          <w:noProof/>
        </w:rPr>
      </w:pPr>
      <w:hyperlink w:anchor="_Toc449964958" w:history="1">
        <w:r w:rsidRPr="00CA239E">
          <w:rPr>
            <w:rStyle w:val="Hyperlink"/>
            <w:noProof/>
          </w:rPr>
          <w:t>Figure 3.4. Pyroprobe autosampler.</w:t>
        </w:r>
        <w:r>
          <w:rPr>
            <w:noProof/>
            <w:webHidden/>
          </w:rPr>
          <w:tab/>
        </w:r>
        <w:r>
          <w:rPr>
            <w:noProof/>
            <w:webHidden/>
          </w:rPr>
          <w:fldChar w:fldCharType="begin"/>
        </w:r>
        <w:r>
          <w:rPr>
            <w:noProof/>
            <w:webHidden/>
          </w:rPr>
          <w:instrText xml:space="preserve"> PAGEREF _Toc449964958 \h </w:instrText>
        </w:r>
        <w:r>
          <w:rPr>
            <w:noProof/>
            <w:webHidden/>
          </w:rPr>
        </w:r>
        <w:r>
          <w:rPr>
            <w:noProof/>
            <w:webHidden/>
          </w:rPr>
          <w:fldChar w:fldCharType="separate"/>
        </w:r>
        <w:r>
          <w:rPr>
            <w:noProof/>
            <w:webHidden/>
          </w:rPr>
          <w:t>39</w:t>
        </w:r>
        <w:r>
          <w:rPr>
            <w:noProof/>
            <w:webHidden/>
          </w:rPr>
          <w:fldChar w:fldCharType="end"/>
        </w:r>
      </w:hyperlink>
    </w:p>
    <w:p w14:paraId="278ECA84" w14:textId="77777777" w:rsidR="00463F52" w:rsidRDefault="00463F52">
      <w:pPr>
        <w:pStyle w:val="TableofFigures"/>
        <w:tabs>
          <w:tab w:val="right" w:leader="dot" w:pos="8486"/>
        </w:tabs>
        <w:rPr>
          <w:rFonts w:asciiTheme="minorHAnsi" w:eastAsiaTheme="minorEastAsia" w:hAnsiTheme="minorHAnsi" w:cstheme="minorBidi"/>
          <w:noProof/>
        </w:rPr>
      </w:pPr>
      <w:hyperlink w:anchor="_Toc449964959" w:history="1">
        <w:r w:rsidRPr="00CA239E">
          <w:rPr>
            <w:rStyle w:val="Hyperlink"/>
            <w:noProof/>
          </w:rPr>
          <w:t>Figure 3.5. Pyroprobe filament temperature calibration curve.</w:t>
        </w:r>
        <w:r>
          <w:rPr>
            <w:noProof/>
            <w:webHidden/>
          </w:rPr>
          <w:tab/>
        </w:r>
        <w:r>
          <w:rPr>
            <w:noProof/>
            <w:webHidden/>
          </w:rPr>
          <w:fldChar w:fldCharType="begin"/>
        </w:r>
        <w:r>
          <w:rPr>
            <w:noProof/>
            <w:webHidden/>
          </w:rPr>
          <w:instrText xml:space="preserve"> PAGEREF _Toc449964959 \h </w:instrText>
        </w:r>
        <w:r>
          <w:rPr>
            <w:noProof/>
            <w:webHidden/>
          </w:rPr>
        </w:r>
        <w:r>
          <w:rPr>
            <w:noProof/>
            <w:webHidden/>
          </w:rPr>
          <w:fldChar w:fldCharType="separate"/>
        </w:r>
        <w:r>
          <w:rPr>
            <w:noProof/>
            <w:webHidden/>
          </w:rPr>
          <w:t>41</w:t>
        </w:r>
        <w:r>
          <w:rPr>
            <w:noProof/>
            <w:webHidden/>
          </w:rPr>
          <w:fldChar w:fldCharType="end"/>
        </w:r>
      </w:hyperlink>
    </w:p>
    <w:p w14:paraId="2BFBF2B6" w14:textId="77777777" w:rsidR="00463F52" w:rsidRDefault="00463F52">
      <w:pPr>
        <w:pStyle w:val="TableofFigures"/>
        <w:tabs>
          <w:tab w:val="right" w:leader="dot" w:pos="8486"/>
        </w:tabs>
        <w:rPr>
          <w:rFonts w:asciiTheme="minorHAnsi" w:eastAsiaTheme="minorEastAsia" w:hAnsiTheme="minorHAnsi" w:cstheme="minorBidi"/>
          <w:noProof/>
        </w:rPr>
      </w:pPr>
      <w:hyperlink w:anchor="_Toc449964960" w:history="1">
        <w:r w:rsidRPr="00CA239E">
          <w:rPr>
            <w:rStyle w:val="Hyperlink"/>
            <w:noProof/>
          </w:rPr>
          <w:t>Figure 3.6. Flowchart showing compound identification methodology.</w:t>
        </w:r>
        <w:r>
          <w:rPr>
            <w:noProof/>
            <w:webHidden/>
          </w:rPr>
          <w:tab/>
        </w:r>
        <w:r>
          <w:rPr>
            <w:noProof/>
            <w:webHidden/>
          </w:rPr>
          <w:fldChar w:fldCharType="begin"/>
        </w:r>
        <w:r>
          <w:rPr>
            <w:noProof/>
            <w:webHidden/>
          </w:rPr>
          <w:instrText xml:space="preserve"> PAGEREF _Toc449964960 \h </w:instrText>
        </w:r>
        <w:r>
          <w:rPr>
            <w:noProof/>
            <w:webHidden/>
          </w:rPr>
        </w:r>
        <w:r>
          <w:rPr>
            <w:noProof/>
            <w:webHidden/>
          </w:rPr>
          <w:fldChar w:fldCharType="separate"/>
        </w:r>
        <w:r>
          <w:rPr>
            <w:noProof/>
            <w:webHidden/>
          </w:rPr>
          <w:t>43</w:t>
        </w:r>
        <w:r>
          <w:rPr>
            <w:noProof/>
            <w:webHidden/>
          </w:rPr>
          <w:fldChar w:fldCharType="end"/>
        </w:r>
      </w:hyperlink>
    </w:p>
    <w:p w14:paraId="7B9AF1E7" w14:textId="77777777" w:rsidR="00463F52" w:rsidRDefault="00463F52">
      <w:pPr>
        <w:pStyle w:val="TableofFigures"/>
        <w:tabs>
          <w:tab w:val="right" w:leader="dot" w:pos="8486"/>
        </w:tabs>
        <w:rPr>
          <w:rFonts w:asciiTheme="minorHAnsi" w:eastAsiaTheme="minorEastAsia" w:hAnsiTheme="minorHAnsi" w:cstheme="minorBidi"/>
          <w:noProof/>
        </w:rPr>
      </w:pPr>
      <w:hyperlink w:anchor="_Toc449964961" w:history="1">
        <w:r w:rsidRPr="00CA239E">
          <w:rPr>
            <w:rStyle w:val="Hyperlink"/>
            <w:noProof/>
          </w:rPr>
          <w:t>Figure 3.7. External catalytic reactor.</w:t>
        </w:r>
        <w:r>
          <w:rPr>
            <w:noProof/>
            <w:webHidden/>
          </w:rPr>
          <w:tab/>
        </w:r>
        <w:r>
          <w:rPr>
            <w:noProof/>
            <w:webHidden/>
          </w:rPr>
          <w:fldChar w:fldCharType="begin"/>
        </w:r>
        <w:r>
          <w:rPr>
            <w:noProof/>
            <w:webHidden/>
          </w:rPr>
          <w:instrText xml:space="preserve"> PAGEREF _Toc449964961 \h </w:instrText>
        </w:r>
        <w:r>
          <w:rPr>
            <w:noProof/>
            <w:webHidden/>
          </w:rPr>
        </w:r>
        <w:r>
          <w:rPr>
            <w:noProof/>
            <w:webHidden/>
          </w:rPr>
          <w:fldChar w:fldCharType="separate"/>
        </w:r>
        <w:r>
          <w:rPr>
            <w:noProof/>
            <w:webHidden/>
          </w:rPr>
          <w:t>46</w:t>
        </w:r>
        <w:r>
          <w:rPr>
            <w:noProof/>
            <w:webHidden/>
          </w:rPr>
          <w:fldChar w:fldCharType="end"/>
        </w:r>
      </w:hyperlink>
    </w:p>
    <w:p w14:paraId="023F1732" w14:textId="77777777" w:rsidR="00463F52" w:rsidRDefault="00463F52">
      <w:pPr>
        <w:pStyle w:val="TableofFigures"/>
        <w:tabs>
          <w:tab w:val="right" w:leader="dot" w:pos="8486"/>
        </w:tabs>
        <w:rPr>
          <w:rFonts w:asciiTheme="minorHAnsi" w:eastAsiaTheme="minorEastAsia" w:hAnsiTheme="minorHAnsi" w:cstheme="minorBidi"/>
          <w:noProof/>
        </w:rPr>
      </w:pPr>
      <w:hyperlink w:anchor="_Toc449964962" w:history="1">
        <w:r w:rsidRPr="00CA239E">
          <w:rPr>
            <w:rStyle w:val="Hyperlink"/>
            <w:noProof/>
          </w:rPr>
          <w:t>Figure 4.1. XRD of cbv2314, 5524 and 8014</w:t>
        </w:r>
        <w:r>
          <w:rPr>
            <w:noProof/>
            <w:webHidden/>
          </w:rPr>
          <w:tab/>
        </w:r>
        <w:r>
          <w:rPr>
            <w:noProof/>
            <w:webHidden/>
          </w:rPr>
          <w:fldChar w:fldCharType="begin"/>
        </w:r>
        <w:r>
          <w:rPr>
            <w:noProof/>
            <w:webHidden/>
          </w:rPr>
          <w:instrText xml:space="preserve"> PAGEREF _Toc449964962 \h </w:instrText>
        </w:r>
        <w:r>
          <w:rPr>
            <w:noProof/>
            <w:webHidden/>
          </w:rPr>
        </w:r>
        <w:r>
          <w:rPr>
            <w:noProof/>
            <w:webHidden/>
          </w:rPr>
          <w:fldChar w:fldCharType="separate"/>
        </w:r>
        <w:r>
          <w:rPr>
            <w:noProof/>
            <w:webHidden/>
          </w:rPr>
          <w:t>56</w:t>
        </w:r>
        <w:r>
          <w:rPr>
            <w:noProof/>
            <w:webHidden/>
          </w:rPr>
          <w:fldChar w:fldCharType="end"/>
        </w:r>
      </w:hyperlink>
    </w:p>
    <w:p w14:paraId="49697869" w14:textId="77777777" w:rsidR="00463F52" w:rsidRDefault="00463F52">
      <w:pPr>
        <w:pStyle w:val="TableofFigures"/>
        <w:tabs>
          <w:tab w:val="right" w:leader="dot" w:pos="8486"/>
        </w:tabs>
        <w:rPr>
          <w:rFonts w:asciiTheme="minorHAnsi" w:eastAsiaTheme="minorEastAsia" w:hAnsiTheme="minorHAnsi" w:cstheme="minorBidi"/>
          <w:noProof/>
        </w:rPr>
      </w:pPr>
      <w:hyperlink w:anchor="_Toc449964963" w:history="1">
        <w:r w:rsidRPr="00CA239E">
          <w:rPr>
            <w:rStyle w:val="Hyperlink"/>
            <w:noProof/>
          </w:rPr>
          <w:t>Figure 4.2. SEM image of cbv2314 (a), 5524 (b) and 8014 (c).</w:t>
        </w:r>
        <w:r>
          <w:rPr>
            <w:noProof/>
            <w:webHidden/>
          </w:rPr>
          <w:tab/>
        </w:r>
        <w:r>
          <w:rPr>
            <w:noProof/>
            <w:webHidden/>
          </w:rPr>
          <w:fldChar w:fldCharType="begin"/>
        </w:r>
        <w:r>
          <w:rPr>
            <w:noProof/>
            <w:webHidden/>
          </w:rPr>
          <w:instrText xml:space="preserve"> PAGEREF _Toc449964963 \h </w:instrText>
        </w:r>
        <w:r>
          <w:rPr>
            <w:noProof/>
            <w:webHidden/>
          </w:rPr>
        </w:r>
        <w:r>
          <w:rPr>
            <w:noProof/>
            <w:webHidden/>
          </w:rPr>
          <w:fldChar w:fldCharType="separate"/>
        </w:r>
        <w:r>
          <w:rPr>
            <w:noProof/>
            <w:webHidden/>
          </w:rPr>
          <w:t>56</w:t>
        </w:r>
        <w:r>
          <w:rPr>
            <w:noProof/>
            <w:webHidden/>
          </w:rPr>
          <w:fldChar w:fldCharType="end"/>
        </w:r>
      </w:hyperlink>
    </w:p>
    <w:p w14:paraId="6E3D242B" w14:textId="77777777" w:rsidR="00463F52" w:rsidRDefault="00463F52">
      <w:pPr>
        <w:pStyle w:val="TableofFigures"/>
        <w:tabs>
          <w:tab w:val="right" w:leader="dot" w:pos="8486"/>
        </w:tabs>
        <w:rPr>
          <w:rFonts w:asciiTheme="minorHAnsi" w:eastAsiaTheme="minorEastAsia" w:hAnsiTheme="minorHAnsi" w:cstheme="minorBidi"/>
          <w:noProof/>
        </w:rPr>
      </w:pPr>
      <w:hyperlink w:anchor="_Toc449964964" w:history="1">
        <w:r w:rsidRPr="00CA239E">
          <w:rPr>
            <w:rStyle w:val="Hyperlink"/>
            <w:noProof/>
          </w:rPr>
          <w:t>Figure 4.3. Comparison of alkyl benzenes production on HZSM-5 with Si/Al=40 from oak pyrolysis vapors at catalyst temperatures of 400, 500 and 600°C.</w:t>
        </w:r>
        <w:r>
          <w:rPr>
            <w:noProof/>
            <w:webHidden/>
          </w:rPr>
          <w:tab/>
        </w:r>
        <w:r>
          <w:rPr>
            <w:noProof/>
            <w:webHidden/>
          </w:rPr>
          <w:fldChar w:fldCharType="begin"/>
        </w:r>
        <w:r>
          <w:rPr>
            <w:noProof/>
            <w:webHidden/>
          </w:rPr>
          <w:instrText xml:space="preserve"> PAGEREF _Toc449964964 \h </w:instrText>
        </w:r>
        <w:r>
          <w:rPr>
            <w:noProof/>
            <w:webHidden/>
          </w:rPr>
        </w:r>
        <w:r>
          <w:rPr>
            <w:noProof/>
            <w:webHidden/>
          </w:rPr>
          <w:fldChar w:fldCharType="separate"/>
        </w:r>
        <w:r>
          <w:rPr>
            <w:noProof/>
            <w:webHidden/>
          </w:rPr>
          <w:t>58</w:t>
        </w:r>
        <w:r>
          <w:rPr>
            <w:noProof/>
            <w:webHidden/>
          </w:rPr>
          <w:fldChar w:fldCharType="end"/>
        </w:r>
      </w:hyperlink>
    </w:p>
    <w:p w14:paraId="3AA1762A" w14:textId="77777777" w:rsidR="00463F52" w:rsidRDefault="00463F52">
      <w:pPr>
        <w:pStyle w:val="TableofFigures"/>
        <w:tabs>
          <w:tab w:val="right" w:leader="dot" w:pos="8486"/>
        </w:tabs>
        <w:rPr>
          <w:rFonts w:asciiTheme="minorHAnsi" w:eastAsiaTheme="minorEastAsia" w:hAnsiTheme="minorHAnsi" w:cstheme="minorBidi"/>
          <w:noProof/>
        </w:rPr>
      </w:pPr>
      <w:hyperlink w:anchor="_Toc449964965" w:history="1">
        <w:r w:rsidRPr="00CA239E">
          <w:rPr>
            <w:rStyle w:val="Hyperlink"/>
            <w:noProof/>
          </w:rPr>
          <w:t>Figure 4.4. Gas yields from the initial pulse of pyrolysis with 4.46mg HZSM5 of Si/Al = 40 under three different temperatures.</w:t>
        </w:r>
        <w:r>
          <w:rPr>
            <w:noProof/>
            <w:webHidden/>
          </w:rPr>
          <w:tab/>
        </w:r>
        <w:r>
          <w:rPr>
            <w:noProof/>
            <w:webHidden/>
          </w:rPr>
          <w:fldChar w:fldCharType="begin"/>
        </w:r>
        <w:r>
          <w:rPr>
            <w:noProof/>
            <w:webHidden/>
          </w:rPr>
          <w:instrText xml:space="preserve"> PAGEREF _Toc449964965 \h </w:instrText>
        </w:r>
        <w:r>
          <w:rPr>
            <w:noProof/>
            <w:webHidden/>
          </w:rPr>
        </w:r>
        <w:r>
          <w:rPr>
            <w:noProof/>
            <w:webHidden/>
          </w:rPr>
          <w:fldChar w:fldCharType="separate"/>
        </w:r>
        <w:r>
          <w:rPr>
            <w:noProof/>
            <w:webHidden/>
          </w:rPr>
          <w:t>58</w:t>
        </w:r>
        <w:r>
          <w:rPr>
            <w:noProof/>
            <w:webHidden/>
          </w:rPr>
          <w:fldChar w:fldCharType="end"/>
        </w:r>
      </w:hyperlink>
    </w:p>
    <w:p w14:paraId="5F3EFC80" w14:textId="77777777" w:rsidR="00463F52" w:rsidRDefault="00463F52">
      <w:pPr>
        <w:pStyle w:val="TableofFigures"/>
        <w:tabs>
          <w:tab w:val="right" w:leader="dot" w:pos="8486"/>
        </w:tabs>
        <w:rPr>
          <w:rFonts w:asciiTheme="minorHAnsi" w:eastAsiaTheme="minorEastAsia" w:hAnsiTheme="minorHAnsi" w:cstheme="minorBidi"/>
          <w:noProof/>
        </w:rPr>
      </w:pPr>
      <w:hyperlink w:anchor="_Toc449964966" w:history="1">
        <w:r w:rsidRPr="00CA239E">
          <w:rPr>
            <w:rStyle w:val="Hyperlink"/>
            <w:noProof/>
          </w:rPr>
          <w:t>Figure 4.5. Comparison of acetic acid conversion on HZSM-5 with Si/Al=40 from oak pyrolysis vapors at catalyst temperatures of 400, 500 and 600°C.</w:t>
        </w:r>
        <w:r>
          <w:rPr>
            <w:noProof/>
            <w:webHidden/>
          </w:rPr>
          <w:tab/>
        </w:r>
        <w:r>
          <w:rPr>
            <w:noProof/>
            <w:webHidden/>
          </w:rPr>
          <w:fldChar w:fldCharType="begin"/>
        </w:r>
        <w:r>
          <w:rPr>
            <w:noProof/>
            <w:webHidden/>
          </w:rPr>
          <w:instrText xml:space="preserve"> PAGEREF _Toc449964966 \h </w:instrText>
        </w:r>
        <w:r>
          <w:rPr>
            <w:noProof/>
            <w:webHidden/>
          </w:rPr>
        </w:r>
        <w:r>
          <w:rPr>
            <w:noProof/>
            <w:webHidden/>
          </w:rPr>
          <w:fldChar w:fldCharType="separate"/>
        </w:r>
        <w:r>
          <w:rPr>
            <w:noProof/>
            <w:webHidden/>
          </w:rPr>
          <w:t>60</w:t>
        </w:r>
        <w:r>
          <w:rPr>
            <w:noProof/>
            <w:webHidden/>
          </w:rPr>
          <w:fldChar w:fldCharType="end"/>
        </w:r>
      </w:hyperlink>
    </w:p>
    <w:p w14:paraId="0E69B323" w14:textId="77777777" w:rsidR="00463F52" w:rsidRDefault="00463F52">
      <w:pPr>
        <w:pStyle w:val="TableofFigures"/>
        <w:tabs>
          <w:tab w:val="right" w:leader="dot" w:pos="8486"/>
        </w:tabs>
        <w:rPr>
          <w:rFonts w:asciiTheme="minorHAnsi" w:eastAsiaTheme="minorEastAsia" w:hAnsiTheme="minorHAnsi" w:cstheme="minorBidi"/>
          <w:noProof/>
        </w:rPr>
      </w:pPr>
      <w:hyperlink w:anchor="_Toc449964967" w:history="1">
        <w:r w:rsidRPr="00CA239E">
          <w:rPr>
            <w:rStyle w:val="Hyperlink"/>
            <w:noProof/>
          </w:rPr>
          <w:t>Figure 4.6. Comparison of methoxyphenolics conversion on HZSM-5 with Si/Al=40 from oak pyrolysis vapors at catalyst temperatures of 400, 500 and 600°C.</w:t>
        </w:r>
        <w:r>
          <w:rPr>
            <w:noProof/>
            <w:webHidden/>
          </w:rPr>
          <w:tab/>
        </w:r>
        <w:r>
          <w:rPr>
            <w:noProof/>
            <w:webHidden/>
          </w:rPr>
          <w:fldChar w:fldCharType="begin"/>
        </w:r>
        <w:r>
          <w:rPr>
            <w:noProof/>
            <w:webHidden/>
          </w:rPr>
          <w:instrText xml:space="preserve"> PAGEREF _Toc449964967 \h </w:instrText>
        </w:r>
        <w:r>
          <w:rPr>
            <w:noProof/>
            <w:webHidden/>
          </w:rPr>
        </w:r>
        <w:r>
          <w:rPr>
            <w:noProof/>
            <w:webHidden/>
          </w:rPr>
          <w:fldChar w:fldCharType="separate"/>
        </w:r>
        <w:r>
          <w:rPr>
            <w:noProof/>
            <w:webHidden/>
          </w:rPr>
          <w:t>60</w:t>
        </w:r>
        <w:r>
          <w:rPr>
            <w:noProof/>
            <w:webHidden/>
          </w:rPr>
          <w:fldChar w:fldCharType="end"/>
        </w:r>
      </w:hyperlink>
    </w:p>
    <w:p w14:paraId="080A0A21" w14:textId="77777777" w:rsidR="00463F52" w:rsidRDefault="00463F52">
      <w:pPr>
        <w:pStyle w:val="TableofFigures"/>
        <w:tabs>
          <w:tab w:val="right" w:leader="dot" w:pos="8486"/>
        </w:tabs>
        <w:rPr>
          <w:rFonts w:asciiTheme="minorHAnsi" w:eastAsiaTheme="minorEastAsia" w:hAnsiTheme="minorHAnsi" w:cstheme="minorBidi"/>
          <w:noProof/>
        </w:rPr>
      </w:pPr>
      <w:hyperlink w:anchor="_Toc449964968" w:history="1">
        <w:r w:rsidRPr="00CA239E">
          <w:rPr>
            <w:rStyle w:val="Hyperlink"/>
            <w:noProof/>
          </w:rPr>
          <w:t>Figure 4.7. Comparison of light oxygenates conversion on HZSM-5 with Si/Al=40 from oak pyrolysis vapors at catalyst temperatures of 400, 500 and 600°C.</w:t>
        </w:r>
        <w:r>
          <w:rPr>
            <w:noProof/>
            <w:webHidden/>
          </w:rPr>
          <w:tab/>
        </w:r>
        <w:r>
          <w:rPr>
            <w:noProof/>
            <w:webHidden/>
          </w:rPr>
          <w:fldChar w:fldCharType="begin"/>
        </w:r>
        <w:r>
          <w:rPr>
            <w:noProof/>
            <w:webHidden/>
          </w:rPr>
          <w:instrText xml:space="preserve"> PAGEREF _Toc449964968 \h </w:instrText>
        </w:r>
        <w:r>
          <w:rPr>
            <w:noProof/>
            <w:webHidden/>
          </w:rPr>
        </w:r>
        <w:r>
          <w:rPr>
            <w:noProof/>
            <w:webHidden/>
          </w:rPr>
          <w:fldChar w:fldCharType="separate"/>
        </w:r>
        <w:r>
          <w:rPr>
            <w:noProof/>
            <w:webHidden/>
          </w:rPr>
          <w:t>61</w:t>
        </w:r>
        <w:r>
          <w:rPr>
            <w:noProof/>
            <w:webHidden/>
          </w:rPr>
          <w:fldChar w:fldCharType="end"/>
        </w:r>
      </w:hyperlink>
    </w:p>
    <w:p w14:paraId="04334140" w14:textId="77777777" w:rsidR="00463F52" w:rsidRDefault="00463F52">
      <w:pPr>
        <w:pStyle w:val="TableofFigures"/>
        <w:tabs>
          <w:tab w:val="right" w:leader="dot" w:pos="8486"/>
        </w:tabs>
        <w:rPr>
          <w:rFonts w:asciiTheme="minorHAnsi" w:eastAsiaTheme="minorEastAsia" w:hAnsiTheme="minorHAnsi" w:cstheme="minorBidi"/>
          <w:noProof/>
        </w:rPr>
      </w:pPr>
      <w:hyperlink w:anchor="_Toc449964969" w:history="1">
        <w:r w:rsidRPr="00CA239E">
          <w:rPr>
            <w:rStyle w:val="Hyperlink"/>
            <w:noProof/>
          </w:rPr>
          <w:t>Figure 4.8. Comparison of Napthalenes production on HZSM-5 with Si/Al=40 from oak pyrolysis vapors at catalyst temperatures of 400, 500 and 600°C.</w:t>
        </w:r>
        <w:r>
          <w:rPr>
            <w:noProof/>
            <w:webHidden/>
          </w:rPr>
          <w:tab/>
        </w:r>
        <w:r>
          <w:rPr>
            <w:noProof/>
            <w:webHidden/>
          </w:rPr>
          <w:fldChar w:fldCharType="begin"/>
        </w:r>
        <w:r>
          <w:rPr>
            <w:noProof/>
            <w:webHidden/>
          </w:rPr>
          <w:instrText xml:space="preserve"> PAGEREF _Toc449964969 \h </w:instrText>
        </w:r>
        <w:r>
          <w:rPr>
            <w:noProof/>
            <w:webHidden/>
          </w:rPr>
        </w:r>
        <w:r>
          <w:rPr>
            <w:noProof/>
            <w:webHidden/>
          </w:rPr>
          <w:fldChar w:fldCharType="separate"/>
        </w:r>
        <w:r>
          <w:rPr>
            <w:noProof/>
            <w:webHidden/>
          </w:rPr>
          <w:t>61</w:t>
        </w:r>
        <w:r>
          <w:rPr>
            <w:noProof/>
            <w:webHidden/>
          </w:rPr>
          <w:fldChar w:fldCharType="end"/>
        </w:r>
      </w:hyperlink>
    </w:p>
    <w:p w14:paraId="3D5ADCA3" w14:textId="77777777" w:rsidR="00463F52" w:rsidRDefault="00463F52">
      <w:pPr>
        <w:pStyle w:val="TableofFigures"/>
        <w:tabs>
          <w:tab w:val="right" w:leader="dot" w:pos="8486"/>
        </w:tabs>
        <w:rPr>
          <w:rFonts w:asciiTheme="minorHAnsi" w:eastAsiaTheme="minorEastAsia" w:hAnsiTheme="minorHAnsi" w:cstheme="minorBidi"/>
          <w:noProof/>
        </w:rPr>
      </w:pPr>
      <w:hyperlink w:anchor="_Toc449964970" w:history="1">
        <w:r w:rsidRPr="00CA239E">
          <w:rPr>
            <w:rStyle w:val="Hyperlink"/>
            <w:noProof/>
          </w:rPr>
          <w:t>Figure 4.9. Comparison of indane/indene production on HZSM-5 for Si/Al=11.5, 25 and 40 from oak pyrolysis vapors with the fixed total sites at 500°C.</w:t>
        </w:r>
        <w:r>
          <w:rPr>
            <w:noProof/>
            <w:webHidden/>
          </w:rPr>
          <w:tab/>
        </w:r>
        <w:r>
          <w:rPr>
            <w:noProof/>
            <w:webHidden/>
          </w:rPr>
          <w:fldChar w:fldCharType="begin"/>
        </w:r>
        <w:r>
          <w:rPr>
            <w:noProof/>
            <w:webHidden/>
          </w:rPr>
          <w:instrText xml:space="preserve"> PAGEREF _Toc449964970 \h </w:instrText>
        </w:r>
        <w:r>
          <w:rPr>
            <w:noProof/>
            <w:webHidden/>
          </w:rPr>
        </w:r>
        <w:r>
          <w:rPr>
            <w:noProof/>
            <w:webHidden/>
          </w:rPr>
          <w:fldChar w:fldCharType="separate"/>
        </w:r>
        <w:r>
          <w:rPr>
            <w:noProof/>
            <w:webHidden/>
          </w:rPr>
          <w:t>62</w:t>
        </w:r>
        <w:r>
          <w:rPr>
            <w:noProof/>
            <w:webHidden/>
          </w:rPr>
          <w:fldChar w:fldCharType="end"/>
        </w:r>
      </w:hyperlink>
    </w:p>
    <w:p w14:paraId="61CF2F61" w14:textId="77777777" w:rsidR="00463F52" w:rsidRDefault="00463F52">
      <w:pPr>
        <w:pStyle w:val="TableofFigures"/>
        <w:tabs>
          <w:tab w:val="right" w:leader="dot" w:pos="8486"/>
        </w:tabs>
        <w:rPr>
          <w:rFonts w:asciiTheme="minorHAnsi" w:eastAsiaTheme="minorEastAsia" w:hAnsiTheme="minorHAnsi" w:cstheme="minorBidi"/>
          <w:noProof/>
        </w:rPr>
      </w:pPr>
      <w:hyperlink w:anchor="_Toc449964971" w:history="1">
        <w:r w:rsidRPr="00CA239E">
          <w:rPr>
            <w:rStyle w:val="Hyperlink"/>
            <w:noProof/>
          </w:rPr>
          <w:t>Figure 4.10. Comparison of Benzofuran production on HZSM-5 for Si/Al=11.5, 25 and 40 from oak pyrolysis vapors with the fixed total sites at 500°C.</w:t>
        </w:r>
        <w:r>
          <w:rPr>
            <w:noProof/>
            <w:webHidden/>
          </w:rPr>
          <w:tab/>
        </w:r>
        <w:r>
          <w:rPr>
            <w:noProof/>
            <w:webHidden/>
          </w:rPr>
          <w:fldChar w:fldCharType="begin"/>
        </w:r>
        <w:r>
          <w:rPr>
            <w:noProof/>
            <w:webHidden/>
          </w:rPr>
          <w:instrText xml:space="preserve"> PAGEREF _Toc449964971 \h </w:instrText>
        </w:r>
        <w:r>
          <w:rPr>
            <w:noProof/>
            <w:webHidden/>
          </w:rPr>
        </w:r>
        <w:r>
          <w:rPr>
            <w:noProof/>
            <w:webHidden/>
          </w:rPr>
          <w:fldChar w:fldCharType="separate"/>
        </w:r>
        <w:r>
          <w:rPr>
            <w:noProof/>
            <w:webHidden/>
          </w:rPr>
          <w:t>62</w:t>
        </w:r>
        <w:r>
          <w:rPr>
            <w:noProof/>
            <w:webHidden/>
          </w:rPr>
          <w:fldChar w:fldCharType="end"/>
        </w:r>
      </w:hyperlink>
    </w:p>
    <w:p w14:paraId="64599818" w14:textId="77777777" w:rsidR="00463F52" w:rsidRDefault="00463F52">
      <w:pPr>
        <w:pStyle w:val="TableofFigures"/>
        <w:tabs>
          <w:tab w:val="right" w:leader="dot" w:pos="8486"/>
        </w:tabs>
        <w:rPr>
          <w:rFonts w:asciiTheme="minorHAnsi" w:eastAsiaTheme="minorEastAsia" w:hAnsiTheme="minorHAnsi" w:cstheme="minorBidi"/>
          <w:noProof/>
        </w:rPr>
      </w:pPr>
      <w:hyperlink w:anchor="_Toc449964972" w:history="1">
        <w:r w:rsidRPr="00CA239E">
          <w:rPr>
            <w:rStyle w:val="Hyperlink"/>
            <w:noProof/>
          </w:rPr>
          <w:t>Figure 4.11. Comparison of Alkyl Phenols production on HZSM-5 with Si/Al=40 from oak pyrolysis vapors at catalyst temperatures of 400, 500 and 600°C.</w:t>
        </w:r>
        <w:r>
          <w:rPr>
            <w:noProof/>
            <w:webHidden/>
          </w:rPr>
          <w:tab/>
        </w:r>
        <w:r>
          <w:rPr>
            <w:noProof/>
            <w:webHidden/>
          </w:rPr>
          <w:fldChar w:fldCharType="begin"/>
        </w:r>
        <w:r>
          <w:rPr>
            <w:noProof/>
            <w:webHidden/>
          </w:rPr>
          <w:instrText xml:space="preserve"> PAGEREF _Toc449964972 \h </w:instrText>
        </w:r>
        <w:r>
          <w:rPr>
            <w:noProof/>
            <w:webHidden/>
          </w:rPr>
        </w:r>
        <w:r>
          <w:rPr>
            <w:noProof/>
            <w:webHidden/>
          </w:rPr>
          <w:fldChar w:fldCharType="separate"/>
        </w:r>
        <w:r>
          <w:rPr>
            <w:noProof/>
            <w:webHidden/>
          </w:rPr>
          <w:t>63</w:t>
        </w:r>
        <w:r>
          <w:rPr>
            <w:noProof/>
            <w:webHidden/>
          </w:rPr>
          <w:fldChar w:fldCharType="end"/>
        </w:r>
      </w:hyperlink>
    </w:p>
    <w:p w14:paraId="5C2CB439" w14:textId="77777777" w:rsidR="00463F52" w:rsidRDefault="00463F52">
      <w:pPr>
        <w:pStyle w:val="TableofFigures"/>
        <w:tabs>
          <w:tab w:val="right" w:leader="dot" w:pos="8486"/>
        </w:tabs>
        <w:rPr>
          <w:rFonts w:asciiTheme="minorHAnsi" w:eastAsiaTheme="minorEastAsia" w:hAnsiTheme="minorHAnsi" w:cstheme="minorBidi"/>
          <w:noProof/>
        </w:rPr>
      </w:pPr>
      <w:hyperlink w:anchor="_Toc449964973" w:history="1">
        <w:r w:rsidRPr="00CA239E">
          <w:rPr>
            <w:rStyle w:val="Hyperlink"/>
            <w:noProof/>
          </w:rPr>
          <w:t>Figure 4.12. Comparison of Levoglucosan/sugars production on HZSM-5 with Si/Al=40 from oak pyrolysis vapors at catalyst temperatures of 400, 500 and 600°C.</w:t>
        </w:r>
        <w:r>
          <w:rPr>
            <w:noProof/>
            <w:webHidden/>
          </w:rPr>
          <w:tab/>
        </w:r>
        <w:r>
          <w:rPr>
            <w:noProof/>
            <w:webHidden/>
          </w:rPr>
          <w:fldChar w:fldCharType="begin"/>
        </w:r>
        <w:r>
          <w:rPr>
            <w:noProof/>
            <w:webHidden/>
          </w:rPr>
          <w:instrText xml:space="preserve"> PAGEREF _Toc449964973 \h </w:instrText>
        </w:r>
        <w:r>
          <w:rPr>
            <w:noProof/>
            <w:webHidden/>
          </w:rPr>
        </w:r>
        <w:r>
          <w:rPr>
            <w:noProof/>
            <w:webHidden/>
          </w:rPr>
          <w:fldChar w:fldCharType="separate"/>
        </w:r>
        <w:r>
          <w:rPr>
            <w:noProof/>
            <w:webHidden/>
          </w:rPr>
          <w:t>63</w:t>
        </w:r>
        <w:r>
          <w:rPr>
            <w:noProof/>
            <w:webHidden/>
          </w:rPr>
          <w:fldChar w:fldCharType="end"/>
        </w:r>
      </w:hyperlink>
    </w:p>
    <w:p w14:paraId="3A0AD0F0" w14:textId="77777777" w:rsidR="00463F52" w:rsidRDefault="00463F52">
      <w:pPr>
        <w:pStyle w:val="TableofFigures"/>
        <w:tabs>
          <w:tab w:val="right" w:leader="dot" w:pos="8486"/>
        </w:tabs>
        <w:rPr>
          <w:rFonts w:asciiTheme="minorHAnsi" w:eastAsiaTheme="minorEastAsia" w:hAnsiTheme="minorHAnsi" w:cstheme="minorBidi"/>
          <w:noProof/>
        </w:rPr>
      </w:pPr>
      <w:hyperlink w:anchor="_Toc449964974" w:history="1">
        <w:r w:rsidRPr="00CA239E">
          <w:rPr>
            <w:rStyle w:val="Hyperlink"/>
            <w:noProof/>
          </w:rPr>
          <w:t>Figure 4.13. Comparison of Indanes production on HZSM-5 with Si/Al=40 from oak pyrolysis vapors at catalyst temperatures of 400, 500 and 600°C.</w:t>
        </w:r>
        <w:r>
          <w:rPr>
            <w:noProof/>
            <w:webHidden/>
          </w:rPr>
          <w:tab/>
        </w:r>
        <w:r>
          <w:rPr>
            <w:noProof/>
            <w:webHidden/>
          </w:rPr>
          <w:fldChar w:fldCharType="begin"/>
        </w:r>
        <w:r>
          <w:rPr>
            <w:noProof/>
            <w:webHidden/>
          </w:rPr>
          <w:instrText xml:space="preserve"> PAGEREF _Toc449964974 \h </w:instrText>
        </w:r>
        <w:r>
          <w:rPr>
            <w:noProof/>
            <w:webHidden/>
          </w:rPr>
        </w:r>
        <w:r>
          <w:rPr>
            <w:noProof/>
            <w:webHidden/>
          </w:rPr>
          <w:fldChar w:fldCharType="separate"/>
        </w:r>
        <w:r>
          <w:rPr>
            <w:noProof/>
            <w:webHidden/>
          </w:rPr>
          <w:t>64</w:t>
        </w:r>
        <w:r>
          <w:rPr>
            <w:noProof/>
            <w:webHidden/>
          </w:rPr>
          <w:fldChar w:fldCharType="end"/>
        </w:r>
      </w:hyperlink>
    </w:p>
    <w:p w14:paraId="4BFE660C" w14:textId="77777777" w:rsidR="00463F52" w:rsidRDefault="00463F52">
      <w:pPr>
        <w:pStyle w:val="TableofFigures"/>
        <w:tabs>
          <w:tab w:val="right" w:leader="dot" w:pos="8486"/>
        </w:tabs>
        <w:rPr>
          <w:rFonts w:asciiTheme="minorHAnsi" w:eastAsiaTheme="minorEastAsia" w:hAnsiTheme="minorHAnsi" w:cstheme="minorBidi"/>
          <w:noProof/>
        </w:rPr>
      </w:pPr>
      <w:hyperlink w:anchor="_Toc449964975" w:history="1">
        <w:r w:rsidRPr="00CA239E">
          <w:rPr>
            <w:rStyle w:val="Hyperlink"/>
            <w:noProof/>
          </w:rPr>
          <w:t>Figure 4.14. Comparison of Furans production on HZSM-5 with Si/Al=40 from oak pyrolysis vapors at catalyst temperatures of 400, 500 and 600°C.</w:t>
        </w:r>
        <w:r>
          <w:rPr>
            <w:noProof/>
            <w:webHidden/>
          </w:rPr>
          <w:tab/>
        </w:r>
        <w:r>
          <w:rPr>
            <w:noProof/>
            <w:webHidden/>
          </w:rPr>
          <w:fldChar w:fldCharType="begin"/>
        </w:r>
        <w:r>
          <w:rPr>
            <w:noProof/>
            <w:webHidden/>
          </w:rPr>
          <w:instrText xml:space="preserve"> PAGEREF _Toc449964975 \h </w:instrText>
        </w:r>
        <w:r>
          <w:rPr>
            <w:noProof/>
            <w:webHidden/>
          </w:rPr>
        </w:r>
        <w:r>
          <w:rPr>
            <w:noProof/>
            <w:webHidden/>
          </w:rPr>
          <w:fldChar w:fldCharType="separate"/>
        </w:r>
        <w:r>
          <w:rPr>
            <w:noProof/>
            <w:webHidden/>
          </w:rPr>
          <w:t>64</w:t>
        </w:r>
        <w:r>
          <w:rPr>
            <w:noProof/>
            <w:webHidden/>
          </w:rPr>
          <w:fldChar w:fldCharType="end"/>
        </w:r>
      </w:hyperlink>
    </w:p>
    <w:p w14:paraId="799DB28C" w14:textId="77777777" w:rsidR="00463F52" w:rsidRDefault="00463F52">
      <w:pPr>
        <w:pStyle w:val="TableofFigures"/>
        <w:tabs>
          <w:tab w:val="right" w:leader="dot" w:pos="8486"/>
        </w:tabs>
        <w:rPr>
          <w:rFonts w:asciiTheme="minorHAnsi" w:eastAsiaTheme="minorEastAsia" w:hAnsiTheme="minorHAnsi" w:cstheme="minorBidi"/>
          <w:noProof/>
        </w:rPr>
      </w:pPr>
      <w:hyperlink w:anchor="_Toc449964976" w:history="1">
        <w:r w:rsidRPr="00CA239E">
          <w:rPr>
            <w:rStyle w:val="Hyperlink"/>
            <w:noProof/>
          </w:rPr>
          <w:t>Figure 4.15. Comparison of acetic acid conversion on HZSM-5 for Si/Al=11.5, 25 and 40 from oak pyrolysis vapors with the fixed total sites at 500°C.</w:t>
        </w:r>
        <w:r>
          <w:rPr>
            <w:noProof/>
            <w:webHidden/>
          </w:rPr>
          <w:tab/>
        </w:r>
        <w:r>
          <w:rPr>
            <w:noProof/>
            <w:webHidden/>
          </w:rPr>
          <w:fldChar w:fldCharType="begin"/>
        </w:r>
        <w:r>
          <w:rPr>
            <w:noProof/>
            <w:webHidden/>
          </w:rPr>
          <w:instrText xml:space="preserve"> PAGEREF _Toc449964976 \h </w:instrText>
        </w:r>
        <w:r>
          <w:rPr>
            <w:noProof/>
            <w:webHidden/>
          </w:rPr>
        </w:r>
        <w:r>
          <w:rPr>
            <w:noProof/>
            <w:webHidden/>
          </w:rPr>
          <w:fldChar w:fldCharType="separate"/>
        </w:r>
        <w:r>
          <w:rPr>
            <w:noProof/>
            <w:webHidden/>
          </w:rPr>
          <w:t>65</w:t>
        </w:r>
        <w:r>
          <w:rPr>
            <w:noProof/>
            <w:webHidden/>
          </w:rPr>
          <w:fldChar w:fldCharType="end"/>
        </w:r>
      </w:hyperlink>
    </w:p>
    <w:p w14:paraId="31D79D0C" w14:textId="77777777" w:rsidR="00463F52" w:rsidRDefault="00463F52">
      <w:pPr>
        <w:pStyle w:val="TableofFigures"/>
        <w:tabs>
          <w:tab w:val="right" w:leader="dot" w:pos="8486"/>
        </w:tabs>
        <w:rPr>
          <w:rFonts w:asciiTheme="minorHAnsi" w:eastAsiaTheme="minorEastAsia" w:hAnsiTheme="minorHAnsi" w:cstheme="minorBidi"/>
          <w:noProof/>
        </w:rPr>
      </w:pPr>
      <w:hyperlink w:anchor="_Toc449964977" w:history="1">
        <w:r w:rsidRPr="00CA239E">
          <w:rPr>
            <w:rStyle w:val="Hyperlink"/>
            <w:noProof/>
          </w:rPr>
          <w:t>Figure 4.16. Comparison of alkyl benzenes production on HZSM-5 for Si/Al=11.5, 25 and 40 from oak pyrolysis vapors with the fixed total sites at 500˚C.</w:t>
        </w:r>
        <w:r>
          <w:rPr>
            <w:noProof/>
            <w:webHidden/>
          </w:rPr>
          <w:tab/>
        </w:r>
        <w:r>
          <w:rPr>
            <w:noProof/>
            <w:webHidden/>
          </w:rPr>
          <w:fldChar w:fldCharType="begin"/>
        </w:r>
        <w:r>
          <w:rPr>
            <w:noProof/>
            <w:webHidden/>
          </w:rPr>
          <w:instrText xml:space="preserve"> PAGEREF _Toc449964977 \h </w:instrText>
        </w:r>
        <w:r>
          <w:rPr>
            <w:noProof/>
            <w:webHidden/>
          </w:rPr>
        </w:r>
        <w:r>
          <w:rPr>
            <w:noProof/>
            <w:webHidden/>
          </w:rPr>
          <w:fldChar w:fldCharType="separate"/>
        </w:r>
        <w:r>
          <w:rPr>
            <w:noProof/>
            <w:webHidden/>
          </w:rPr>
          <w:t>67</w:t>
        </w:r>
        <w:r>
          <w:rPr>
            <w:noProof/>
            <w:webHidden/>
          </w:rPr>
          <w:fldChar w:fldCharType="end"/>
        </w:r>
      </w:hyperlink>
    </w:p>
    <w:p w14:paraId="37B09653" w14:textId="77777777" w:rsidR="00463F52" w:rsidRDefault="00463F52">
      <w:pPr>
        <w:pStyle w:val="TableofFigures"/>
        <w:tabs>
          <w:tab w:val="right" w:leader="dot" w:pos="8486"/>
        </w:tabs>
        <w:rPr>
          <w:rFonts w:asciiTheme="minorHAnsi" w:eastAsiaTheme="minorEastAsia" w:hAnsiTheme="minorHAnsi" w:cstheme="minorBidi"/>
          <w:noProof/>
        </w:rPr>
      </w:pPr>
      <w:hyperlink w:anchor="_Toc449964978" w:history="1">
        <w:r w:rsidRPr="00CA239E">
          <w:rPr>
            <w:rStyle w:val="Hyperlink"/>
            <w:noProof/>
          </w:rPr>
          <w:t>Figure 4.17. Comparison of methoxyphenols conversion on HZSM-5 for Si/Al=11.5, 25 and 40 from oak pyrolysis vapors with the fixed total sites at 500°C.</w:t>
        </w:r>
        <w:r>
          <w:rPr>
            <w:noProof/>
            <w:webHidden/>
          </w:rPr>
          <w:tab/>
        </w:r>
        <w:r>
          <w:rPr>
            <w:noProof/>
            <w:webHidden/>
          </w:rPr>
          <w:fldChar w:fldCharType="begin"/>
        </w:r>
        <w:r>
          <w:rPr>
            <w:noProof/>
            <w:webHidden/>
          </w:rPr>
          <w:instrText xml:space="preserve"> PAGEREF _Toc449964978 \h </w:instrText>
        </w:r>
        <w:r>
          <w:rPr>
            <w:noProof/>
            <w:webHidden/>
          </w:rPr>
        </w:r>
        <w:r>
          <w:rPr>
            <w:noProof/>
            <w:webHidden/>
          </w:rPr>
          <w:fldChar w:fldCharType="separate"/>
        </w:r>
        <w:r>
          <w:rPr>
            <w:noProof/>
            <w:webHidden/>
          </w:rPr>
          <w:t>68</w:t>
        </w:r>
        <w:r>
          <w:rPr>
            <w:noProof/>
            <w:webHidden/>
          </w:rPr>
          <w:fldChar w:fldCharType="end"/>
        </w:r>
      </w:hyperlink>
    </w:p>
    <w:p w14:paraId="0C83B424" w14:textId="77777777" w:rsidR="00463F52" w:rsidRDefault="00463F52">
      <w:pPr>
        <w:pStyle w:val="TableofFigures"/>
        <w:tabs>
          <w:tab w:val="right" w:leader="dot" w:pos="8486"/>
        </w:tabs>
        <w:rPr>
          <w:rFonts w:asciiTheme="minorHAnsi" w:eastAsiaTheme="minorEastAsia" w:hAnsiTheme="minorHAnsi" w:cstheme="minorBidi"/>
          <w:noProof/>
        </w:rPr>
      </w:pPr>
      <w:hyperlink w:anchor="_Toc449964979" w:history="1">
        <w:r w:rsidRPr="00CA239E">
          <w:rPr>
            <w:rStyle w:val="Hyperlink"/>
            <w:noProof/>
          </w:rPr>
          <w:t>Figure 4.18. Comparison of light oxygenates conversion on HZSM-5 for Si/Al=11.5, 25 and 40 from oak pyrolysis vapors with the fixed total sites at 500°C.</w:t>
        </w:r>
        <w:r>
          <w:rPr>
            <w:noProof/>
            <w:webHidden/>
          </w:rPr>
          <w:tab/>
        </w:r>
        <w:r>
          <w:rPr>
            <w:noProof/>
            <w:webHidden/>
          </w:rPr>
          <w:fldChar w:fldCharType="begin"/>
        </w:r>
        <w:r>
          <w:rPr>
            <w:noProof/>
            <w:webHidden/>
          </w:rPr>
          <w:instrText xml:space="preserve"> PAGEREF _Toc449964979 \h </w:instrText>
        </w:r>
        <w:r>
          <w:rPr>
            <w:noProof/>
            <w:webHidden/>
          </w:rPr>
        </w:r>
        <w:r>
          <w:rPr>
            <w:noProof/>
            <w:webHidden/>
          </w:rPr>
          <w:fldChar w:fldCharType="separate"/>
        </w:r>
        <w:r>
          <w:rPr>
            <w:noProof/>
            <w:webHidden/>
          </w:rPr>
          <w:t>69</w:t>
        </w:r>
        <w:r>
          <w:rPr>
            <w:noProof/>
            <w:webHidden/>
          </w:rPr>
          <w:fldChar w:fldCharType="end"/>
        </w:r>
      </w:hyperlink>
    </w:p>
    <w:p w14:paraId="33A26F38" w14:textId="77777777" w:rsidR="00463F52" w:rsidRDefault="00463F52">
      <w:pPr>
        <w:pStyle w:val="TableofFigures"/>
        <w:tabs>
          <w:tab w:val="right" w:leader="dot" w:pos="8486"/>
        </w:tabs>
        <w:rPr>
          <w:rFonts w:asciiTheme="minorHAnsi" w:eastAsiaTheme="minorEastAsia" w:hAnsiTheme="minorHAnsi" w:cstheme="minorBidi"/>
          <w:noProof/>
        </w:rPr>
      </w:pPr>
      <w:hyperlink w:anchor="_Toc449964980" w:history="1">
        <w:r w:rsidRPr="00CA239E">
          <w:rPr>
            <w:rStyle w:val="Hyperlink"/>
            <w:noProof/>
          </w:rPr>
          <w:t>Figure 4.19. Comparison of alkyl phenols production on HZSM-5 for Si/Al=11.5, 25 and 40 from oak pyrolysis vapors with the fixed total sites at 500°C.</w:t>
        </w:r>
        <w:r>
          <w:rPr>
            <w:noProof/>
            <w:webHidden/>
          </w:rPr>
          <w:tab/>
        </w:r>
        <w:r>
          <w:rPr>
            <w:noProof/>
            <w:webHidden/>
          </w:rPr>
          <w:fldChar w:fldCharType="begin"/>
        </w:r>
        <w:r>
          <w:rPr>
            <w:noProof/>
            <w:webHidden/>
          </w:rPr>
          <w:instrText xml:space="preserve"> PAGEREF _Toc449964980 \h </w:instrText>
        </w:r>
        <w:r>
          <w:rPr>
            <w:noProof/>
            <w:webHidden/>
          </w:rPr>
        </w:r>
        <w:r>
          <w:rPr>
            <w:noProof/>
            <w:webHidden/>
          </w:rPr>
          <w:fldChar w:fldCharType="separate"/>
        </w:r>
        <w:r>
          <w:rPr>
            <w:noProof/>
            <w:webHidden/>
          </w:rPr>
          <w:t>69</w:t>
        </w:r>
        <w:r>
          <w:rPr>
            <w:noProof/>
            <w:webHidden/>
          </w:rPr>
          <w:fldChar w:fldCharType="end"/>
        </w:r>
      </w:hyperlink>
    </w:p>
    <w:p w14:paraId="79917C46" w14:textId="77777777" w:rsidR="00463F52" w:rsidRDefault="00463F52">
      <w:pPr>
        <w:pStyle w:val="TableofFigures"/>
        <w:tabs>
          <w:tab w:val="right" w:leader="dot" w:pos="8486"/>
        </w:tabs>
        <w:rPr>
          <w:rFonts w:asciiTheme="minorHAnsi" w:eastAsiaTheme="minorEastAsia" w:hAnsiTheme="minorHAnsi" w:cstheme="minorBidi"/>
          <w:noProof/>
        </w:rPr>
      </w:pPr>
      <w:hyperlink w:anchor="_Toc449964981" w:history="1">
        <w:r w:rsidRPr="00CA239E">
          <w:rPr>
            <w:rStyle w:val="Hyperlink"/>
            <w:noProof/>
          </w:rPr>
          <w:t>Figure 4.20. Comparison of furans production on HZSM-5 for Si/Al=11.5, 25 and 40 from oak pyrolysis vapors with the fixed total sites at 500°C.</w:t>
        </w:r>
        <w:r>
          <w:rPr>
            <w:noProof/>
            <w:webHidden/>
          </w:rPr>
          <w:tab/>
        </w:r>
        <w:r>
          <w:rPr>
            <w:noProof/>
            <w:webHidden/>
          </w:rPr>
          <w:fldChar w:fldCharType="begin"/>
        </w:r>
        <w:r>
          <w:rPr>
            <w:noProof/>
            <w:webHidden/>
          </w:rPr>
          <w:instrText xml:space="preserve"> PAGEREF _Toc449964981 \h </w:instrText>
        </w:r>
        <w:r>
          <w:rPr>
            <w:noProof/>
            <w:webHidden/>
          </w:rPr>
        </w:r>
        <w:r>
          <w:rPr>
            <w:noProof/>
            <w:webHidden/>
          </w:rPr>
          <w:fldChar w:fldCharType="separate"/>
        </w:r>
        <w:r>
          <w:rPr>
            <w:noProof/>
            <w:webHidden/>
          </w:rPr>
          <w:t>70</w:t>
        </w:r>
        <w:r>
          <w:rPr>
            <w:noProof/>
            <w:webHidden/>
          </w:rPr>
          <w:fldChar w:fldCharType="end"/>
        </w:r>
      </w:hyperlink>
    </w:p>
    <w:p w14:paraId="5D598DD4" w14:textId="77777777" w:rsidR="00463F52" w:rsidRDefault="00463F52">
      <w:pPr>
        <w:pStyle w:val="TableofFigures"/>
        <w:tabs>
          <w:tab w:val="right" w:leader="dot" w:pos="8486"/>
        </w:tabs>
        <w:rPr>
          <w:rFonts w:asciiTheme="minorHAnsi" w:eastAsiaTheme="minorEastAsia" w:hAnsiTheme="minorHAnsi" w:cstheme="minorBidi"/>
          <w:noProof/>
        </w:rPr>
      </w:pPr>
      <w:hyperlink w:anchor="_Toc449964982" w:history="1">
        <w:r w:rsidRPr="00CA239E">
          <w:rPr>
            <w:rStyle w:val="Hyperlink"/>
            <w:noProof/>
          </w:rPr>
          <w:t>Figure 4.21. Comparison of furan derivatives production on HZSM-5 for Si/Al=11.5, 25 and 40 from oak pyrolysis vapors with the fixed total sites at 500°C.</w:t>
        </w:r>
        <w:r>
          <w:rPr>
            <w:noProof/>
            <w:webHidden/>
          </w:rPr>
          <w:tab/>
        </w:r>
        <w:r>
          <w:rPr>
            <w:noProof/>
            <w:webHidden/>
          </w:rPr>
          <w:fldChar w:fldCharType="begin"/>
        </w:r>
        <w:r>
          <w:rPr>
            <w:noProof/>
            <w:webHidden/>
          </w:rPr>
          <w:instrText xml:space="preserve"> PAGEREF _Toc449964982 \h </w:instrText>
        </w:r>
        <w:r>
          <w:rPr>
            <w:noProof/>
            <w:webHidden/>
          </w:rPr>
        </w:r>
        <w:r>
          <w:rPr>
            <w:noProof/>
            <w:webHidden/>
          </w:rPr>
          <w:fldChar w:fldCharType="separate"/>
        </w:r>
        <w:r>
          <w:rPr>
            <w:noProof/>
            <w:webHidden/>
          </w:rPr>
          <w:t>70</w:t>
        </w:r>
        <w:r>
          <w:rPr>
            <w:noProof/>
            <w:webHidden/>
          </w:rPr>
          <w:fldChar w:fldCharType="end"/>
        </w:r>
      </w:hyperlink>
    </w:p>
    <w:p w14:paraId="4FA2D65B" w14:textId="77777777" w:rsidR="00463F52" w:rsidRDefault="00463F52">
      <w:pPr>
        <w:pStyle w:val="TableofFigures"/>
        <w:tabs>
          <w:tab w:val="right" w:leader="dot" w:pos="8486"/>
        </w:tabs>
        <w:rPr>
          <w:rFonts w:asciiTheme="minorHAnsi" w:eastAsiaTheme="minorEastAsia" w:hAnsiTheme="minorHAnsi" w:cstheme="minorBidi"/>
          <w:noProof/>
        </w:rPr>
      </w:pPr>
      <w:hyperlink w:anchor="_Toc449964983" w:history="1">
        <w:r w:rsidRPr="00CA239E">
          <w:rPr>
            <w:rStyle w:val="Hyperlink"/>
            <w:noProof/>
          </w:rPr>
          <w:t>Figure 4.22. Comparison of levoglucosan conversion on HZSM-5 for Si/Al=11.5, 25 and 40 from oak pyrolysis vapors with the fixed total sites at 500°C.</w:t>
        </w:r>
        <w:r>
          <w:rPr>
            <w:noProof/>
            <w:webHidden/>
          </w:rPr>
          <w:tab/>
        </w:r>
        <w:r>
          <w:rPr>
            <w:noProof/>
            <w:webHidden/>
          </w:rPr>
          <w:fldChar w:fldCharType="begin"/>
        </w:r>
        <w:r>
          <w:rPr>
            <w:noProof/>
            <w:webHidden/>
          </w:rPr>
          <w:instrText xml:space="preserve"> PAGEREF _Toc449964983 \h </w:instrText>
        </w:r>
        <w:r>
          <w:rPr>
            <w:noProof/>
            <w:webHidden/>
          </w:rPr>
        </w:r>
        <w:r>
          <w:rPr>
            <w:noProof/>
            <w:webHidden/>
          </w:rPr>
          <w:fldChar w:fldCharType="separate"/>
        </w:r>
        <w:r>
          <w:rPr>
            <w:noProof/>
            <w:webHidden/>
          </w:rPr>
          <w:t>71</w:t>
        </w:r>
        <w:r>
          <w:rPr>
            <w:noProof/>
            <w:webHidden/>
          </w:rPr>
          <w:fldChar w:fldCharType="end"/>
        </w:r>
      </w:hyperlink>
    </w:p>
    <w:p w14:paraId="350640D1" w14:textId="77777777" w:rsidR="00463F52" w:rsidRDefault="00463F52">
      <w:pPr>
        <w:pStyle w:val="TableofFigures"/>
        <w:tabs>
          <w:tab w:val="right" w:leader="dot" w:pos="8486"/>
        </w:tabs>
        <w:rPr>
          <w:rFonts w:asciiTheme="minorHAnsi" w:eastAsiaTheme="minorEastAsia" w:hAnsiTheme="minorHAnsi" w:cstheme="minorBidi"/>
          <w:noProof/>
        </w:rPr>
      </w:pPr>
      <w:hyperlink w:anchor="_Toc449964984" w:history="1">
        <w:r w:rsidRPr="00CA239E">
          <w:rPr>
            <w:rStyle w:val="Hyperlink"/>
            <w:noProof/>
          </w:rPr>
          <w:t>Figure 4.23. Comparison of alkyl benzenes production on HZSM-5 of Si/Al=11.5, 25 and 40 from oak pyrolysis vapors with fixed catalyst mass at 500°C.</w:t>
        </w:r>
        <w:r>
          <w:rPr>
            <w:noProof/>
            <w:webHidden/>
          </w:rPr>
          <w:tab/>
        </w:r>
        <w:r>
          <w:rPr>
            <w:noProof/>
            <w:webHidden/>
          </w:rPr>
          <w:fldChar w:fldCharType="begin"/>
        </w:r>
        <w:r>
          <w:rPr>
            <w:noProof/>
            <w:webHidden/>
          </w:rPr>
          <w:instrText xml:space="preserve"> PAGEREF _Toc449964984 \h </w:instrText>
        </w:r>
        <w:r>
          <w:rPr>
            <w:noProof/>
            <w:webHidden/>
          </w:rPr>
        </w:r>
        <w:r>
          <w:rPr>
            <w:noProof/>
            <w:webHidden/>
          </w:rPr>
          <w:fldChar w:fldCharType="separate"/>
        </w:r>
        <w:r>
          <w:rPr>
            <w:noProof/>
            <w:webHidden/>
          </w:rPr>
          <w:t>72</w:t>
        </w:r>
        <w:r>
          <w:rPr>
            <w:noProof/>
            <w:webHidden/>
          </w:rPr>
          <w:fldChar w:fldCharType="end"/>
        </w:r>
      </w:hyperlink>
    </w:p>
    <w:p w14:paraId="4BF17102" w14:textId="77777777" w:rsidR="00463F52" w:rsidRDefault="00463F52">
      <w:pPr>
        <w:pStyle w:val="TableofFigures"/>
        <w:tabs>
          <w:tab w:val="right" w:leader="dot" w:pos="8486"/>
        </w:tabs>
        <w:rPr>
          <w:rFonts w:asciiTheme="minorHAnsi" w:eastAsiaTheme="minorEastAsia" w:hAnsiTheme="minorHAnsi" w:cstheme="minorBidi"/>
          <w:noProof/>
        </w:rPr>
      </w:pPr>
      <w:hyperlink w:anchor="_Toc449964985" w:history="1">
        <w:r w:rsidRPr="00CA239E">
          <w:rPr>
            <w:rStyle w:val="Hyperlink"/>
            <w:noProof/>
          </w:rPr>
          <w:t>Figure 4.24. Alkyl benzenes exiting the reactor over HZSM-5 of Si/Al=11.5 from oak pyrolysis vapors with fixed catalyst mass at 500°C.</w:t>
        </w:r>
        <w:r>
          <w:rPr>
            <w:noProof/>
            <w:webHidden/>
          </w:rPr>
          <w:tab/>
        </w:r>
        <w:r>
          <w:rPr>
            <w:noProof/>
            <w:webHidden/>
          </w:rPr>
          <w:fldChar w:fldCharType="begin"/>
        </w:r>
        <w:r>
          <w:rPr>
            <w:noProof/>
            <w:webHidden/>
          </w:rPr>
          <w:instrText xml:space="preserve"> PAGEREF _Toc449964985 \h </w:instrText>
        </w:r>
        <w:r>
          <w:rPr>
            <w:noProof/>
            <w:webHidden/>
          </w:rPr>
        </w:r>
        <w:r>
          <w:rPr>
            <w:noProof/>
            <w:webHidden/>
          </w:rPr>
          <w:fldChar w:fldCharType="separate"/>
        </w:r>
        <w:r>
          <w:rPr>
            <w:noProof/>
            <w:webHidden/>
          </w:rPr>
          <w:t>73</w:t>
        </w:r>
        <w:r>
          <w:rPr>
            <w:noProof/>
            <w:webHidden/>
          </w:rPr>
          <w:fldChar w:fldCharType="end"/>
        </w:r>
      </w:hyperlink>
    </w:p>
    <w:p w14:paraId="088946D3" w14:textId="77777777" w:rsidR="00463F52" w:rsidRDefault="00463F52">
      <w:pPr>
        <w:pStyle w:val="TableofFigures"/>
        <w:tabs>
          <w:tab w:val="right" w:leader="dot" w:pos="8486"/>
        </w:tabs>
        <w:rPr>
          <w:rFonts w:asciiTheme="minorHAnsi" w:eastAsiaTheme="minorEastAsia" w:hAnsiTheme="minorHAnsi" w:cstheme="minorBidi"/>
          <w:noProof/>
        </w:rPr>
      </w:pPr>
      <w:hyperlink w:anchor="_Toc449964986" w:history="1">
        <w:r w:rsidRPr="00CA239E">
          <w:rPr>
            <w:rStyle w:val="Hyperlink"/>
            <w:noProof/>
          </w:rPr>
          <w:t>Figure 4.25. Acetic acid exiting the reactor over HZSM-5 of Si/Al=11.5 from oak pyrolysis vapors with fixed catalyst mass at 500°C.</w:t>
        </w:r>
        <w:r>
          <w:rPr>
            <w:noProof/>
            <w:webHidden/>
          </w:rPr>
          <w:tab/>
        </w:r>
        <w:r>
          <w:rPr>
            <w:noProof/>
            <w:webHidden/>
          </w:rPr>
          <w:fldChar w:fldCharType="begin"/>
        </w:r>
        <w:r>
          <w:rPr>
            <w:noProof/>
            <w:webHidden/>
          </w:rPr>
          <w:instrText xml:space="preserve"> PAGEREF _Toc449964986 \h </w:instrText>
        </w:r>
        <w:r>
          <w:rPr>
            <w:noProof/>
            <w:webHidden/>
          </w:rPr>
        </w:r>
        <w:r>
          <w:rPr>
            <w:noProof/>
            <w:webHidden/>
          </w:rPr>
          <w:fldChar w:fldCharType="separate"/>
        </w:r>
        <w:r>
          <w:rPr>
            <w:noProof/>
            <w:webHidden/>
          </w:rPr>
          <w:t>74</w:t>
        </w:r>
        <w:r>
          <w:rPr>
            <w:noProof/>
            <w:webHidden/>
          </w:rPr>
          <w:fldChar w:fldCharType="end"/>
        </w:r>
      </w:hyperlink>
    </w:p>
    <w:p w14:paraId="156ED21D" w14:textId="77777777" w:rsidR="00463F52" w:rsidRDefault="00463F52">
      <w:pPr>
        <w:pStyle w:val="TableofFigures"/>
        <w:tabs>
          <w:tab w:val="right" w:leader="dot" w:pos="8486"/>
        </w:tabs>
        <w:rPr>
          <w:rFonts w:asciiTheme="minorHAnsi" w:eastAsiaTheme="minorEastAsia" w:hAnsiTheme="minorHAnsi" w:cstheme="minorBidi"/>
          <w:noProof/>
        </w:rPr>
      </w:pPr>
      <w:hyperlink w:anchor="_Toc449964987" w:history="1">
        <w:r w:rsidRPr="00CA239E">
          <w:rPr>
            <w:rStyle w:val="Hyperlink"/>
            <w:noProof/>
          </w:rPr>
          <w:t>Figure 4.26. Gas yield from the 10 pulses of pyrolysis with HZSM5 of Si/Al=11.5 1.36mg under 500°C.</w:t>
        </w:r>
        <w:r>
          <w:rPr>
            <w:noProof/>
            <w:webHidden/>
          </w:rPr>
          <w:tab/>
        </w:r>
        <w:r>
          <w:rPr>
            <w:noProof/>
            <w:webHidden/>
          </w:rPr>
          <w:fldChar w:fldCharType="begin"/>
        </w:r>
        <w:r>
          <w:rPr>
            <w:noProof/>
            <w:webHidden/>
          </w:rPr>
          <w:instrText xml:space="preserve"> PAGEREF _Toc449964987 \h </w:instrText>
        </w:r>
        <w:r>
          <w:rPr>
            <w:noProof/>
            <w:webHidden/>
          </w:rPr>
        </w:r>
        <w:r>
          <w:rPr>
            <w:noProof/>
            <w:webHidden/>
          </w:rPr>
          <w:fldChar w:fldCharType="separate"/>
        </w:r>
        <w:r>
          <w:rPr>
            <w:noProof/>
            <w:webHidden/>
          </w:rPr>
          <w:t>75</w:t>
        </w:r>
        <w:r>
          <w:rPr>
            <w:noProof/>
            <w:webHidden/>
          </w:rPr>
          <w:fldChar w:fldCharType="end"/>
        </w:r>
      </w:hyperlink>
    </w:p>
    <w:p w14:paraId="577F649F" w14:textId="77777777" w:rsidR="00463F52" w:rsidRDefault="00463F52">
      <w:pPr>
        <w:pStyle w:val="TableofFigures"/>
        <w:tabs>
          <w:tab w:val="right" w:leader="dot" w:pos="8486"/>
        </w:tabs>
        <w:rPr>
          <w:rFonts w:asciiTheme="minorHAnsi" w:eastAsiaTheme="minorEastAsia" w:hAnsiTheme="minorHAnsi" w:cstheme="minorBidi"/>
          <w:noProof/>
        </w:rPr>
      </w:pPr>
      <w:hyperlink w:anchor="_Toc449964988" w:history="1">
        <w:r w:rsidRPr="00CA239E">
          <w:rPr>
            <w:rStyle w:val="Hyperlink"/>
            <w:noProof/>
          </w:rPr>
          <w:t>Figure 4.27. Gas yield from the 10 pulses of pyrolysis with HZSM5 of Si/Al=11.5 1.36mg under 500°C.</w:t>
        </w:r>
        <w:r>
          <w:rPr>
            <w:noProof/>
            <w:webHidden/>
          </w:rPr>
          <w:tab/>
        </w:r>
        <w:r>
          <w:rPr>
            <w:noProof/>
            <w:webHidden/>
          </w:rPr>
          <w:fldChar w:fldCharType="begin"/>
        </w:r>
        <w:r>
          <w:rPr>
            <w:noProof/>
            <w:webHidden/>
          </w:rPr>
          <w:instrText xml:space="preserve"> PAGEREF _Toc449964988 \h </w:instrText>
        </w:r>
        <w:r>
          <w:rPr>
            <w:noProof/>
            <w:webHidden/>
          </w:rPr>
        </w:r>
        <w:r>
          <w:rPr>
            <w:noProof/>
            <w:webHidden/>
          </w:rPr>
          <w:fldChar w:fldCharType="separate"/>
        </w:r>
        <w:r>
          <w:rPr>
            <w:noProof/>
            <w:webHidden/>
          </w:rPr>
          <w:t>77</w:t>
        </w:r>
        <w:r>
          <w:rPr>
            <w:noProof/>
            <w:webHidden/>
          </w:rPr>
          <w:fldChar w:fldCharType="end"/>
        </w:r>
      </w:hyperlink>
    </w:p>
    <w:p w14:paraId="4D44098B" w14:textId="77777777" w:rsidR="00463F52" w:rsidRDefault="00463F52">
      <w:pPr>
        <w:pStyle w:val="TableofFigures"/>
        <w:tabs>
          <w:tab w:val="right" w:leader="dot" w:pos="8486"/>
        </w:tabs>
        <w:rPr>
          <w:rFonts w:asciiTheme="minorHAnsi" w:eastAsiaTheme="minorEastAsia" w:hAnsiTheme="minorHAnsi" w:cstheme="minorBidi"/>
          <w:noProof/>
        </w:rPr>
      </w:pPr>
      <w:hyperlink w:anchor="_Toc449964989" w:history="1">
        <w:r w:rsidRPr="00CA239E">
          <w:rPr>
            <w:rStyle w:val="Hyperlink"/>
            <w:noProof/>
          </w:rPr>
          <w:t>Figure 4.28. Overall mass balance from the first pulse of three different temperatures series and another two fixed acid sites series under 500˚C respectively.</w:t>
        </w:r>
        <w:r>
          <w:rPr>
            <w:noProof/>
            <w:webHidden/>
          </w:rPr>
          <w:tab/>
        </w:r>
        <w:r>
          <w:rPr>
            <w:noProof/>
            <w:webHidden/>
          </w:rPr>
          <w:fldChar w:fldCharType="begin"/>
        </w:r>
        <w:r>
          <w:rPr>
            <w:noProof/>
            <w:webHidden/>
          </w:rPr>
          <w:instrText xml:space="preserve"> PAGEREF _Toc449964989 \h </w:instrText>
        </w:r>
        <w:r>
          <w:rPr>
            <w:noProof/>
            <w:webHidden/>
          </w:rPr>
        </w:r>
        <w:r>
          <w:rPr>
            <w:noProof/>
            <w:webHidden/>
          </w:rPr>
          <w:fldChar w:fldCharType="separate"/>
        </w:r>
        <w:r>
          <w:rPr>
            <w:noProof/>
            <w:webHidden/>
          </w:rPr>
          <w:t>78</w:t>
        </w:r>
        <w:r>
          <w:rPr>
            <w:noProof/>
            <w:webHidden/>
          </w:rPr>
          <w:fldChar w:fldCharType="end"/>
        </w:r>
      </w:hyperlink>
    </w:p>
    <w:p w14:paraId="462EF4E9" w14:textId="77777777" w:rsidR="00463F52" w:rsidRDefault="00463F52">
      <w:pPr>
        <w:pStyle w:val="TableofFigures"/>
        <w:tabs>
          <w:tab w:val="right" w:leader="dot" w:pos="8486"/>
        </w:tabs>
        <w:rPr>
          <w:rFonts w:asciiTheme="minorHAnsi" w:eastAsiaTheme="minorEastAsia" w:hAnsiTheme="minorHAnsi" w:cstheme="minorBidi"/>
          <w:noProof/>
        </w:rPr>
      </w:pPr>
      <w:hyperlink w:anchor="_Toc449964990" w:history="1">
        <w:r w:rsidRPr="00CA239E">
          <w:rPr>
            <w:rStyle w:val="Hyperlink"/>
            <w:noProof/>
          </w:rPr>
          <w:t>Figure 5.1. Model weight loss prediction, 270°C.</w:t>
        </w:r>
        <w:r>
          <w:rPr>
            <w:noProof/>
            <w:webHidden/>
          </w:rPr>
          <w:tab/>
        </w:r>
        <w:r>
          <w:rPr>
            <w:noProof/>
            <w:webHidden/>
          </w:rPr>
          <w:fldChar w:fldCharType="begin"/>
        </w:r>
        <w:r>
          <w:rPr>
            <w:noProof/>
            <w:webHidden/>
          </w:rPr>
          <w:instrText xml:space="preserve"> PAGEREF _Toc449964990 \h </w:instrText>
        </w:r>
        <w:r>
          <w:rPr>
            <w:noProof/>
            <w:webHidden/>
          </w:rPr>
        </w:r>
        <w:r>
          <w:rPr>
            <w:noProof/>
            <w:webHidden/>
          </w:rPr>
          <w:fldChar w:fldCharType="separate"/>
        </w:r>
        <w:r>
          <w:rPr>
            <w:noProof/>
            <w:webHidden/>
          </w:rPr>
          <w:t>85</w:t>
        </w:r>
        <w:r>
          <w:rPr>
            <w:noProof/>
            <w:webHidden/>
          </w:rPr>
          <w:fldChar w:fldCharType="end"/>
        </w:r>
      </w:hyperlink>
    </w:p>
    <w:p w14:paraId="12765934" w14:textId="77777777" w:rsidR="00463F52" w:rsidRDefault="00463F52">
      <w:pPr>
        <w:pStyle w:val="TableofFigures"/>
        <w:tabs>
          <w:tab w:val="right" w:leader="dot" w:pos="8486"/>
        </w:tabs>
        <w:rPr>
          <w:rFonts w:asciiTheme="minorHAnsi" w:eastAsiaTheme="minorEastAsia" w:hAnsiTheme="minorHAnsi" w:cstheme="minorBidi"/>
          <w:noProof/>
        </w:rPr>
      </w:pPr>
      <w:hyperlink w:anchor="_Toc449964991" w:history="1">
        <w:r w:rsidRPr="00CA239E">
          <w:rPr>
            <w:rStyle w:val="Hyperlink"/>
            <w:noProof/>
          </w:rPr>
          <w:t>Figure 5.2. Model weight loss prediction, 350°C.</w:t>
        </w:r>
        <w:r>
          <w:rPr>
            <w:noProof/>
            <w:webHidden/>
          </w:rPr>
          <w:tab/>
        </w:r>
        <w:r>
          <w:rPr>
            <w:noProof/>
            <w:webHidden/>
          </w:rPr>
          <w:fldChar w:fldCharType="begin"/>
        </w:r>
        <w:r>
          <w:rPr>
            <w:noProof/>
            <w:webHidden/>
          </w:rPr>
          <w:instrText xml:space="preserve"> PAGEREF _Toc449964991 \h </w:instrText>
        </w:r>
        <w:r>
          <w:rPr>
            <w:noProof/>
            <w:webHidden/>
          </w:rPr>
        </w:r>
        <w:r>
          <w:rPr>
            <w:noProof/>
            <w:webHidden/>
          </w:rPr>
          <w:fldChar w:fldCharType="separate"/>
        </w:r>
        <w:r>
          <w:rPr>
            <w:noProof/>
            <w:webHidden/>
          </w:rPr>
          <w:t>85</w:t>
        </w:r>
        <w:r>
          <w:rPr>
            <w:noProof/>
            <w:webHidden/>
          </w:rPr>
          <w:fldChar w:fldCharType="end"/>
        </w:r>
      </w:hyperlink>
    </w:p>
    <w:p w14:paraId="6148C919" w14:textId="77777777" w:rsidR="00463F52" w:rsidRDefault="00463F52">
      <w:pPr>
        <w:pStyle w:val="TableofFigures"/>
        <w:tabs>
          <w:tab w:val="right" w:leader="dot" w:pos="8486"/>
        </w:tabs>
        <w:rPr>
          <w:rFonts w:asciiTheme="minorHAnsi" w:eastAsiaTheme="minorEastAsia" w:hAnsiTheme="minorHAnsi" w:cstheme="minorBidi"/>
          <w:noProof/>
        </w:rPr>
      </w:pPr>
      <w:hyperlink w:anchor="_Toc449964992" w:history="1">
        <w:r w:rsidRPr="00CA239E">
          <w:rPr>
            <w:rStyle w:val="Hyperlink"/>
            <w:noProof/>
          </w:rPr>
          <w:t>Figure 5.3. Model weight loss prediction, 500°C.</w:t>
        </w:r>
        <w:r>
          <w:rPr>
            <w:noProof/>
            <w:webHidden/>
          </w:rPr>
          <w:tab/>
        </w:r>
        <w:r>
          <w:rPr>
            <w:noProof/>
            <w:webHidden/>
          </w:rPr>
          <w:fldChar w:fldCharType="begin"/>
        </w:r>
        <w:r>
          <w:rPr>
            <w:noProof/>
            <w:webHidden/>
          </w:rPr>
          <w:instrText xml:space="preserve"> PAGEREF _Toc449964992 \h </w:instrText>
        </w:r>
        <w:r>
          <w:rPr>
            <w:noProof/>
            <w:webHidden/>
          </w:rPr>
        </w:r>
        <w:r>
          <w:rPr>
            <w:noProof/>
            <w:webHidden/>
          </w:rPr>
          <w:fldChar w:fldCharType="separate"/>
        </w:r>
        <w:r>
          <w:rPr>
            <w:noProof/>
            <w:webHidden/>
          </w:rPr>
          <w:t>86</w:t>
        </w:r>
        <w:r>
          <w:rPr>
            <w:noProof/>
            <w:webHidden/>
          </w:rPr>
          <w:fldChar w:fldCharType="end"/>
        </w:r>
      </w:hyperlink>
    </w:p>
    <w:p w14:paraId="4057C08A" w14:textId="77777777" w:rsidR="00463F52" w:rsidRDefault="00463F52">
      <w:pPr>
        <w:pStyle w:val="TableofFigures"/>
        <w:tabs>
          <w:tab w:val="right" w:leader="dot" w:pos="8486"/>
        </w:tabs>
        <w:rPr>
          <w:rFonts w:asciiTheme="minorHAnsi" w:eastAsiaTheme="minorEastAsia" w:hAnsiTheme="minorHAnsi" w:cstheme="minorBidi"/>
          <w:noProof/>
        </w:rPr>
      </w:pPr>
      <w:hyperlink w:anchor="_Toc449964993" w:history="1">
        <w:r w:rsidRPr="00CA239E">
          <w:rPr>
            <w:rStyle w:val="Hyperlink"/>
            <w:noProof/>
          </w:rPr>
          <w:t>Figure 5.4. Stage 1 collected liquid composition.</w:t>
        </w:r>
        <w:r>
          <w:rPr>
            <w:noProof/>
            <w:webHidden/>
          </w:rPr>
          <w:tab/>
        </w:r>
        <w:r>
          <w:rPr>
            <w:noProof/>
            <w:webHidden/>
          </w:rPr>
          <w:fldChar w:fldCharType="begin"/>
        </w:r>
        <w:r>
          <w:rPr>
            <w:noProof/>
            <w:webHidden/>
          </w:rPr>
          <w:instrText xml:space="preserve"> PAGEREF _Toc449964993 \h </w:instrText>
        </w:r>
        <w:r>
          <w:rPr>
            <w:noProof/>
            <w:webHidden/>
          </w:rPr>
        </w:r>
        <w:r>
          <w:rPr>
            <w:noProof/>
            <w:webHidden/>
          </w:rPr>
          <w:fldChar w:fldCharType="separate"/>
        </w:r>
        <w:r>
          <w:rPr>
            <w:noProof/>
            <w:webHidden/>
          </w:rPr>
          <w:t>88</w:t>
        </w:r>
        <w:r>
          <w:rPr>
            <w:noProof/>
            <w:webHidden/>
          </w:rPr>
          <w:fldChar w:fldCharType="end"/>
        </w:r>
      </w:hyperlink>
    </w:p>
    <w:p w14:paraId="01823CA9" w14:textId="77777777" w:rsidR="00463F52" w:rsidRDefault="00463F52">
      <w:pPr>
        <w:pStyle w:val="TableofFigures"/>
        <w:tabs>
          <w:tab w:val="right" w:leader="dot" w:pos="8486"/>
        </w:tabs>
        <w:rPr>
          <w:rFonts w:asciiTheme="minorHAnsi" w:eastAsiaTheme="minorEastAsia" w:hAnsiTheme="minorHAnsi" w:cstheme="minorBidi"/>
          <w:noProof/>
        </w:rPr>
      </w:pPr>
      <w:hyperlink w:anchor="_Toc449964994" w:history="1">
        <w:r w:rsidRPr="00CA239E">
          <w:rPr>
            <w:rStyle w:val="Hyperlink"/>
            <w:noProof/>
          </w:rPr>
          <w:t xml:space="preserve">Figure 5.5. Cumulative stages 1, 2 &amp; 3 carbon yields compared with single-step fast pyrolysis carbon yields. </w:t>
        </w:r>
        <w:r w:rsidRPr="00CA239E">
          <w:rPr>
            <w:rStyle w:val="Hyperlink"/>
            <w:i/>
            <w:noProof/>
          </w:rPr>
          <w:t>(Does not include CO/CO</w:t>
        </w:r>
        <w:r w:rsidRPr="00CA239E">
          <w:rPr>
            <w:rStyle w:val="Hyperlink"/>
            <w:i/>
            <w:noProof/>
            <w:vertAlign w:val="subscript"/>
          </w:rPr>
          <w:t>2</w:t>
        </w:r>
        <w:r w:rsidRPr="00CA239E">
          <w:rPr>
            <w:rStyle w:val="Hyperlink"/>
            <w:i/>
            <w:noProof/>
          </w:rPr>
          <w:t>).</w:t>
        </w:r>
        <w:r>
          <w:rPr>
            <w:noProof/>
            <w:webHidden/>
          </w:rPr>
          <w:tab/>
        </w:r>
        <w:r>
          <w:rPr>
            <w:noProof/>
            <w:webHidden/>
          </w:rPr>
          <w:fldChar w:fldCharType="begin"/>
        </w:r>
        <w:r>
          <w:rPr>
            <w:noProof/>
            <w:webHidden/>
          </w:rPr>
          <w:instrText xml:space="preserve"> PAGEREF _Toc449964994 \h </w:instrText>
        </w:r>
        <w:r>
          <w:rPr>
            <w:noProof/>
            <w:webHidden/>
          </w:rPr>
        </w:r>
        <w:r>
          <w:rPr>
            <w:noProof/>
            <w:webHidden/>
          </w:rPr>
          <w:fldChar w:fldCharType="separate"/>
        </w:r>
        <w:r>
          <w:rPr>
            <w:noProof/>
            <w:webHidden/>
          </w:rPr>
          <w:t>89</w:t>
        </w:r>
        <w:r>
          <w:rPr>
            <w:noProof/>
            <w:webHidden/>
          </w:rPr>
          <w:fldChar w:fldCharType="end"/>
        </w:r>
      </w:hyperlink>
    </w:p>
    <w:p w14:paraId="7C5DE0A7" w14:textId="77777777" w:rsidR="00463F52" w:rsidRDefault="00463F52">
      <w:pPr>
        <w:pStyle w:val="TableofFigures"/>
        <w:tabs>
          <w:tab w:val="right" w:leader="dot" w:pos="8486"/>
        </w:tabs>
        <w:rPr>
          <w:rFonts w:asciiTheme="minorHAnsi" w:eastAsiaTheme="minorEastAsia" w:hAnsiTheme="minorHAnsi" w:cstheme="minorBidi"/>
          <w:noProof/>
        </w:rPr>
      </w:pPr>
      <w:hyperlink w:anchor="_Toc449964995" w:history="1">
        <w:r w:rsidRPr="00CA239E">
          <w:rPr>
            <w:rStyle w:val="Hyperlink"/>
            <w:noProof/>
          </w:rPr>
          <w:t>Figure 5.6. Stage 2 yields, separated by compound lumps, for the stage 2 conditions labeled.</w:t>
        </w:r>
        <w:r>
          <w:rPr>
            <w:noProof/>
            <w:webHidden/>
          </w:rPr>
          <w:tab/>
        </w:r>
        <w:r>
          <w:rPr>
            <w:noProof/>
            <w:webHidden/>
          </w:rPr>
          <w:fldChar w:fldCharType="begin"/>
        </w:r>
        <w:r>
          <w:rPr>
            <w:noProof/>
            <w:webHidden/>
          </w:rPr>
          <w:instrText xml:space="preserve"> PAGEREF _Toc449964995 \h </w:instrText>
        </w:r>
        <w:r>
          <w:rPr>
            <w:noProof/>
            <w:webHidden/>
          </w:rPr>
        </w:r>
        <w:r>
          <w:rPr>
            <w:noProof/>
            <w:webHidden/>
          </w:rPr>
          <w:fldChar w:fldCharType="separate"/>
        </w:r>
        <w:r>
          <w:rPr>
            <w:noProof/>
            <w:webHidden/>
          </w:rPr>
          <w:t>91</w:t>
        </w:r>
        <w:r>
          <w:rPr>
            <w:noProof/>
            <w:webHidden/>
          </w:rPr>
          <w:fldChar w:fldCharType="end"/>
        </w:r>
      </w:hyperlink>
    </w:p>
    <w:p w14:paraId="38806EE4" w14:textId="77777777" w:rsidR="00463F52" w:rsidRDefault="00463F52">
      <w:pPr>
        <w:pStyle w:val="TableofFigures"/>
        <w:tabs>
          <w:tab w:val="right" w:leader="dot" w:pos="8486"/>
        </w:tabs>
        <w:rPr>
          <w:rFonts w:asciiTheme="minorHAnsi" w:eastAsiaTheme="minorEastAsia" w:hAnsiTheme="minorHAnsi" w:cstheme="minorBidi"/>
          <w:noProof/>
        </w:rPr>
      </w:pPr>
      <w:hyperlink w:anchor="_Toc449964996" w:history="1">
        <w:r w:rsidRPr="00CA239E">
          <w:rPr>
            <w:rStyle w:val="Hyperlink"/>
            <w:noProof/>
          </w:rPr>
          <w:t>Figure 5.7. Stage 2 carbon selectivities, separated by compound lumps, for the stage 2 conditions labeled, compared with single-step fast pyrolysis of raw oak biomass (far right).</w:t>
        </w:r>
        <w:r>
          <w:rPr>
            <w:noProof/>
            <w:webHidden/>
          </w:rPr>
          <w:tab/>
        </w:r>
        <w:r>
          <w:rPr>
            <w:noProof/>
            <w:webHidden/>
          </w:rPr>
          <w:fldChar w:fldCharType="begin"/>
        </w:r>
        <w:r>
          <w:rPr>
            <w:noProof/>
            <w:webHidden/>
          </w:rPr>
          <w:instrText xml:space="preserve"> PAGEREF _Toc449964996 \h </w:instrText>
        </w:r>
        <w:r>
          <w:rPr>
            <w:noProof/>
            <w:webHidden/>
          </w:rPr>
        </w:r>
        <w:r>
          <w:rPr>
            <w:noProof/>
            <w:webHidden/>
          </w:rPr>
          <w:fldChar w:fldCharType="separate"/>
        </w:r>
        <w:r>
          <w:rPr>
            <w:noProof/>
            <w:webHidden/>
          </w:rPr>
          <w:t>92</w:t>
        </w:r>
        <w:r>
          <w:rPr>
            <w:noProof/>
            <w:webHidden/>
          </w:rPr>
          <w:fldChar w:fldCharType="end"/>
        </w:r>
      </w:hyperlink>
    </w:p>
    <w:p w14:paraId="322AE863" w14:textId="77777777" w:rsidR="00463F52" w:rsidRDefault="00463F52">
      <w:pPr>
        <w:pStyle w:val="TableofFigures"/>
        <w:tabs>
          <w:tab w:val="right" w:leader="dot" w:pos="8486"/>
        </w:tabs>
        <w:rPr>
          <w:rFonts w:asciiTheme="minorHAnsi" w:eastAsiaTheme="minorEastAsia" w:hAnsiTheme="minorHAnsi" w:cstheme="minorBidi"/>
          <w:noProof/>
        </w:rPr>
      </w:pPr>
      <w:hyperlink w:anchor="_Toc449964997" w:history="1">
        <w:r w:rsidRPr="00CA239E">
          <w:rPr>
            <w:rStyle w:val="Hyperlink"/>
            <w:noProof/>
          </w:rPr>
          <w:t>Figure 5.8. Stage 3 carbon yields, separated by compound lumps, for the 2nd stage conditions labeled.</w:t>
        </w:r>
        <w:r>
          <w:rPr>
            <w:noProof/>
            <w:webHidden/>
          </w:rPr>
          <w:tab/>
        </w:r>
        <w:r>
          <w:rPr>
            <w:noProof/>
            <w:webHidden/>
          </w:rPr>
          <w:fldChar w:fldCharType="begin"/>
        </w:r>
        <w:r>
          <w:rPr>
            <w:noProof/>
            <w:webHidden/>
          </w:rPr>
          <w:instrText xml:space="preserve"> PAGEREF _Toc449964997 \h </w:instrText>
        </w:r>
        <w:r>
          <w:rPr>
            <w:noProof/>
            <w:webHidden/>
          </w:rPr>
        </w:r>
        <w:r>
          <w:rPr>
            <w:noProof/>
            <w:webHidden/>
          </w:rPr>
          <w:fldChar w:fldCharType="separate"/>
        </w:r>
        <w:r>
          <w:rPr>
            <w:noProof/>
            <w:webHidden/>
          </w:rPr>
          <w:t>93</w:t>
        </w:r>
        <w:r>
          <w:rPr>
            <w:noProof/>
            <w:webHidden/>
          </w:rPr>
          <w:fldChar w:fldCharType="end"/>
        </w:r>
      </w:hyperlink>
    </w:p>
    <w:p w14:paraId="3321E359" w14:textId="77777777" w:rsidR="00463F52" w:rsidRDefault="00463F52">
      <w:pPr>
        <w:pStyle w:val="TableofFigures"/>
        <w:tabs>
          <w:tab w:val="right" w:leader="dot" w:pos="8486"/>
        </w:tabs>
        <w:rPr>
          <w:rFonts w:asciiTheme="minorHAnsi" w:eastAsiaTheme="minorEastAsia" w:hAnsiTheme="minorHAnsi" w:cstheme="minorBidi"/>
          <w:noProof/>
        </w:rPr>
      </w:pPr>
      <w:hyperlink w:anchor="_Toc449964998" w:history="1">
        <w:r w:rsidRPr="00CA239E">
          <w:rPr>
            <w:rStyle w:val="Hyperlink"/>
            <w:noProof/>
          </w:rPr>
          <w:t>Figure 5.9. Stage 3 carbon selectivities, separated by compound lumps, for the stage 2 conditions labeled, compared with single-step fast pyrolysis of raw oak biomass (far right).</w:t>
        </w:r>
        <w:r>
          <w:rPr>
            <w:noProof/>
            <w:webHidden/>
          </w:rPr>
          <w:tab/>
        </w:r>
        <w:r>
          <w:rPr>
            <w:noProof/>
            <w:webHidden/>
          </w:rPr>
          <w:fldChar w:fldCharType="begin"/>
        </w:r>
        <w:r>
          <w:rPr>
            <w:noProof/>
            <w:webHidden/>
          </w:rPr>
          <w:instrText xml:space="preserve"> PAGEREF _Toc449964998 \h </w:instrText>
        </w:r>
        <w:r>
          <w:rPr>
            <w:noProof/>
            <w:webHidden/>
          </w:rPr>
        </w:r>
        <w:r>
          <w:rPr>
            <w:noProof/>
            <w:webHidden/>
          </w:rPr>
          <w:fldChar w:fldCharType="separate"/>
        </w:r>
        <w:r>
          <w:rPr>
            <w:noProof/>
            <w:webHidden/>
          </w:rPr>
          <w:t>94</w:t>
        </w:r>
        <w:r>
          <w:rPr>
            <w:noProof/>
            <w:webHidden/>
          </w:rPr>
          <w:fldChar w:fldCharType="end"/>
        </w:r>
      </w:hyperlink>
    </w:p>
    <w:p w14:paraId="361BAED1" w14:textId="77777777" w:rsidR="00463F52" w:rsidRDefault="00463F52">
      <w:pPr>
        <w:pStyle w:val="TableofFigures"/>
        <w:tabs>
          <w:tab w:val="right" w:leader="dot" w:pos="8486"/>
        </w:tabs>
        <w:rPr>
          <w:rFonts w:asciiTheme="minorHAnsi" w:eastAsiaTheme="minorEastAsia" w:hAnsiTheme="minorHAnsi" w:cstheme="minorBidi"/>
          <w:noProof/>
        </w:rPr>
      </w:pPr>
      <w:hyperlink w:anchor="_Toc449964999" w:history="1">
        <w:r w:rsidRPr="00CA239E">
          <w:rPr>
            <w:rStyle w:val="Hyperlink"/>
            <w:noProof/>
          </w:rPr>
          <w:t>Figure 5.10. Stages 1, 2 &amp; 3 cumulative carbon yields, separated by compound lumps, for the stage 2 conditions labeled, compared with single-step fast pyrolysis of raw oak biomass (far right).</w:t>
        </w:r>
        <w:r>
          <w:rPr>
            <w:noProof/>
            <w:webHidden/>
          </w:rPr>
          <w:tab/>
        </w:r>
        <w:r>
          <w:rPr>
            <w:noProof/>
            <w:webHidden/>
          </w:rPr>
          <w:fldChar w:fldCharType="begin"/>
        </w:r>
        <w:r>
          <w:rPr>
            <w:noProof/>
            <w:webHidden/>
          </w:rPr>
          <w:instrText xml:space="preserve"> PAGEREF _Toc449964999 \h </w:instrText>
        </w:r>
        <w:r>
          <w:rPr>
            <w:noProof/>
            <w:webHidden/>
          </w:rPr>
        </w:r>
        <w:r>
          <w:rPr>
            <w:noProof/>
            <w:webHidden/>
          </w:rPr>
          <w:fldChar w:fldCharType="separate"/>
        </w:r>
        <w:r>
          <w:rPr>
            <w:noProof/>
            <w:webHidden/>
          </w:rPr>
          <w:t>95</w:t>
        </w:r>
        <w:r>
          <w:rPr>
            <w:noProof/>
            <w:webHidden/>
          </w:rPr>
          <w:fldChar w:fldCharType="end"/>
        </w:r>
      </w:hyperlink>
    </w:p>
    <w:p w14:paraId="5F0E4777" w14:textId="77777777" w:rsidR="00463F52" w:rsidRDefault="00463F52">
      <w:pPr>
        <w:pStyle w:val="TableofFigures"/>
        <w:tabs>
          <w:tab w:val="right" w:leader="dot" w:pos="8486"/>
        </w:tabs>
        <w:rPr>
          <w:rFonts w:asciiTheme="minorHAnsi" w:eastAsiaTheme="minorEastAsia" w:hAnsiTheme="minorHAnsi" w:cstheme="minorBidi"/>
          <w:noProof/>
        </w:rPr>
      </w:pPr>
      <w:hyperlink w:anchor="_Toc449965000" w:history="1">
        <w:r w:rsidRPr="00CA239E">
          <w:rPr>
            <w:rStyle w:val="Hyperlink"/>
            <w:noProof/>
          </w:rPr>
          <w:t>Figure 5.11. Stages 1, 2 and 3 cumulative carbon selectivities, separated by compound lumps, for the stage 2 conditions labeled, compared with single-step fast pyrolysis of raw oak biomass (far right).</w:t>
        </w:r>
        <w:r>
          <w:rPr>
            <w:noProof/>
            <w:webHidden/>
          </w:rPr>
          <w:tab/>
        </w:r>
        <w:r>
          <w:rPr>
            <w:noProof/>
            <w:webHidden/>
          </w:rPr>
          <w:fldChar w:fldCharType="begin"/>
        </w:r>
        <w:r>
          <w:rPr>
            <w:noProof/>
            <w:webHidden/>
          </w:rPr>
          <w:instrText xml:space="preserve"> PAGEREF _Toc449965000 \h </w:instrText>
        </w:r>
        <w:r>
          <w:rPr>
            <w:noProof/>
            <w:webHidden/>
          </w:rPr>
        </w:r>
        <w:r>
          <w:rPr>
            <w:noProof/>
            <w:webHidden/>
          </w:rPr>
          <w:fldChar w:fldCharType="separate"/>
        </w:r>
        <w:r>
          <w:rPr>
            <w:noProof/>
            <w:webHidden/>
          </w:rPr>
          <w:t>96</w:t>
        </w:r>
        <w:r>
          <w:rPr>
            <w:noProof/>
            <w:webHidden/>
          </w:rPr>
          <w:fldChar w:fldCharType="end"/>
        </w:r>
      </w:hyperlink>
    </w:p>
    <w:p w14:paraId="41D87B45" w14:textId="77777777" w:rsidR="00463F52" w:rsidRDefault="00463F52">
      <w:pPr>
        <w:pStyle w:val="TableofFigures"/>
        <w:tabs>
          <w:tab w:val="right" w:leader="dot" w:pos="8486"/>
        </w:tabs>
        <w:rPr>
          <w:rFonts w:asciiTheme="minorHAnsi" w:eastAsiaTheme="minorEastAsia" w:hAnsiTheme="minorHAnsi" w:cstheme="minorBidi"/>
          <w:noProof/>
        </w:rPr>
      </w:pPr>
      <w:hyperlink w:anchor="_Toc449965001" w:history="1">
        <w:r w:rsidRPr="00CA239E">
          <w:rPr>
            <w:rStyle w:val="Hyperlink"/>
            <w:noProof/>
          </w:rPr>
          <w:t>Figure 5.12. Acetic acid yields for stages 1, 2 &amp; 3, as a percentage of the fast pyrolysis acetic acid yield.</w:t>
        </w:r>
        <w:r>
          <w:rPr>
            <w:noProof/>
            <w:webHidden/>
          </w:rPr>
          <w:tab/>
        </w:r>
        <w:r>
          <w:rPr>
            <w:noProof/>
            <w:webHidden/>
          </w:rPr>
          <w:fldChar w:fldCharType="begin"/>
        </w:r>
        <w:r>
          <w:rPr>
            <w:noProof/>
            <w:webHidden/>
          </w:rPr>
          <w:instrText xml:space="preserve"> PAGEREF _Toc449965001 \h </w:instrText>
        </w:r>
        <w:r>
          <w:rPr>
            <w:noProof/>
            <w:webHidden/>
          </w:rPr>
        </w:r>
        <w:r>
          <w:rPr>
            <w:noProof/>
            <w:webHidden/>
          </w:rPr>
          <w:fldChar w:fldCharType="separate"/>
        </w:r>
        <w:r>
          <w:rPr>
            <w:noProof/>
            <w:webHidden/>
          </w:rPr>
          <w:t>98</w:t>
        </w:r>
        <w:r>
          <w:rPr>
            <w:noProof/>
            <w:webHidden/>
          </w:rPr>
          <w:fldChar w:fldCharType="end"/>
        </w:r>
      </w:hyperlink>
    </w:p>
    <w:p w14:paraId="28FDD425" w14:textId="77777777" w:rsidR="00463F52" w:rsidRDefault="00463F52">
      <w:pPr>
        <w:pStyle w:val="TableofFigures"/>
        <w:tabs>
          <w:tab w:val="right" w:leader="dot" w:pos="8486"/>
        </w:tabs>
        <w:rPr>
          <w:rFonts w:asciiTheme="minorHAnsi" w:eastAsiaTheme="minorEastAsia" w:hAnsiTheme="minorHAnsi" w:cstheme="minorBidi"/>
          <w:noProof/>
        </w:rPr>
      </w:pPr>
      <w:hyperlink w:anchor="_Toc449965002" w:history="1">
        <w:r w:rsidRPr="00CA239E">
          <w:rPr>
            <w:rStyle w:val="Hyperlink"/>
            <w:noProof/>
          </w:rPr>
          <w:t>Figure 5.13. Stage 2 pyran vs. Stage 2 furfurals carbon yield (a) and selectivity (b) for the stage 2 conditions indicated.</w:t>
        </w:r>
        <w:r>
          <w:rPr>
            <w:noProof/>
            <w:webHidden/>
          </w:rPr>
          <w:tab/>
        </w:r>
        <w:r>
          <w:rPr>
            <w:noProof/>
            <w:webHidden/>
          </w:rPr>
          <w:fldChar w:fldCharType="begin"/>
        </w:r>
        <w:r>
          <w:rPr>
            <w:noProof/>
            <w:webHidden/>
          </w:rPr>
          <w:instrText xml:space="preserve"> PAGEREF _Toc449965002 \h </w:instrText>
        </w:r>
        <w:r>
          <w:rPr>
            <w:noProof/>
            <w:webHidden/>
          </w:rPr>
        </w:r>
        <w:r>
          <w:rPr>
            <w:noProof/>
            <w:webHidden/>
          </w:rPr>
          <w:fldChar w:fldCharType="separate"/>
        </w:r>
        <w:r>
          <w:rPr>
            <w:noProof/>
            <w:webHidden/>
          </w:rPr>
          <w:t>101</w:t>
        </w:r>
        <w:r>
          <w:rPr>
            <w:noProof/>
            <w:webHidden/>
          </w:rPr>
          <w:fldChar w:fldCharType="end"/>
        </w:r>
      </w:hyperlink>
    </w:p>
    <w:p w14:paraId="2CC04D42" w14:textId="77777777" w:rsidR="00463F52" w:rsidRDefault="00463F52">
      <w:pPr>
        <w:pStyle w:val="TableofFigures"/>
        <w:tabs>
          <w:tab w:val="right" w:leader="dot" w:pos="8486"/>
        </w:tabs>
        <w:rPr>
          <w:rFonts w:asciiTheme="minorHAnsi" w:eastAsiaTheme="minorEastAsia" w:hAnsiTheme="minorHAnsi" w:cstheme="minorBidi"/>
          <w:noProof/>
        </w:rPr>
      </w:pPr>
      <w:hyperlink w:anchor="_Toc449965003" w:history="1">
        <w:r w:rsidRPr="00CA239E">
          <w:rPr>
            <w:rStyle w:val="Hyperlink"/>
            <w:noProof/>
          </w:rPr>
          <w:t>Figure 5.14. Stage 2 Levoglucosan vs. Stage 2 Phenolics carbon yield (a) &amp; carbon selectivity (b) for the stage 2 conditions indicated.</w:t>
        </w:r>
        <w:r>
          <w:rPr>
            <w:noProof/>
            <w:webHidden/>
          </w:rPr>
          <w:tab/>
        </w:r>
        <w:r>
          <w:rPr>
            <w:noProof/>
            <w:webHidden/>
          </w:rPr>
          <w:fldChar w:fldCharType="begin"/>
        </w:r>
        <w:r>
          <w:rPr>
            <w:noProof/>
            <w:webHidden/>
          </w:rPr>
          <w:instrText xml:space="preserve"> PAGEREF _Toc449965003 \h </w:instrText>
        </w:r>
        <w:r>
          <w:rPr>
            <w:noProof/>
            <w:webHidden/>
          </w:rPr>
        </w:r>
        <w:r>
          <w:rPr>
            <w:noProof/>
            <w:webHidden/>
          </w:rPr>
          <w:fldChar w:fldCharType="separate"/>
        </w:r>
        <w:r>
          <w:rPr>
            <w:noProof/>
            <w:webHidden/>
          </w:rPr>
          <w:t>102</w:t>
        </w:r>
        <w:r>
          <w:rPr>
            <w:noProof/>
            <w:webHidden/>
          </w:rPr>
          <w:fldChar w:fldCharType="end"/>
        </w:r>
      </w:hyperlink>
    </w:p>
    <w:p w14:paraId="6860B132" w14:textId="77777777" w:rsidR="00463F52" w:rsidRDefault="00463F52">
      <w:pPr>
        <w:pStyle w:val="TableofFigures"/>
        <w:tabs>
          <w:tab w:val="right" w:leader="dot" w:pos="8486"/>
        </w:tabs>
        <w:rPr>
          <w:rFonts w:asciiTheme="minorHAnsi" w:eastAsiaTheme="minorEastAsia" w:hAnsiTheme="minorHAnsi" w:cstheme="minorBidi"/>
          <w:noProof/>
        </w:rPr>
      </w:pPr>
      <w:hyperlink w:anchor="_Toc449965004" w:history="1">
        <w:r w:rsidRPr="00CA239E">
          <w:rPr>
            <w:rStyle w:val="Hyperlink"/>
            <w:noProof/>
          </w:rPr>
          <w:t>Figure 5.15. Stage 3 Levoglucosan vs. Stage 3 Phenolics carbon yield (a) &amp; carbon selectivity (b) for the stage 2 conditions indicated.</w:t>
        </w:r>
        <w:r>
          <w:rPr>
            <w:noProof/>
            <w:webHidden/>
          </w:rPr>
          <w:tab/>
        </w:r>
        <w:r>
          <w:rPr>
            <w:noProof/>
            <w:webHidden/>
          </w:rPr>
          <w:fldChar w:fldCharType="begin"/>
        </w:r>
        <w:r>
          <w:rPr>
            <w:noProof/>
            <w:webHidden/>
          </w:rPr>
          <w:instrText xml:space="preserve"> PAGEREF _Toc449965004 \h </w:instrText>
        </w:r>
        <w:r>
          <w:rPr>
            <w:noProof/>
            <w:webHidden/>
          </w:rPr>
        </w:r>
        <w:r>
          <w:rPr>
            <w:noProof/>
            <w:webHidden/>
          </w:rPr>
          <w:fldChar w:fldCharType="separate"/>
        </w:r>
        <w:r>
          <w:rPr>
            <w:noProof/>
            <w:webHidden/>
          </w:rPr>
          <w:t>102</w:t>
        </w:r>
        <w:r>
          <w:rPr>
            <w:noProof/>
            <w:webHidden/>
          </w:rPr>
          <w:fldChar w:fldCharType="end"/>
        </w:r>
      </w:hyperlink>
    </w:p>
    <w:p w14:paraId="607AAB4C" w14:textId="77777777" w:rsidR="00463F52" w:rsidRDefault="00463F52">
      <w:pPr>
        <w:pStyle w:val="TableofFigures"/>
        <w:tabs>
          <w:tab w:val="right" w:leader="dot" w:pos="8486"/>
        </w:tabs>
        <w:rPr>
          <w:rFonts w:asciiTheme="minorHAnsi" w:eastAsiaTheme="minorEastAsia" w:hAnsiTheme="minorHAnsi" w:cstheme="minorBidi"/>
          <w:noProof/>
        </w:rPr>
      </w:pPr>
      <w:hyperlink w:anchor="_Toc449965005" w:history="1">
        <w:r w:rsidRPr="00CA239E">
          <w:rPr>
            <w:rStyle w:val="Hyperlink"/>
            <w:noProof/>
          </w:rPr>
          <w:t>Figure 5.16. Stage 2 light oxygenates vs. Stage 2 phenolics carbon yield (a) and carbon selectivity (b) for the stage 2 conditions indicated.</w:t>
        </w:r>
        <w:r>
          <w:rPr>
            <w:noProof/>
            <w:webHidden/>
          </w:rPr>
          <w:tab/>
        </w:r>
        <w:r>
          <w:rPr>
            <w:noProof/>
            <w:webHidden/>
          </w:rPr>
          <w:fldChar w:fldCharType="begin"/>
        </w:r>
        <w:r>
          <w:rPr>
            <w:noProof/>
            <w:webHidden/>
          </w:rPr>
          <w:instrText xml:space="preserve"> PAGEREF _Toc449965005 \h </w:instrText>
        </w:r>
        <w:r>
          <w:rPr>
            <w:noProof/>
            <w:webHidden/>
          </w:rPr>
        </w:r>
        <w:r>
          <w:rPr>
            <w:noProof/>
            <w:webHidden/>
          </w:rPr>
          <w:fldChar w:fldCharType="separate"/>
        </w:r>
        <w:r>
          <w:rPr>
            <w:noProof/>
            <w:webHidden/>
          </w:rPr>
          <w:t>103</w:t>
        </w:r>
        <w:r>
          <w:rPr>
            <w:noProof/>
            <w:webHidden/>
          </w:rPr>
          <w:fldChar w:fldCharType="end"/>
        </w:r>
      </w:hyperlink>
    </w:p>
    <w:p w14:paraId="5D0A5E2C" w14:textId="77777777" w:rsidR="00463F52" w:rsidRDefault="00463F52">
      <w:pPr>
        <w:pStyle w:val="TableofFigures"/>
        <w:tabs>
          <w:tab w:val="right" w:leader="dot" w:pos="8486"/>
        </w:tabs>
        <w:rPr>
          <w:rFonts w:asciiTheme="minorHAnsi" w:eastAsiaTheme="minorEastAsia" w:hAnsiTheme="minorHAnsi" w:cstheme="minorBidi"/>
          <w:noProof/>
        </w:rPr>
      </w:pPr>
      <w:hyperlink w:anchor="_Toc449965006" w:history="1">
        <w:r w:rsidRPr="00CA239E">
          <w:rPr>
            <w:rStyle w:val="Hyperlink"/>
            <w:noProof/>
          </w:rPr>
          <w:t>Figure 5.17. Stage 3 light oxygenates vs. Stage 3 phenolics carbon yield (a) and carbon selectivity (b) for the stage 2 conditions indicated.</w:t>
        </w:r>
        <w:r>
          <w:rPr>
            <w:noProof/>
            <w:webHidden/>
          </w:rPr>
          <w:tab/>
        </w:r>
        <w:r>
          <w:rPr>
            <w:noProof/>
            <w:webHidden/>
          </w:rPr>
          <w:fldChar w:fldCharType="begin"/>
        </w:r>
        <w:r>
          <w:rPr>
            <w:noProof/>
            <w:webHidden/>
          </w:rPr>
          <w:instrText xml:space="preserve"> PAGEREF _Toc449965006 \h </w:instrText>
        </w:r>
        <w:r>
          <w:rPr>
            <w:noProof/>
            <w:webHidden/>
          </w:rPr>
        </w:r>
        <w:r>
          <w:rPr>
            <w:noProof/>
            <w:webHidden/>
          </w:rPr>
          <w:fldChar w:fldCharType="separate"/>
        </w:r>
        <w:r>
          <w:rPr>
            <w:noProof/>
            <w:webHidden/>
          </w:rPr>
          <w:t>103</w:t>
        </w:r>
        <w:r>
          <w:rPr>
            <w:noProof/>
            <w:webHidden/>
          </w:rPr>
          <w:fldChar w:fldCharType="end"/>
        </w:r>
      </w:hyperlink>
    </w:p>
    <w:p w14:paraId="71CB9679" w14:textId="77777777" w:rsidR="00463F52" w:rsidRDefault="00463F52">
      <w:pPr>
        <w:pStyle w:val="TableofFigures"/>
        <w:tabs>
          <w:tab w:val="right" w:leader="dot" w:pos="8486"/>
        </w:tabs>
        <w:rPr>
          <w:rFonts w:asciiTheme="minorHAnsi" w:eastAsiaTheme="minorEastAsia" w:hAnsiTheme="minorHAnsi" w:cstheme="minorBidi"/>
          <w:noProof/>
        </w:rPr>
      </w:pPr>
      <w:hyperlink w:anchor="_Toc449965007" w:history="1">
        <w:r w:rsidRPr="00CA239E">
          <w:rPr>
            <w:rStyle w:val="Hyperlink"/>
            <w:noProof/>
          </w:rPr>
          <w:t>Figure 5.18. Stage 2 acetic acid yield vs. Stage 2 phenolics carbon yield (a) and carbon selectivity (b) for the stage 2 conditions indicated.</w:t>
        </w:r>
        <w:r>
          <w:rPr>
            <w:noProof/>
            <w:webHidden/>
          </w:rPr>
          <w:tab/>
        </w:r>
        <w:r>
          <w:rPr>
            <w:noProof/>
            <w:webHidden/>
          </w:rPr>
          <w:fldChar w:fldCharType="begin"/>
        </w:r>
        <w:r>
          <w:rPr>
            <w:noProof/>
            <w:webHidden/>
          </w:rPr>
          <w:instrText xml:space="preserve"> PAGEREF _Toc449965007 \h </w:instrText>
        </w:r>
        <w:r>
          <w:rPr>
            <w:noProof/>
            <w:webHidden/>
          </w:rPr>
        </w:r>
        <w:r>
          <w:rPr>
            <w:noProof/>
            <w:webHidden/>
          </w:rPr>
          <w:fldChar w:fldCharType="separate"/>
        </w:r>
        <w:r>
          <w:rPr>
            <w:noProof/>
            <w:webHidden/>
          </w:rPr>
          <w:t>104</w:t>
        </w:r>
        <w:r>
          <w:rPr>
            <w:noProof/>
            <w:webHidden/>
          </w:rPr>
          <w:fldChar w:fldCharType="end"/>
        </w:r>
      </w:hyperlink>
    </w:p>
    <w:p w14:paraId="2A588DA7" w14:textId="77777777" w:rsidR="00463F52" w:rsidRDefault="00463F52">
      <w:pPr>
        <w:pStyle w:val="TableofFigures"/>
        <w:tabs>
          <w:tab w:val="right" w:leader="dot" w:pos="8486"/>
        </w:tabs>
        <w:rPr>
          <w:rFonts w:asciiTheme="minorHAnsi" w:eastAsiaTheme="minorEastAsia" w:hAnsiTheme="minorHAnsi" w:cstheme="minorBidi"/>
          <w:noProof/>
        </w:rPr>
      </w:pPr>
      <w:hyperlink w:anchor="_Toc449965008" w:history="1">
        <w:r w:rsidRPr="00CA239E">
          <w:rPr>
            <w:rStyle w:val="Hyperlink"/>
            <w:noProof/>
          </w:rPr>
          <w:t>Figure 5.19. Revised configuration for thermal fractionation of lignocellulosic biomass with resultant purified product streams based on this work.</w:t>
        </w:r>
        <w:r>
          <w:rPr>
            <w:noProof/>
            <w:webHidden/>
          </w:rPr>
          <w:tab/>
        </w:r>
        <w:r>
          <w:rPr>
            <w:noProof/>
            <w:webHidden/>
          </w:rPr>
          <w:fldChar w:fldCharType="begin"/>
        </w:r>
        <w:r>
          <w:rPr>
            <w:noProof/>
            <w:webHidden/>
          </w:rPr>
          <w:instrText xml:space="preserve"> PAGEREF _Toc449965008 \h </w:instrText>
        </w:r>
        <w:r>
          <w:rPr>
            <w:noProof/>
            <w:webHidden/>
          </w:rPr>
        </w:r>
        <w:r>
          <w:rPr>
            <w:noProof/>
            <w:webHidden/>
          </w:rPr>
          <w:fldChar w:fldCharType="separate"/>
        </w:r>
        <w:r>
          <w:rPr>
            <w:noProof/>
            <w:webHidden/>
          </w:rPr>
          <w:t>106</w:t>
        </w:r>
        <w:r>
          <w:rPr>
            <w:noProof/>
            <w:webHidden/>
          </w:rPr>
          <w:fldChar w:fldCharType="end"/>
        </w:r>
      </w:hyperlink>
    </w:p>
    <w:p w14:paraId="223F1683" w14:textId="77777777" w:rsidR="00463F52" w:rsidRDefault="00463F52">
      <w:pPr>
        <w:pStyle w:val="TableofFigures"/>
        <w:tabs>
          <w:tab w:val="right" w:leader="dot" w:pos="8486"/>
        </w:tabs>
        <w:rPr>
          <w:rFonts w:asciiTheme="minorHAnsi" w:eastAsiaTheme="minorEastAsia" w:hAnsiTheme="minorHAnsi" w:cstheme="minorBidi"/>
          <w:noProof/>
        </w:rPr>
      </w:pPr>
      <w:hyperlink w:anchor="_Toc449965009" w:history="1">
        <w:r w:rsidRPr="00CA239E">
          <w:rPr>
            <w:rStyle w:val="Hyperlink"/>
            <w:noProof/>
          </w:rPr>
          <w:t>Figure 6.1. Boxplot distributions of the two compositional sugars for the furfurals (left) and pyran (right) models.</w:t>
        </w:r>
        <w:r>
          <w:rPr>
            <w:noProof/>
            <w:webHidden/>
          </w:rPr>
          <w:tab/>
        </w:r>
        <w:r>
          <w:rPr>
            <w:noProof/>
            <w:webHidden/>
          </w:rPr>
          <w:fldChar w:fldCharType="begin"/>
        </w:r>
        <w:r>
          <w:rPr>
            <w:noProof/>
            <w:webHidden/>
          </w:rPr>
          <w:instrText xml:space="preserve"> PAGEREF _Toc449965009 \h </w:instrText>
        </w:r>
        <w:r>
          <w:rPr>
            <w:noProof/>
            <w:webHidden/>
          </w:rPr>
        </w:r>
        <w:r>
          <w:rPr>
            <w:noProof/>
            <w:webHidden/>
          </w:rPr>
          <w:fldChar w:fldCharType="separate"/>
        </w:r>
        <w:r>
          <w:rPr>
            <w:noProof/>
            <w:webHidden/>
          </w:rPr>
          <w:t>123</w:t>
        </w:r>
        <w:r>
          <w:rPr>
            <w:noProof/>
            <w:webHidden/>
          </w:rPr>
          <w:fldChar w:fldCharType="end"/>
        </w:r>
      </w:hyperlink>
    </w:p>
    <w:p w14:paraId="694F6712" w14:textId="77777777" w:rsidR="00463F52" w:rsidRDefault="00463F52">
      <w:pPr>
        <w:pStyle w:val="TableofFigures"/>
        <w:tabs>
          <w:tab w:val="right" w:leader="dot" w:pos="8486"/>
        </w:tabs>
        <w:rPr>
          <w:rFonts w:asciiTheme="minorHAnsi" w:eastAsiaTheme="minorEastAsia" w:hAnsiTheme="minorHAnsi" w:cstheme="minorBidi"/>
          <w:noProof/>
        </w:rPr>
      </w:pPr>
      <w:hyperlink w:anchor="_Toc449965010" w:history="1">
        <w:r w:rsidRPr="00CA239E">
          <w:rPr>
            <w:rStyle w:val="Hyperlink"/>
            <w:noProof/>
          </w:rPr>
          <w:t>Figure 6.2. Speculative reaction mechanism of acetic acid, phenolic, and furan derivative formation from ferulic acid esterified to an arabinose monosaccharide via a hydrogen radical initiated pathway.</w:t>
        </w:r>
        <w:r>
          <w:rPr>
            <w:noProof/>
            <w:webHidden/>
          </w:rPr>
          <w:tab/>
        </w:r>
        <w:r>
          <w:rPr>
            <w:noProof/>
            <w:webHidden/>
          </w:rPr>
          <w:fldChar w:fldCharType="begin"/>
        </w:r>
        <w:r>
          <w:rPr>
            <w:noProof/>
            <w:webHidden/>
          </w:rPr>
          <w:instrText xml:space="preserve"> PAGEREF _Toc449965010 \h </w:instrText>
        </w:r>
        <w:r>
          <w:rPr>
            <w:noProof/>
            <w:webHidden/>
          </w:rPr>
        </w:r>
        <w:r>
          <w:rPr>
            <w:noProof/>
            <w:webHidden/>
          </w:rPr>
          <w:fldChar w:fldCharType="separate"/>
        </w:r>
        <w:r>
          <w:rPr>
            <w:noProof/>
            <w:webHidden/>
          </w:rPr>
          <w:t>125</w:t>
        </w:r>
        <w:r>
          <w:rPr>
            <w:noProof/>
            <w:webHidden/>
          </w:rPr>
          <w:fldChar w:fldCharType="end"/>
        </w:r>
      </w:hyperlink>
    </w:p>
    <w:p w14:paraId="26320252" w14:textId="77777777" w:rsidR="00463F52" w:rsidRDefault="00463F52">
      <w:pPr>
        <w:pStyle w:val="TableofFigures"/>
        <w:tabs>
          <w:tab w:val="right" w:leader="dot" w:pos="8486"/>
        </w:tabs>
        <w:rPr>
          <w:rFonts w:asciiTheme="minorHAnsi" w:eastAsiaTheme="minorEastAsia" w:hAnsiTheme="minorHAnsi" w:cstheme="minorBidi"/>
          <w:noProof/>
        </w:rPr>
      </w:pPr>
      <w:hyperlink w:anchor="_Toc449965011" w:history="1">
        <w:r w:rsidRPr="00CA239E">
          <w:rPr>
            <w:rStyle w:val="Hyperlink"/>
            <w:noProof/>
          </w:rPr>
          <w:t>Figure 6.3. Ferulic acid (left) and p-coumaric acid (right).</w:t>
        </w:r>
        <w:r>
          <w:rPr>
            <w:noProof/>
            <w:webHidden/>
          </w:rPr>
          <w:tab/>
        </w:r>
        <w:r>
          <w:rPr>
            <w:noProof/>
            <w:webHidden/>
          </w:rPr>
          <w:fldChar w:fldCharType="begin"/>
        </w:r>
        <w:r>
          <w:rPr>
            <w:noProof/>
            <w:webHidden/>
          </w:rPr>
          <w:instrText xml:space="preserve"> PAGEREF _Toc449965011 \h </w:instrText>
        </w:r>
        <w:r>
          <w:rPr>
            <w:noProof/>
            <w:webHidden/>
          </w:rPr>
        </w:r>
        <w:r>
          <w:rPr>
            <w:noProof/>
            <w:webHidden/>
          </w:rPr>
          <w:fldChar w:fldCharType="separate"/>
        </w:r>
        <w:r>
          <w:rPr>
            <w:noProof/>
            <w:webHidden/>
          </w:rPr>
          <w:t>126</w:t>
        </w:r>
        <w:r>
          <w:rPr>
            <w:noProof/>
            <w:webHidden/>
          </w:rPr>
          <w:fldChar w:fldCharType="end"/>
        </w:r>
      </w:hyperlink>
    </w:p>
    <w:p w14:paraId="678FC307" w14:textId="77777777" w:rsidR="00463F52" w:rsidRDefault="00463F52">
      <w:pPr>
        <w:pStyle w:val="TableofFigures"/>
        <w:tabs>
          <w:tab w:val="right" w:leader="dot" w:pos="8486"/>
        </w:tabs>
        <w:rPr>
          <w:rFonts w:asciiTheme="minorHAnsi" w:eastAsiaTheme="minorEastAsia" w:hAnsiTheme="minorHAnsi" w:cstheme="minorBidi"/>
          <w:noProof/>
        </w:rPr>
      </w:pPr>
      <w:hyperlink w:anchor="_Toc449965012" w:history="1">
        <w:r w:rsidRPr="00CA239E">
          <w:rPr>
            <w:rStyle w:val="Hyperlink"/>
            <w:noProof/>
          </w:rPr>
          <w:t>Figure 6.4. Uronic acids vs. esterified ferulates in the association panel.</w:t>
        </w:r>
        <w:r>
          <w:rPr>
            <w:noProof/>
            <w:webHidden/>
          </w:rPr>
          <w:tab/>
        </w:r>
        <w:r>
          <w:rPr>
            <w:noProof/>
            <w:webHidden/>
          </w:rPr>
          <w:fldChar w:fldCharType="begin"/>
        </w:r>
        <w:r>
          <w:rPr>
            <w:noProof/>
            <w:webHidden/>
          </w:rPr>
          <w:instrText xml:space="preserve"> PAGEREF _Toc449965012 \h </w:instrText>
        </w:r>
        <w:r>
          <w:rPr>
            <w:noProof/>
            <w:webHidden/>
          </w:rPr>
        </w:r>
        <w:r>
          <w:rPr>
            <w:noProof/>
            <w:webHidden/>
          </w:rPr>
          <w:fldChar w:fldCharType="separate"/>
        </w:r>
        <w:r>
          <w:rPr>
            <w:noProof/>
            <w:webHidden/>
          </w:rPr>
          <w:t>129</w:t>
        </w:r>
        <w:r>
          <w:rPr>
            <w:noProof/>
            <w:webHidden/>
          </w:rPr>
          <w:fldChar w:fldCharType="end"/>
        </w:r>
      </w:hyperlink>
    </w:p>
    <w:p w14:paraId="1139C913" w14:textId="77777777" w:rsidR="00463F52" w:rsidRDefault="00463F52">
      <w:pPr>
        <w:pStyle w:val="TableofFigures"/>
        <w:tabs>
          <w:tab w:val="right" w:leader="dot" w:pos="8486"/>
        </w:tabs>
        <w:rPr>
          <w:rFonts w:asciiTheme="minorHAnsi" w:eastAsiaTheme="minorEastAsia" w:hAnsiTheme="minorHAnsi" w:cstheme="minorBidi"/>
          <w:noProof/>
        </w:rPr>
      </w:pPr>
      <w:hyperlink w:anchor="_Toc449965013" w:history="1">
        <w:r w:rsidRPr="00CA239E">
          <w:rPr>
            <w:rStyle w:val="Hyperlink"/>
            <w:noProof/>
          </w:rPr>
          <w:t>Figure 6.5. Histograms of the predicted yield values of the indicated compound lumps for the 1,096 complete cases of the approximately 1,300 member association panel.</w:t>
        </w:r>
        <w:r>
          <w:rPr>
            <w:noProof/>
            <w:webHidden/>
          </w:rPr>
          <w:tab/>
        </w:r>
        <w:r>
          <w:rPr>
            <w:noProof/>
            <w:webHidden/>
          </w:rPr>
          <w:fldChar w:fldCharType="begin"/>
        </w:r>
        <w:r>
          <w:rPr>
            <w:noProof/>
            <w:webHidden/>
          </w:rPr>
          <w:instrText xml:space="preserve"> PAGEREF _Toc449965013 \h </w:instrText>
        </w:r>
        <w:r>
          <w:rPr>
            <w:noProof/>
            <w:webHidden/>
          </w:rPr>
        </w:r>
        <w:r>
          <w:rPr>
            <w:noProof/>
            <w:webHidden/>
          </w:rPr>
          <w:fldChar w:fldCharType="separate"/>
        </w:r>
        <w:r>
          <w:rPr>
            <w:noProof/>
            <w:webHidden/>
          </w:rPr>
          <w:t>132</w:t>
        </w:r>
        <w:r>
          <w:rPr>
            <w:noProof/>
            <w:webHidden/>
          </w:rPr>
          <w:fldChar w:fldCharType="end"/>
        </w:r>
      </w:hyperlink>
    </w:p>
    <w:p w14:paraId="70E39619" w14:textId="77777777" w:rsidR="00463F52" w:rsidRDefault="00463F52">
      <w:pPr>
        <w:pStyle w:val="TableofFigures"/>
        <w:tabs>
          <w:tab w:val="right" w:leader="dot" w:pos="8486"/>
        </w:tabs>
        <w:rPr>
          <w:rFonts w:asciiTheme="minorHAnsi" w:eastAsiaTheme="minorEastAsia" w:hAnsiTheme="minorHAnsi" w:cstheme="minorBidi"/>
          <w:noProof/>
        </w:rPr>
      </w:pPr>
      <w:hyperlink w:anchor="_Toc449965014" w:history="1">
        <w:r w:rsidRPr="00CA239E">
          <w:rPr>
            <w:rStyle w:val="Hyperlink"/>
            <w:noProof/>
          </w:rPr>
          <w:t>Figure 6.6. Predicted torrefaction compound lump yields for the 1,096 complete cases of the approximately 1,300 member association panel.</w:t>
        </w:r>
        <w:r>
          <w:rPr>
            <w:noProof/>
            <w:webHidden/>
          </w:rPr>
          <w:tab/>
        </w:r>
        <w:r>
          <w:rPr>
            <w:noProof/>
            <w:webHidden/>
          </w:rPr>
          <w:fldChar w:fldCharType="begin"/>
        </w:r>
        <w:r>
          <w:rPr>
            <w:noProof/>
            <w:webHidden/>
          </w:rPr>
          <w:instrText xml:space="preserve"> PAGEREF _Toc449965014 \h </w:instrText>
        </w:r>
        <w:r>
          <w:rPr>
            <w:noProof/>
            <w:webHidden/>
          </w:rPr>
        </w:r>
        <w:r>
          <w:rPr>
            <w:noProof/>
            <w:webHidden/>
          </w:rPr>
          <w:fldChar w:fldCharType="separate"/>
        </w:r>
        <w:r>
          <w:rPr>
            <w:noProof/>
            <w:webHidden/>
          </w:rPr>
          <w:t>133</w:t>
        </w:r>
        <w:r>
          <w:rPr>
            <w:noProof/>
            <w:webHidden/>
          </w:rPr>
          <w:fldChar w:fldCharType="end"/>
        </w:r>
      </w:hyperlink>
    </w:p>
    <w:p w14:paraId="66021FC3" w14:textId="77777777" w:rsidR="00463F52" w:rsidRDefault="00463F52">
      <w:pPr>
        <w:pStyle w:val="TableofFigures"/>
        <w:tabs>
          <w:tab w:val="right" w:leader="dot" w:pos="8486"/>
        </w:tabs>
        <w:rPr>
          <w:rFonts w:asciiTheme="minorHAnsi" w:eastAsiaTheme="minorEastAsia" w:hAnsiTheme="minorHAnsi" w:cstheme="minorBidi"/>
          <w:noProof/>
        </w:rPr>
      </w:pPr>
      <w:hyperlink w:anchor="_Toc449965015" w:history="1">
        <w:r w:rsidRPr="00CA239E">
          <w:rPr>
            <w:rStyle w:val="Hyperlink"/>
            <w:noProof/>
          </w:rPr>
          <w:t>Figure 6.7. Predicted torrefaction compound lump yields for the 1,096 complete cases of the approximately 1,300 member association panel, replotted to show only the upper quadrant of figure 6.6.</w:t>
        </w:r>
        <w:r>
          <w:rPr>
            <w:noProof/>
            <w:webHidden/>
          </w:rPr>
          <w:tab/>
        </w:r>
        <w:r>
          <w:rPr>
            <w:noProof/>
            <w:webHidden/>
          </w:rPr>
          <w:fldChar w:fldCharType="begin"/>
        </w:r>
        <w:r>
          <w:rPr>
            <w:noProof/>
            <w:webHidden/>
          </w:rPr>
          <w:instrText xml:space="preserve"> PAGEREF _Toc449965015 \h </w:instrText>
        </w:r>
        <w:r>
          <w:rPr>
            <w:noProof/>
            <w:webHidden/>
          </w:rPr>
        </w:r>
        <w:r>
          <w:rPr>
            <w:noProof/>
            <w:webHidden/>
          </w:rPr>
          <w:fldChar w:fldCharType="separate"/>
        </w:r>
        <w:r>
          <w:rPr>
            <w:noProof/>
            <w:webHidden/>
          </w:rPr>
          <w:t>134</w:t>
        </w:r>
        <w:r>
          <w:rPr>
            <w:noProof/>
            <w:webHidden/>
          </w:rPr>
          <w:fldChar w:fldCharType="end"/>
        </w:r>
      </w:hyperlink>
    </w:p>
    <w:p w14:paraId="7A895E38" w14:textId="77777777" w:rsidR="00463F52" w:rsidRDefault="00463F52">
      <w:pPr>
        <w:pStyle w:val="TableofFigures"/>
        <w:tabs>
          <w:tab w:val="right" w:leader="dot" w:pos="8486"/>
        </w:tabs>
        <w:rPr>
          <w:rFonts w:asciiTheme="minorHAnsi" w:eastAsiaTheme="minorEastAsia" w:hAnsiTheme="minorHAnsi" w:cstheme="minorBidi"/>
          <w:noProof/>
        </w:rPr>
      </w:pPr>
      <w:hyperlink w:anchor="_Toc449965016" w:history="1">
        <w:r w:rsidRPr="00CA239E">
          <w:rPr>
            <w:rStyle w:val="Hyperlink"/>
            <w:noProof/>
          </w:rPr>
          <w:t>Figure 6.8. Compositional feature distributions from the 1,096 complete cases of the approximately 1,300 member association panel which are used in the 4 predictive models.</w:t>
        </w:r>
        <w:r>
          <w:rPr>
            <w:noProof/>
            <w:webHidden/>
          </w:rPr>
          <w:tab/>
        </w:r>
        <w:r>
          <w:rPr>
            <w:noProof/>
            <w:webHidden/>
          </w:rPr>
          <w:fldChar w:fldCharType="begin"/>
        </w:r>
        <w:r>
          <w:rPr>
            <w:noProof/>
            <w:webHidden/>
          </w:rPr>
          <w:instrText xml:space="preserve"> PAGEREF _Toc449965016 \h </w:instrText>
        </w:r>
        <w:r>
          <w:rPr>
            <w:noProof/>
            <w:webHidden/>
          </w:rPr>
        </w:r>
        <w:r>
          <w:rPr>
            <w:noProof/>
            <w:webHidden/>
          </w:rPr>
          <w:fldChar w:fldCharType="separate"/>
        </w:r>
        <w:r>
          <w:rPr>
            <w:noProof/>
            <w:webHidden/>
          </w:rPr>
          <w:t>136</w:t>
        </w:r>
        <w:r>
          <w:rPr>
            <w:noProof/>
            <w:webHidden/>
          </w:rPr>
          <w:fldChar w:fldCharType="end"/>
        </w:r>
      </w:hyperlink>
    </w:p>
    <w:p w14:paraId="02F07725" w14:textId="77777777" w:rsidR="00463F52" w:rsidRDefault="00463F52">
      <w:pPr>
        <w:pStyle w:val="TableofFigures"/>
        <w:tabs>
          <w:tab w:val="right" w:leader="dot" w:pos="8486"/>
        </w:tabs>
        <w:rPr>
          <w:rFonts w:asciiTheme="minorHAnsi" w:eastAsiaTheme="minorEastAsia" w:hAnsiTheme="minorHAnsi" w:cstheme="minorBidi"/>
          <w:noProof/>
        </w:rPr>
      </w:pPr>
      <w:hyperlink w:anchor="_Toc449965017" w:history="1">
        <w:r w:rsidRPr="00CA239E">
          <w:rPr>
            <w:rStyle w:val="Hyperlink"/>
            <w:noProof/>
          </w:rPr>
          <w:t>Figure 6.9. Histograms of the predicted yield values of the indicated compound lumps for the 1,096 complete cases of the approximately 1,300 member association panel.</w:t>
        </w:r>
        <w:r>
          <w:rPr>
            <w:noProof/>
            <w:webHidden/>
          </w:rPr>
          <w:tab/>
        </w:r>
        <w:r>
          <w:rPr>
            <w:noProof/>
            <w:webHidden/>
          </w:rPr>
          <w:fldChar w:fldCharType="begin"/>
        </w:r>
        <w:r>
          <w:rPr>
            <w:noProof/>
            <w:webHidden/>
          </w:rPr>
          <w:instrText xml:space="preserve"> PAGEREF _Toc449965017 \h </w:instrText>
        </w:r>
        <w:r>
          <w:rPr>
            <w:noProof/>
            <w:webHidden/>
          </w:rPr>
        </w:r>
        <w:r>
          <w:rPr>
            <w:noProof/>
            <w:webHidden/>
          </w:rPr>
          <w:fldChar w:fldCharType="separate"/>
        </w:r>
        <w:r>
          <w:rPr>
            <w:noProof/>
            <w:webHidden/>
          </w:rPr>
          <w:t>137</w:t>
        </w:r>
        <w:r>
          <w:rPr>
            <w:noProof/>
            <w:webHidden/>
          </w:rPr>
          <w:fldChar w:fldCharType="end"/>
        </w:r>
      </w:hyperlink>
    </w:p>
    <w:p w14:paraId="5E177006" w14:textId="77777777" w:rsidR="00463F52" w:rsidRDefault="00463F52">
      <w:pPr>
        <w:pStyle w:val="TableofFigures"/>
        <w:tabs>
          <w:tab w:val="right" w:leader="dot" w:pos="8486"/>
        </w:tabs>
        <w:rPr>
          <w:rFonts w:asciiTheme="minorHAnsi" w:eastAsiaTheme="minorEastAsia" w:hAnsiTheme="minorHAnsi" w:cstheme="minorBidi"/>
          <w:noProof/>
        </w:rPr>
      </w:pPr>
      <w:hyperlink w:anchor="_Toc449965018" w:history="1">
        <w:r w:rsidRPr="00CA239E">
          <w:rPr>
            <w:rStyle w:val="Hyperlink"/>
            <w:noProof/>
          </w:rPr>
          <w:t>Figure 6.10. Predicted pyrolysis compound lump yields for the 1,096 complete cases of the approximately 1,300 member association panel.</w:t>
        </w:r>
        <w:r>
          <w:rPr>
            <w:noProof/>
            <w:webHidden/>
          </w:rPr>
          <w:tab/>
        </w:r>
        <w:r>
          <w:rPr>
            <w:noProof/>
            <w:webHidden/>
          </w:rPr>
          <w:fldChar w:fldCharType="begin"/>
        </w:r>
        <w:r>
          <w:rPr>
            <w:noProof/>
            <w:webHidden/>
          </w:rPr>
          <w:instrText xml:space="preserve"> PAGEREF _Toc449965018 \h </w:instrText>
        </w:r>
        <w:r>
          <w:rPr>
            <w:noProof/>
            <w:webHidden/>
          </w:rPr>
        </w:r>
        <w:r>
          <w:rPr>
            <w:noProof/>
            <w:webHidden/>
          </w:rPr>
          <w:fldChar w:fldCharType="separate"/>
        </w:r>
        <w:r>
          <w:rPr>
            <w:noProof/>
            <w:webHidden/>
          </w:rPr>
          <w:t>138</w:t>
        </w:r>
        <w:r>
          <w:rPr>
            <w:noProof/>
            <w:webHidden/>
          </w:rPr>
          <w:fldChar w:fldCharType="end"/>
        </w:r>
      </w:hyperlink>
    </w:p>
    <w:p w14:paraId="44318F1E" w14:textId="77777777" w:rsidR="00463F52" w:rsidRDefault="00463F52">
      <w:pPr>
        <w:pStyle w:val="TableofFigures"/>
        <w:tabs>
          <w:tab w:val="right" w:leader="dot" w:pos="8486"/>
        </w:tabs>
        <w:rPr>
          <w:rFonts w:asciiTheme="minorHAnsi" w:eastAsiaTheme="minorEastAsia" w:hAnsiTheme="minorHAnsi" w:cstheme="minorBidi"/>
          <w:noProof/>
        </w:rPr>
      </w:pPr>
      <w:hyperlink w:anchor="_Toc449965019" w:history="1">
        <w:r w:rsidRPr="00CA239E">
          <w:rPr>
            <w:rStyle w:val="Hyperlink"/>
            <w:noProof/>
          </w:rPr>
          <w:t>Figure 6.11. Minimum values of the observation set as a percentage of the maximum values of the observation set for torrefaction and pyrolysis thermochemical data.</w:t>
        </w:r>
        <w:r>
          <w:rPr>
            <w:noProof/>
            <w:webHidden/>
          </w:rPr>
          <w:tab/>
        </w:r>
        <w:r>
          <w:rPr>
            <w:noProof/>
            <w:webHidden/>
          </w:rPr>
          <w:fldChar w:fldCharType="begin"/>
        </w:r>
        <w:r>
          <w:rPr>
            <w:noProof/>
            <w:webHidden/>
          </w:rPr>
          <w:instrText xml:space="preserve"> PAGEREF _Toc449965019 \h </w:instrText>
        </w:r>
        <w:r>
          <w:rPr>
            <w:noProof/>
            <w:webHidden/>
          </w:rPr>
        </w:r>
        <w:r>
          <w:rPr>
            <w:noProof/>
            <w:webHidden/>
          </w:rPr>
          <w:fldChar w:fldCharType="separate"/>
        </w:r>
        <w:r>
          <w:rPr>
            <w:noProof/>
            <w:webHidden/>
          </w:rPr>
          <w:t>141</w:t>
        </w:r>
        <w:r>
          <w:rPr>
            <w:noProof/>
            <w:webHidden/>
          </w:rPr>
          <w:fldChar w:fldCharType="end"/>
        </w:r>
      </w:hyperlink>
    </w:p>
    <w:p w14:paraId="3C4C42D2" w14:textId="77777777" w:rsidR="00463F52" w:rsidRDefault="00463F52">
      <w:pPr>
        <w:pStyle w:val="TableofFigures"/>
        <w:tabs>
          <w:tab w:val="right" w:leader="dot" w:pos="8486"/>
        </w:tabs>
        <w:rPr>
          <w:rFonts w:asciiTheme="minorHAnsi" w:eastAsiaTheme="minorEastAsia" w:hAnsiTheme="minorHAnsi" w:cstheme="minorBidi"/>
          <w:noProof/>
        </w:rPr>
      </w:pPr>
      <w:hyperlink w:anchor="_Toc449965020" w:history="1">
        <w:r w:rsidRPr="00CA239E">
          <w:rPr>
            <w:rStyle w:val="Hyperlink"/>
            <w:noProof/>
          </w:rPr>
          <w:t>Figure 7.1. Lignin monomers and structures in the polymer. From</w:t>
        </w:r>
        <w:r>
          <w:rPr>
            <w:noProof/>
            <w:webHidden/>
          </w:rPr>
          <w:tab/>
        </w:r>
        <w:r>
          <w:rPr>
            <w:noProof/>
            <w:webHidden/>
          </w:rPr>
          <w:fldChar w:fldCharType="begin"/>
        </w:r>
        <w:r>
          <w:rPr>
            <w:noProof/>
            <w:webHidden/>
          </w:rPr>
          <w:instrText xml:space="preserve"> PAGEREF _Toc449965020 \h </w:instrText>
        </w:r>
        <w:r>
          <w:rPr>
            <w:noProof/>
            <w:webHidden/>
          </w:rPr>
        </w:r>
        <w:r>
          <w:rPr>
            <w:noProof/>
            <w:webHidden/>
          </w:rPr>
          <w:fldChar w:fldCharType="separate"/>
        </w:r>
        <w:r>
          <w:rPr>
            <w:noProof/>
            <w:webHidden/>
          </w:rPr>
          <w:t>146</w:t>
        </w:r>
        <w:r>
          <w:rPr>
            <w:noProof/>
            <w:webHidden/>
          </w:rPr>
          <w:fldChar w:fldCharType="end"/>
        </w:r>
      </w:hyperlink>
    </w:p>
    <w:p w14:paraId="54AC52B9" w14:textId="77777777" w:rsidR="00463F52" w:rsidRDefault="00463F52">
      <w:pPr>
        <w:pStyle w:val="TableofFigures"/>
        <w:tabs>
          <w:tab w:val="right" w:leader="dot" w:pos="8486"/>
        </w:tabs>
        <w:rPr>
          <w:rFonts w:asciiTheme="minorHAnsi" w:eastAsiaTheme="minorEastAsia" w:hAnsiTheme="minorHAnsi" w:cstheme="minorBidi"/>
          <w:noProof/>
        </w:rPr>
      </w:pPr>
      <w:hyperlink w:anchor="_Toc449965021" w:history="1">
        <w:r w:rsidRPr="00CA239E">
          <w:rPr>
            <w:rStyle w:val="Hyperlink"/>
            <w:noProof/>
          </w:rPr>
          <w:t>Figure 7.2. Phenylpropanoid and monolignol biosynthetic pathways. From</w:t>
        </w:r>
        <w:r>
          <w:rPr>
            <w:noProof/>
            <w:webHidden/>
          </w:rPr>
          <w:tab/>
        </w:r>
        <w:r>
          <w:rPr>
            <w:noProof/>
            <w:webHidden/>
          </w:rPr>
          <w:fldChar w:fldCharType="begin"/>
        </w:r>
        <w:r>
          <w:rPr>
            <w:noProof/>
            <w:webHidden/>
          </w:rPr>
          <w:instrText xml:space="preserve"> PAGEREF _Toc449965021 \h </w:instrText>
        </w:r>
        <w:r>
          <w:rPr>
            <w:noProof/>
            <w:webHidden/>
          </w:rPr>
        </w:r>
        <w:r>
          <w:rPr>
            <w:noProof/>
            <w:webHidden/>
          </w:rPr>
          <w:fldChar w:fldCharType="separate"/>
        </w:r>
        <w:r>
          <w:rPr>
            <w:noProof/>
            <w:webHidden/>
          </w:rPr>
          <w:t>148</w:t>
        </w:r>
        <w:r>
          <w:rPr>
            <w:noProof/>
            <w:webHidden/>
          </w:rPr>
          <w:fldChar w:fldCharType="end"/>
        </w:r>
      </w:hyperlink>
    </w:p>
    <w:p w14:paraId="71EE5447" w14:textId="77777777" w:rsidR="00463F52" w:rsidRDefault="00463F52">
      <w:pPr>
        <w:pStyle w:val="TableofFigures"/>
        <w:tabs>
          <w:tab w:val="right" w:leader="dot" w:pos="8486"/>
        </w:tabs>
        <w:rPr>
          <w:rFonts w:asciiTheme="minorHAnsi" w:eastAsiaTheme="minorEastAsia" w:hAnsiTheme="minorHAnsi" w:cstheme="minorBidi"/>
          <w:noProof/>
        </w:rPr>
      </w:pPr>
      <w:hyperlink w:anchor="_Toc449965022" w:history="1">
        <w:r w:rsidRPr="00CA239E">
          <w:rPr>
            <w:rStyle w:val="Hyperlink"/>
            <w:noProof/>
          </w:rPr>
          <w:t>Figure 7.3. Combined lump yields for all compounds and samples in this study.</w:t>
        </w:r>
        <w:r>
          <w:rPr>
            <w:noProof/>
            <w:webHidden/>
          </w:rPr>
          <w:tab/>
        </w:r>
        <w:r>
          <w:rPr>
            <w:noProof/>
            <w:webHidden/>
          </w:rPr>
          <w:fldChar w:fldCharType="begin"/>
        </w:r>
        <w:r>
          <w:rPr>
            <w:noProof/>
            <w:webHidden/>
          </w:rPr>
          <w:instrText xml:space="preserve"> PAGEREF _Toc449965022 \h </w:instrText>
        </w:r>
        <w:r>
          <w:rPr>
            <w:noProof/>
            <w:webHidden/>
          </w:rPr>
        </w:r>
        <w:r>
          <w:rPr>
            <w:noProof/>
            <w:webHidden/>
          </w:rPr>
          <w:fldChar w:fldCharType="separate"/>
        </w:r>
        <w:r>
          <w:rPr>
            <w:noProof/>
            <w:webHidden/>
          </w:rPr>
          <w:t>153</w:t>
        </w:r>
        <w:r>
          <w:rPr>
            <w:noProof/>
            <w:webHidden/>
          </w:rPr>
          <w:fldChar w:fldCharType="end"/>
        </w:r>
      </w:hyperlink>
    </w:p>
    <w:p w14:paraId="5F241629" w14:textId="77777777" w:rsidR="00463F52" w:rsidRDefault="00463F52">
      <w:pPr>
        <w:pStyle w:val="TableofFigures"/>
        <w:tabs>
          <w:tab w:val="right" w:leader="dot" w:pos="8486"/>
        </w:tabs>
        <w:rPr>
          <w:rFonts w:asciiTheme="minorHAnsi" w:eastAsiaTheme="minorEastAsia" w:hAnsiTheme="minorHAnsi" w:cstheme="minorBidi"/>
          <w:noProof/>
        </w:rPr>
      </w:pPr>
      <w:hyperlink w:anchor="_Toc449965023" w:history="1">
        <w:r w:rsidRPr="00CA239E">
          <w:rPr>
            <w:rStyle w:val="Hyperlink"/>
            <w:noProof/>
          </w:rPr>
          <w:t>Figure 7.4. Wild-type vs. Mutant phenolic compound yields.</w:t>
        </w:r>
        <w:r>
          <w:rPr>
            <w:noProof/>
            <w:webHidden/>
          </w:rPr>
          <w:tab/>
        </w:r>
        <w:r>
          <w:rPr>
            <w:noProof/>
            <w:webHidden/>
          </w:rPr>
          <w:fldChar w:fldCharType="begin"/>
        </w:r>
        <w:r>
          <w:rPr>
            <w:noProof/>
            <w:webHidden/>
          </w:rPr>
          <w:instrText xml:space="preserve"> PAGEREF _Toc449965023 \h </w:instrText>
        </w:r>
        <w:r>
          <w:rPr>
            <w:noProof/>
            <w:webHidden/>
          </w:rPr>
        </w:r>
        <w:r>
          <w:rPr>
            <w:noProof/>
            <w:webHidden/>
          </w:rPr>
          <w:fldChar w:fldCharType="separate"/>
        </w:r>
        <w:r>
          <w:rPr>
            <w:noProof/>
            <w:webHidden/>
          </w:rPr>
          <w:t>154</w:t>
        </w:r>
        <w:r>
          <w:rPr>
            <w:noProof/>
            <w:webHidden/>
          </w:rPr>
          <w:fldChar w:fldCharType="end"/>
        </w:r>
      </w:hyperlink>
    </w:p>
    <w:p w14:paraId="0673122B" w14:textId="77777777" w:rsidR="00463F52" w:rsidRDefault="00463F52">
      <w:pPr>
        <w:pStyle w:val="TableofFigures"/>
        <w:tabs>
          <w:tab w:val="right" w:leader="dot" w:pos="8486"/>
        </w:tabs>
        <w:rPr>
          <w:rFonts w:asciiTheme="minorHAnsi" w:eastAsiaTheme="minorEastAsia" w:hAnsiTheme="minorHAnsi" w:cstheme="minorBidi"/>
          <w:noProof/>
        </w:rPr>
      </w:pPr>
      <w:hyperlink w:anchor="_Toc449965024" w:history="1">
        <w:r w:rsidRPr="00CA239E">
          <w:rPr>
            <w:rStyle w:val="Hyperlink"/>
            <w:noProof/>
          </w:rPr>
          <w:t>Figure 7.5. Yields of all tracked phenolic compounds colored by originating monomer</w:t>
        </w:r>
        <w:r>
          <w:rPr>
            <w:noProof/>
            <w:webHidden/>
          </w:rPr>
          <w:tab/>
        </w:r>
        <w:r>
          <w:rPr>
            <w:noProof/>
            <w:webHidden/>
          </w:rPr>
          <w:fldChar w:fldCharType="begin"/>
        </w:r>
        <w:r>
          <w:rPr>
            <w:noProof/>
            <w:webHidden/>
          </w:rPr>
          <w:instrText xml:space="preserve"> PAGEREF _Toc449965024 \h </w:instrText>
        </w:r>
        <w:r>
          <w:rPr>
            <w:noProof/>
            <w:webHidden/>
          </w:rPr>
        </w:r>
        <w:r>
          <w:rPr>
            <w:noProof/>
            <w:webHidden/>
          </w:rPr>
          <w:fldChar w:fldCharType="separate"/>
        </w:r>
        <w:r>
          <w:rPr>
            <w:noProof/>
            <w:webHidden/>
          </w:rPr>
          <w:t>156</w:t>
        </w:r>
        <w:r>
          <w:rPr>
            <w:noProof/>
            <w:webHidden/>
          </w:rPr>
          <w:fldChar w:fldCharType="end"/>
        </w:r>
      </w:hyperlink>
    </w:p>
    <w:p w14:paraId="078CA4FC" w14:textId="77777777" w:rsidR="00463F52" w:rsidRDefault="00463F52">
      <w:pPr>
        <w:pStyle w:val="TableofFigures"/>
        <w:tabs>
          <w:tab w:val="right" w:leader="dot" w:pos="8486"/>
        </w:tabs>
        <w:rPr>
          <w:rFonts w:asciiTheme="minorHAnsi" w:eastAsiaTheme="minorEastAsia" w:hAnsiTheme="minorHAnsi" w:cstheme="minorBidi"/>
          <w:noProof/>
        </w:rPr>
      </w:pPr>
      <w:hyperlink w:anchor="_Toc449965025" w:history="1">
        <w:r w:rsidRPr="00CA239E">
          <w:rPr>
            <w:rStyle w:val="Hyperlink"/>
            <w:noProof/>
          </w:rPr>
          <w:t>Figure 7.6. Yields of two most abundant phenolic compounds in this study.</w:t>
        </w:r>
        <w:r>
          <w:rPr>
            <w:noProof/>
            <w:webHidden/>
          </w:rPr>
          <w:tab/>
        </w:r>
        <w:r>
          <w:rPr>
            <w:noProof/>
            <w:webHidden/>
          </w:rPr>
          <w:fldChar w:fldCharType="begin"/>
        </w:r>
        <w:r>
          <w:rPr>
            <w:noProof/>
            <w:webHidden/>
          </w:rPr>
          <w:instrText xml:space="preserve"> PAGEREF _Toc449965025 \h </w:instrText>
        </w:r>
        <w:r>
          <w:rPr>
            <w:noProof/>
            <w:webHidden/>
          </w:rPr>
        </w:r>
        <w:r>
          <w:rPr>
            <w:noProof/>
            <w:webHidden/>
          </w:rPr>
          <w:fldChar w:fldCharType="separate"/>
        </w:r>
        <w:r>
          <w:rPr>
            <w:noProof/>
            <w:webHidden/>
          </w:rPr>
          <w:t>157</w:t>
        </w:r>
        <w:r>
          <w:rPr>
            <w:noProof/>
            <w:webHidden/>
          </w:rPr>
          <w:fldChar w:fldCharType="end"/>
        </w:r>
      </w:hyperlink>
    </w:p>
    <w:p w14:paraId="39A21537" w14:textId="77777777" w:rsidR="00463F52" w:rsidRDefault="00463F52">
      <w:pPr>
        <w:pStyle w:val="TableofFigures"/>
        <w:tabs>
          <w:tab w:val="right" w:leader="dot" w:pos="8486"/>
        </w:tabs>
        <w:rPr>
          <w:rFonts w:asciiTheme="minorHAnsi" w:eastAsiaTheme="minorEastAsia" w:hAnsiTheme="minorHAnsi" w:cstheme="minorBidi"/>
          <w:noProof/>
        </w:rPr>
      </w:pPr>
      <w:hyperlink w:anchor="_Toc449965026" w:history="1">
        <w:r w:rsidRPr="00CA239E">
          <w:rPr>
            <w:rStyle w:val="Hyperlink"/>
            <w:noProof/>
          </w:rPr>
          <w:t xml:space="preserve">Figure 7.7. Yields of phenolic compounds derived from </w:t>
        </w:r>
        <w:r w:rsidRPr="00CA239E">
          <w:rPr>
            <w:rStyle w:val="Hyperlink"/>
            <w:i/>
            <w:noProof/>
          </w:rPr>
          <w:t>G</w:t>
        </w:r>
        <w:r w:rsidRPr="00CA239E">
          <w:rPr>
            <w:rStyle w:val="Hyperlink"/>
            <w:noProof/>
          </w:rPr>
          <w:t xml:space="preserve"> monomers.</w:t>
        </w:r>
        <w:r>
          <w:rPr>
            <w:noProof/>
            <w:webHidden/>
          </w:rPr>
          <w:tab/>
        </w:r>
        <w:r>
          <w:rPr>
            <w:noProof/>
            <w:webHidden/>
          </w:rPr>
          <w:fldChar w:fldCharType="begin"/>
        </w:r>
        <w:r>
          <w:rPr>
            <w:noProof/>
            <w:webHidden/>
          </w:rPr>
          <w:instrText xml:space="preserve"> PAGEREF _Toc449965026 \h </w:instrText>
        </w:r>
        <w:r>
          <w:rPr>
            <w:noProof/>
            <w:webHidden/>
          </w:rPr>
        </w:r>
        <w:r>
          <w:rPr>
            <w:noProof/>
            <w:webHidden/>
          </w:rPr>
          <w:fldChar w:fldCharType="separate"/>
        </w:r>
        <w:r>
          <w:rPr>
            <w:noProof/>
            <w:webHidden/>
          </w:rPr>
          <w:t>158</w:t>
        </w:r>
        <w:r>
          <w:rPr>
            <w:noProof/>
            <w:webHidden/>
          </w:rPr>
          <w:fldChar w:fldCharType="end"/>
        </w:r>
      </w:hyperlink>
    </w:p>
    <w:p w14:paraId="1A14A544" w14:textId="77777777" w:rsidR="00463F52" w:rsidRDefault="00463F52">
      <w:pPr>
        <w:pStyle w:val="TableofFigures"/>
        <w:tabs>
          <w:tab w:val="right" w:leader="dot" w:pos="8486"/>
        </w:tabs>
        <w:rPr>
          <w:rFonts w:asciiTheme="minorHAnsi" w:eastAsiaTheme="minorEastAsia" w:hAnsiTheme="minorHAnsi" w:cstheme="minorBidi"/>
          <w:noProof/>
        </w:rPr>
      </w:pPr>
      <w:hyperlink w:anchor="_Toc449965027" w:history="1">
        <w:r w:rsidRPr="00CA239E">
          <w:rPr>
            <w:rStyle w:val="Hyperlink"/>
            <w:noProof/>
          </w:rPr>
          <w:t xml:space="preserve">Figure 7.8. Yields of phenolic compounds derived from </w:t>
        </w:r>
        <w:r w:rsidRPr="00CA239E">
          <w:rPr>
            <w:rStyle w:val="Hyperlink"/>
            <w:i/>
            <w:noProof/>
          </w:rPr>
          <w:t>S</w:t>
        </w:r>
        <w:r w:rsidRPr="00CA239E">
          <w:rPr>
            <w:rStyle w:val="Hyperlink"/>
            <w:noProof/>
          </w:rPr>
          <w:t xml:space="preserve"> monomers.</w:t>
        </w:r>
        <w:r>
          <w:rPr>
            <w:noProof/>
            <w:webHidden/>
          </w:rPr>
          <w:tab/>
        </w:r>
        <w:r>
          <w:rPr>
            <w:noProof/>
            <w:webHidden/>
          </w:rPr>
          <w:fldChar w:fldCharType="begin"/>
        </w:r>
        <w:r>
          <w:rPr>
            <w:noProof/>
            <w:webHidden/>
          </w:rPr>
          <w:instrText xml:space="preserve"> PAGEREF _Toc449965027 \h </w:instrText>
        </w:r>
        <w:r>
          <w:rPr>
            <w:noProof/>
            <w:webHidden/>
          </w:rPr>
        </w:r>
        <w:r>
          <w:rPr>
            <w:noProof/>
            <w:webHidden/>
          </w:rPr>
          <w:fldChar w:fldCharType="separate"/>
        </w:r>
        <w:r>
          <w:rPr>
            <w:noProof/>
            <w:webHidden/>
          </w:rPr>
          <w:t>159</w:t>
        </w:r>
        <w:r>
          <w:rPr>
            <w:noProof/>
            <w:webHidden/>
          </w:rPr>
          <w:fldChar w:fldCharType="end"/>
        </w:r>
      </w:hyperlink>
    </w:p>
    <w:p w14:paraId="2514E3B8" w14:textId="77777777" w:rsidR="00463F52" w:rsidRDefault="00463F52">
      <w:pPr>
        <w:pStyle w:val="TableofFigures"/>
        <w:tabs>
          <w:tab w:val="right" w:leader="dot" w:pos="8486"/>
        </w:tabs>
        <w:rPr>
          <w:rFonts w:asciiTheme="minorHAnsi" w:eastAsiaTheme="minorEastAsia" w:hAnsiTheme="minorHAnsi" w:cstheme="minorBidi"/>
          <w:noProof/>
        </w:rPr>
      </w:pPr>
      <w:hyperlink w:anchor="_Toc449965028" w:history="1">
        <w:r w:rsidRPr="00CA239E">
          <w:rPr>
            <w:rStyle w:val="Hyperlink"/>
            <w:noProof/>
          </w:rPr>
          <w:t>Figure 8.1. Typical biomass pyrolysis chromatogram.</w:t>
        </w:r>
        <w:r>
          <w:rPr>
            <w:noProof/>
            <w:webHidden/>
          </w:rPr>
          <w:tab/>
        </w:r>
        <w:r>
          <w:rPr>
            <w:noProof/>
            <w:webHidden/>
          </w:rPr>
          <w:fldChar w:fldCharType="begin"/>
        </w:r>
        <w:r>
          <w:rPr>
            <w:noProof/>
            <w:webHidden/>
          </w:rPr>
          <w:instrText xml:space="preserve"> PAGEREF _Toc449965028 \h </w:instrText>
        </w:r>
        <w:r>
          <w:rPr>
            <w:noProof/>
            <w:webHidden/>
          </w:rPr>
        </w:r>
        <w:r>
          <w:rPr>
            <w:noProof/>
            <w:webHidden/>
          </w:rPr>
          <w:fldChar w:fldCharType="separate"/>
        </w:r>
        <w:r>
          <w:rPr>
            <w:noProof/>
            <w:webHidden/>
          </w:rPr>
          <w:t>167</w:t>
        </w:r>
        <w:r>
          <w:rPr>
            <w:noProof/>
            <w:webHidden/>
          </w:rPr>
          <w:fldChar w:fldCharType="end"/>
        </w:r>
      </w:hyperlink>
    </w:p>
    <w:p w14:paraId="2D70BE4C" w14:textId="77777777" w:rsidR="00463F52" w:rsidRDefault="00463F52">
      <w:pPr>
        <w:pStyle w:val="TableofFigures"/>
        <w:tabs>
          <w:tab w:val="right" w:leader="dot" w:pos="8486"/>
        </w:tabs>
        <w:rPr>
          <w:rFonts w:asciiTheme="minorHAnsi" w:eastAsiaTheme="minorEastAsia" w:hAnsiTheme="minorHAnsi" w:cstheme="minorBidi"/>
          <w:noProof/>
        </w:rPr>
      </w:pPr>
      <w:hyperlink w:anchor="_Toc449965029" w:history="1">
        <w:r w:rsidRPr="00CA239E">
          <w:rPr>
            <w:rStyle w:val="Hyperlink"/>
            <w:noProof/>
          </w:rPr>
          <w:t>Figure 8.2. Subset of biomass pyrolysis chromatogram showing overlapping peaks.</w:t>
        </w:r>
        <w:r>
          <w:rPr>
            <w:noProof/>
            <w:webHidden/>
          </w:rPr>
          <w:tab/>
        </w:r>
        <w:r>
          <w:rPr>
            <w:noProof/>
            <w:webHidden/>
          </w:rPr>
          <w:fldChar w:fldCharType="begin"/>
        </w:r>
        <w:r>
          <w:rPr>
            <w:noProof/>
            <w:webHidden/>
          </w:rPr>
          <w:instrText xml:space="preserve"> PAGEREF _Toc449965029 \h </w:instrText>
        </w:r>
        <w:r>
          <w:rPr>
            <w:noProof/>
            <w:webHidden/>
          </w:rPr>
        </w:r>
        <w:r>
          <w:rPr>
            <w:noProof/>
            <w:webHidden/>
          </w:rPr>
          <w:fldChar w:fldCharType="separate"/>
        </w:r>
        <w:r>
          <w:rPr>
            <w:noProof/>
            <w:webHidden/>
          </w:rPr>
          <w:t>168</w:t>
        </w:r>
        <w:r>
          <w:rPr>
            <w:noProof/>
            <w:webHidden/>
          </w:rPr>
          <w:fldChar w:fldCharType="end"/>
        </w:r>
      </w:hyperlink>
    </w:p>
    <w:p w14:paraId="594122C7" w14:textId="77777777" w:rsidR="00463F52" w:rsidRDefault="00463F52">
      <w:pPr>
        <w:pStyle w:val="TableofFigures"/>
        <w:tabs>
          <w:tab w:val="right" w:leader="dot" w:pos="8486"/>
        </w:tabs>
        <w:rPr>
          <w:rFonts w:asciiTheme="minorHAnsi" w:eastAsiaTheme="minorEastAsia" w:hAnsiTheme="minorHAnsi" w:cstheme="minorBidi"/>
          <w:noProof/>
        </w:rPr>
      </w:pPr>
      <w:hyperlink w:anchor="_Toc449965030" w:history="1">
        <w:r w:rsidRPr="00CA239E">
          <w:rPr>
            <w:rStyle w:val="Hyperlink"/>
            <w:noProof/>
          </w:rPr>
          <w:t>Figure 8.3. Comparison of switchgrass torrefaction error estimates for yield and selectivity.</w:t>
        </w:r>
        <w:r>
          <w:rPr>
            <w:noProof/>
            <w:webHidden/>
          </w:rPr>
          <w:tab/>
        </w:r>
        <w:r>
          <w:rPr>
            <w:noProof/>
            <w:webHidden/>
          </w:rPr>
          <w:fldChar w:fldCharType="begin"/>
        </w:r>
        <w:r>
          <w:rPr>
            <w:noProof/>
            <w:webHidden/>
          </w:rPr>
          <w:instrText xml:space="preserve"> PAGEREF _Toc449965030 \h </w:instrText>
        </w:r>
        <w:r>
          <w:rPr>
            <w:noProof/>
            <w:webHidden/>
          </w:rPr>
        </w:r>
        <w:r>
          <w:rPr>
            <w:noProof/>
            <w:webHidden/>
          </w:rPr>
          <w:fldChar w:fldCharType="separate"/>
        </w:r>
        <w:r>
          <w:rPr>
            <w:noProof/>
            <w:webHidden/>
          </w:rPr>
          <w:t>169</w:t>
        </w:r>
        <w:r>
          <w:rPr>
            <w:noProof/>
            <w:webHidden/>
          </w:rPr>
          <w:fldChar w:fldCharType="end"/>
        </w:r>
      </w:hyperlink>
    </w:p>
    <w:p w14:paraId="4116AE0D" w14:textId="77777777" w:rsidR="00DA1971" w:rsidRDefault="00F7122D" w:rsidP="00C16C66">
      <w:pPr>
        <w:pStyle w:val="Heading1"/>
      </w:pPr>
      <w:r>
        <w:fldChar w:fldCharType="end"/>
      </w:r>
      <w:r w:rsidR="00DA1971">
        <w:br w:type="page"/>
      </w:r>
      <w:bookmarkStart w:id="7" w:name="_Toc310579467"/>
      <w:bookmarkStart w:id="8" w:name="_Toc449964824"/>
      <w:r w:rsidR="00DA1971">
        <w:lastRenderedPageBreak/>
        <w:t>Abstract</w:t>
      </w:r>
      <w:bookmarkEnd w:id="7"/>
      <w:bookmarkEnd w:id="8"/>
    </w:p>
    <w:p w14:paraId="21DD85F1" w14:textId="77777777" w:rsidR="009D5FD2" w:rsidRDefault="009D5FD2" w:rsidP="009D5FD2">
      <w:r>
        <w:t>Growing concern about the effects of post-Industrial revolution fossil carbon dioxide release has led to large-scale research efforts to understand how to address and mitigate future fossil CO</w:t>
      </w:r>
      <w:r w:rsidRPr="00DB1C79">
        <w:rPr>
          <w:vertAlign w:val="subscript"/>
        </w:rPr>
        <w:t>2</w:t>
      </w:r>
      <w:r>
        <w:t xml:space="preserve"> emissions. Within the scope of products and services that have been enabled by the extraction of fossil hydrocarbon sources, those that rely on energy release by combustion – that is, electricity generation and transportation fuels – are considered the primary culprit in the observed increase of atmospheric CO</w:t>
      </w:r>
      <w:r w:rsidRPr="00DB1C79">
        <w:rPr>
          <w:vertAlign w:val="subscript"/>
        </w:rPr>
        <w:t>2</w:t>
      </w:r>
      <w:r>
        <w:t xml:space="preserve"> levels. While various mature technologies exist for the generation of electrical power without the need for combustion of coal, natural gas, or liquid fuels, there are significantly more difficult engineering challenges involved in supplying so-called “zero emission” or “carbon neutral” energy storage solutions for transportation which can displace petroleum-based products.</w:t>
      </w:r>
    </w:p>
    <w:p w14:paraId="65221798" w14:textId="77777777" w:rsidR="00281066" w:rsidRDefault="009D5FD2" w:rsidP="00281066">
      <w:r>
        <w:t>Numerous studies point to the possibility of displacing or replacing petroleum use for transportation fuels via the industrial production of liquid fuels from thermochemical conversion of biomass. As biomass can be a renewable and sustainable non-fossil source of organic molecules, it is hypothesized that it is possible to develop conversion strategies and technologies that allow society to retain the advantages and existing infrastructure associated with liquid hydrocarbon fuels without the associated fossil CO</w:t>
      </w:r>
      <w:r w:rsidRPr="00DB1C79">
        <w:rPr>
          <w:vertAlign w:val="subscript"/>
        </w:rPr>
        <w:t>2</w:t>
      </w:r>
      <w:r>
        <w:t xml:space="preserve"> release. However, barring extensive regulatory requirements, any biomass-based technologies that seek to displace petroleum on a wide scale must be economically viable. For liquid biofuels, lowering processing costs and improving total fuel yields per acre are some of the significant engineering challenges that hinder economic viability. </w:t>
      </w:r>
    </w:p>
    <w:p w14:paraId="7D12D834" w14:textId="77777777" w:rsidR="00281066" w:rsidRDefault="00281066" w:rsidP="00281066"/>
    <w:p w14:paraId="4C79C7AC" w14:textId="7F3AABDB" w:rsidR="00281066" w:rsidRDefault="00281066" w:rsidP="00281066">
      <w:r>
        <w:lastRenderedPageBreak/>
        <w:t xml:space="preserve">In this contribution, we consider the effects of changing various process conditions during biomass conversions, as well as develop an understanding of what compositional features of the biomass are most important to the resulting thermochemical product distribution. By understanding how and why the process conditions and the biomass feedstock compositions affect the resulting thermochemical product distribution, parallel development of feedstocks and processes tailored for those feedstocks can occur. This combined approach may help accelerate progress towards more viable biofuels production and therefore help accelerate petroleum displacement in transportation fuels. </w:t>
      </w:r>
    </w:p>
    <w:p w14:paraId="13EBD66A" w14:textId="3945D71C" w:rsidR="00281066" w:rsidRDefault="00281066" w:rsidP="00281066"/>
    <w:p w14:paraId="2847459B" w14:textId="77777777" w:rsidR="00281066" w:rsidRDefault="00281066" w:rsidP="00281066"/>
    <w:p w14:paraId="09A26CBF" w14:textId="77777777" w:rsidR="00281066" w:rsidRDefault="00281066" w:rsidP="00281066">
      <w:pPr>
        <w:sectPr w:rsidR="00281066" w:rsidSect="00775701">
          <w:footerReference w:type="default" r:id="rId8"/>
          <w:pgSz w:w="12240" w:h="15840" w:code="1"/>
          <w:pgMar w:top="1440" w:right="1440" w:bottom="1440" w:left="2304" w:header="720" w:footer="720" w:gutter="0"/>
          <w:pgNumType w:fmt="lowerRoman" w:start="4"/>
          <w:cols w:space="720"/>
          <w:docGrid w:linePitch="360"/>
        </w:sectPr>
      </w:pPr>
    </w:p>
    <w:p w14:paraId="3E01540C" w14:textId="0AF2B522" w:rsidR="0074036B" w:rsidRPr="000F56FF" w:rsidRDefault="003B659C" w:rsidP="00610540">
      <w:pPr>
        <w:pStyle w:val="Chapter"/>
      </w:pPr>
      <w:bookmarkStart w:id="9" w:name="_Toc310579469"/>
      <w:bookmarkStart w:id="10" w:name="_Toc449964825"/>
      <w:r>
        <w:lastRenderedPageBreak/>
        <w:t xml:space="preserve">Pyrolysis &amp; Catalysis </w:t>
      </w:r>
      <w:r w:rsidR="0074036B">
        <w:t>Literature Review</w:t>
      </w:r>
      <w:bookmarkEnd w:id="10"/>
    </w:p>
    <w:p w14:paraId="498C9966" w14:textId="46BCDE98" w:rsidR="00323580" w:rsidRPr="001C12CB" w:rsidRDefault="00323580" w:rsidP="00323580">
      <w:r>
        <w:t>Portions adapted from a paper published in Frontiers in Energy Research</w:t>
      </w:r>
    </w:p>
    <w:p w14:paraId="677689AD" w14:textId="56E0EA0B" w:rsidR="00323580" w:rsidRDefault="00323580" w:rsidP="00323580">
      <w:r w:rsidRPr="00C85EA1">
        <w:t>Fan Lin, Christopher L. Waters, Richard G. Mallinson, Lance L. Lobban, Laura E. Bartley</w:t>
      </w:r>
    </w:p>
    <w:p w14:paraId="4E71AEAE" w14:textId="7A472FA2" w:rsidR="00B103E0" w:rsidRDefault="00B103E0" w:rsidP="005C7E19">
      <w:pPr>
        <w:pStyle w:val="Heading2"/>
      </w:pPr>
      <w:bookmarkStart w:id="11" w:name="_Toc449964826"/>
      <w:r>
        <w:t>Introduction</w:t>
      </w:r>
      <w:bookmarkEnd w:id="11"/>
    </w:p>
    <w:p w14:paraId="33F65E8C" w14:textId="49AEB49A" w:rsidR="00B103E0" w:rsidRDefault="00B103E0" w:rsidP="00B103E0">
      <w:r w:rsidRPr="00C85EA1">
        <w:t>Biomass can be a renewable and sustainable source of transportation fuels not associated with fossil CO</w:t>
      </w:r>
      <w:r w:rsidRPr="001B6938">
        <w:rPr>
          <w:vertAlign w:val="subscript"/>
        </w:rPr>
        <w:t>2</w:t>
      </w:r>
      <w:r w:rsidRPr="00C85EA1">
        <w:t xml:space="preserve"> release. Numerous studies highlight the advantages of displacing petroleum fuels with industrial production of liquid fuels from thermochemical conversion of biomass </w:t>
      </w:r>
      <w:r w:rsidR="007F354C">
        <w:fldChar w:fldCharType="begin"/>
      </w:r>
      <w:r w:rsidR="00807999">
        <w:instrText xml:space="preserve"> ADDIN PAPERS2_CITATIONS &lt;citation&gt;&lt;uuid&gt;32579F5E-3FAF-4B5C-B9E0-B68B8F309D05&lt;/uuid&gt;&lt;priority&gt;0&lt;/priority&gt;&lt;publications&gt;&lt;publication&gt;&lt;publication_date&gt;99199900001200000000200000&lt;/publication_date&gt;&lt;title&gt;An overview of fast pyrolysis of biomass&lt;/title&gt;&lt;uuid&gt;90BDB730-2D43-4C45-B5C4-ECF059AAD42A&lt;/uuid&gt;&lt;subtype&gt;400&lt;/subtype&gt;&lt;type&gt;400&lt;/type&gt;&lt;citekey&gt;Bridgwater:1999vw&lt;/citekey&gt;&lt;url&gt;http://www.sciencedirect.com/science/article/pii/S0146638099001205&lt;/url&gt;&lt;bundle&gt;&lt;publication&gt;&lt;title&gt;Organic Geochemistry&lt;/title&gt;&lt;type&gt;-100&lt;/type&gt;&lt;subtype&gt;-100&lt;/subtype&gt;&lt;uuid&gt;8C55C28C-D8BE-4B5E-984A-EBE053458B9B&lt;/uuid&gt;&lt;/publication&gt;&lt;/bundle&gt;&lt;authors&gt;&lt;author&gt;&lt;firstName&gt;Anthony&lt;/firstName&gt;&lt;middleNames&gt;V&lt;/middleNames&gt;&lt;lastName&gt;Bridgwater&lt;/lastName&gt;&lt;/author&gt;&lt;author&gt;&lt;firstName&gt;Dietrich&lt;/firstName&gt;&lt;lastName&gt;Meier&lt;/lastName&gt;&lt;/author&gt;&lt;author&gt;&lt;firstName&gt;D&lt;/firstName&gt;&lt;lastName&gt;Radlein&lt;/lastName&gt;&lt;/author&gt;&lt;/authors&gt;&lt;/publication&gt;&lt;publication&gt;&lt;publication_date&gt;99200500001200000000200000&lt;/publication_date&gt;&lt;doi&gt;10.2172/1216415&lt;/doi&gt;&lt;institution&gt;EERE Publication and Product Library&lt;/institution&gt;&lt;title&gt;Biomass as feedstock for a bioenergy and bioproducts industry: The technical feasibility of a billion-ton annual supply&lt;/title&gt;&lt;uuid&gt;3199E016-05BB-4251-89D9-38395B0C05B3&lt;/uuid&gt;&lt;subtype&gt;700&lt;/subtype&gt;&lt;type&gt;700&lt;/type&gt;&lt;citekey&gt;Anonymous:2005ue&lt;/citekey&gt;&lt;url&gt;http://www.osti.gov/servlets/purl/1216415/&lt;/url&gt;&lt;authors&gt;&lt;author&gt;&lt;firstName&gt;Robert&lt;/firstName&gt;&lt;middleNames&gt;D&lt;/middleNames&gt;&lt;lastName&gt;Perlack&lt;/lastName&gt;&lt;/author&gt;&lt;author&gt;&lt;firstName&gt;Lynn&lt;/firstName&gt;&lt;middleNames&gt;L&lt;/middleNames&gt;&lt;lastName&gt;Wright&lt;/lastName&gt;&lt;/author&gt;&lt;author&gt;&lt;firstName&gt;Anthony&lt;/firstName&gt;&lt;middleNames&gt;F&lt;/middleNames&gt;&lt;lastName&gt;Turhollow&lt;/lastName&gt;&lt;/author&gt;&lt;author&gt;&lt;firstName&gt;Robin&lt;/firstName&gt;&lt;middleNames&gt;L&lt;/middleNames&gt;&lt;lastName&gt;Graham&lt;/lastName&gt;&lt;/author&gt;&lt;author&gt;&lt;firstName&gt;Bryce&lt;/firstName&gt;&lt;middleNames&gt;J&lt;/middleNames&gt;&lt;lastName&gt;Stokes&lt;/lastName&gt;&lt;/author&gt;&lt;author&gt;&lt;firstName&gt;Donald&lt;/firstName&gt;&lt;middleNames&gt;C&lt;/middleNames&gt;&lt;lastName&gt;Erbach&lt;/lastName&gt;&lt;/author&gt;&lt;/authors&gt;&lt;/publication&gt;&lt;publication&gt;&lt;publication_date&gt;99200800001200000000200000&lt;/publication_date&gt;&lt;doi&gt;10.2172/1218335&lt;/doi&gt;&lt;institution&gt;NSF&lt;/institution&gt;&lt;title&gt;Breaking the Chemical and Engineering Barriers to Lignocellulosic Biofuels: Next Generation Hydroccarbon Biorefineries&lt;/title&gt;&lt;uuid&gt;03C9BF60-A3CA-47CD-8338-99AF7BCF1DDF&lt;/uuid&gt;&lt;subtype&gt;700&lt;/subtype&gt;&lt;type&gt;700&lt;/type&gt;&lt;place&gt;Washington, DC&lt;/place&gt;&lt;citekey&gt;none:2008cx&lt;/citekey&gt;&lt;url&gt;http://www.osti.gov/servlets/purl/1218335/&lt;/url&gt;&lt;authors&gt;&lt;author&gt;&lt;lastName&gt;NSF&lt;/lastName&gt;&lt;/author&gt;&lt;/authors&gt;&lt;editors&gt;&lt;author&gt;&lt;firstName&gt;G W&lt;/firstName&gt;&lt;lastName&gt;Huber&lt;/lastName&gt;&lt;/author&gt;&lt;/editors&gt;&lt;/publication&gt;&lt;/publications&gt;&lt;cites&gt;&lt;/cites&gt;&lt;/citation&gt;</w:instrText>
      </w:r>
      <w:r w:rsidR="007F354C">
        <w:fldChar w:fldCharType="separate"/>
      </w:r>
      <w:r w:rsidR="00980B82">
        <w:t>(</w:t>
      </w:r>
      <w:r w:rsidR="00980B82">
        <w:rPr>
          <w:i/>
          <w:iCs/>
        </w:rPr>
        <w:t>1</w:t>
      </w:r>
      <w:r w:rsidR="00980B82">
        <w:t>-</w:t>
      </w:r>
      <w:r w:rsidR="00980B82">
        <w:rPr>
          <w:i/>
          <w:iCs/>
        </w:rPr>
        <w:t>3</w:t>
      </w:r>
      <w:r w:rsidR="00980B82">
        <w:t>)</w:t>
      </w:r>
      <w:r w:rsidR="007F354C">
        <w:fldChar w:fldCharType="end"/>
      </w:r>
      <w:r w:rsidR="007F354C">
        <w:t>.</w:t>
      </w:r>
      <w:r w:rsidRPr="00C85EA1">
        <w:t xml:space="preserve"> Thermochemical conversion entails heating of biomass in an anoxic environment; condensation of organic liquid products, known as bio-oil; and subsequent treatment of the products with catalysts to create liquid fuels, i.e., refined bio-oil, similar to petroleum-derived gasoline or diesel. This is in contrast to biochemical conversion, which utilizes enzymes to release sugars followed by microbial production of ethanol or other fuel molecules </w:t>
      </w:r>
      <w:r w:rsidR="007F354C">
        <w:fldChar w:fldCharType="begin"/>
      </w:r>
      <w:r w:rsidR="00807999">
        <w:instrText xml:space="preserve"> ADDIN PAPERS2_CITATIONS &lt;citation&gt;&lt;uuid&gt;E1667757-0FAB-4705-A03E-A2235DE717E9&lt;/uuid&gt;&lt;priority&gt;0&lt;/priority&gt;&lt;publications&gt;&lt;publication&gt;&lt;volume&gt;17&lt;/volume&gt;&lt;publication_date&gt;99200702001200000000220000&lt;/publication_date&gt;&lt;number&gt;4&lt;/number&gt;&lt;doi&gt;10.1016/j.cub.2007.01.010&lt;/doi&gt;&lt;startpage&gt;R115&lt;/startpage&gt;&lt;title&gt;Biofuels&lt;/title&gt;&lt;uuid&gt;9CD8013B-AD5F-4205-B90E-DF2D549D18CD&lt;/uuid&gt;&lt;subtype&gt;400&lt;/subtype&gt;&lt;endpage&gt;R119&lt;/endpage&gt;&lt;type&gt;400&lt;/type&gt;&lt;url&gt;http://linkinghub.elsevier.com/retrieve/pii/S0960982207008111&lt;/url&gt;&lt;bundle&gt;&lt;publication&gt;&lt;title&gt;Current Biology&lt;/title&gt;&lt;type&gt;-100&lt;/type&gt;&lt;subtype&gt;-100&lt;/subtype&gt;&lt;uuid&gt;6D165B7C-D5C2-4E49-A4B0-88174897BA8F&lt;/uuid&gt;&lt;/publication&gt;&lt;/bundle&gt;&lt;authors&gt;&lt;author&gt;&lt;firstName&gt;Chris&lt;/firstName&gt;&lt;lastName&gt;Somerville&lt;/lastName&gt;&lt;/author&gt;&lt;/authors&gt;&lt;/publication&gt;&lt;publication&gt;&lt;uuid&gt;99988D06-85AC-4303-A02A-EA8693CCB021&lt;/uuid&gt;&lt;volume&gt;306&lt;/volume&gt;&lt;doi&gt;10.1126/science.1102765&lt;/doi&gt;&lt;startpage&gt;2206&lt;/startpage&gt;&lt;publication_date&gt;99200412241200000000222000&lt;/publication_date&gt;&lt;url&gt;http://science.sciencemag.org.ezproxy.lib.ou.edu/content/306/5705/2206.abstract&lt;/url&gt;&lt;type&gt;400&lt;/type&gt;&lt;title&gt;Toward a Systems Approach to Understanding Plant Cell Walls&lt;/title&gt;&lt;publisher&gt;American Association for the Advancement of Science&lt;/publisher&gt;&lt;number&gt;5705&lt;/number&gt;&lt;subtype&gt;400&lt;/subtype&gt;&lt;endpage&gt;2211&lt;/endpage&gt;&lt;bundle&gt;&lt;publication&gt;&lt;publisher&gt;American Association for the Advancement of Science&lt;/publisher&gt;&lt;url&gt;http://www.sciencemag.org&lt;/url&gt;&lt;title&gt;Science&lt;/title&gt;&lt;type&gt;-100&lt;/type&gt;&lt;subtype&gt;-100&lt;/subtype&gt;&lt;uuid&gt;8A2388A5-D0B3-43B8-ABF7-138853707B1F&lt;/uuid&gt;&lt;/publication&gt;&lt;/bundle&gt;&lt;authors&gt;&lt;author&gt;&lt;firstName&gt;Chris&lt;/firstName&gt;&lt;lastName&gt;Somerville&lt;/lastName&gt;&lt;/author&gt;&lt;author&gt;&lt;firstName&gt;Stefan&lt;/firstName&gt;&lt;lastName&gt;Bauer&lt;/lastName&gt;&lt;/author&gt;&lt;author&gt;&lt;firstName&gt;Ginger&lt;/firstName&gt;&lt;lastName&gt;Brininstool&lt;/lastName&gt;&lt;/author&gt;&lt;author&gt;&lt;firstName&gt;Michelle&lt;/firstName&gt;&lt;lastName&gt;Facette&lt;/lastName&gt;&lt;/author&gt;&lt;author&gt;&lt;firstName&gt;Thorsten&lt;/firstName&gt;&lt;lastName&gt;Hamann&lt;/lastName&gt;&lt;/author&gt;&lt;author&gt;&lt;firstName&gt;Jennifer&lt;/firstName&gt;&lt;lastName&gt;Milne&lt;/lastName&gt;&lt;/author&gt;&lt;author&gt;&lt;firstName&gt;Erin&lt;/firstName&gt;&lt;lastName&gt;Osborne&lt;/lastName&gt;&lt;/author&gt;&lt;author&gt;&lt;firstName&gt;Alex&lt;/firstName&gt;&lt;lastName&gt;Paredez&lt;/lastName&gt;&lt;/author&gt;&lt;author&gt;&lt;firstName&gt;Staffan&lt;/firstName&gt;&lt;lastName&gt;Persson&lt;/lastName&gt;&lt;/author&gt;&lt;author&gt;&lt;firstName&gt;Ted&lt;/firstName&gt;&lt;lastName&gt;Raab&lt;/lastName&gt;&lt;/author&gt;&lt;author&gt;&lt;firstName&gt;Sonja&lt;/firstName&gt;&lt;lastName&gt;Vorwerk&lt;/lastName&gt;&lt;/author&gt;&lt;author&gt;&lt;firstName&gt;Heather&lt;/firstName&gt;&lt;lastName&gt;Youngs&lt;/lastName&gt;&lt;/author&gt;&lt;/authors&gt;&lt;/publication&gt;&lt;/publications&gt;&lt;cites&gt;&lt;/cites&gt;&lt;/citation&gt;</w:instrText>
      </w:r>
      <w:r w:rsidR="007F354C">
        <w:fldChar w:fldCharType="separate"/>
      </w:r>
      <w:r w:rsidR="00980B82">
        <w:t>(</w:t>
      </w:r>
      <w:r w:rsidR="00980B82">
        <w:rPr>
          <w:i/>
          <w:iCs/>
        </w:rPr>
        <w:t>4</w:t>
      </w:r>
      <w:r w:rsidR="00980B82">
        <w:t xml:space="preserve">, </w:t>
      </w:r>
      <w:r w:rsidR="00980B82">
        <w:rPr>
          <w:i/>
          <w:iCs/>
        </w:rPr>
        <w:t>5</w:t>
      </w:r>
      <w:r w:rsidR="00980B82">
        <w:t>)</w:t>
      </w:r>
      <w:r w:rsidR="007F354C">
        <w:fldChar w:fldCharType="end"/>
      </w:r>
      <w:r w:rsidRPr="00C85EA1">
        <w:t xml:space="preserve">. Relative to biochemical approaches, thermal conversion has the potential to make use of all carbon (C)-containing biomass components, would allow society to retain existing infrastructure associated with liquid hydrocarbon fuels, and, due to the rapidity of the process, may reduce production costs by permitting scalability and distribution of production </w:t>
      </w:r>
      <w:r w:rsidR="007F354C">
        <w:fldChar w:fldCharType="begin"/>
      </w:r>
      <w:r w:rsidR="00807999">
        <w:instrText xml:space="preserve"> ADDIN PAPERS2_CITATIONS &lt;citation&gt;&lt;uuid&gt;39C4237C-FA00-4C3F-BA9B-B358C1826C14&lt;/uuid&gt;&lt;priority&gt;0&lt;/priority&gt;&lt;publications&gt;&lt;publication&gt;&lt;publication_date&gt;99200600001200000000200000&lt;/publication_date&gt;&lt;title&gt;Synthesis of transportation fuels from biomass: chemistry, catalysts, and engineering&lt;/title&gt;&lt;uuid&gt;35A08689-CD3C-4FBD-A24A-C5AEACB04523&lt;/uuid&gt;&lt;subtype&gt;400&lt;/subtype&gt;&lt;type&gt;400&lt;/type&gt;&lt;citekey&gt;Huber:2006tz&lt;/citekey&gt;&lt;url&gt;http://works.bepress.com/cgi/viewcontent.cgi?article=1058&amp;amp;context=george_huber&lt;/url&gt;&lt;bundle&gt;&lt;publication&gt;&lt;url&gt;http://pubs.acs.org/journal/chreay&lt;/url&gt;&lt;title&gt;Chemical reviews&lt;/title&gt;&lt;type&gt;-100&lt;/type&gt;&lt;subtype&gt;-100&lt;/subtype&gt;&lt;uuid&gt;7221D5BA-123D-4A11-B9E2-7AFCDE803FCC&lt;/uuid&gt;&lt;/publication&gt;&lt;/bundle&gt;&lt;authors&gt;&lt;author&gt;&lt;firstName&gt;G W&lt;/firstName&gt;&lt;lastName&gt;Huber&lt;/lastName&gt;&lt;/author&gt;&lt;author&gt;&lt;firstName&gt;S&lt;/firstName&gt;&lt;lastName&gt;Iborra&lt;/lastName&gt;&lt;/author&gt;&lt;author&gt;&lt;firstName&gt;A&lt;/firstName&gt;&lt;lastName&gt;Corma&lt;/lastName&gt;&lt;/author&gt;&lt;/authors&gt;&lt;/publication&gt;&lt;publication&gt;&lt;uuid&gt;C6506686-737E-4EF3-9A74-031FD00902B8&lt;/uuid&gt;&lt;volume&gt;5&lt;/volume&gt;&lt;doi&gt;10.1039/c2ee21679e&lt;/doi&gt;&lt;startpage&gt;7797&lt;/startpage&gt;&lt;publication_date&gt;99201200001200000000200000&lt;/publication_date&gt;&lt;url&gt;http://xlink.rsc.org/?DOI=c2ee21679e&lt;/url&gt;&lt;citekey&gt;Mettler:2012gm&lt;/citekey&gt;&lt;type&gt;400&lt;/type&gt;&lt;title&gt;Top ten fundamental challenges of biomass pyrolysis for biofuels&lt;/title&gt;&lt;number&gt;7&lt;/number&gt;&lt;subtype&gt;400&lt;/subtype&gt;&lt;endpage&gt;13&lt;/endpage&gt;&lt;bundle&gt;&lt;publication&gt;&lt;title&gt;Energy &amp;amp; Environmental Science&lt;/title&gt;&lt;type&gt;-100&lt;/type&gt;&lt;subtype&gt;-100&lt;/subtype&gt;&lt;uuid&gt;E64DE592-61F4-41A7-AE89-5752A37B01CB&lt;/uuid&gt;&lt;/publication&gt;&lt;/bundle&gt;&lt;authors&gt;&lt;author&gt;&lt;firstName&gt;Matthew&lt;/firstName&gt;&lt;middleNames&gt;S&lt;/middleNames&gt;&lt;lastName&gt;Mettler&lt;/lastName&gt;&lt;/author&gt;&lt;author&gt;&lt;firstName&gt;Dionisios&lt;/firstName&gt;&lt;middleNames&gt;G&lt;/middleNames&gt;&lt;lastName&gt;Vlachos&lt;/lastName&gt;&lt;/author&gt;&lt;author&gt;&lt;firstName&gt;Paul&lt;/firstName&gt;&lt;middleNames&gt;J&lt;/middleNames&gt;&lt;lastName&gt;Dauenhauer&lt;/lastName&gt;&lt;/author&gt;&lt;/authors&gt;&lt;/publication&gt;&lt;/publications&gt;&lt;cites&gt;&lt;/cites&gt;&lt;/citation&gt;</w:instrText>
      </w:r>
      <w:r w:rsidR="007F354C">
        <w:fldChar w:fldCharType="separate"/>
      </w:r>
      <w:r w:rsidR="00980B82">
        <w:t>(</w:t>
      </w:r>
      <w:r w:rsidR="00980B82">
        <w:rPr>
          <w:i/>
          <w:iCs/>
        </w:rPr>
        <w:t>6</w:t>
      </w:r>
      <w:r w:rsidR="00980B82">
        <w:t xml:space="preserve">, </w:t>
      </w:r>
      <w:r w:rsidR="00980B82">
        <w:rPr>
          <w:i/>
          <w:iCs/>
        </w:rPr>
        <w:t>7</w:t>
      </w:r>
      <w:r w:rsidR="00980B82">
        <w:t>)</w:t>
      </w:r>
      <w:r w:rsidR="007F354C">
        <w:fldChar w:fldCharType="end"/>
      </w:r>
      <w:r w:rsidR="007F354C">
        <w:t>.</w:t>
      </w:r>
      <w:r w:rsidRPr="00C85EA1">
        <w:t xml:space="preserve"> For both thermochemical and biochemical biofuels, lowering processing costs and improving fuel yields per hectare are major engineering challenges that hinder economic viability. Thermochemical fuel production also faces challenges related to maintaining a high C-yield while obtaining a fungible fuel.</w:t>
      </w:r>
    </w:p>
    <w:p w14:paraId="64D17543" w14:textId="33280D7A" w:rsidR="00C25FCC" w:rsidRDefault="00C25FCC" w:rsidP="005C7E19">
      <w:pPr>
        <w:pStyle w:val="Heading2"/>
      </w:pPr>
      <w:bookmarkStart w:id="12" w:name="_Toc449964827"/>
      <w:r>
        <w:lastRenderedPageBreak/>
        <w:t>Challenges for Thermochemical Conversion</w:t>
      </w:r>
      <w:bookmarkEnd w:id="12"/>
    </w:p>
    <w:p w14:paraId="54D4B89B" w14:textId="25D012A8" w:rsidR="00CC4F7B" w:rsidRDefault="00B103E0" w:rsidP="00B103E0">
      <w:r>
        <w:t>Two types of pyrolysis have been developed: fast pyrolysis and slow pyrolysis. Slow pyrolysis is usually performed over several hours and has a high solid yield, and as such has little relevance for liquid fuels production. Fast pyrolysis, however, is typically performed quickly, in seconds, at temperatures between 400 and 600°C and decomposes most of the solid biomass into a volatile mixture of various organic molecules, water, and CO/CO</w:t>
      </w:r>
      <w:r w:rsidRPr="001B6938">
        <w:rPr>
          <w:vertAlign w:val="subscript"/>
        </w:rPr>
        <w:t>2</w:t>
      </w:r>
      <w:r>
        <w:t>. Pyrolysis oil or bio-oil constitutes the condensable portion of this vapor. Non-condensable components (primarily CO</w:t>
      </w:r>
      <w:r w:rsidRPr="001B6938">
        <w:rPr>
          <w:vertAlign w:val="subscript"/>
        </w:rPr>
        <w:t>2</w:t>
      </w:r>
      <w:r>
        <w:t xml:space="preserve"> and CO) and a mineral rich solid (char) are other product classes that will not be addressed here, except in that they detract from the overall C-yield of raw and refined bio-oil. Bio-oil comprises water (15-30%) plus compounds from several chemical families including the following (</w:t>
      </w:r>
      <w:r w:rsidRPr="00881840">
        <w:t xml:space="preserve">Table </w:t>
      </w:r>
      <w:r w:rsidR="007507E3" w:rsidRPr="00881840">
        <w:t>1</w:t>
      </w:r>
      <w:r w:rsidRPr="00881840">
        <w:t>.1</w:t>
      </w:r>
      <w:r>
        <w:t>): organic acids, light (C</w:t>
      </w:r>
      <w:r w:rsidRPr="001B6938">
        <w:rPr>
          <w:vertAlign w:val="subscript"/>
        </w:rPr>
        <w:t>1</w:t>
      </w:r>
      <w:r>
        <w:t>-C</w:t>
      </w:r>
      <w:r w:rsidRPr="001B6938">
        <w:rPr>
          <w:vertAlign w:val="subscript"/>
        </w:rPr>
        <w:t>3</w:t>
      </w:r>
      <w:r>
        <w:t>) oxygenates, furan and furan derivatives, phenolic species with various degrees of methyl and methoxy substituents, pyrones, and sugar</w:t>
      </w:r>
      <w:r w:rsidR="007F354C">
        <w:t xml:space="preserve"> derivatives like levoglucosan</w:t>
      </w:r>
      <w:r w:rsidR="00CC4F7B">
        <w:t xml:space="preserve"> </w:t>
      </w:r>
      <w:r w:rsidR="007F354C">
        <w:fldChar w:fldCharType="begin"/>
      </w:r>
      <w:r w:rsidR="00807999">
        <w:instrText xml:space="preserve"> ADDIN PAPERS2_CITATIONS &lt;citation&gt;&lt;uuid&gt;D98F36E1-0882-4258-B515-F1D5AF8736B3&lt;/uuid&gt;&lt;priority&gt;0&lt;/priority&gt;&lt;publications&gt;&lt;publication&gt;&lt;volume&gt;49&lt;/volume&gt;&lt;publication_date&gt;99199100001200000000200000&lt;/publication_date&gt;&lt;subtitle&gt;Springer-Verlag&lt;/subtitle&gt;&lt;startpage&gt;213&lt;/startpage&gt;&lt;title&gt;Thermal degradation products of wood&lt;/title&gt;&lt;uuid&gt;30CABDCA-A410-408D-A932-F79222634B66&lt;/uuid&gt;&lt;subtype&gt;520&lt;/subtype&gt;&lt;endpage&gt;219&lt;/endpage&gt;&lt;type&gt;500&lt;/type&gt;&lt;url&gt;http://link.springer.com/10.1007/BF02613278&lt;/url&gt;&lt;bundle&gt;&lt;publication&gt;&lt;title&gt;Holz als Roh-und Werkstoff&lt;/title&gt;&lt;type&gt;-100&lt;/type&gt;&lt;subtype&gt;-100&lt;/subtype&gt;&lt;uuid&gt;EB67A997-9027-4D5A-9CB3-E7672245200F&lt;/uuid&gt;&lt;/publication&gt;&lt;/bundle&gt;&lt;authors&gt;&lt;author&gt;&lt;firstName&gt;O&lt;/firstName&gt;&lt;lastName&gt;Faix&lt;/lastName&gt;&lt;/author&gt;&lt;author&gt;&lt;firstName&gt;I&lt;/firstName&gt;&lt;lastName&gt;Fortmann&lt;/lastName&gt;&lt;/author&gt;&lt;author&gt;&lt;firstName&gt;J&lt;/firstName&gt;&lt;lastName&gt;Bremer&lt;/lastName&gt;&lt;/author&gt;&lt;author&gt;&lt;firstName&gt;Dietrich&lt;/firstName&gt;&lt;lastName&gt;Meier&lt;/lastName&gt;&lt;/author&gt;&lt;/authors&gt;&lt;/publication&gt;&lt;publication&gt;&lt;uuid&gt;C483BC82-E788-489B-BE2F-FA75770E7884&lt;/uuid&gt;&lt;volume&gt;49&lt;/volume&gt;&lt;doi&gt;10.1007/BF02613278&lt;/doi&gt;&lt;subtitle&gt;Gas chromatographic separation and mass spectrometric characterization of polysaccharide derived products&lt;/subtitle&gt;&lt;startpage&gt;213&lt;/startpage&gt;&lt;publication_date&gt;99199100001200000000200000&lt;/publication_date&gt;&lt;url&gt;http://link.springer.com/10.1007/BF02613278&lt;/url&gt;&lt;citekey&gt;Faix:1991hk&lt;/citekey&gt;&lt;type&gt;400&lt;/type&gt;&lt;title&gt;Thermal degradation products of wood&lt;/title&gt;&lt;publisher&gt;Springer-Verlag&lt;/publisher&gt;&lt;number&gt;5&lt;/number&gt;&lt;subtype&gt;400&lt;/subtype&gt;&lt;endpage&gt;219&lt;/endpage&gt;&lt;bundle&gt;&lt;publication&gt;&lt;title&gt;Holz als Roh-und Werkstoff&lt;/title&gt;&lt;type&gt;-100&lt;/type&gt;&lt;subtype&gt;-100&lt;/subtype&gt;&lt;uuid&gt;EB67A997-9027-4D5A-9CB3-E7672245200F&lt;/uuid&gt;&lt;/publication&gt;&lt;/bundle&gt;&lt;authors&gt;&lt;author&gt;&lt;firstName&gt;O&lt;/firstName&gt;&lt;lastName&gt;Faix&lt;/lastName&gt;&lt;/author&gt;&lt;author&gt;&lt;firstName&gt;I&lt;/firstName&gt;&lt;lastName&gt;Fortmann&lt;/lastName&gt;&lt;/author&gt;&lt;author&gt;&lt;firstName&gt;J&lt;/firstName&gt;&lt;lastName&gt;Bremer&lt;/lastName&gt;&lt;/author&gt;&lt;author&gt;&lt;firstName&gt;Dietrich&lt;/firstName&gt;&lt;lastName&gt;Meier&lt;/lastName&gt;&lt;/author&gt;&lt;/authors&gt;&lt;/publication&gt;&lt;/publications&gt;&lt;cites&gt;&lt;/cites&gt;&lt;/citation&gt;</w:instrText>
      </w:r>
      <w:r w:rsidR="007F354C">
        <w:fldChar w:fldCharType="separate"/>
      </w:r>
      <w:r w:rsidR="00980B82">
        <w:t>(</w:t>
      </w:r>
      <w:r w:rsidR="00980B82">
        <w:rPr>
          <w:i/>
          <w:iCs/>
        </w:rPr>
        <w:t>8</w:t>
      </w:r>
      <w:r w:rsidR="00980B82">
        <w:t xml:space="preserve">, </w:t>
      </w:r>
      <w:r w:rsidR="00980B82">
        <w:rPr>
          <w:i/>
          <w:iCs/>
        </w:rPr>
        <w:t>9</w:t>
      </w:r>
      <w:r w:rsidR="00980B82">
        <w:t>)</w:t>
      </w:r>
      <w:r w:rsidR="007F354C">
        <w:fldChar w:fldCharType="end"/>
      </w:r>
      <w:r>
        <w:t xml:space="preserve">. Bio-oil’s chemically complex nature prohibits its direct use in combustion applications or petroleum refining. The reasons for this include low heating value; ignition difficulty; high chemical reactivity which results in oligomerization and polymerization over time and upon heating, prohibiting distillative separation </w:t>
      </w:r>
      <w:r w:rsidR="007F354C">
        <w:fldChar w:fldCharType="begin"/>
      </w:r>
      <w:r w:rsidR="00807999">
        <w:instrText xml:space="preserve"> ADDIN PAPERS2_CITATIONS &lt;citation&gt;&lt;uuid&gt;BE12B90C-EED8-41A5-A1F3-196276C46B8A&lt;/uuid&gt;&lt;priority&gt;0&lt;/priority&gt;&lt;publications&gt;&lt;publication&gt;&lt;publication_date&gt;99199900001200000000200000&lt;/publication_date&gt;&lt;doi&gt;10.1021/ef980272b&lt;/doi&gt;&lt;title&gt;Fuel oil quality of biomass pyrolysis oils state of the art for the end users&lt;/title&gt;&lt;uuid&gt;8924EDAC-D0A7-48E6-9626-DE71B0B312C4&lt;/uuid&gt;&lt;subtype&gt;400&lt;/subtype&gt;&lt;type&gt;400&lt;/type&gt;&lt;citekey&gt;Oasmaa:1999ig&lt;/citekey&gt;&lt;url&gt;http://pubs.acs.org.ezproxy.lib.ou.edu/doi/pdf/10.1021/ef980272b&lt;/url&gt;&lt;bundle&gt;&lt;publication&gt;&lt;publisher&gt;American Chemical Society&lt;/publisher&gt;&lt;title&gt;Energy &amp;amp; Fuels&lt;/title&gt;&lt;type&gt;-100&lt;/type&gt;&lt;subtype&gt;-100&lt;/subtype&gt;&lt;uuid&gt;DCD2A25C-F261-4333-B749-6E6DAB1F820E&lt;/uuid&gt;&lt;/publication&gt;&lt;/bundle&gt;&lt;authors&gt;&lt;author&gt;&lt;firstName&gt;Anja&lt;/firstName&gt;&lt;lastName&gt;Oasmaa&lt;/lastName&gt;&lt;/author&gt;&lt;author&gt;&lt;firstName&gt;Stefan&lt;/firstName&gt;&lt;lastName&gt;Czernik&lt;/lastName&gt;&lt;/author&gt;&lt;/authors&gt;&lt;/publication&gt;&lt;publication&gt;&lt;uuid&gt;C7B4711B-2ACA-4E54-ADA4-323C071548EB&lt;/uuid&gt;&lt;volume&gt;88&lt;/volume&gt;&lt;doi&gt;10.1016/j.apenergy.2010.07.016&lt;/doi&gt;&lt;startpage&gt;17&lt;/startpage&gt;&lt;publication_date&gt;99201101001200000000220000&lt;/publication_date&gt;&lt;url&gt;http://dx.doi.org/10.1016/j.apenergy.2010.07.016&lt;/url&gt;&lt;citekey&gt;Demirbas:2011gn&lt;/citekey&gt;&lt;type&gt;400&lt;/type&gt;&lt;title&gt;Competitive liquid biofuels from biomass&lt;/title&gt;&lt;number&gt;1&lt;/number&gt;&lt;subtype&gt;400&lt;/subtype&gt;&lt;endpage&gt;28&lt;/endpage&gt;&lt;bundle&gt;&lt;publication&gt;&lt;publisher&gt;Elsevier Ltd&lt;/publisher&gt;&lt;title&gt;Applied Energy&lt;/title&gt;&lt;type&gt;-100&lt;/type&gt;&lt;subtype&gt;-100&lt;/subtype&gt;&lt;uuid&gt;F3C8C86A-D210-4178-B102-4B8580A92986&lt;/uuid&gt;&lt;/publication&gt;&lt;/bundle&gt;&lt;authors&gt;&lt;author&gt;&lt;firstName&gt;Ayhan&lt;/firstName&gt;&lt;lastName&gt;Demirbas&lt;/lastName&gt;&lt;/author&gt;&lt;/authors&gt;&lt;/publication&gt;&lt;publication&gt;&lt;uuid&gt;0F039A4D-3B13-43BA-9986-1D237E7D7A00&lt;/uuid&gt;&lt;volume&gt;4&lt;/volume&gt;&lt;doi&gt;10.1002/cssc.201100133&lt;/doi&gt;&lt;startpage&gt;1629&lt;/startpage&gt;&lt;publication_date&gt;99201111181200000000222000&lt;/publication_date&gt;&lt;url&gt;http://onlinelibrary.wiley.com/doi/10.1002/cssc.201100133/full&lt;/url&gt;&lt;citekey&gt;Patwardhan:2011in&lt;/citekey&gt;&lt;type&gt;400&lt;/type&gt;&lt;title&gt;Understanding the Fast Pyrolysis of Lignin&lt;/title&gt;&lt;publisher&gt;WILEY</w:instrText>
      </w:r>
      <w:r w:rsidR="00807999">
        <w:rPr>
          <w:rFonts w:ascii="Calibri" w:eastAsia="Calibri" w:hAnsi="Calibri" w:cs="Calibri"/>
        </w:rPr>
        <w:instrText>‐</w:instrText>
      </w:r>
      <w:r w:rsidR="00807999">
        <w:instrText>VCH Verlag&lt;/publisher&gt;&lt;number&gt;11&lt;/number&gt;&lt;subtype&gt;400&lt;/subtype&gt;&lt;endpage&gt;1636&lt;/endpage&gt;&lt;bundle&gt;&lt;publication&gt;&lt;publisher&gt;WILEY</w:instrText>
      </w:r>
      <w:r w:rsidR="00807999">
        <w:rPr>
          <w:rFonts w:ascii="Calibri" w:eastAsia="Calibri" w:hAnsi="Calibri" w:cs="Calibri"/>
        </w:rPr>
        <w:instrText>‐</w:instrText>
      </w:r>
      <w:r w:rsidR="00807999">
        <w:instrText>VCH Verlag&lt;/publisher&gt;&lt;title&gt;ChemSusChem&lt;/title&gt;&lt;type&gt;-100&lt;/type&gt;&lt;subtype&gt;-100&lt;/subtype&gt;&lt;uuid&gt;7311DD7F-36BC-4619-8B6C-41D5069DF002&lt;/uuid&gt;&lt;/publication&gt;&lt;/bundle&gt;&lt;authors&gt;&lt;author&gt;&lt;firstName&gt;Pushkaraj&lt;/firstName&gt;&lt;middleNames&gt;R&lt;/middleNames&gt;&lt;lastName&gt;Patwardhan&lt;/lastName&gt;&lt;/author&gt;&lt;author&gt;&lt;firstName&gt;Robert&lt;/firstName&gt;&lt;middleNames&gt;C&lt;/middleNames&gt;&lt;lastName&gt;Brown&lt;/lastName&gt;&lt;/author&gt;&lt;author&gt;&lt;firstName&gt;Brent&lt;/firstName&gt;&lt;middleNames&gt;H&lt;/middleNames&gt;&lt;lastName&gt;Shanks&lt;/lastName&gt;&lt;/author&gt;&lt;/authors&gt;&lt;/publication&gt;&lt;/publications&gt;&lt;cites&gt;&lt;/cites&gt;&lt;/citation&gt;</w:instrText>
      </w:r>
      <w:r w:rsidR="007F354C">
        <w:fldChar w:fldCharType="separate"/>
      </w:r>
      <w:r w:rsidR="00980B82">
        <w:t>(</w:t>
      </w:r>
      <w:r w:rsidR="00980B82">
        <w:rPr>
          <w:i/>
          <w:iCs/>
        </w:rPr>
        <w:t>10</w:t>
      </w:r>
      <w:r w:rsidR="00980B82">
        <w:t>-</w:t>
      </w:r>
      <w:r w:rsidR="00980B82">
        <w:rPr>
          <w:i/>
          <w:iCs/>
        </w:rPr>
        <w:t>12</w:t>
      </w:r>
      <w:r w:rsidR="00980B82">
        <w:t>)</w:t>
      </w:r>
      <w:r w:rsidR="007F354C">
        <w:fldChar w:fldCharType="end"/>
      </w:r>
      <w:r>
        <w:t>; immiscibility with p</w:t>
      </w:r>
      <w:r w:rsidR="007F354C">
        <w:t xml:space="preserve">etroleum; and high corrosivity </w:t>
      </w:r>
      <w:r w:rsidR="00980B82">
        <w:fldChar w:fldCharType="begin"/>
      </w:r>
      <w:r w:rsidR="00807999">
        <w:instrText xml:space="preserve"> ADDIN PAPERS2_CITATIONS &lt;citation&gt;&lt;uuid&gt;24DCD428-8D75-4E9C-91A3-935C4370A63A&lt;/uuid&gt;&lt;priority&gt;5&lt;/priority&gt;&lt;publications&gt;&lt;publication&gt;&lt;publication_date&gt;99199900001200000000200000&lt;/publication_date&gt;&lt;doi&gt;10.1021/ef980272b&lt;/doi&gt;&lt;title&gt;Fuel oil quality of biomass pyrolysis oils state of the art for the end users&lt;/title&gt;&lt;uuid&gt;8924EDAC-D0A7-48E6-9626-DE71B0B312C4&lt;/uuid&gt;&lt;subtype&gt;400&lt;/subtype&gt;&lt;type&gt;400&lt;/type&gt;&lt;citekey&gt;Oasmaa:1999ig&lt;/citekey&gt;&lt;url&gt;http://pubs.acs.org.ezproxy.lib.ou.edu/doi/pdf/10.1021/ef980272b&lt;/url&gt;&lt;bundle&gt;&lt;publication&gt;&lt;publisher&gt;American Chemical Society&lt;/publisher&gt;&lt;title&gt;Energy &amp;amp; Fuels&lt;/title&gt;&lt;type&gt;-100&lt;/type&gt;&lt;subtype&gt;-100&lt;/subtype&gt;&lt;uuid&gt;DCD2A25C-F261-4333-B749-6E6DAB1F820E&lt;/uuid&gt;&lt;/publication&gt;&lt;/bundle&gt;&lt;authors&gt;&lt;author&gt;&lt;firstName&gt;Anja&lt;/firstName&gt;&lt;lastName&gt;Oasmaa&lt;/lastName&gt;&lt;/author&gt;&lt;author&gt;&lt;firstName&gt;Stefan&lt;/firstName&gt;&lt;lastName&gt;Czernik&lt;/lastName&gt;&lt;/author&gt;&lt;/authors&gt;&lt;/publication&gt;&lt;/publications&gt;&lt;cites&gt;&lt;/cites&gt;&lt;/citation&gt;</w:instrText>
      </w:r>
      <w:r w:rsidR="00980B82">
        <w:fldChar w:fldCharType="separate"/>
      </w:r>
      <w:r w:rsidR="00980B82">
        <w:t>(</w:t>
      </w:r>
      <w:r w:rsidR="00980B82">
        <w:rPr>
          <w:i/>
          <w:iCs/>
        </w:rPr>
        <w:t>10</w:t>
      </w:r>
      <w:r w:rsidR="00980B82">
        <w:t>)</w:t>
      </w:r>
      <w:r w:rsidR="00980B82">
        <w:fldChar w:fldCharType="end"/>
      </w:r>
      <w:r w:rsidR="007F354C">
        <w:t>.</w:t>
      </w:r>
      <w:r>
        <w:t xml:space="preserve"> Many of these features are associated with the high oxygen content of biomass and the resulting bio-oil, relative to fossil fuels.</w:t>
      </w:r>
    </w:p>
    <w:p w14:paraId="29B1D6AD" w14:textId="7191DD61" w:rsidR="00B103E0" w:rsidRDefault="00CC4F7B" w:rsidP="00CC4F7B">
      <w:pPr>
        <w:spacing w:line="240" w:lineRule="auto"/>
      </w:pPr>
      <w:r>
        <w:br w:type="page"/>
      </w:r>
    </w:p>
    <w:tbl>
      <w:tblPr>
        <w:tblW w:w="8080" w:type="dxa"/>
        <w:tblLayout w:type="fixed"/>
        <w:tblLook w:val="04A0" w:firstRow="1" w:lastRow="0" w:firstColumn="1" w:lastColumn="0" w:noHBand="0" w:noVBand="1"/>
      </w:tblPr>
      <w:tblGrid>
        <w:gridCol w:w="2151"/>
        <w:gridCol w:w="4420"/>
        <w:gridCol w:w="1509"/>
      </w:tblGrid>
      <w:tr w:rsidR="00B103E0" w:rsidRPr="00C527D6" w14:paraId="1DC65594" w14:textId="77777777" w:rsidTr="00EB3B67">
        <w:trPr>
          <w:trHeight w:val="20"/>
        </w:trPr>
        <w:tc>
          <w:tcPr>
            <w:tcW w:w="2151" w:type="dxa"/>
            <w:tcBorders>
              <w:bottom w:val="single" w:sz="4" w:space="0" w:color="auto"/>
            </w:tcBorders>
            <w:shd w:val="clear" w:color="auto" w:fill="auto"/>
            <w:noWrap/>
            <w:vAlign w:val="center"/>
            <w:hideMark/>
          </w:tcPr>
          <w:p w14:paraId="7FBAEB2C" w14:textId="77777777" w:rsidR="00B103E0" w:rsidRPr="00C527D6" w:rsidRDefault="00B103E0" w:rsidP="00EB3B67">
            <w:pPr>
              <w:pStyle w:val="Tables"/>
              <w:rPr>
                <w:b/>
              </w:rPr>
            </w:pPr>
            <w:r w:rsidRPr="00C527D6">
              <w:rPr>
                <w:b/>
              </w:rPr>
              <w:lastRenderedPageBreak/>
              <w:t xml:space="preserve">Category </w:t>
            </w:r>
          </w:p>
        </w:tc>
        <w:tc>
          <w:tcPr>
            <w:tcW w:w="4420" w:type="dxa"/>
            <w:tcBorders>
              <w:bottom w:val="single" w:sz="4" w:space="0" w:color="auto"/>
            </w:tcBorders>
            <w:shd w:val="clear" w:color="auto" w:fill="auto"/>
            <w:noWrap/>
            <w:vAlign w:val="center"/>
            <w:hideMark/>
          </w:tcPr>
          <w:p w14:paraId="40DCE128" w14:textId="77777777" w:rsidR="00B103E0" w:rsidRPr="00C527D6" w:rsidRDefault="00B103E0" w:rsidP="00EB3B67">
            <w:pPr>
              <w:pStyle w:val="Tables"/>
              <w:rPr>
                <w:b/>
              </w:rPr>
            </w:pPr>
            <w:r w:rsidRPr="00C527D6">
              <w:rPr>
                <w:b/>
              </w:rPr>
              <w:t xml:space="preserve">Major Components </w:t>
            </w:r>
          </w:p>
        </w:tc>
        <w:tc>
          <w:tcPr>
            <w:tcW w:w="1509" w:type="dxa"/>
            <w:tcBorders>
              <w:bottom w:val="single" w:sz="4" w:space="0" w:color="auto"/>
            </w:tcBorders>
            <w:shd w:val="clear" w:color="auto" w:fill="auto"/>
            <w:noWrap/>
            <w:vAlign w:val="center"/>
            <w:hideMark/>
          </w:tcPr>
          <w:p w14:paraId="74B6A434" w14:textId="77777777" w:rsidR="00B103E0" w:rsidRPr="00C527D6" w:rsidRDefault="00B103E0" w:rsidP="00EB3B67">
            <w:pPr>
              <w:pStyle w:val="Tables"/>
              <w:rPr>
                <w:b/>
              </w:rPr>
            </w:pPr>
            <w:r w:rsidRPr="00C527D6">
              <w:rPr>
                <w:b/>
              </w:rPr>
              <w:t xml:space="preserve">Dry Wt (%) </w:t>
            </w:r>
          </w:p>
        </w:tc>
      </w:tr>
      <w:tr w:rsidR="00B103E0" w:rsidRPr="00C527D6" w14:paraId="24BFC16E" w14:textId="77777777" w:rsidTr="00EB3B67">
        <w:trPr>
          <w:trHeight w:val="20"/>
        </w:trPr>
        <w:tc>
          <w:tcPr>
            <w:tcW w:w="2151" w:type="dxa"/>
            <w:tcBorders>
              <w:top w:val="single" w:sz="4" w:space="0" w:color="auto"/>
            </w:tcBorders>
            <w:shd w:val="clear" w:color="auto" w:fill="auto"/>
            <w:vAlign w:val="center"/>
            <w:hideMark/>
          </w:tcPr>
          <w:p w14:paraId="5CCDDDD0" w14:textId="77777777" w:rsidR="00B103E0" w:rsidRPr="00C527D6" w:rsidRDefault="00B103E0" w:rsidP="00EB3B67">
            <w:pPr>
              <w:pStyle w:val="Tables"/>
            </w:pPr>
            <w:r w:rsidRPr="00C527D6">
              <w:t>Light Oxygenates</w:t>
            </w:r>
          </w:p>
        </w:tc>
        <w:tc>
          <w:tcPr>
            <w:tcW w:w="4420" w:type="dxa"/>
            <w:tcBorders>
              <w:top w:val="single" w:sz="4" w:space="0" w:color="auto"/>
            </w:tcBorders>
            <w:shd w:val="clear" w:color="auto" w:fill="auto"/>
            <w:vAlign w:val="center"/>
            <w:hideMark/>
          </w:tcPr>
          <w:p w14:paraId="60C3669A" w14:textId="77777777" w:rsidR="00B103E0" w:rsidRPr="00C527D6" w:rsidRDefault="00B103E0" w:rsidP="00EB3B67">
            <w:pPr>
              <w:pStyle w:val="Tables"/>
            </w:pPr>
            <w:r w:rsidRPr="00C527D6">
              <w:t>Glycolaldehyde, Acetol</w:t>
            </w:r>
          </w:p>
        </w:tc>
        <w:tc>
          <w:tcPr>
            <w:tcW w:w="1509" w:type="dxa"/>
            <w:tcBorders>
              <w:top w:val="single" w:sz="4" w:space="0" w:color="auto"/>
            </w:tcBorders>
            <w:shd w:val="clear" w:color="auto" w:fill="auto"/>
            <w:noWrap/>
            <w:vAlign w:val="center"/>
            <w:hideMark/>
          </w:tcPr>
          <w:p w14:paraId="43440D51" w14:textId="77777777" w:rsidR="00B103E0" w:rsidRPr="00C527D6" w:rsidRDefault="00B103E0" w:rsidP="00EB3B67">
            <w:pPr>
              <w:pStyle w:val="Tables"/>
              <w:jc w:val="right"/>
            </w:pPr>
            <w:r w:rsidRPr="00C527D6">
              <w:t>3-26</w:t>
            </w:r>
          </w:p>
        </w:tc>
      </w:tr>
      <w:tr w:rsidR="00B103E0" w:rsidRPr="00C527D6" w14:paraId="695091EF" w14:textId="77777777" w:rsidTr="00EB3B67">
        <w:trPr>
          <w:trHeight w:val="20"/>
        </w:trPr>
        <w:tc>
          <w:tcPr>
            <w:tcW w:w="2151" w:type="dxa"/>
            <w:shd w:val="clear" w:color="auto" w:fill="auto"/>
            <w:noWrap/>
            <w:vAlign w:val="center"/>
            <w:hideMark/>
          </w:tcPr>
          <w:p w14:paraId="6B6C6D1A" w14:textId="77777777" w:rsidR="00B103E0" w:rsidRPr="00C527D6" w:rsidRDefault="00B103E0" w:rsidP="00EB3B67">
            <w:pPr>
              <w:pStyle w:val="Tables"/>
            </w:pPr>
            <w:r w:rsidRPr="00C527D6">
              <w:t>Organic Acids</w:t>
            </w:r>
          </w:p>
        </w:tc>
        <w:tc>
          <w:tcPr>
            <w:tcW w:w="4420" w:type="dxa"/>
            <w:shd w:val="clear" w:color="auto" w:fill="auto"/>
            <w:vAlign w:val="center"/>
            <w:hideMark/>
          </w:tcPr>
          <w:p w14:paraId="39A27DF9" w14:textId="77777777" w:rsidR="00B103E0" w:rsidRPr="00C527D6" w:rsidRDefault="00B103E0" w:rsidP="00EB3B67">
            <w:pPr>
              <w:pStyle w:val="Tables"/>
            </w:pPr>
            <w:r w:rsidRPr="00C527D6">
              <w:t>Acetic acid, Formic acid, Propanoic</w:t>
            </w:r>
          </w:p>
        </w:tc>
        <w:tc>
          <w:tcPr>
            <w:tcW w:w="1509" w:type="dxa"/>
            <w:shd w:val="clear" w:color="auto" w:fill="auto"/>
            <w:noWrap/>
            <w:vAlign w:val="center"/>
            <w:hideMark/>
          </w:tcPr>
          <w:p w14:paraId="29C7994B" w14:textId="77777777" w:rsidR="00B103E0" w:rsidRPr="00C527D6" w:rsidRDefault="00B103E0" w:rsidP="00EB3B67">
            <w:pPr>
              <w:pStyle w:val="Tables"/>
              <w:jc w:val="right"/>
            </w:pPr>
            <w:r w:rsidRPr="00C527D6">
              <w:t>2-27</w:t>
            </w:r>
          </w:p>
        </w:tc>
      </w:tr>
      <w:tr w:rsidR="00B103E0" w:rsidRPr="00C527D6" w14:paraId="24E80AE2" w14:textId="77777777" w:rsidTr="00EB3B67">
        <w:trPr>
          <w:trHeight w:val="20"/>
        </w:trPr>
        <w:tc>
          <w:tcPr>
            <w:tcW w:w="2151" w:type="dxa"/>
            <w:shd w:val="clear" w:color="auto" w:fill="auto"/>
            <w:noWrap/>
            <w:vAlign w:val="center"/>
            <w:hideMark/>
          </w:tcPr>
          <w:p w14:paraId="52FB66CC" w14:textId="77777777" w:rsidR="00B103E0" w:rsidRPr="00C527D6" w:rsidRDefault="00B103E0" w:rsidP="00EB3B67">
            <w:pPr>
              <w:pStyle w:val="Tables"/>
            </w:pPr>
            <w:r w:rsidRPr="00C527D6">
              <w:t>Aldehydes</w:t>
            </w:r>
          </w:p>
        </w:tc>
        <w:tc>
          <w:tcPr>
            <w:tcW w:w="4420" w:type="dxa"/>
            <w:shd w:val="clear" w:color="auto" w:fill="auto"/>
            <w:vAlign w:val="center"/>
            <w:hideMark/>
          </w:tcPr>
          <w:p w14:paraId="11A38C4F" w14:textId="77777777" w:rsidR="00B103E0" w:rsidRPr="00C527D6" w:rsidRDefault="00B103E0" w:rsidP="00EB3B67">
            <w:pPr>
              <w:pStyle w:val="Tables"/>
            </w:pPr>
            <w:r w:rsidRPr="00C527D6">
              <w:t>Acetaldehyde, Formaldehyde, Ethanedial</w:t>
            </w:r>
          </w:p>
        </w:tc>
        <w:tc>
          <w:tcPr>
            <w:tcW w:w="1509" w:type="dxa"/>
            <w:shd w:val="clear" w:color="auto" w:fill="auto"/>
            <w:noWrap/>
            <w:vAlign w:val="center"/>
            <w:hideMark/>
          </w:tcPr>
          <w:p w14:paraId="4A4A7144" w14:textId="77777777" w:rsidR="00B103E0" w:rsidRPr="00C527D6" w:rsidRDefault="00B103E0" w:rsidP="00EB3B67">
            <w:pPr>
              <w:pStyle w:val="Tables"/>
              <w:jc w:val="right"/>
            </w:pPr>
            <w:r w:rsidRPr="00C527D6">
              <w:t>3-18</w:t>
            </w:r>
          </w:p>
        </w:tc>
      </w:tr>
      <w:tr w:rsidR="00B103E0" w:rsidRPr="00C527D6" w14:paraId="01FA46D2" w14:textId="77777777" w:rsidTr="00EB3B67">
        <w:trPr>
          <w:trHeight w:val="20"/>
        </w:trPr>
        <w:tc>
          <w:tcPr>
            <w:tcW w:w="2151" w:type="dxa"/>
            <w:shd w:val="clear" w:color="auto" w:fill="auto"/>
            <w:noWrap/>
            <w:vAlign w:val="center"/>
            <w:hideMark/>
          </w:tcPr>
          <w:p w14:paraId="74F63705" w14:textId="77777777" w:rsidR="00B103E0" w:rsidRPr="00C527D6" w:rsidRDefault="00B103E0" w:rsidP="00EB3B67">
            <w:pPr>
              <w:pStyle w:val="Tables"/>
            </w:pPr>
            <w:r w:rsidRPr="00C527D6">
              <w:t>Sugars</w:t>
            </w:r>
          </w:p>
        </w:tc>
        <w:tc>
          <w:tcPr>
            <w:tcW w:w="4420" w:type="dxa"/>
            <w:shd w:val="clear" w:color="auto" w:fill="auto"/>
            <w:vAlign w:val="center"/>
            <w:hideMark/>
          </w:tcPr>
          <w:p w14:paraId="24A9C07E" w14:textId="77777777" w:rsidR="00B103E0" w:rsidRPr="00C527D6" w:rsidRDefault="00B103E0" w:rsidP="00EB3B67">
            <w:pPr>
              <w:pStyle w:val="Tables"/>
            </w:pPr>
            <w:r w:rsidRPr="00C527D6">
              <w:t>1,6-Anhydroglucose (Levoglucosan)</w:t>
            </w:r>
          </w:p>
        </w:tc>
        <w:tc>
          <w:tcPr>
            <w:tcW w:w="1509" w:type="dxa"/>
            <w:shd w:val="clear" w:color="auto" w:fill="auto"/>
            <w:noWrap/>
            <w:vAlign w:val="center"/>
            <w:hideMark/>
          </w:tcPr>
          <w:p w14:paraId="1F4A570D" w14:textId="77777777" w:rsidR="00B103E0" w:rsidRPr="00C527D6" w:rsidRDefault="00B103E0" w:rsidP="00EB3B67">
            <w:pPr>
              <w:pStyle w:val="Tables"/>
              <w:jc w:val="right"/>
            </w:pPr>
            <w:r w:rsidRPr="00C527D6">
              <w:t>5-14</w:t>
            </w:r>
          </w:p>
        </w:tc>
      </w:tr>
      <w:tr w:rsidR="00B103E0" w:rsidRPr="00C527D6" w14:paraId="6A537F2D" w14:textId="77777777" w:rsidTr="00EB3B67">
        <w:trPr>
          <w:trHeight w:val="20"/>
        </w:trPr>
        <w:tc>
          <w:tcPr>
            <w:tcW w:w="2151" w:type="dxa"/>
            <w:shd w:val="clear" w:color="auto" w:fill="auto"/>
            <w:noWrap/>
            <w:vAlign w:val="center"/>
            <w:hideMark/>
          </w:tcPr>
          <w:p w14:paraId="797BA97F" w14:textId="77777777" w:rsidR="00B103E0" w:rsidRPr="00C527D6" w:rsidRDefault="00B103E0" w:rsidP="00EB3B67">
            <w:pPr>
              <w:pStyle w:val="Tables"/>
            </w:pPr>
            <w:r w:rsidRPr="00C527D6">
              <w:t>Phenols</w:t>
            </w:r>
          </w:p>
        </w:tc>
        <w:tc>
          <w:tcPr>
            <w:tcW w:w="4420" w:type="dxa"/>
            <w:shd w:val="clear" w:color="auto" w:fill="auto"/>
            <w:vAlign w:val="center"/>
            <w:hideMark/>
          </w:tcPr>
          <w:p w14:paraId="18226AB9" w14:textId="77777777" w:rsidR="00B103E0" w:rsidRPr="00C527D6" w:rsidRDefault="00B103E0" w:rsidP="00EB3B67">
            <w:pPr>
              <w:pStyle w:val="Tables"/>
            </w:pPr>
            <w:r w:rsidRPr="00C527D6">
              <w:t>Phenol, Catechol (Di-OH Benzene),</w:t>
            </w:r>
            <w:r>
              <w:t xml:space="preserve"> </w:t>
            </w:r>
            <w:r w:rsidRPr="00C527D6">
              <w:t>Methyl Phenol,</w:t>
            </w:r>
            <w:r>
              <w:t xml:space="preserve"> </w:t>
            </w:r>
            <w:r w:rsidRPr="00C527D6">
              <w:t>Dimethyl Phenol</w:t>
            </w:r>
          </w:p>
        </w:tc>
        <w:tc>
          <w:tcPr>
            <w:tcW w:w="1509" w:type="dxa"/>
            <w:shd w:val="clear" w:color="auto" w:fill="auto"/>
            <w:noWrap/>
            <w:vAlign w:val="center"/>
            <w:hideMark/>
          </w:tcPr>
          <w:p w14:paraId="7B64EFE1" w14:textId="77777777" w:rsidR="00B103E0" w:rsidRPr="00C527D6" w:rsidRDefault="00B103E0" w:rsidP="00EB3B67">
            <w:pPr>
              <w:pStyle w:val="Tables"/>
              <w:jc w:val="right"/>
            </w:pPr>
            <w:r w:rsidRPr="00C527D6">
              <w:t>3-13</w:t>
            </w:r>
          </w:p>
        </w:tc>
      </w:tr>
      <w:tr w:rsidR="00B103E0" w:rsidRPr="00C527D6" w14:paraId="70043FEC" w14:textId="77777777" w:rsidTr="00EB3B67">
        <w:trPr>
          <w:trHeight w:val="20"/>
        </w:trPr>
        <w:tc>
          <w:tcPr>
            <w:tcW w:w="2151" w:type="dxa"/>
            <w:shd w:val="clear" w:color="auto" w:fill="auto"/>
            <w:noWrap/>
            <w:vAlign w:val="center"/>
            <w:hideMark/>
          </w:tcPr>
          <w:p w14:paraId="2042C5AE" w14:textId="77777777" w:rsidR="00B103E0" w:rsidRPr="00C527D6" w:rsidRDefault="00B103E0" w:rsidP="00EB3B67">
            <w:pPr>
              <w:pStyle w:val="Tables"/>
            </w:pPr>
            <w:r w:rsidRPr="00C527D6">
              <w:t>Guaiacols</w:t>
            </w:r>
          </w:p>
        </w:tc>
        <w:tc>
          <w:tcPr>
            <w:tcW w:w="4420" w:type="dxa"/>
            <w:shd w:val="clear" w:color="auto" w:fill="auto"/>
            <w:vAlign w:val="center"/>
            <w:hideMark/>
          </w:tcPr>
          <w:p w14:paraId="3CA66001" w14:textId="77777777" w:rsidR="00B103E0" w:rsidRPr="00C527D6" w:rsidRDefault="00B103E0" w:rsidP="00EB3B67">
            <w:pPr>
              <w:pStyle w:val="Tables"/>
            </w:pPr>
            <w:r w:rsidRPr="00C527D6">
              <w:t>Isoeugenol, Eugenol, 4-Methyl</w:t>
            </w:r>
            <w:r>
              <w:t xml:space="preserve"> </w:t>
            </w:r>
            <w:r w:rsidRPr="00C527D6">
              <w:t>Guaiacol</w:t>
            </w:r>
          </w:p>
        </w:tc>
        <w:tc>
          <w:tcPr>
            <w:tcW w:w="1509" w:type="dxa"/>
            <w:shd w:val="clear" w:color="auto" w:fill="auto"/>
            <w:noWrap/>
            <w:vAlign w:val="center"/>
            <w:hideMark/>
          </w:tcPr>
          <w:p w14:paraId="55BDDE41" w14:textId="77777777" w:rsidR="00B103E0" w:rsidRPr="00C527D6" w:rsidRDefault="00B103E0" w:rsidP="00EB3B67">
            <w:pPr>
              <w:pStyle w:val="Tables"/>
              <w:jc w:val="right"/>
            </w:pPr>
            <w:r w:rsidRPr="00C527D6">
              <w:t>3-15</w:t>
            </w:r>
          </w:p>
        </w:tc>
      </w:tr>
      <w:tr w:rsidR="00B103E0" w:rsidRPr="00C527D6" w14:paraId="5A093356" w14:textId="77777777" w:rsidTr="00EB3B67">
        <w:trPr>
          <w:trHeight w:val="20"/>
        </w:trPr>
        <w:tc>
          <w:tcPr>
            <w:tcW w:w="2151" w:type="dxa"/>
            <w:shd w:val="clear" w:color="auto" w:fill="auto"/>
            <w:noWrap/>
            <w:vAlign w:val="center"/>
            <w:hideMark/>
          </w:tcPr>
          <w:p w14:paraId="6E15388B" w14:textId="77777777" w:rsidR="00B103E0" w:rsidRPr="00C527D6" w:rsidRDefault="00B103E0" w:rsidP="00EB3B67">
            <w:pPr>
              <w:pStyle w:val="Tables"/>
            </w:pPr>
            <w:r w:rsidRPr="00C527D6">
              <w:t>Furans</w:t>
            </w:r>
          </w:p>
        </w:tc>
        <w:tc>
          <w:tcPr>
            <w:tcW w:w="4420" w:type="dxa"/>
            <w:shd w:val="clear" w:color="auto" w:fill="auto"/>
            <w:vAlign w:val="center"/>
            <w:hideMark/>
          </w:tcPr>
          <w:p w14:paraId="3F27176B" w14:textId="77777777" w:rsidR="00B103E0" w:rsidRPr="00C527D6" w:rsidRDefault="00B103E0" w:rsidP="00EB3B67">
            <w:pPr>
              <w:pStyle w:val="Tables"/>
            </w:pPr>
            <w:r w:rsidRPr="00C527D6">
              <w:t>Furfurol, Hydroxymethyl furfural, Furfural</w:t>
            </w:r>
          </w:p>
        </w:tc>
        <w:tc>
          <w:tcPr>
            <w:tcW w:w="1509" w:type="dxa"/>
            <w:shd w:val="clear" w:color="auto" w:fill="auto"/>
            <w:noWrap/>
            <w:vAlign w:val="center"/>
            <w:hideMark/>
          </w:tcPr>
          <w:p w14:paraId="59BA4580" w14:textId="77777777" w:rsidR="00B103E0" w:rsidRPr="00C527D6" w:rsidRDefault="00B103E0" w:rsidP="00EB3B67">
            <w:pPr>
              <w:pStyle w:val="Tables"/>
              <w:jc w:val="right"/>
            </w:pPr>
            <w:r w:rsidRPr="00C527D6">
              <w:t>2-11</w:t>
            </w:r>
          </w:p>
        </w:tc>
      </w:tr>
      <w:tr w:rsidR="00B103E0" w:rsidRPr="00C527D6" w14:paraId="4557ECC4" w14:textId="77777777" w:rsidTr="00EB3B67">
        <w:trPr>
          <w:trHeight w:val="20"/>
        </w:trPr>
        <w:tc>
          <w:tcPr>
            <w:tcW w:w="2151" w:type="dxa"/>
            <w:shd w:val="clear" w:color="auto" w:fill="auto"/>
            <w:noWrap/>
            <w:vAlign w:val="center"/>
            <w:hideMark/>
          </w:tcPr>
          <w:p w14:paraId="2E036367" w14:textId="77777777" w:rsidR="00B103E0" w:rsidRPr="00C527D6" w:rsidRDefault="00B103E0" w:rsidP="00EB3B67">
            <w:pPr>
              <w:pStyle w:val="Tables"/>
            </w:pPr>
            <w:r w:rsidRPr="00C527D6">
              <w:t>Syringols</w:t>
            </w:r>
          </w:p>
        </w:tc>
        <w:tc>
          <w:tcPr>
            <w:tcW w:w="4420" w:type="dxa"/>
            <w:shd w:val="clear" w:color="auto" w:fill="auto"/>
            <w:vAlign w:val="center"/>
            <w:hideMark/>
          </w:tcPr>
          <w:p w14:paraId="5309353E" w14:textId="77777777" w:rsidR="00B103E0" w:rsidRPr="00C527D6" w:rsidRDefault="00B103E0" w:rsidP="00EB3B67">
            <w:pPr>
              <w:pStyle w:val="Tables"/>
            </w:pPr>
            <w:r w:rsidRPr="00C527D6">
              <w:t>2,6-Dimethoxy Phenol, Syringaldehyde,</w:t>
            </w:r>
            <w:r>
              <w:t xml:space="preserve"> </w:t>
            </w:r>
            <w:r w:rsidRPr="00C527D6">
              <w:t>Propyl Syringol</w:t>
            </w:r>
          </w:p>
        </w:tc>
        <w:tc>
          <w:tcPr>
            <w:tcW w:w="1509" w:type="dxa"/>
            <w:shd w:val="clear" w:color="auto" w:fill="auto"/>
            <w:noWrap/>
            <w:vAlign w:val="center"/>
            <w:hideMark/>
          </w:tcPr>
          <w:p w14:paraId="234C68A9" w14:textId="77777777" w:rsidR="00B103E0" w:rsidRPr="00C527D6" w:rsidRDefault="00B103E0" w:rsidP="00EB3B67">
            <w:pPr>
              <w:pStyle w:val="Tables"/>
              <w:jc w:val="right"/>
            </w:pPr>
            <w:r w:rsidRPr="00C527D6">
              <w:t>2-9</w:t>
            </w:r>
          </w:p>
        </w:tc>
      </w:tr>
      <w:tr w:rsidR="00B103E0" w:rsidRPr="00C527D6" w14:paraId="194F97FD" w14:textId="77777777" w:rsidTr="00EB3B67">
        <w:trPr>
          <w:trHeight w:val="20"/>
        </w:trPr>
        <w:tc>
          <w:tcPr>
            <w:tcW w:w="2151" w:type="dxa"/>
            <w:shd w:val="clear" w:color="auto" w:fill="auto"/>
            <w:noWrap/>
            <w:vAlign w:val="center"/>
            <w:hideMark/>
          </w:tcPr>
          <w:p w14:paraId="5922FF15" w14:textId="77777777" w:rsidR="00B103E0" w:rsidRPr="00C527D6" w:rsidRDefault="00B103E0" w:rsidP="00EB3B67">
            <w:pPr>
              <w:pStyle w:val="Tables"/>
            </w:pPr>
            <w:r w:rsidRPr="00C527D6">
              <w:t>Ketones</w:t>
            </w:r>
          </w:p>
        </w:tc>
        <w:tc>
          <w:tcPr>
            <w:tcW w:w="4420" w:type="dxa"/>
            <w:shd w:val="clear" w:color="auto" w:fill="auto"/>
            <w:vAlign w:val="center"/>
            <w:hideMark/>
          </w:tcPr>
          <w:p w14:paraId="2EA0A757" w14:textId="77777777" w:rsidR="00B103E0" w:rsidRPr="00C527D6" w:rsidRDefault="00B103E0" w:rsidP="00EB3B67">
            <w:pPr>
              <w:pStyle w:val="Tables"/>
            </w:pPr>
            <w:r w:rsidRPr="00C527D6">
              <w:t>Acetone</w:t>
            </w:r>
          </w:p>
        </w:tc>
        <w:tc>
          <w:tcPr>
            <w:tcW w:w="1509" w:type="dxa"/>
            <w:shd w:val="clear" w:color="auto" w:fill="auto"/>
            <w:noWrap/>
            <w:vAlign w:val="center"/>
            <w:hideMark/>
          </w:tcPr>
          <w:p w14:paraId="64407EDC" w14:textId="77777777" w:rsidR="00B103E0" w:rsidRPr="00C527D6" w:rsidRDefault="00B103E0" w:rsidP="00EB3B67">
            <w:pPr>
              <w:pStyle w:val="Tables"/>
              <w:jc w:val="right"/>
            </w:pPr>
            <w:r w:rsidRPr="00C527D6">
              <w:t>4-6</w:t>
            </w:r>
          </w:p>
        </w:tc>
      </w:tr>
      <w:tr w:rsidR="00B103E0" w:rsidRPr="00C527D6" w14:paraId="06213002" w14:textId="77777777" w:rsidTr="00EB3B67">
        <w:trPr>
          <w:trHeight w:val="20"/>
        </w:trPr>
        <w:tc>
          <w:tcPr>
            <w:tcW w:w="2151" w:type="dxa"/>
            <w:shd w:val="clear" w:color="auto" w:fill="auto"/>
            <w:noWrap/>
            <w:vAlign w:val="center"/>
            <w:hideMark/>
          </w:tcPr>
          <w:p w14:paraId="1D868520" w14:textId="77777777" w:rsidR="00B103E0" w:rsidRPr="00C527D6" w:rsidRDefault="00B103E0" w:rsidP="00EB3B67">
            <w:pPr>
              <w:pStyle w:val="Tables"/>
            </w:pPr>
            <w:r w:rsidRPr="00C527D6">
              <w:t>Alcohols</w:t>
            </w:r>
          </w:p>
        </w:tc>
        <w:tc>
          <w:tcPr>
            <w:tcW w:w="4420" w:type="dxa"/>
            <w:shd w:val="clear" w:color="auto" w:fill="auto"/>
            <w:vAlign w:val="center"/>
            <w:hideMark/>
          </w:tcPr>
          <w:p w14:paraId="4CADE9A7" w14:textId="77777777" w:rsidR="00B103E0" w:rsidRPr="00C527D6" w:rsidRDefault="00B103E0" w:rsidP="00EB3B67">
            <w:pPr>
              <w:pStyle w:val="Tables"/>
            </w:pPr>
            <w:r w:rsidRPr="00C527D6">
              <w:t>Methanol, Ethylene Glycol, Ethanol</w:t>
            </w:r>
          </w:p>
        </w:tc>
        <w:tc>
          <w:tcPr>
            <w:tcW w:w="1509" w:type="dxa"/>
            <w:shd w:val="clear" w:color="auto" w:fill="auto"/>
            <w:noWrap/>
            <w:vAlign w:val="center"/>
            <w:hideMark/>
          </w:tcPr>
          <w:p w14:paraId="46E97B04" w14:textId="77777777" w:rsidR="00B103E0" w:rsidRPr="00C527D6" w:rsidRDefault="00B103E0" w:rsidP="00EB3B67">
            <w:pPr>
              <w:pStyle w:val="Tables"/>
              <w:jc w:val="right"/>
            </w:pPr>
            <w:r w:rsidRPr="00C527D6">
              <w:t>2-6</w:t>
            </w:r>
          </w:p>
        </w:tc>
      </w:tr>
      <w:tr w:rsidR="00B103E0" w:rsidRPr="00C527D6" w14:paraId="2A076F88" w14:textId="77777777" w:rsidTr="00EB3B67">
        <w:trPr>
          <w:trHeight w:val="20"/>
        </w:trPr>
        <w:tc>
          <w:tcPr>
            <w:tcW w:w="2151" w:type="dxa"/>
            <w:tcBorders>
              <w:bottom w:val="single" w:sz="4" w:space="0" w:color="auto"/>
            </w:tcBorders>
            <w:shd w:val="clear" w:color="auto" w:fill="auto"/>
            <w:noWrap/>
            <w:vAlign w:val="center"/>
            <w:hideMark/>
          </w:tcPr>
          <w:p w14:paraId="423B7140" w14:textId="77777777" w:rsidR="00B103E0" w:rsidRPr="00C527D6" w:rsidRDefault="00B103E0" w:rsidP="00EB3B67">
            <w:pPr>
              <w:pStyle w:val="Tables"/>
            </w:pPr>
            <w:r w:rsidRPr="00C527D6">
              <w:t>Esters</w:t>
            </w:r>
          </w:p>
        </w:tc>
        <w:tc>
          <w:tcPr>
            <w:tcW w:w="4420" w:type="dxa"/>
            <w:tcBorders>
              <w:bottom w:val="single" w:sz="4" w:space="0" w:color="auto"/>
            </w:tcBorders>
            <w:shd w:val="clear" w:color="auto" w:fill="auto"/>
            <w:vAlign w:val="center"/>
            <w:hideMark/>
          </w:tcPr>
          <w:p w14:paraId="7D748AC0" w14:textId="77777777" w:rsidR="00B103E0" w:rsidRPr="00C527D6" w:rsidRDefault="00B103E0" w:rsidP="00EB3B67">
            <w:pPr>
              <w:pStyle w:val="Tables"/>
            </w:pPr>
            <w:r w:rsidRPr="00C527D6">
              <w:t>Methyl Formate, Butyrolactone, Methylfuranone</w:t>
            </w:r>
          </w:p>
        </w:tc>
        <w:tc>
          <w:tcPr>
            <w:tcW w:w="1509" w:type="dxa"/>
            <w:tcBorders>
              <w:bottom w:val="single" w:sz="4" w:space="0" w:color="auto"/>
            </w:tcBorders>
            <w:shd w:val="clear" w:color="auto" w:fill="auto"/>
            <w:noWrap/>
            <w:vAlign w:val="center"/>
            <w:hideMark/>
          </w:tcPr>
          <w:p w14:paraId="7AFBD42B" w14:textId="77777777" w:rsidR="00B103E0" w:rsidRPr="00C527D6" w:rsidRDefault="00B103E0" w:rsidP="00EB3B67">
            <w:pPr>
              <w:pStyle w:val="Tables"/>
              <w:jc w:val="right"/>
            </w:pPr>
            <w:r w:rsidRPr="00C527D6">
              <w:t>&lt;1-3</w:t>
            </w:r>
          </w:p>
        </w:tc>
      </w:tr>
    </w:tbl>
    <w:p w14:paraId="55E3BFFA" w14:textId="77777777" w:rsidR="009E348A" w:rsidRDefault="00B103E0" w:rsidP="00B103E0">
      <w:pPr>
        <w:pStyle w:val="Caption"/>
        <w:rPr>
          <w:b w:val="0"/>
        </w:rPr>
      </w:pPr>
      <w:bookmarkStart w:id="13" w:name="_Toc449964922"/>
      <w:r>
        <w:t xml:space="preserve">Table </w:t>
      </w:r>
      <w:fldSimple w:instr=" STYLEREF &quot;Chapter&quot; \s ">
        <w:r w:rsidR="00463F52">
          <w:rPr>
            <w:noProof/>
          </w:rPr>
          <w:t>1</w:t>
        </w:r>
      </w:fldSimple>
      <w:r>
        <w:t>.</w:t>
      </w:r>
      <w:fldSimple w:instr=" SEQ Table \* ARABIC \s 1 ">
        <w:r w:rsidR="00463F52">
          <w:rPr>
            <w:noProof/>
          </w:rPr>
          <w:t>1</w:t>
        </w:r>
      </w:fldSimple>
      <w:r>
        <w:t>.</w:t>
      </w:r>
      <w:r w:rsidRPr="008E2374">
        <w:t xml:space="preserve"> </w:t>
      </w:r>
      <w:r w:rsidRPr="005D789F">
        <w:rPr>
          <w:b w:val="0"/>
        </w:rPr>
        <w:t>The percentage ranges and categories of major bio-oil compon</w:t>
      </w:r>
      <w:r w:rsidR="009E348A">
        <w:rPr>
          <w:b w:val="0"/>
        </w:rPr>
        <w:t>ents.</w:t>
      </w:r>
      <w:bookmarkEnd w:id="13"/>
    </w:p>
    <w:p w14:paraId="7A4E7C42" w14:textId="47F6AA00" w:rsidR="00B103E0" w:rsidRDefault="00B103E0" w:rsidP="00B103E0">
      <w:pPr>
        <w:pStyle w:val="Caption"/>
        <w:rPr>
          <w:b w:val="0"/>
        </w:rPr>
      </w:pPr>
      <w:r>
        <w:rPr>
          <w:b w:val="0"/>
        </w:rPr>
        <w:t>Source:</w:t>
      </w:r>
      <w:r w:rsidRPr="00CC4F7B">
        <w:rPr>
          <w:b w:val="0"/>
        </w:rPr>
        <w:t xml:space="preserve"> </w:t>
      </w:r>
      <w:r w:rsidR="007F354C" w:rsidRPr="00CC4F7B">
        <w:rPr>
          <w:b w:val="0"/>
        </w:rPr>
        <w:fldChar w:fldCharType="begin"/>
      </w:r>
      <w:r w:rsidR="00807999">
        <w:rPr>
          <w:b w:val="0"/>
        </w:rPr>
        <w:instrText xml:space="preserve"> ADDIN PAPERS2_CITATIONS &lt;citation&gt;&lt;uuid&gt;E1FB43C3-7B5B-46AC-B6CC-C18D6C993140&lt;/uuid&gt;&lt;priority&gt;0&lt;/priority&gt;&lt;publications&gt;&lt;publication&gt;&lt;publication_date&gt;99200600001200000000200000&lt;/publication_date&gt;&lt;title&gt;Synthesis of transportation fuels from biomass: chemistry, catalysts, and engineering&lt;/title&gt;&lt;uuid&gt;35A08689-CD3C-4FBD-A24A-C5AEACB04523&lt;/uuid&gt;&lt;subtype&gt;400&lt;/subtype&gt;&lt;type&gt;400&lt;/type&gt;&lt;citekey&gt;Huber:2006tz&lt;/citekey&gt;&lt;url&gt;http://works.bepress.com/cgi/viewcontent.cgi?article=1058&amp;amp;context=george_huber&lt;/url&gt;&lt;bundle&gt;&lt;publication&gt;&lt;url&gt;http://pubs.acs.org/journal/chreay&lt;/url&gt;&lt;title&gt;Chemical reviews&lt;/title&gt;&lt;type&gt;-100&lt;/type&gt;&lt;subtype&gt;-100&lt;/subtype&gt;&lt;uuid&gt;7221D5BA-123D-4A11-B9E2-7AFCDE803FCC&lt;/uuid&gt;&lt;/publication&gt;&lt;/bundle&gt;&lt;authors&gt;&lt;author&gt;&lt;firstName&gt;G W&lt;/firstName&gt;&lt;lastName&gt;Huber&lt;/lastName&gt;&lt;/author&gt;&lt;author&gt;&lt;firstName&gt;S&lt;/firstName&gt;&lt;lastName&gt;Iborra&lt;/lastName&gt;&lt;/author&gt;&lt;author&gt;&lt;firstName&gt;A&lt;/firstName&gt;&lt;lastName&gt;Corma&lt;/lastName&gt;&lt;/author&gt;&lt;/authors&gt;&lt;/publication&gt;&lt;/publications&gt;&lt;cites&gt;&lt;/cites&gt;&lt;/citation&gt;</w:instrText>
      </w:r>
      <w:r w:rsidR="007F354C" w:rsidRPr="00CC4F7B">
        <w:rPr>
          <w:b w:val="0"/>
        </w:rPr>
        <w:fldChar w:fldCharType="separate"/>
      </w:r>
      <w:r w:rsidR="00980B82" w:rsidRPr="00CC4F7B">
        <w:rPr>
          <w:b w:val="0"/>
        </w:rPr>
        <w:t>(</w:t>
      </w:r>
      <w:r w:rsidR="00980B82" w:rsidRPr="00CC4F7B">
        <w:rPr>
          <w:b w:val="0"/>
          <w:i/>
          <w:iCs/>
        </w:rPr>
        <w:t>6</w:t>
      </w:r>
      <w:r w:rsidR="00980B82" w:rsidRPr="00CC4F7B">
        <w:rPr>
          <w:b w:val="0"/>
        </w:rPr>
        <w:t>)</w:t>
      </w:r>
      <w:r w:rsidR="007F354C" w:rsidRPr="00CC4F7B">
        <w:rPr>
          <w:b w:val="0"/>
        </w:rPr>
        <w:fldChar w:fldCharType="end"/>
      </w:r>
    </w:p>
    <w:p w14:paraId="3001F799" w14:textId="77777777" w:rsidR="00B103E0" w:rsidRDefault="00B103E0" w:rsidP="00B103E0"/>
    <w:p w14:paraId="1553407E" w14:textId="13DD5104" w:rsidR="00E96888" w:rsidRDefault="00E96888" w:rsidP="00E96888">
      <w:r>
        <w:t xml:space="preserve">The tendency for compounds in the condensed vapors from torrefaction and pyrolysis to self-polymerize is an often-cited issue that lowers overall yield, both carbon and liquid, </w:t>
      </w:r>
      <w:r w:rsidR="007F354C">
        <w:t xml:space="preserve">and increases processing costs </w:t>
      </w:r>
      <w:r w:rsidR="007F354C">
        <w:fldChar w:fldCharType="begin"/>
      </w:r>
      <w:r w:rsidR="00807999">
        <w:instrText xml:space="preserve"> ADDIN PAPERS2_CITATIONS &lt;citation&gt;&lt;uuid&gt;650C3B08-7758-4ABF-86F5-28BB0752F8A5&lt;/uuid&gt;&lt;priority&gt;0&lt;/priority&gt;&lt;publications&gt;&lt;publication&gt;&lt;publication_date&gt;99199900001200000000200000&lt;/publication_date&gt;&lt;doi&gt;10.1021/ef980272b&lt;/doi&gt;&lt;title&gt;Fuel oil quality of biomass pyrolysis oils state of the art for the end users&lt;/title&gt;&lt;uuid&gt;8924EDAC-D0A7-48E6-9626-DE71B0B312C4&lt;/uuid&gt;&lt;subtype&gt;400&lt;/subtype&gt;&lt;type&gt;400&lt;/type&gt;&lt;citekey&gt;Oasmaa:1999ig&lt;/citekey&gt;&lt;url&gt;http://pubs.acs.org.ezproxy.lib.ou.edu/doi/pdf/10.1021/ef980272b&lt;/url&gt;&lt;bundle&gt;&lt;publication&gt;&lt;publisher&gt;American Chemical Society&lt;/publisher&gt;&lt;title&gt;Energy &amp;amp; Fuels&lt;/title&gt;&lt;type&gt;-100&lt;/type&gt;&lt;subtype&gt;-100&lt;/subtype&gt;&lt;uuid&gt;DCD2A25C-F261-4333-B749-6E6DAB1F820E&lt;/uuid&gt;&lt;/publication&gt;&lt;/bundle&gt;&lt;authors&gt;&lt;author&gt;&lt;firstName&gt;Anja&lt;/firstName&gt;&lt;lastName&gt;Oasmaa&lt;/lastName&gt;&lt;/author&gt;&lt;author&gt;&lt;firstName&gt;Stefan&lt;/firstName&gt;&lt;lastName&gt;Czernik&lt;/lastName&gt;&lt;/author&gt;&lt;/authors&gt;&lt;/publication&gt;&lt;publication&gt;&lt;publication_date&gt;99199900001200000000200000&lt;/publication_date&gt;&lt;doi&gt;10.2172/753818&lt;/doi&gt;&lt;institution&gt;National Renewable Energy Laboratory (NREL), Golden, CO&lt;/institution&gt;&lt;title&gt;A review of the chemical and physical mechanisms of the storage stability of fast pyrolysis bio-oils&lt;/title&gt;&lt;uuid&gt;EBA17A48-6F30-4EAB-9394-F8C79B00E642&lt;/uuid&gt;&lt;subtype&gt;700&lt;/subtype&gt;&lt;type&gt;700&lt;/type&gt;&lt;citekey&gt;JPDieboldThermalchemieInc:2000ud&lt;/citekey&gt;&lt;url&gt;http://gisceu.net/PDF/U918.pdf&lt;/url&gt;&lt;authors&gt;&lt;author&gt;&lt;firstName&gt;J&lt;/firstName&gt;&lt;middleNames&gt;P&lt;/middleNames&gt;&lt;lastName&gt;Diebold&lt;/lastName&gt;&lt;/author&gt;&lt;/authors&gt;&lt;/publication&gt;&lt;/publications&gt;&lt;cites&gt;&lt;/cites&gt;&lt;/citation&gt;</w:instrText>
      </w:r>
      <w:r w:rsidR="007F354C">
        <w:fldChar w:fldCharType="separate"/>
      </w:r>
      <w:r w:rsidR="00980B82">
        <w:t>(</w:t>
      </w:r>
      <w:r w:rsidR="00980B82">
        <w:rPr>
          <w:i/>
          <w:iCs/>
        </w:rPr>
        <w:t>10</w:t>
      </w:r>
      <w:r w:rsidR="00980B82">
        <w:t xml:space="preserve">, </w:t>
      </w:r>
      <w:r w:rsidR="00980B82">
        <w:rPr>
          <w:i/>
          <w:iCs/>
        </w:rPr>
        <w:t>13</w:t>
      </w:r>
      <w:r w:rsidR="00980B82">
        <w:t>)</w:t>
      </w:r>
      <w:r w:rsidR="007F354C">
        <w:fldChar w:fldCharType="end"/>
      </w:r>
      <w:r>
        <w:t>. The multi-oxygenated phenol derivatives, which are the major product of lignin pyrolysis, readily form dimers, trimers, and other oligomers when condensed. This is primarily due to the high amounts of organic acids present in condensed bio-oil which catalyze these reactions</w:t>
      </w:r>
      <w:r w:rsidR="00FC7D46">
        <w:t xml:space="preserve"> </w:t>
      </w:r>
      <w:r w:rsidR="007F354C">
        <w:fldChar w:fldCharType="begin"/>
      </w:r>
      <w:r w:rsidR="00807999">
        <w:instrText xml:space="preserve"> ADDIN PAPERS2_CITATIONS &lt;citation&gt;&lt;uuid&gt;B3FF193B-6895-4B33-9FEF-7FC4941CC8EC&lt;/uuid&gt;&lt;priority&gt;0&lt;/priority&gt;&lt;publications&gt;&lt;publication&gt;&lt;uuid&gt;0F039A4D-3B13-43BA-9986-1D237E7D7A00&lt;/uuid&gt;&lt;volume&gt;4&lt;/volume&gt;&lt;doi&gt;10.1002/cssc.201100133&lt;/doi&gt;&lt;startpage&gt;1629&lt;/startpage&gt;&lt;publication_date&gt;99201111181200000000222000&lt;/publication_date&gt;&lt;url&gt;http://onlinelibrary.wiley.com/doi/10.1002/cssc.201100133/full&lt;/url&gt;&lt;citekey&gt;Patwardhan:2011in&lt;/citekey&gt;&lt;type&gt;400&lt;/type&gt;&lt;title&gt;Understanding the Fast Pyrolysis of Lignin&lt;/title&gt;&lt;publisher&gt;WILEY</w:instrText>
      </w:r>
      <w:r w:rsidR="00807999">
        <w:rPr>
          <w:rFonts w:ascii="Calibri" w:eastAsia="Calibri" w:hAnsi="Calibri" w:cs="Calibri"/>
        </w:rPr>
        <w:instrText>‐</w:instrText>
      </w:r>
      <w:r w:rsidR="00807999">
        <w:instrText>VCH Verlag&lt;/publisher&gt;&lt;number&gt;11&lt;/number&gt;&lt;subtype&gt;400&lt;/subtype&gt;&lt;endpage&gt;1636&lt;/endpage&gt;&lt;bundle&gt;&lt;publication&gt;&lt;publisher&gt;WILEY</w:instrText>
      </w:r>
      <w:r w:rsidR="00807999">
        <w:rPr>
          <w:rFonts w:ascii="Calibri" w:eastAsia="Calibri" w:hAnsi="Calibri" w:cs="Calibri"/>
        </w:rPr>
        <w:instrText>‐</w:instrText>
      </w:r>
      <w:r w:rsidR="00807999">
        <w:instrText>VCH Verlag&lt;/publisher&gt;&lt;title&gt;ChemSusChem&lt;/title&gt;&lt;type&gt;-100&lt;/type&gt;&lt;subtype&gt;-100&lt;/subtype&gt;&lt;uuid&gt;7311DD7F-36BC-4619-8B6C-41D5069DF002&lt;/uuid&gt;&lt;/publication&gt;&lt;/bundle&gt;&lt;authors&gt;&lt;author&gt;&lt;firstName&gt;Pushkaraj&lt;/firstName&gt;&lt;middleNames&gt;R&lt;/middleNames&gt;&lt;lastName&gt;Patwardhan&lt;/lastName&gt;&lt;/author&gt;&lt;author&gt;&lt;firstName&gt;Robert&lt;/firstName&gt;&lt;middleNames&gt;C&lt;/middleNames&gt;&lt;lastName&gt;Brown&lt;/lastName&gt;&lt;/author&gt;&lt;author&gt;&lt;firstName&gt;Brent&lt;/firstName&gt;&lt;middleNames&gt;H&lt;/middleNames&gt;&lt;lastName&gt;Shanks&lt;/lastName&gt;&lt;/author&gt;&lt;/authors&gt;&lt;/publication&gt;&lt;/publications&gt;&lt;cites&gt;&lt;/cites&gt;&lt;/citation&gt;</w:instrText>
      </w:r>
      <w:r w:rsidR="007F354C">
        <w:fldChar w:fldCharType="separate"/>
      </w:r>
      <w:r w:rsidR="00980B82">
        <w:t>(</w:t>
      </w:r>
      <w:r w:rsidR="00980B82">
        <w:rPr>
          <w:i/>
          <w:iCs/>
        </w:rPr>
        <w:t>12</w:t>
      </w:r>
      <w:r w:rsidR="00980B82">
        <w:t>)</w:t>
      </w:r>
      <w:r w:rsidR="007F354C">
        <w:fldChar w:fldCharType="end"/>
      </w:r>
      <w:r>
        <w:t>. These molecules are primarily guaiacol &amp; syringol derivatives, often substituted at the 4 position with vinyl or propyl moieties. These reactions are a major contributor to the thermally unstable nature of biomass and its increasing viscosity over time.</w:t>
      </w:r>
    </w:p>
    <w:p w14:paraId="49679962" w14:textId="2674238A" w:rsidR="00F86E12" w:rsidRDefault="00F86E12" w:rsidP="005C7E19">
      <w:pPr>
        <w:pStyle w:val="Heading2"/>
      </w:pPr>
      <w:bookmarkStart w:id="14" w:name="_Toc449964828"/>
      <w:r>
        <w:t>Catalytic upgrading</w:t>
      </w:r>
      <w:bookmarkEnd w:id="14"/>
    </w:p>
    <w:p w14:paraId="3B35BEB8" w14:textId="77777777" w:rsidR="007507E3" w:rsidRDefault="00B103E0" w:rsidP="00B103E0">
      <w:r>
        <w:t>In order to obtain desirable fuel properties and allow integration with the existing transportation fuels infrastructure (gasoline and diesel engines), the bio-oil must be chemically converted to reduce the undesirable ch</w:t>
      </w:r>
      <w:r w:rsidR="00E96888">
        <w:t xml:space="preserve">aracteristics mentioned above. </w:t>
      </w:r>
      <w:r>
        <w:lastRenderedPageBreak/>
        <w:t xml:space="preserve">Catalytic upgrading is typically used to refine bio-oil, improving its stability and making it an acceptable liquid fuel. </w:t>
      </w:r>
    </w:p>
    <w:p w14:paraId="0B9EF2B9" w14:textId="597174F1" w:rsidR="007507E3" w:rsidRDefault="00B103E0" w:rsidP="00F86E12">
      <w:r>
        <w:t>The simplest method is hydrotreating or hydrodeoxygenation, which removes oxygen via catalytic hydr</w:t>
      </w:r>
      <w:r w:rsidR="007F354C">
        <w:t>ogenation</w:t>
      </w:r>
      <w:r w:rsidR="00FC7D46">
        <w:t xml:space="preserve"> </w:t>
      </w:r>
      <w:r w:rsidR="007F354C">
        <w:fldChar w:fldCharType="begin"/>
      </w:r>
      <w:r w:rsidR="00807999">
        <w:instrText xml:space="preserve"> ADDIN PAPERS2_CITATIONS &lt;citation&gt;&lt;uuid&gt;3E4A238F-0587-419C-BEF3-52B2183945E7&lt;/uuid&gt;&lt;priority&gt;0&lt;/priority&gt;&lt;publications&gt;&lt;publication&gt;&lt;type&gt;500&lt;/type&gt;&lt;publication_date&gt;99200000001200000000200000&lt;/publication_date&gt;&lt;title&gt;Catalytic hydrodeoxygenation&lt;/title&gt;&lt;url&gt;http://www.sciencedirect.com/science/article/pii/S0926860X99005554&lt;/url&gt;&lt;subtype&gt;520&lt;/subtype&gt;&lt;uuid&gt;6B9F3336-05C3-4AEA-AB09-B3A879B4FBD8&lt;/uuid&gt;&lt;bundle&gt;&lt;publication&gt;&lt;publisher&gt;Elsevier B.V.&lt;/publisher&gt;&lt;url&gt;http://www.google.com/search?client=safari&amp;amp;rls=10_7_4&amp;amp;q=Applied+Catalysis+A+General&amp;amp;ie=UTF-8&amp;amp;oe=UTF-8&lt;/url&gt;&lt;title&gt;Applied Catalysis A: General&lt;/title&gt;&lt;type&gt;-100&lt;/type&gt;&lt;subtype&gt;-100&lt;/subtype&gt;&lt;uuid&gt;E2C4D3ED-AA0E-40CD-AC16-1ADC89FE681C&lt;/uuid&gt;&lt;/publication&gt;&lt;/bundle&gt;&lt;authors&gt;&lt;author&gt;&lt;firstName&gt;E&lt;/firstName&gt;&lt;lastName&gt;Furimsky&lt;/lastName&gt;&lt;/author&gt;&lt;/authors&gt;&lt;/publication&gt;&lt;/publications&gt;&lt;cites&gt;&lt;/cites&gt;&lt;/citation&gt;</w:instrText>
      </w:r>
      <w:r w:rsidR="007F354C">
        <w:fldChar w:fldCharType="separate"/>
      </w:r>
      <w:r w:rsidR="00980B82">
        <w:t>(</w:t>
      </w:r>
      <w:r w:rsidR="00980B82">
        <w:rPr>
          <w:i/>
          <w:iCs/>
        </w:rPr>
        <w:t>14</w:t>
      </w:r>
      <w:r w:rsidR="00980B82">
        <w:t>)</w:t>
      </w:r>
      <w:r w:rsidR="007F354C">
        <w:fldChar w:fldCharType="end"/>
      </w:r>
      <w:r>
        <w:t>, decreasing both the chemical reactivity and corrosivity. However,</w:t>
      </w:r>
      <w:r w:rsidR="007507E3">
        <w:t xml:space="preserve"> </w:t>
      </w:r>
      <w:r w:rsidR="007507E3" w:rsidRPr="007507E3">
        <w:t>the low H:C ratio of bio-oil leads to very high hydrogen input costs</w:t>
      </w:r>
      <w:r w:rsidR="00FC7D46">
        <w:t xml:space="preserve"> </w:t>
      </w:r>
      <w:r w:rsidR="00F86499">
        <w:fldChar w:fldCharType="begin"/>
      </w:r>
      <w:r w:rsidR="00807999">
        <w:instrText xml:space="preserve"> ADDIN PAPERS2_CITATIONS &lt;citation&gt;&lt;uuid&gt;855D4F3D-2A47-4C38-BF8C-1CDF8FDE64B4&lt;/uuid&gt;&lt;priority&gt;0&lt;/priority&gt;&lt;publications&gt;&lt;publication&gt;&lt;volume&gt;111&lt;/volume&gt;&lt;publication_date&gt;99201200001200000000200000&lt;/publication_date&gt;&lt;doi&gt;10.1016/j.biortech.2012.01.159&lt;/doi&gt;&lt;startpage&gt;439&lt;/startpage&gt;&lt;title&gt;The effect of torrefaction on the chemistry of fast-pyrolysis bio-oil.&lt;/title&gt;&lt;uuid&gt;079A28E8-6E8C-4E0C-AED2-E360A881343A&lt;/uuid&gt;&lt;subtype&gt;400&lt;/subtype&gt;&lt;endpage&gt;446&lt;/endpage&gt;&lt;type&gt;400&lt;/type&gt;&lt;citekey&gt;Meng2012&lt;/citekey&gt;&lt;url&gt;http://www.ncbi.nlm.nih.gov/pubmed/22370230&lt;/url&gt;&lt;bundle&gt;&lt;publication&gt;&lt;publisher&gt;Elsevier Ltd&lt;/publisher&gt;&lt;title&gt;Bioresource technology&lt;/title&gt;&lt;type&gt;-100&lt;/type&gt;&lt;subtype&gt;-100&lt;/subtype&gt;&lt;uuid&gt;20FABC45-BAD7-4D11-A180-BCA66580D347&lt;/uuid&gt;&lt;/publication&gt;&lt;/bundle&gt;&lt;authors&gt;&lt;author&gt;&lt;firstName&gt;Jiajia&lt;/firstName&gt;&lt;lastName&gt;Meng&lt;/lastName&gt;&lt;/author&gt;&lt;author&gt;&lt;firstName&gt;Junyeong&lt;/firstName&gt;&lt;lastName&gt;Park&lt;/lastName&gt;&lt;/author&gt;&lt;author&gt;&lt;firstName&gt;David&lt;/firstName&gt;&lt;lastName&gt;Tilotta&lt;/lastName&gt;&lt;/author&gt;&lt;author&gt;&lt;firstName&gt;Sunkyu&lt;/firstName&gt;&lt;lastName&gt;Park&lt;/lastName&gt;&lt;/author&gt;&lt;/authors&gt;&lt;/publication&gt;&lt;publication&gt;&lt;publication_date&gt;99201400001200000000200000&lt;/publication_date&gt;&lt;doi&gt;10.1016/j.apcatb.2013.01.002&lt;/doi&gt;&lt;title&gt;Evaluating strategies for catalytic upgrading of pyrolysis oil in liquid phase&lt;/title&gt;&lt;uuid&gt;ABC054D0-109A-4D12-BE13-6EB28E645290&lt;/uuid&gt;&lt;subtype&gt;400&lt;/subtype&gt;&lt;type&gt;400&lt;/type&gt;&lt;url&gt;http://www.sciencedirect.com/science/article/pii/S0926337313000039&lt;/url&gt;&lt;bundle&gt;&lt;publication&gt;&lt;publisher&gt;Elsevier B.V.&lt;/publisher&gt;&lt;title&gt;Applied Catalysis B: Environmental&lt;/title&gt;&lt;type&gt;-100&lt;/type&gt;&lt;subtype&gt;-100&lt;/subtype&gt;&lt;uuid&gt;0B77962D-5F6E-4D61-8316-322966C1ABE1&lt;/uuid&gt;&lt;/publication&gt;&lt;/bundle&gt;&lt;authors&gt;&lt;author&gt;&lt;firstName&gt;Tu&lt;/firstName&gt;&lt;middleNames&gt;Nguyet&lt;/middleNames&gt;&lt;lastName&gt;Pham&lt;/lastName&gt;&lt;/author&gt;&lt;author&gt;&lt;firstName&gt;Dachuan&lt;/firstName&gt;&lt;lastName&gt;Shi&lt;/lastName&gt;&lt;/author&gt;&lt;author&gt;&lt;firstName&gt;D&lt;/firstName&gt;&lt;middleNames&gt;E&lt;/middleNames&gt;&lt;lastName&gt;Resasco&lt;/lastName&gt;&lt;/author&gt;&lt;/authors&gt;&lt;/publication&gt;&lt;/publications&gt;&lt;cites&gt;&lt;/cites&gt;&lt;/citation&gt;</w:instrText>
      </w:r>
      <w:r w:rsidR="00F86499">
        <w:fldChar w:fldCharType="separate"/>
      </w:r>
      <w:r w:rsidR="00980B82">
        <w:t>(</w:t>
      </w:r>
      <w:r w:rsidR="00980B82">
        <w:rPr>
          <w:i/>
          <w:iCs/>
        </w:rPr>
        <w:t>15</w:t>
      </w:r>
      <w:r w:rsidR="00980B82">
        <w:t xml:space="preserve">, </w:t>
      </w:r>
      <w:r w:rsidR="00980B82">
        <w:rPr>
          <w:i/>
          <w:iCs/>
        </w:rPr>
        <w:t>16</w:t>
      </w:r>
      <w:r w:rsidR="00980B82">
        <w:t>)</w:t>
      </w:r>
      <w:r w:rsidR="00F86499">
        <w:fldChar w:fldCharType="end"/>
      </w:r>
      <w:r w:rsidR="007507E3" w:rsidRPr="007507E3">
        <w:t>.</w:t>
      </w:r>
      <w:r w:rsidR="007507E3">
        <w:t xml:space="preserve"> Additionally, this process converts any C</w:t>
      </w:r>
      <w:r w:rsidR="007507E3" w:rsidRPr="00AB1F23">
        <w:rPr>
          <w:vertAlign w:val="subscript"/>
        </w:rPr>
        <w:t>1</w:t>
      </w:r>
      <w:r w:rsidR="007507E3">
        <w:t>-C</w:t>
      </w:r>
      <w:r w:rsidR="007507E3" w:rsidRPr="00AB1F23">
        <w:rPr>
          <w:vertAlign w:val="subscript"/>
        </w:rPr>
        <w:t>5</w:t>
      </w:r>
      <w:r w:rsidR="007507E3">
        <w:t xml:space="preserve"> oxygenates, representing as much as half of the carbon in bio-oil, to C</w:t>
      </w:r>
      <w:r w:rsidR="007507E3" w:rsidRPr="00AB1F23">
        <w:rPr>
          <w:vertAlign w:val="subscript"/>
        </w:rPr>
        <w:t>1</w:t>
      </w:r>
      <w:r w:rsidR="007507E3">
        <w:t>-C</w:t>
      </w:r>
      <w:r w:rsidR="007507E3" w:rsidRPr="00AB1F23">
        <w:rPr>
          <w:vertAlign w:val="subscript"/>
        </w:rPr>
        <w:t>5</w:t>
      </w:r>
      <w:r w:rsidR="007507E3">
        <w:t xml:space="preserve"> hydrocarbons that ar</w:t>
      </w:r>
      <w:r w:rsidR="00F86499">
        <w:t>e too volatile for liquid fuels</w:t>
      </w:r>
      <w:r w:rsidR="007507E3" w:rsidRPr="007507E3">
        <w:t xml:space="preserve"> rather than liquids in the target fuel range (C</w:t>
      </w:r>
      <w:r w:rsidR="007507E3" w:rsidRPr="007507E3">
        <w:rPr>
          <w:vertAlign w:val="subscript"/>
        </w:rPr>
        <w:t>6</w:t>
      </w:r>
      <w:r w:rsidR="007507E3" w:rsidRPr="007507E3">
        <w:t>-C</w:t>
      </w:r>
      <w:r w:rsidR="007507E3" w:rsidRPr="007507E3">
        <w:rPr>
          <w:vertAlign w:val="subscript"/>
        </w:rPr>
        <w:t>14</w:t>
      </w:r>
      <w:r w:rsidR="007507E3" w:rsidRPr="007507E3">
        <w:t>)</w:t>
      </w:r>
      <w:r w:rsidR="00FC7D46">
        <w:t xml:space="preserve"> </w:t>
      </w:r>
      <w:r w:rsidR="00F86499">
        <w:fldChar w:fldCharType="begin"/>
      </w:r>
      <w:r w:rsidR="00807999">
        <w:instrText xml:space="preserve"> ADDIN PAPERS2_CITATIONS &lt;citation&gt;&lt;uuid&gt;758A4801-3BA0-453B-9EF8-D19F60C66F8E&lt;/uuid&gt;&lt;priority&gt;0&lt;/priority&gt;&lt;publications&gt;&lt;publication&gt;&lt;publication_date&gt;99201400001200000000200000&lt;/publication_date&gt;&lt;doi&gt;10.1016/j.apcatb.2013.01.002&lt;/doi&gt;&lt;title&gt;Evaluating strategies for catalytic upgrading of pyrolysis oil in liquid phase&lt;/title&gt;&lt;uuid&gt;ABC054D0-109A-4D12-BE13-6EB28E645290&lt;/uuid&gt;&lt;subtype&gt;400&lt;/subtype&gt;&lt;type&gt;400&lt;/type&gt;&lt;url&gt;http://www.sciencedirect.com/science/article/pii/S0926337313000039&lt;/url&gt;&lt;bundle&gt;&lt;publication&gt;&lt;publisher&gt;Elsevier B.V.&lt;/publisher&gt;&lt;title&gt;Applied Catalysis B: Environmental&lt;/title&gt;&lt;type&gt;-100&lt;/type&gt;&lt;subtype&gt;-100&lt;/subtype&gt;&lt;uuid&gt;0B77962D-5F6E-4D61-8316-322966C1ABE1&lt;/uuid&gt;&lt;/publication&gt;&lt;/bundle&gt;&lt;authors&gt;&lt;author&gt;&lt;firstName&gt;Tu&lt;/firstName&gt;&lt;middleNames&gt;Nguyet&lt;/middleNames&gt;&lt;lastName&gt;Pham&lt;/lastName&gt;&lt;/author&gt;&lt;author&gt;&lt;firstName&gt;Dachuan&lt;/firstName&gt;&lt;lastName&gt;Shi&lt;/lastName&gt;&lt;/author&gt;&lt;author&gt;&lt;firstName&gt;D&lt;/firstName&gt;&lt;middleNames&gt;E&lt;/middleNames&gt;&lt;lastName&gt;Resasco&lt;/lastName&gt;&lt;/author&gt;&lt;/authors&gt;&lt;/publication&gt;&lt;publication&gt;&lt;volume&gt;2&lt;/volume&gt;&lt;publication_date&gt;99201109151200000000222000&lt;/publication_date&gt;&lt;number&gt;18&lt;/number&gt;&lt;doi&gt;10.1021/jz201135x&lt;/doi&gt;&lt;startpage&gt;2294&lt;/startpage&gt;&lt;title&gt;What Should We Demand from the Catalysts Responsible for Upgrading Biomass Pyrolysis Oil?&lt;/title&gt;&lt;uuid&gt;A2007D73-3BCD-44C9-B640-12B03D295179&lt;/uuid&gt;&lt;subtype&gt;400&lt;/subtype&gt;&lt;endpage&gt;2295&lt;/endpage&gt;&lt;type&gt;400&lt;/type&gt;&lt;url&gt;http://pubs.acs.org/doi/abs/10.1021/jz201135x&lt;/url&gt;&lt;bundle&gt;&lt;publication&gt;&lt;title&gt;The Journal of Physical Chemistry Letters&lt;/title&gt;&lt;type&gt;-100&lt;/type&gt;&lt;subtype&gt;-100&lt;/subtype&gt;&lt;uuid&gt;15CC16EC-37DA-44E0-ACE0-24C23F7CA10F&lt;/uuid&gt;&lt;/publication&gt;&lt;/bundle&gt;&lt;authors&gt;&lt;author&gt;&lt;firstName&gt;D&lt;/firstName&gt;&lt;middleNames&gt;E&lt;/middleNames&gt;&lt;lastName&gt;Resasco&lt;/lastName&gt;&lt;/author&gt;&lt;/authors&gt;&lt;/publication&gt;&lt;/publications&gt;&lt;cites&gt;&lt;/cites&gt;&lt;/citation&gt;</w:instrText>
      </w:r>
      <w:r w:rsidR="00F86499">
        <w:fldChar w:fldCharType="separate"/>
      </w:r>
      <w:r w:rsidR="00980B82">
        <w:t>(</w:t>
      </w:r>
      <w:r w:rsidR="00980B82">
        <w:rPr>
          <w:i/>
          <w:iCs/>
        </w:rPr>
        <w:t>16</w:t>
      </w:r>
      <w:r w:rsidR="00980B82">
        <w:t xml:space="preserve">, </w:t>
      </w:r>
      <w:r w:rsidR="00980B82">
        <w:rPr>
          <w:i/>
          <w:iCs/>
        </w:rPr>
        <w:t>17</w:t>
      </w:r>
      <w:r w:rsidR="00980B82">
        <w:t>)</w:t>
      </w:r>
      <w:r w:rsidR="00F86499">
        <w:fldChar w:fldCharType="end"/>
      </w:r>
      <w:r w:rsidR="007507E3" w:rsidRPr="007507E3">
        <w:t>, greatly decreasing the process carbon efficiency.</w:t>
      </w:r>
    </w:p>
    <w:p w14:paraId="2BD5C911" w14:textId="30BA30BF" w:rsidR="00EB3B67" w:rsidRDefault="00B103E0" w:rsidP="00B103E0">
      <w:r>
        <w:t xml:space="preserve">Another straightforward approach is to ‘crack’ the pyrolysis vapors using acidic zeolite catalysts into light olefins and aromatic hydrocarbons (primarily benzene, toluene, and o/m/p-xylene) </w:t>
      </w:r>
      <w:r w:rsidR="00F86499">
        <w:fldChar w:fldCharType="begin"/>
      </w:r>
      <w:r w:rsidR="00807999">
        <w:instrText xml:space="preserve"> ADDIN PAPERS2_CITATIONS &lt;citation&gt;&lt;uuid&gt;994EB564-1B72-41CE-A078-2A845441837F&lt;/uuid&gt;&lt;priority&gt;0&lt;/priority&gt;&lt;publications&gt;&lt;publication&gt;&lt;uuid&gt;69930FB7-F17B-436A-A735-5A729066748E&lt;/uuid&gt;&lt;volume&gt;116&lt;/volume&gt;&lt;startpage&gt;5&lt;/startpage&gt;&lt;publication_date&gt;99199400001200000000200000&lt;/publication_date&gt;&lt;url&gt;http://www.sciencedirect.com/science/article/pii/0926860X94802785&lt;/url&gt;&lt;citekey&gt;Bridgwater:1994tz&lt;/citekey&gt;&lt;type&gt;400&lt;/type&gt;&lt;title&gt;Catalysis in thermal biomass conversion&lt;/title&gt;&lt;publisher&gt;Elsevier&lt;/publisher&gt;&lt;number&gt;1&lt;/number&gt;&lt;subtype&gt;400&lt;/subtype&gt;&lt;endpage&gt;47&lt;/endpage&gt;&lt;bundle&gt;&lt;publication&gt;&lt;publisher&gt;Elsevier B.V.&lt;/publisher&gt;&lt;url&gt;http://www.google.com/search?client=safari&amp;amp;rls=10_7_4&amp;amp;q=Applied+Catalysis+A+General&amp;amp;ie=UTF-8&amp;amp;oe=UTF-8&lt;/url&gt;&lt;title&gt;Applied Catalysis A: General&lt;/title&gt;&lt;type&gt;-100&lt;/type&gt;&lt;subtype&gt;-100&lt;/subtype&gt;&lt;uuid&gt;E2C4D3ED-AA0E-40CD-AC16-1ADC89FE681C&lt;/uuid&gt;&lt;/publication&gt;&lt;/bundle&gt;&lt;authors&gt;&lt;author&gt;&lt;firstName&gt;Anthony&lt;/firstName&gt;&lt;middleNames&gt;V&lt;/middleNames&gt;&lt;lastName&gt;Bridgwater&lt;/lastName&gt;&lt;/author&gt;&lt;/authors&gt;&lt;/publication&gt;&lt;publication&gt;&lt;uuid&gt;2353C655-C1E4-441A-A588-01FF243A2DBC&lt;/uuid&gt;&lt;volume&gt;1&lt;/volume&gt;&lt;doi&gt;10.1002/cssc.200800018&lt;/doi&gt;&lt;startpage&gt;397&lt;/startpage&gt;&lt;publication_date&gt;99200805231200000000222000&lt;/publication_date&gt;&lt;url&gt;http://doi.wiley.com/10.1002/cssc.200800018&lt;/url&gt;&lt;citekey&gt;Carlson:2008ie&lt;/citekey&gt;&lt;type&gt;400&lt;/type&gt;&lt;title&gt;Green Gasoline by Catalytic Fast Pyrolysis of Solid Biomass Derived Compounds&lt;/title&gt;&lt;number&gt;5&lt;/number&gt;&lt;subtype&gt;400&lt;/subtype&gt;&lt;endpage&gt;400&lt;/endpage&gt;&lt;bundle&gt;&lt;publication&gt;&lt;publisher&gt;WILEY</w:instrText>
      </w:r>
      <w:r w:rsidR="00807999">
        <w:rPr>
          <w:rFonts w:ascii="Calibri" w:eastAsia="Calibri" w:hAnsi="Calibri" w:cs="Calibri"/>
        </w:rPr>
        <w:instrText>‐</w:instrText>
      </w:r>
      <w:r w:rsidR="00807999">
        <w:instrText>VCH Verlag&lt;/publisher&gt;&lt;title&gt;ChemSusChem&lt;/title&gt;&lt;type&gt;-100&lt;/type&gt;&lt;subtype&gt;-100&lt;/subtype&gt;&lt;uuid&gt;7311DD7F-36BC-4619-8B6C-41D5069DF002&lt;/uuid&gt;&lt;/publication&gt;&lt;/bundle&gt;&lt;authors&gt;&lt;author&gt;&lt;firstName&gt;Torren&lt;/firstName&gt;&lt;middleNames&gt;R&lt;/middleNames&gt;&lt;lastName&gt;Carlson&lt;/lastName&gt;&lt;/author&gt;&lt;author&gt;&lt;firstName&gt;Tushar&lt;/firstName&gt;&lt;middleNames&gt;P&lt;/middleNames&gt;&lt;lastName&gt;Vispute&lt;/lastName&gt;&lt;/author&gt;&lt;author&gt;&lt;firstName&gt;G W&lt;/firstName&gt;&lt;lastName&gt;Huber&lt;/lastName&gt;&lt;/author&gt;&lt;/authors&gt;&lt;/publication&gt;&lt;publication&gt;&lt;volume&gt;52&lt;/volume&gt;&lt;publication_date&gt;99200901141200000000222000&lt;/publication_date&gt;&lt;number&gt;3&lt;/number&gt;&lt;doi&gt;10.1007/s11244-008-9160-6&lt;/doi&gt;&lt;startpage&gt;241&lt;/startpage&gt;&lt;title&gt;Aromatic Production from Catalytic Fast Pyrolysis of Biomass-Derived Feedstocks&lt;/title&gt;&lt;uuid&gt;C37A900A-08E0-4C14-9719-AF2D27FAF390&lt;/uuid&gt;&lt;subtype&gt;400&lt;/subtype&gt;&lt;endpage&gt;252&lt;/endpage&gt;&lt;type&gt;400&lt;/type&gt;&lt;url&gt;http://www.springerlink.com/index/10.1007/s11244-008-9160-6&lt;/url&gt;&lt;bundle&gt;&lt;publication&gt;&lt;title&gt;Topics in Catalysis&lt;/title&gt;&lt;type&gt;-100&lt;/type&gt;&lt;subtype&gt;-100&lt;/subtype&gt;&lt;uuid&gt;DD338847-0F4A-4260-B5B9-307C372D8150&lt;/uuid&gt;&lt;/publication&gt;&lt;/bundle&gt;&lt;authors&gt;&lt;author&gt;&lt;firstName&gt;Torren&lt;/firstName&gt;&lt;middleNames&gt;R&lt;/middleNames&gt;&lt;lastName&gt;Carlson&lt;/lastName&gt;&lt;/author&gt;&lt;author&gt;&lt;firstName&gt;Geoffrey&lt;/firstName&gt;&lt;middleNames&gt;a&lt;/middleNames&gt;&lt;lastName&gt;Tompsett&lt;/lastName&gt;&lt;/author&gt;&lt;author&gt;&lt;firstName&gt;William&lt;/firstName&gt;&lt;middleNames&gt;C&lt;/middleNames&gt;&lt;lastName&gt;Conner&lt;/lastName&gt;&lt;/author&gt;&lt;author&gt;&lt;firstName&gt;G W&lt;/firstName&gt;&lt;lastName&gt;Huber&lt;/lastName&gt;&lt;/author&gt;&lt;/authors&gt;&lt;/publication&gt;&lt;/publications&gt;&lt;cites&gt;&lt;/cites&gt;&lt;/citation&gt;</w:instrText>
      </w:r>
      <w:r w:rsidR="00F86499">
        <w:fldChar w:fldCharType="separate"/>
      </w:r>
      <w:r w:rsidR="00980B82">
        <w:t>(</w:t>
      </w:r>
      <w:r w:rsidR="00980B82">
        <w:rPr>
          <w:i/>
          <w:iCs/>
        </w:rPr>
        <w:t>18</w:t>
      </w:r>
      <w:r w:rsidR="00980B82">
        <w:t>-</w:t>
      </w:r>
      <w:r w:rsidR="00980B82">
        <w:rPr>
          <w:i/>
          <w:iCs/>
        </w:rPr>
        <w:t>20</w:t>
      </w:r>
      <w:r w:rsidR="00980B82">
        <w:t>)</w:t>
      </w:r>
      <w:r w:rsidR="00F86499">
        <w:fldChar w:fldCharType="end"/>
      </w:r>
      <w:r>
        <w:t>. This approach is appealing because of the lack of an external H</w:t>
      </w:r>
      <w:r w:rsidRPr="001B6938">
        <w:rPr>
          <w:vertAlign w:val="subscript"/>
        </w:rPr>
        <w:t>2</w:t>
      </w:r>
      <w:r>
        <w:t xml:space="preserve"> requirement and the simplicity of the product streams. Furthermore, since zeolite cracking is widely used in traditional petroleum refining/valorization</w:t>
      </w:r>
      <w:r w:rsidR="00FC7D46">
        <w:t xml:space="preserve"> </w:t>
      </w:r>
      <w:r w:rsidR="00F86499">
        <w:fldChar w:fldCharType="begin"/>
      </w:r>
      <w:r w:rsidR="00807999">
        <w:instrText xml:space="preserve"> ADDIN PAPERS2_CITATIONS &lt;citation&gt;&lt;uuid&gt;C863A051-4B71-4FC9-BD99-DCE4EA6C226C&lt;/uuid&gt;&lt;priority&gt;0&lt;/priority&gt;&lt;publications&gt;&lt;publication&gt;&lt;uuid&gt;86DEBF07-8089-4C89-9C0D-B5CC1EE15AB6&lt;/uuid&gt;&lt;volume&gt;8&lt;/volume&gt;&lt;doi&gt;10.1002/cssc.201402861&lt;/doi&gt;&lt;startpage&gt;552&lt;/startpage&gt;&lt;publication_date&gt;99201412101200000000222000&lt;/publication_date&gt;&lt;url&gt;http://doi.wiley.com/10.1002/cssc.201402861&lt;/url&gt;&lt;citekey&gt;Wan:2014kl&lt;/citekey&gt;&lt;type&gt;400&lt;/type&gt;&lt;title&gt;Decoupling HZSM-5 Catalyst Activity from Deactivation during Upgrading of Pyrolysis Oil Vapors&lt;/title&gt;&lt;number&gt;3&lt;/number&gt;&lt;subtype&gt;400&lt;/subtype&gt;&lt;endpage&gt;559&lt;/endpage&gt;&lt;bundle&gt;&lt;publication&gt;&lt;publisher&gt;WILEY</w:instrText>
      </w:r>
      <w:r w:rsidR="00807999">
        <w:rPr>
          <w:rFonts w:ascii="Calibri" w:eastAsia="Calibri" w:hAnsi="Calibri" w:cs="Calibri"/>
        </w:rPr>
        <w:instrText>‐</w:instrText>
      </w:r>
      <w:r w:rsidR="00807999">
        <w:instrText>VCH Verlag&lt;/publisher&gt;&lt;title&gt;ChemSusChem&lt;/title&gt;&lt;type&gt;-100&lt;/type&gt;&lt;subtype&gt;-100&lt;/subtype&gt;&lt;uuid&gt;7311DD7F-36BC-4619-8B6C-41D5069DF002&lt;/uuid&gt;&lt;/publication&gt;&lt;/bundle&gt;&lt;authors&gt;&lt;author&gt;&lt;firstName&gt;Shaolong&lt;/firstName&gt;&lt;lastName&gt;Wan&lt;/lastName&gt;&lt;/author&gt;&lt;author&gt;&lt;firstName&gt;Christopher L&lt;/firstName&gt;&lt;lastName&gt;Waters&lt;/lastName&gt;&lt;/author&gt;&lt;author&gt;&lt;firstName&gt;Adam&lt;/firstName&gt;&lt;lastName&gt;Stevens&lt;/lastName&gt;&lt;/author&gt;&lt;author&gt;&lt;firstName&gt;Abhishek&lt;/firstName&gt;&lt;lastName&gt;Gumidyala&lt;/lastName&gt;&lt;/author&gt;&lt;author&gt;&lt;firstName&gt;Rolf&lt;/firstName&gt;&lt;lastName&gt;Jentoft&lt;/lastName&gt;&lt;/author&gt;&lt;author&gt;&lt;firstName&gt;Lance&lt;/firstName&gt;&lt;lastName&gt;Lobban&lt;/lastName&gt;&lt;/author&gt;&lt;author&gt;&lt;firstName&gt;Daniel&lt;/firstName&gt;&lt;lastName&gt;Resasco&lt;/lastName&gt;&lt;/author&gt;&lt;author&gt;&lt;firstName&gt;Richard&lt;/firstName&gt;&lt;lastName&gt;Mallinson&lt;/lastName&gt;&lt;/author&gt;&lt;author&gt;&lt;firstName&gt;Steven&lt;/firstName&gt;&lt;lastName&gt;Crossley&lt;/lastName&gt;&lt;/author&gt;&lt;/authors&gt;&lt;/publication&gt;&lt;/publications&gt;&lt;cites&gt;&lt;/cites&gt;&lt;/citation&gt;</w:instrText>
      </w:r>
      <w:r w:rsidR="00F86499">
        <w:fldChar w:fldCharType="separate"/>
      </w:r>
      <w:r w:rsidR="00980B82">
        <w:t>(</w:t>
      </w:r>
      <w:r w:rsidR="00980B82">
        <w:rPr>
          <w:i/>
          <w:iCs/>
        </w:rPr>
        <w:t>21</w:t>
      </w:r>
      <w:r w:rsidR="00980B82">
        <w:t>)</w:t>
      </w:r>
      <w:r w:rsidR="00F86499">
        <w:fldChar w:fldCharType="end"/>
      </w:r>
      <w:r>
        <w:t xml:space="preserve">, other advantages are the product compatibility with existing refinery infrastructure </w:t>
      </w:r>
      <w:r w:rsidR="00F86499">
        <w:t xml:space="preserve">and the maturity of the process </w:t>
      </w:r>
      <w:r w:rsidR="00F86499">
        <w:fldChar w:fldCharType="begin"/>
      </w:r>
      <w:r w:rsidR="00807999">
        <w:instrText xml:space="preserve"> ADDIN PAPERS2_CITATIONS &lt;citation&gt;&lt;uuid&gt;3FAC6AA1-F0FD-4918-BDEB-4A8B28309296&lt;/uuid&gt;&lt;priority&gt;0&lt;/priority&gt;&lt;publications&gt;&lt;publication&gt;&lt;uuid&gt;86DEBF07-8089-4C89-9C0D-B5CC1EE15AB6&lt;/uuid&gt;&lt;volume&gt;8&lt;/volume&gt;&lt;doi&gt;10.1002/cssc.201402861&lt;/doi&gt;&lt;startpage&gt;552&lt;/startpage&gt;&lt;publication_date&gt;99201412101200000000222000&lt;/publication_date&gt;&lt;url&gt;http://doi.wiley.com/10.1002/cssc.201402861&lt;/url&gt;&lt;citekey&gt;Wan:2014kl&lt;/citekey&gt;&lt;type&gt;400&lt;/type&gt;&lt;title&gt;Decoupling HZSM-5 Catalyst Activity from Deactivation during Upgrading of Pyrolysis Oil Vapors&lt;/title&gt;&lt;number&gt;3&lt;/number&gt;&lt;subtype&gt;400&lt;/subtype&gt;&lt;endpage&gt;559&lt;/endpage&gt;&lt;bundle&gt;&lt;publication&gt;&lt;publisher&gt;WILEY</w:instrText>
      </w:r>
      <w:r w:rsidR="00807999">
        <w:rPr>
          <w:rFonts w:ascii="Calibri" w:eastAsia="Calibri" w:hAnsi="Calibri" w:cs="Calibri"/>
        </w:rPr>
        <w:instrText>‐</w:instrText>
      </w:r>
      <w:r w:rsidR="00807999">
        <w:instrText>VCH Verlag&lt;/publisher&gt;&lt;title&gt;ChemSusChem&lt;/title&gt;&lt;type&gt;-100&lt;/type&gt;&lt;subtype&gt;-100&lt;/subtype&gt;&lt;uuid&gt;7311DD7F-36BC-4619-8B6C-41D5069DF002&lt;/uuid&gt;&lt;/publication&gt;&lt;/bundle&gt;&lt;authors&gt;&lt;author&gt;&lt;firstName&gt;Shaolong&lt;/firstName&gt;&lt;lastName&gt;Wan&lt;/lastName&gt;&lt;/author&gt;&lt;author&gt;&lt;firstName&gt;Christopher L&lt;/firstName&gt;&lt;lastName&gt;Waters&lt;/lastName&gt;&lt;/author&gt;&lt;author&gt;&lt;firstName&gt;Adam&lt;/firstName&gt;&lt;lastName&gt;Stevens&lt;/lastName&gt;&lt;/author&gt;&lt;author&gt;&lt;firstName&gt;Abhishek&lt;/firstName&gt;&lt;lastName&gt;Gumidyala&lt;/lastName&gt;&lt;/author&gt;&lt;author&gt;&lt;firstName&gt;Rolf&lt;/firstName&gt;&lt;lastName&gt;Jentoft&lt;/lastName&gt;&lt;/author&gt;&lt;author&gt;&lt;firstName&gt;Lance&lt;/firstName&gt;&lt;lastName&gt;Lobban&lt;/lastName&gt;&lt;/author&gt;&lt;author&gt;&lt;firstName&gt;Daniel&lt;/firstName&gt;&lt;lastName&gt;Resasco&lt;/lastName&gt;&lt;/author&gt;&lt;author&gt;&lt;firstName&gt;Richard&lt;/firstName&gt;&lt;lastName&gt;Mallinson&lt;/lastName&gt;&lt;/author&gt;&lt;author&gt;&lt;firstName&gt;Steven&lt;/firstName&gt;&lt;lastName&gt;Crossley&lt;/lastName&gt;&lt;/author&gt;&lt;/authors&gt;&lt;/publication&gt;&lt;/publications&gt;&lt;cites&gt;&lt;/cites&gt;&lt;/citation&gt;</w:instrText>
      </w:r>
      <w:r w:rsidR="00F86499">
        <w:fldChar w:fldCharType="separate"/>
      </w:r>
      <w:r w:rsidR="00980B82">
        <w:t>(</w:t>
      </w:r>
      <w:r w:rsidR="00980B82">
        <w:rPr>
          <w:i/>
          <w:iCs/>
        </w:rPr>
        <w:t>21</w:t>
      </w:r>
      <w:r w:rsidR="00980B82">
        <w:t>)</w:t>
      </w:r>
      <w:r w:rsidR="00F86499">
        <w:fldChar w:fldCharType="end"/>
      </w:r>
      <w:r>
        <w:t>. However, zeolite cracking is crippled by poor usable carbon yield due to the high amounts of coke, CO, and CO</w:t>
      </w:r>
      <w:r w:rsidRPr="00C43EA0">
        <w:rPr>
          <w:vertAlign w:val="subscript"/>
        </w:rPr>
        <w:t>2</w:t>
      </w:r>
      <w:r>
        <w:t xml:space="preserve"> formed during the catalytic process </w:t>
      </w:r>
      <w:r w:rsidR="00F86499">
        <w:fldChar w:fldCharType="begin"/>
      </w:r>
      <w:r w:rsidR="00807999">
        <w:instrText xml:space="preserve"> ADDIN PAPERS2_CITATIONS &lt;citation&gt;&lt;uuid&gt;1108655B-FA6A-4B9D-9B34-E5E56C6B85A0&lt;/uuid&gt;&lt;priority&gt;0&lt;/priority&gt;&lt;publications&gt;&lt;publication&gt;&lt;uuid&gt;2353C655-C1E4-441A-A588-01FF243A2DBC&lt;/uuid&gt;&lt;volume&gt;1&lt;/volume&gt;&lt;doi&gt;10.1002/cssc.200800018&lt;/doi&gt;&lt;startpage&gt;397&lt;/startpage&gt;&lt;publication_date&gt;99200805231200000000222000&lt;/publication_date&gt;&lt;url&gt;http://doi.wiley.com/10.1002/cssc.200800018&lt;/url&gt;&lt;citekey&gt;Carlson:2008ie&lt;/citekey&gt;&lt;type&gt;400&lt;/type&gt;&lt;title&gt;Green Gasoline by Catalytic Fast Pyrolysis of Solid Biomass Derived Compounds&lt;/title&gt;&lt;number&gt;5&lt;/number&gt;&lt;subtype&gt;400&lt;/subtype&gt;&lt;endpage&gt;400&lt;/endpage&gt;&lt;bundle&gt;&lt;publication&gt;&lt;publisher&gt;WILEY</w:instrText>
      </w:r>
      <w:r w:rsidR="00807999">
        <w:rPr>
          <w:rFonts w:ascii="Calibri" w:eastAsia="Calibri" w:hAnsi="Calibri" w:cs="Calibri"/>
        </w:rPr>
        <w:instrText>‐</w:instrText>
      </w:r>
      <w:r w:rsidR="00807999">
        <w:instrText>VCH Verlag&lt;/publisher&gt;&lt;title&gt;ChemSusChem&lt;/title&gt;&lt;type&gt;-100&lt;/type&gt;&lt;subtype&gt;-100&lt;/subtype&gt;&lt;uuid&gt;7311DD7F-36BC-4619-8B6C-41D5069DF002&lt;/uuid&gt;&lt;/publication&gt;&lt;/bundle&gt;&lt;authors&gt;&lt;author&gt;&lt;firstName&gt;Torren&lt;/firstName&gt;&lt;middleNames&gt;R&lt;/middleNames&gt;&lt;lastName&gt;Carlson&lt;/lastName&gt;&lt;/author&gt;&lt;author&gt;&lt;firstName&gt;Tushar&lt;/firstName&gt;&lt;middleNames&gt;P&lt;/middleNames&gt;&lt;lastName&gt;Vispute&lt;/lastName&gt;&lt;/author&gt;&lt;author&gt;&lt;firstName&gt;G W&lt;/firstName&gt;&lt;lastName&gt;Huber&lt;/lastName&gt;&lt;/author&gt;&lt;/authors&gt;&lt;/publication&gt;&lt;/publications&gt;&lt;cites&gt;&lt;/cites&gt;&lt;/citation&gt;</w:instrText>
      </w:r>
      <w:r w:rsidR="00F86499">
        <w:fldChar w:fldCharType="separate"/>
      </w:r>
      <w:r w:rsidR="00980B82">
        <w:t>(</w:t>
      </w:r>
      <w:r w:rsidR="00980B82">
        <w:rPr>
          <w:i/>
          <w:iCs/>
        </w:rPr>
        <w:t>19</w:t>
      </w:r>
      <w:r w:rsidR="00980B82">
        <w:t>)</w:t>
      </w:r>
      <w:r w:rsidR="00F86499">
        <w:fldChar w:fldCharType="end"/>
      </w:r>
      <w:r w:rsidR="00FC7D46">
        <w:t xml:space="preserve"> </w:t>
      </w:r>
      <w:r>
        <w:t xml:space="preserve">and the concomitant rapid catalyst deactivation. </w:t>
      </w:r>
      <w:r w:rsidR="000D5121" w:rsidRPr="00EB3B67">
        <w:t>Regeneration of zeolites is typically done by combusting away the coke, and the carbon is lost to CO</w:t>
      </w:r>
      <w:r w:rsidR="000D5121" w:rsidRPr="000D5121">
        <w:rPr>
          <w:vertAlign w:val="subscript"/>
        </w:rPr>
        <w:t>2</w:t>
      </w:r>
      <w:r w:rsidR="000D5121">
        <w:t xml:space="preserve">. </w:t>
      </w:r>
      <w:r>
        <w:t>Additionally, further catalytic oligomerization and reforming for olefins and aromatics, respectively, are needed to make these products suitable for addition to refinery fuel product streams, increasing the process costs and further reducing overall carbon yield.</w:t>
      </w:r>
    </w:p>
    <w:p w14:paraId="1E80048D" w14:textId="215A7EE1" w:rsidR="00EB5F5F" w:rsidRPr="00EB5F5F" w:rsidRDefault="00EB5F5F" w:rsidP="00EB5F5F">
      <w:r w:rsidRPr="00EB5F5F">
        <w:lastRenderedPageBreak/>
        <w:t>Recently, a variety of novel catalytic strategies have been proposed</w:t>
      </w:r>
      <w:r w:rsidR="00FC7D46">
        <w:t xml:space="preserve"> </w:t>
      </w:r>
      <w:r w:rsidR="00F86499">
        <w:fldChar w:fldCharType="begin"/>
      </w:r>
      <w:r w:rsidR="00807999">
        <w:instrText xml:space="preserve"> ADDIN PAPERS2_CITATIONS &lt;citation&gt;&lt;uuid&gt;0CD141DD-AD20-4939-B61B-C411434F11A2&lt;/uuid&gt;&lt;priority&gt;0&lt;/priority&gt;&lt;publications&gt;&lt;publication&gt;&lt;uuid&gt;271FD70B-C92A-4613-8CE3-264A474D36E9&lt;/uuid&gt;&lt;volume&gt;257&lt;/volume&gt;&lt;doi&gt;10.1016/j.cattod.2014.06.037&lt;/doi&gt;&lt;startpage&gt;185&lt;/startpage&gt;&lt;publication_date&gt;99201511151200000000222000&lt;/publication_date&gt;&lt;url&gt;http://dx.doi.org/10.1016/j.cattod.2014.06.037&lt;/url&gt;&lt;citekey&gt;Resasco:2015ip&lt;/citekey&gt;&lt;type&gt;400&lt;/type&gt;&lt;title&gt;Implementation of concepts derived from model compound studies in the separation and conversion of bio-oil to fuel&lt;/title&gt;&lt;publisher&gt;Elsevier B.V.&lt;/publisher&gt;&lt;subtype&gt;400&lt;/subtype&gt;&lt;endpage&gt;199&lt;/endpage&gt;&lt;bundle&gt;&lt;publication&gt;&lt;publisher&gt;Elsevier B.V.&lt;/publisher&gt;&lt;title&gt;Catalysis Today&lt;/title&gt;&lt;type&gt;-100&lt;/type&gt;&lt;subtype&gt;-100&lt;/subtype&gt;&lt;uuid&gt;D9C3576F-1760-49E2-B7E3-D5A7B7E19D6D&lt;/uuid&gt;&lt;/publication&gt;&lt;/bundle&gt;&lt;authors&gt;&lt;author&gt;&lt;firstName&gt;D&lt;/firstName&gt;&lt;middleNames&gt;E&lt;/middleNames&gt;&lt;lastName&gt;Resasco&lt;/lastName&gt;&lt;/author&gt;&lt;author&gt;&lt;firstName&gt;Steven&lt;/firstName&gt;&lt;middleNames&gt;P&lt;/middleNames&gt;&lt;lastName&gt;Crossley&lt;/lastName&gt;&lt;/author&gt;&lt;/authors&gt;&lt;/publication&gt;&lt;/publications&gt;&lt;cites&gt;&lt;/cites&gt;&lt;/citation&gt;</w:instrText>
      </w:r>
      <w:r w:rsidR="00F86499">
        <w:fldChar w:fldCharType="separate"/>
      </w:r>
      <w:r w:rsidR="00980B82">
        <w:t>(</w:t>
      </w:r>
      <w:r w:rsidR="00980B82">
        <w:rPr>
          <w:i/>
          <w:iCs/>
        </w:rPr>
        <w:t>22</w:t>
      </w:r>
      <w:r w:rsidR="00980B82">
        <w:t>)</w:t>
      </w:r>
      <w:r w:rsidR="00F86499">
        <w:fldChar w:fldCharType="end"/>
      </w:r>
      <w:r w:rsidR="00F86499">
        <w:t>.</w:t>
      </w:r>
      <w:r w:rsidRPr="00EB5F5F">
        <w:t xml:space="preserve"> Briefly, these include: selective hydrogenation of acetic acid to ethanol over oxide-supported metals; ketonization of acetic acid to acetone on both oxide &amp; zeolite catalysts; condensation of light oxygenates and furanic compounds over a variety of catalysts; hydrolysis of levoglucosan followed by partial oxidation to gluconic acid; aldol condensation in biphasic water/organic emulsions using bifunctional nanohybrid metal/basic catalysts; a variety of options to reduce furanic compound reactivities; disproportionation and transalkylation of methoxy- substituents on phenolic species via metal-functionalized zeolites and oxide-supported metals;  selective hydrogenation of the C-O phenolic bond using bimetallic alloy catalysts; and alkylation of phenolic species with ketones using functionalized zeolites. </w:t>
      </w:r>
    </w:p>
    <w:p w14:paraId="66D626BA" w14:textId="6821854D" w:rsidR="008A6C31" w:rsidRDefault="00EB5F5F" w:rsidP="00B103E0">
      <w:r w:rsidRPr="00EB5F5F">
        <w:t>While the studies cited above all show promising results, the underlying problem with any catalytic strategy to upgrade fast pyrolysis bio-oil to a suitable liquid fuels product is that any one catalyst cannot be optimized to convert the compl</w:t>
      </w:r>
      <w:r w:rsidR="00B45BAF">
        <w:t xml:space="preserve">ex mixture that is bio-oil. A </w:t>
      </w:r>
      <w:r w:rsidRPr="00EB5F5F">
        <w:t>catalyst used for upgrading of one family of compounds (e.g. light oxygenates) may not be suitable for other families (e.g. substituted phenolics or furanics) which results in undesirable reactions (breaking C-C bonds unnecessarily</w:t>
      </w:r>
      <w:r w:rsidR="002E6B57">
        <w:t>, or increasing H:C ratios above the 2:1 optimum</w:t>
      </w:r>
      <w:r w:rsidRPr="00EB5F5F">
        <w:t xml:space="preserve">) or </w:t>
      </w:r>
      <w:r w:rsidR="002E6B57">
        <w:t>undergoing rapid deactivation due to reactions with other, non-targeted bio-oil oxygenates</w:t>
      </w:r>
      <w:r w:rsidR="008A6C31">
        <w:t xml:space="preserve">. </w:t>
      </w:r>
      <w:r w:rsidR="008A6C31" w:rsidRPr="008A6C31">
        <w:t xml:space="preserve">For example, </w:t>
      </w:r>
      <w:r w:rsidR="00B45BAF">
        <w:t>acidic catalysts</w:t>
      </w:r>
      <w:r w:rsidR="008A6C31" w:rsidRPr="008A6C31">
        <w:t xml:space="preserve"> which have been shown to be very efficient at producing alkyl aromatics from polysaccharide-derived molecules</w:t>
      </w:r>
      <w:r w:rsidR="00FC7D46">
        <w:t xml:space="preserve"> </w:t>
      </w:r>
      <w:r w:rsidR="00F86499">
        <w:fldChar w:fldCharType="begin"/>
      </w:r>
      <w:r w:rsidR="00807999">
        <w:instrText xml:space="preserve"> ADDIN PAPERS2_CITATIONS &lt;citation&gt;&lt;uuid&gt;3ECC058F-0425-4FD6-9F91-2D75C85938FB&lt;/uuid&gt;&lt;priority&gt;0&lt;/priority&gt;&lt;publications&gt;&lt;publication&gt;&lt;uuid&gt;67C49F71-EBB5-41E6-8254-22C02266896A&lt;/uuid&gt;&lt;volume&gt;26&lt;/volume&gt;&lt;doi&gt;10.1021/ef301469t&lt;/doi&gt;&lt;startpage&gt;7347&lt;/startpage&gt;&lt;publication_date&gt;99201200001200000000200000&lt;/publication_date&gt;&lt;url&gt;http://pubs.acs.org/doi/abs/10.1021/ef301469t&lt;/url&gt;&lt;citekey&gt;Srinivasan2012&lt;/citekey&gt;&lt;type&gt;400&lt;/type&gt;&lt;title&gt;Catalytic Pyrolysis of Torrefied Biomass for Hydrocarbons Production&lt;/title&gt;&lt;number&gt;12&lt;/number&gt;&lt;subtype&gt;400&lt;/subtype&gt;&lt;endpage&gt;7353&lt;/endpage&gt;&lt;bundle&gt;&lt;publication&gt;&lt;publisher&gt;American Chemical Society&lt;/publisher&gt;&lt;title&gt;Energy &amp;amp; Fuels&lt;/title&gt;&lt;type&gt;-100&lt;/type&gt;&lt;subtype&gt;-100&lt;/subtype&gt;&lt;uuid&gt;DCD2A25C-F261-4333-B749-6E6DAB1F820E&lt;/uuid&gt;&lt;/publication&gt;&lt;/bundle&gt;&lt;authors&gt;&lt;author&gt;&lt;firstName&gt;Vaishnavi&lt;/firstName&gt;&lt;lastName&gt;Srinivasan&lt;/lastName&gt;&lt;/author&gt;&lt;author&gt;&lt;firstName&gt;Sushil&lt;/firstName&gt;&lt;lastName&gt;Adhikari&lt;/lastName&gt;&lt;/author&gt;&lt;author&gt;&lt;firstName&gt;Shyamsundar&lt;/firstName&gt;&lt;middleNames&gt;Ayalur&lt;/middleNames&gt;&lt;lastName&gt;Chattanathan&lt;/lastName&gt;&lt;/author&gt;&lt;author&gt;&lt;firstName&gt;Sunkyu&lt;/firstName&gt;&lt;lastName&gt;Park&lt;/lastName&gt;&lt;/author&gt;&lt;/authors&gt;&lt;/publication&gt;&lt;/publications&gt;&lt;cites&gt;&lt;/cites&gt;&lt;/citation&gt;</w:instrText>
      </w:r>
      <w:r w:rsidR="00F86499">
        <w:fldChar w:fldCharType="separate"/>
      </w:r>
      <w:r w:rsidR="00980B82">
        <w:t>(</w:t>
      </w:r>
      <w:r w:rsidR="00980B82">
        <w:rPr>
          <w:i/>
          <w:iCs/>
        </w:rPr>
        <w:t>23</w:t>
      </w:r>
      <w:r w:rsidR="00980B82">
        <w:t>)</w:t>
      </w:r>
      <w:r w:rsidR="00F86499">
        <w:fldChar w:fldCharType="end"/>
      </w:r>
      <w:r w:rsidR="008A6C31" w:rsidRPr="008A6C31">
        <w:t>, are severely inhibited by the presence of lignin-derived methoxyphenols. These high molecular weight compounds have been shown to compete strongly for adsorption sites on these catalysts.</w:t>
      </w:r>
    </w:p>
    <w:p w14:paraId="333EC9E9" w14:textId="4098AB00" w:rsidR="00B103E0" w:rsidRDefault="002E6B57" w:rsidP="00B103E0">
      <w:r>
        <w:lastRenderedPageBreak/>
        <w:t xml:space="preserve">These upgrading challenges suggest the desirability of thermal conversion producing more selective product streams, i.e., each stream comprising fewer families of chemical compounds. </w:t>
      </w:r>
      <w:r w:rsidR="00EB5F5F" w:rsidRPr="00EB5F5F">
        <w:t>As a result, some separation of bio-oil into catalytically favorable product streams must be achieved in order to improve the viability of this technology.</w:t>
      </w:r>
    </w:p>
    <w:p w14:paraId="3303BE1C" w14:textId="4A756267" w:rsidR="00801CCA" w:rsidRDefault="00801CCA" w:rsidP="005C7E19">
      <w:pPr>
        <w:pStyle w:val="Heading2"/>
      </w:pPr>
      <w:bookmarkStart w:id="15" w:name="_Toc449964829"/>
      <w:r>
        <w:t>Staged Thermal Fractionation</w:t>
      </w:r>
      <w:bookmarkEnd w:id="15"/>
    </w:p>
    <w:p w14:paraId="60121C9D" w14:textId="3B6480A8" w:rsidR="00562980" w:rsidRDefault="00801CCA" w:rsidP="00801CCA">
      <w:pPr>
        <w:rPr>
          <w:highlight w:val="yellow"/>
        </w:rPr>
      </w:pPr>
      <w:r>
        <w:t>One strategy which has been proposed to produce simpler intermediate streams is staged thermal fractionation (also referred to as staged degasification)</w:t>
      </w:r>
      <w:r w:rsidR="00FC7D46">
        <w:t xml:space="preserve"> </w:t>
      </w:r>
      <w:r w:rsidR="00F86499">
        <w:fldChar w:fldCharType="begin"/>
      </w:r>
      <w:r w:rsidR="00807999">
        <w:instrText xml:space="preserve"> ADDIN PAPERS2_CITATIONS &lt;citation&gt;&lt;uuid&gt;B589A9E2-922E-4634-9C41-A7D11183C1F0&lt;/uuid&gt;&lt;priority&gt;0&lt;/priority&gt;&lt;publications&gt;&lt;publication&gt;&lt;uuid&gt;A11E5BC9-374C-4075-8917-BB173C784CFE&lt;/uuid&gt;&lt;volume&gt;2&lt;/volume&gt;&lt;doi&gt;10.4155/bfs.10.88&lt;/doi&gt;&lt;startpage&gt;185&lt;/startpage&gt;&lt;publication_date&gt;992011000012000000002100002011/03/01&lt;/publication_date&gt;&lt;url&gt;http://www.tandfonline.com/doi/abs/10.4155/bfs.10.88&lt;/url&gt;&lt;type&gt;400&lt;/type&gt;&lt;title&gt;Biomass pyrolysis for chemicals&lt;/title&gt;&lt;publisher&gt;Taylor &amp;amp; Francis&lt;/publisher&gt;&lt;number&gt;2&lt;/number&gt;&lt;subtype&gt;400&lt;/subtype&gt;&lt;endpage&gt;208&lt;/endpage&gt;&lt;bundle&gt;&lt;publication&gt;&lt;publisher&gt;Taylor &amp;amp; Francis&lt;/publisher&gt;&lt;title&gt;Biofuels&lt;/title&gt;&lt;type&gt;-100&lt;/type&gt;&lt;subtype&gt;-100&lt;/subtype&gt;&lt;uuid&gt;CB805655-1FCD-4D3F-988D-4F6BBA565496&lt;/uuid&gt;&lt;/publication&gt;&lt;/bundle&gt;&lt;authors&gt;&lt;author&gt;&lt;nonDroppingParticle&gt;de&lt;/nonDroppingParticle&gt;&lt;firstName&gt;Paul&lt;/firstName&gt;&lt;lastName&gt;Wild&lt;/lastName&gt;&lt;/author&gt;&lt;author&gt;&lt;firstName&gt;Hans&lt;/firstName&gt;&lt;lastName&gt;Reith&lt;/lastName&gt;&lt;/author&gt;&lt;author&gt;&lt;firstName&gt;Erik&lt;/firstName&gt;&lt;lastName&gt;Heeres&lt;/lastName&gt;&lt;/author&gt;&lt;/authors&gt;&lt;/publication&gt;&lt;publication&gt;&lt;publication_date&gt;99201200001200000000200000&lt;/publication_date&gt;&lt;doi&gt;10.1021/ef201872y&lt;/doi&gt;&lt;title&gt;Effect of torrefaction temperature on product distribution from two-staged pyrolysis of biomass&lt;/title&gt;&lt;uuid&gt;31F8DE5B-ABC2-47C6-AA01-E7CFD12195BE&lt;/uuid&gt;&lt;subtype&gt;400&lt;/subtype&gt;&lt;type&gt;400&lt;/type&gt;&lt;url&gt;http://pubs.acs.org/doi/abs/10.1021/ef201872y&lt;/url&gt;&lt;bundle&gt;&lt;publication&gt;&lt;publisher&gt;American Chemical Society&lt;/publisher&gt;&lt;title&gt;Energy &amp;amp; Fuels&lt;/title&gt;&lt;type&gt;-100&lt;/type&gt;&lt;subtype&gt;-100&lt;/subtype&gt;&lt;uuid&gt;DCD2A25C-F261-4333-B749-6E6DAB1F820E&lt;/uuid&gt;&lt;/publication&gt;&lt;/bundle&gt;&lt;authors&gt;&lt;author&gt;&lt;firstName&gt;Sheng&lt;/firstName&gt;&lt;lastName&gt;Chang&lt;/lastName&gt;&lt;/author&gt;&lt;author&gt;&lt;firstName&gt;A&lt;/firstName&gt;&lt;lastName&gt;Zheng&lt;/lastName&gt;&lt;/author&gt;&lt;author&gt;&lt;firstName&gt;Z&lt;/firstName&gt;&lt;lastName&gt;Zhao&lt;/lastName&gt;&lt;/author&gt;&lt;author&gt;&lt;firstName&gt;Zhen&lt;/firstName&gt;&lt;lastName&gt;Huang&lt;/lastName&gt;&lt;/author&gt;&lt;author&gt;&lt;firstName&gt;F&lt;/firstName&gt;&lt;lastName&gt;He&lt;/lastName&gt;&lt;/author&gt;&lt;author&gt;&lt;firstName&gt;H&lt;/firstName&gt;&lt;lastName&gt;Li&lt;/lastName&gt;&lt;/author&gt;&lt;/authors&gt;&lt;/publication&gt;&lt;publication&gt;&lt;publication_date&gt;99201300001200000000200000&lt;/publication_date&gt;&lt;doi&gt;10.1016/j.jaap.2012.12.002&lt;/doi&gt;&lt;title&gt;Fast pyrolysis of biomass thermally pretreated by torrefaction&lt;/title&gt;&lt;uuid&gt;5A1260D0-C484-4C6A-92DE-C4FB9492191D&lt;/uuid&gt;&lt;subtype&gt;400&lt;/subtype&gt;&lt;type&gt;400&lt;/type&gt;&lt;citekey&gt;Boateng:2013by&lt;/citekey&gt;&lt;url&gt;http://www.sciencedirect.com/science/article/pii/S016523701200246X&lt;/url&gt;&lt;bundle&gt;&lt;publication&gt;&lt;publisher&gt;Elsevier B.V.&lt;/publisher&gt;&lt;title&gt;Journal of Analytical and Applied Pyrolysis&lt;/title&gt;&lt;type&gt;-100&lt;/type&gt;&lt;subtype&gt;-100&lt;/subtype&gt;&lt;uuid&gt;D2B451F2-ABD5-4B2D-92A4-9DB1FFA0C21E&lt;/uuid&gt;&lt;/publication&gt;&lt;/bundle&gt;&lt;authors&gt;&lt;author&gt;&lt;firstName&gt;A&lt;/firstName&gt;&lt;middleNames&gt;A&lt;/middleNames&gt;&lt;lastName&gt;Boateng&lt;/lastName&gt;&lt;/author&gt;&lt;author&gt;&lt;firstName&gt;Charles&lt;/firstName&gt;&lt;middleNames&gt;a&lt;/middleNames&gt;&lt;lastName&gt;Mullen&lt;/lastName&gt;&lt;/author&gt;&lt;/authors&gt;&lt;/publication&gt;&lt;/publications&gt;&lt;cites&gt;&lt;/cites&gt;&lt;/citation&gt;</w:instrText>
      </w:r>
      <w:r w:rsidR="00F86499">
        <w:fldChar w:fldCharType="separate"/>
      </w:r>
      <w:r w:rsidR="00980B82">
        <w:t>(</w:t>
      </w:r>
      <w:r w:rsidR="00980B82">
        <w:rPr>
          <w:i/>
          <w:iCs/>
        </w:rPr>
        <w:t>24</w:t>
      </w:r>
      <w:r w:rsidR="00980B82">
        <w:t>-</w:t>
      </w:r>
      <w:r w:rsidR="00980B82">
        <w:rPr>
          <w:i/>
          <w:iCs/>
        </w:rPr>
        <w:t>26</w:t>
      </w:r>
      <w:r w:rsidR="00980B82">
        <w:t>)</w:t>
      </w:r>
      <w:r w:rsidR="00F86499">
        <w:fldChar w:fldCharType="end"/>
      </w:r>
      <w:r>
        <w:t xml:space="preserve">. Staged fractionation leverages the inherent differences in the thermal stability and decomposition products of the biopolymers which constitute biomass. TGA studies have shown that hemicelluloses, cellulose, and lignin decompose over different temperature ranges; generally, hemicellulose decomposes at a lower temperature range (220-315°C) than cellulose (300-400°C), while lignin decomposes over a broad range of temperatures (150-900°C) </w:t>
      </w:r>
      <w:r w:rsidR="00A77322">
        <w:fldChar w:fldCharType="begin"/>
      </w:r>
      <w:r w:rsidR="00807999">
        <w:instrText xml:space="preserve"> ADDIN PAPERS2_CITATIONS &lt;citation&gt;&lt;uuid&gt;38197C72-8983-4A7E-AA04-1653BED2E50F&lt;/uuid&gt;&lt;priority&gt;0&lt;/priority&gt;&lt;publications&gt;&lt;publication&gt;&lt;uuid&gt;E6BB8F68-703A-472B-9E06-7A7127C33EF5&lt;/uuid&gt;&lt;volume&gt;86&lt;/volume&gt;&lt;doi&gt;10.1016/j.fuel.2006.12.013&lt;/doi&gt;&lt;startpage&gt;1781&lt;/startpage&gt;&lt;publication_date&gt;99200700001200000000200000&lt;/publication_date&gt;&lt;url&gt;http://linkinghub.elsevier.com/retrieve/pii/S001623610600490X&lt;/url&gt;&lt;citekey&gt;Yang2007&lt;/citekey&gt;&lt;type&gt;400&lt;/type&gt;&lt;title&gt;Characteristics of hemicellulose, cellulose and lignin pyrolysis&lt;/title&gt;&lt;number&gt;12-13&lt;/number&gt;&lt;subtype&gt;400&lt;/subtype&gt;&lt;endpage&gt;1788&lt;/endpage&gt;&lt;bundle&gt;&lt;publication&gt;&lt;publisher&gt;Elsevier Ltd&lt;/publisher&gt;&lt;title&gt;Fuel&lt;/title&gt;&lt;type&gt;-100&lt;/type&gt;&lt;subtype&gt;-100&lt;/subtype&gt;&lt;uuid&gt;E286CABA-D6F1-4A09-A385-6AFE55FAD8F4&lt;/uuid&gt;&lt;/publication&gt;&lt;/bundle&gt;&lt;authors&gt;&lt;author&gt;&lt;firstName&gt;Haiping&lt;/firstName&gt;&lt;lastName&gt;Yang&lt;/lastName&gt;&lt;/author&gt;&lt;author&gt;&lt;firstName&gt;Rong&lt;/firstName&gt;&lt;lastName&gt;Yan&lt;/lastName&gt;&lt;/author&gt;&lt;author&gt;&lt;firstName&gt;Hanping&lt;/firstName&gt;&lt;lastName&gt;Chen&lt;/lastName&gt;&lt;/author&gt;&lt;author&gt;&lt;firstName&gt;Dong&lt;/firstName&gt;&lt;middleNames&gt;Ho&lt;/middleNames&gt;&lt;lastName&gt;Lee&lt;/lastName&gt;&lt;/author&gt;&lt;author&gt;&lt;firstName&gt;Chuguang&lt;/firstName&gt;&lt;lastName&gt;Zheng&lt;/lastName&gt;&lt;/author&gt;&lt;/authors&gt;&lt;/publication&gt;&lt;publication&gt;&lt;uuid&gt;F12CBAA5-F02D-4CC3-95F8-2308E3CB048F&lt;/uuid&gt;&lt;volume&gt;34&lt;/volume&gt;&lt;doi&gt;10.1021/ie00042a001&lt;/doi&gt;&lt;startpage&gt;703&lt;/startpage&gt;&lt;publication_date&gt;99199500001200000000200000&lt;/publication_date&gt;&lt;url&gt;http://pubs.acs.org/doi/abs/10.1021/ie00042a001&lt;/url&gt;&lt;citekey&gt;Antal1995&lt;/citekey&gt;&lt;type&gt;400&lt;/type&gt;&lt;title&gt;Cellulose Pyrolysis Kinetics: The Current State of Knowledge&lt;/title&gt;&lt;number&gt;3&lt;/number&gt;&lt;subtype&gt;400&lt;/subtype&gt;&lt;endpage&gt;717&lt;/endpage&gt;&lt;bundle&gt;&lt;publication&gt;&lt;publisher&gt;&lt;/publisher&gt;&lt;title&gt;Industrial &amp;amp; Engineering Chemistry Research&lt;/title&gt;&lt;type&gt;-100&lt;/type&gt;&lt;subtype&gt;-100&lt;/subtype&gt;&lt;uuid&gt;3EB2AD93-F0E9-43F2-A1C5-49893E3B73E3&lt;/uuid&gt;&lt;/publication&gt;&lt;/bundle&gt;&lt;authors&gt;&lt;author&gt;&lt;lastName&gt;Antal&lt;/lastName&gt;&lt;firstName&gt;Michael&lt;/firstName&gt;&lt;middleNames&gt;Jerry&lt;/middleNames&gt;&lt;suffix&gt;Jr.&lt;/suffix&gt;&lt;/author&gt;&lt;author&gt;&lt;firstName&gt;Gabor&lt;/firstName&gt;&lt;lastName&gt;Varhegyi&lt;/lastName&gt;&lt;/author&gt;&lt;/authors&gt;&lt;/publication&gt;&lt;publication&gt;&lt;uuid&gt;7F3CA580-4D61-4466-9A72-A59E23E92DD8&lt;/uuid&gt;&lt;volume&gt;42&lt;/volume&gt;&lt;doi&gt;10.1016/S0165-2370(96)00971-0&lt;/doi&gt;&lt;startpage&gt;73&lt;/startpage&gt;&lt;publication_date&gt;99199706001200000000220000&lt;/publication_date&gt;&lt;url&gt;http://linkinghub.elsevier.com/retrieve/pii/S0165237096009710&lt;/url&gt;&lt;citekey&gt;Varhegyi:1997wx&lt;/citekey&gt;&lt;type&gt;400&lt;/type&gt;&lt;title&gt;Kinetic modeling of biomass pyrolysis&lt;/title&gt;&lt;number&gt;1&lt;/number&gt;&lt;subtype&gt;400&lt;/subtype&gt;&lt;endpage&gt;87&lt;/endpage&gt;&lt;bundle&gt;&lt;publication&gt;&lt;publisher&gt;Elsevier B.V.&lt;/publisher&gt;&lt;title&gt;Journal of Analytical and Applied Pyrolysis&lt;/title&gt;&lt;type&gt;-100&lt;/type&gt;&lt;subtype&gt;-100&lt;/subtype&gt;&lt;uuid&gt;D2B451F2-ABD5-4B2D-92A4-9DB1FFA0C21E&lt;/uuid&gt;&lt;/publication&gt;&lt;/bundle&gt;&lt;authors&gt;&lt;author&gt;&lt;firstName&gt;Gabor&lt;/firstName&gt;&lt;lastName&gt;Varhegyi&lt;/lastName&gt;&lt;/author&gt;&lt;author&gt;&lt;lastName&gt;Antal&lt;/lastName&gt;&lt;firstName&gt;Michael&lt;/firstName&gt;&lt;middleNames&gt;Jerry&lt;/middleNames&gt;&lt;suffix&gt;Jr.&lt;/suffix&gt;&lt;/author&gt;&lt;author&gt;&lt;firstName&gt;Emma&lt;/firstName&gt;&lt;lastName&gt;Jakab&lt;/lastName&gt;&lt;/author&gt;&lt;author&gt;&lt;firstName&gt;Piroska&lt;/firstName&gt;&lt;lastName&gt;Szabó&lt;/lastName&gt;&lt;/author&gt;&lt;/authors&gt;&lt;/publication&gt;&lt;/publications&gt;&lt;cites&gt;&lt;/cites&gt;&lt;/citation&gt;</w:instrText>
      </w:r>
      <w:r w:rsidR="00A77322">
        <w:fldChar w:fldCharType="separate"/>
      </w:r>
      <w:r w:rsidR="00980B82">
        <w:t>(</w:t>
      </w:r>
      <w:r w:rsidR="00980B82">
        <w:rPr>
          <w:i/>
          <w:iCs/>
        </w:rPr>
        <w:t>27</w:t>
      </w:r>
      <w:r w:rsidR="00980B82">
        <w:t>-</w:t>
      </w:r>
      <w:r w:rsidR="00980B82">
        <w:rPr>
          <w:i/>
          <w:iCs/>
        </w:rPr>
        <w:t>29</w:t>
      </w:r>
      <w:r w:rsidR="00980B82">
        <w:t>)</w:t>
      </w:r>
      <w:r w:rsidR="00A77322">
        <w:fldChar w:fldCharType="end"/>
      </w:r>
      <w:r>
        <w:t>.</w:t>
      </w:r>
      <w:r w:rsidR="00562980">
        <w:t xml:space="preserve"> Additionally,</w:t>
      </w:r>
      <w:r>
        <w:t xml:space="preserve"> </w:t>
      </w:r>
      <w:r w:rsidR="00562980" w:rsidRPr="00562980">
        <w:t xml:space="preserve">In a series of publications, Brown and Patwardhan report the product distributions from the pyrolysis of the three biomass fractions </w:t>
      </w:r>
      <w:r w:rsidR="00A77322">
        <w:fldChar w:fldCharType="begin"/>
      </w:r>
      <w:r w:rsidR="00807999">
        <w:instrText xml:space="preserve"> ADDIN PAPERS2_CITATIONS &lt;citation&gt;&lt;uuid&gt;AB2334A1-44AB-4A94-81F4-0B1EF351D89F&lt;/uuid&gt;&lt;priority&gt;0&lt;/priority&gt;&lt;publications&gt;&lt;publication&gt;&lt;uuid&gt;0F039A4D-3B13-43BA-9986-1D237E7D7A00&lt;/uuid&gt;&lt;volume&gt;4&lt;/volume&gt;&lt;doi&gt;10.1002/cssc.201100133&lt;/doi&gt;&lt;startpage&gt;1629&lt;/startpage&gt;&lt;publication_date&gt;99201111181200000000222000&lt;/publication_date&gt;&lt;url&gt;http://onlinelibrary.wiley.com/doi/10.1002/cssc.201100133/full&lt;/url&gt;&lt;citekey&gt;Patwardhan:2011in&lt;/citekey&gt;&lt;type&gt;400&lt;/type&gt;&lt;title&gt;Understanding the Fast Pyrolysis of Lignin&lt;/title&gt;&lt;publisher&gt;WILEY</w:instrText>
      </w:r>
      <w:r w:rsidR="00807999">
        <w:rPr>
          <w:rFonts w:ascii="Calibri" w:eastAsia="Calibri" w:hAnsi="Calibri" w:cs="Calibri"/>
        </w:rPr>
        <w:instrText>‐</w:instrText>
      </w:r>
      <w:r w:rsidR="00807999">
        <w:instrText>VCH Verlag&lt;/publisher&gt;&lt;number&gt;11&lt;/number&gt;&lt;subtype&gt;400&lt;/subtype&gt;&lt;endpage&gt;1636&lt;/endpage&gt;&lt;bundle&gt;&lt;publication&gt;&lt;publisher&gt;WILEY</w:instrText>
      </w:r>
      <w:r w:rsidR="00807999">
        <w:rPr>
          <w:rFonts w:ascii="Calibri" w:eastAsia="Calibri" w:hAnsi="Calibri" w:cs="Calibri"/>
        </w:rPr>
        <w:instrText>‐</w:instrText>
      </w:r>
      <w:r w:rsidR="00807999">
        <w:instrText>VCH Verlag&lt;/publisher&gt;&lt;title&gt;ChemSusChem&lt;/title&gt;&lt;type&gt;-100&lt;/type&gt;&lt;subtype&gt;-100&lt;/subtype&gt;&lt;uuid&gt;7311DD7F-36BC-4619-8B6C-41D5069DF002&lt;/uuid&gt;&lt;/publication&gt;&lt;/bundle&gt;&lt;authors&gt;&lt;author&gt;&lt;firstName&gt;Pushkaraj&lt;/firstName&gt;&lt;middleNames&gt;R&lt;/middleNames&gt;&lt;lastName&gt;Patwardhan&lt;/lastName&gt;&lt;/author&gt;&lt;author&gt;&lt;firstName&gt;Robert&lt;/firstName&gt;&lt;middleNames&gt;C&lt;/middleNames&gt;&lt;lastName&gt;Brown&lt;/lastName&gt;&lt;/author&gt;&lt;author&gt;&lt;firstName&gt;Brent&lt;/firstName&gt;&lt;middleNames&gt;H&lt;/middleNames&gt;&lt;lastName&gt;Shanks&lt;/lastName&gt;&lt;/author&gt;&lt;/authors&gt;&lt;/publication&gt;&lt;publication&gt;&lt;publication_date&gt;99201100001200000000200000&lt;/publication_date&gt;&lt;doi&gt;10.1002/cssc.201000425/full&lt;/doi&gt;&lt;title&gt;Product distribution from the fast pyrolysis of hemicellulose&lt;/title&gt;&lt;uuid&gt;BD813F33-3913-4A9A-9121-EA81B3ACDAE8&lt;/uuid&gt;&lt;subtype&gt;400&lt;/subtype&gt;&lt;type&gt;400&lt;/type&gt;&lt;url&gt;http://onlinelibrary.wiley.com/doi/10.1002/cssc.201000425/full&lt;/url&gt;&lt;bundle&gt;&lt;publication&gt;&lt;publisher&gt;WILEY</w:instrText>
      </w:r>
      <w:r w:rsidR="00807999">
        <w:rPr>
          <w:rFonts w:ascii="Calibri" w:eastAsia="Calibri" w:hAnsi="Calibri" w:cs="Calibri"/>
        </w:rPr>
        <w:instrText>‐</w:instrText>
      </w:r>
      <w:r w:rsidR="00807999">
        <w:instrText>VCH Verlag&lt;/publisher&gt;&lt;title&gt;ChemSusChem&lt;/title&gt;&lt;type&gt;-100&lt;/type&gt;&lt;subtype&gt;-100&lt;/subtype&gt;&lt;uuid&gt;7311DD7F-36BC-4619-8B6C-41D5069DF002&lt;/uuid&gt;&lt;/publication&gt;&lt;/bundle&gt;&lt;authors&gt;&lt;author&gt;&lt;firstName&gt;Pushkaraj&lt;/firstName&gt;&lt;middleNames&gt;R&lt;/middleNames&gt;&lt;lastName&gt;Patwardhan&lt;/lastName&gt;&lt;/author&gt;&lt;author&gt;&lt;firstName&gt;Robert&lt;/firstName&gt;&lt;middleNames&gt;C&lt;/middleNames&gt;&lt;lastName&gt;Brown&lt;/lastName&gt;&lt;/author&gt;&lt;author&gt;&lt;firstName&gt;Brent&lt;/firstName&gt;&lt;middleNames&gt;H&lt;/middleNames&gt;&lt;lastName&gt;Shanks&lt;/lastName&gt;&lt;/author&gt;&lt;/authors&gt;&lt;/publication&gt;&lt;publication&gt;&lt;publication_date&gt;99201100001200000000200000&lt;/publication_date&gt;&lt;doi&gt;10.1016/j.biortech.2011.02.018&lt;/doi&gt;&lt;title&gt;Distinguishing primary and secondary reactions of cellulose pyrolysis&lt;/title&gt;&lt;uuid&gt;03ED85DE-07DF-4E32-B887-11673E3EDD28&lt;/uuid&gt;&lt;subtype&gt;400&lt;/subtype&gt;&lt;type&gt;400&lt;/type&gt;&lt;citekey&gt;Patwardhan:2011kaa&lt;/citekey&gt;&lt;url&gt;http://www.sciencedirect.com/science/article/pii/S0960852411002033&lt;/url&gt;&lt;bundle&gt;&lt;publication&gt;&lt;publisher&gt;Elsevier Ltd&lt;/publisher&gt;&lt;title&gt;Bioresource technology&lt;/title&gt;&lt;type&gt;-100&lt;/type&gt;&lt;subtype&gt;-100&lt;/subtype&gt;&lt;uuid&gt;20FABC45-BAD7-4D11-A180-BCA66580D347&lt;/uuid&gt;&lt;/publication&gt;&lt;/bundle&gt;&lt;authors&gt;&lt;author&gt;&lt;firstName&gt;Pushkaraj&lt;/firstName&gt;&lt;middleNames&gt;R&lt;/middleNames&gt;&lt;lastName&gt;Patwardhan&lt;/lastName&gt;&lt;/author&gt;&lt;author&gt;&lt;firstName&gt;Dustin&lt;/firstName&gt;&lt;middleNames&gt;L&lt;/middleNames&gt;&lt;lastName&gt;Dalluge&lt;/lastName&gt;&lt;/author&gt;&lt;author&gt;&lt;firstName&gt;Brent&lt;/firstName&gt;&lt;middleNames&gt;H&lt;/middleNames&gt;&lt;lastName&gt;Shanks&lt;/lastName&gt;&lt;/author&gt;&lt;/authors&gt;&lt;/publication&gt;&lt;/publications&gt;&lt;cites&gt;&lt;/cites&gt;&lt;/citation&gt;</w:instrText>
      </w:r>
      <w:r w:rsidR="00A77322">
        <w:fldChar w:fldCharType="separate"/>
      </w:r>
      <w:r w:rsidR="00980B82">
        <w:t>(</w:t>
      </w:r>
      <w:r w:rsidR="00980B82">
        <w:rPr>
          <w:i/>
          <w:iCs/>
        </w:rPr>
        <w:t>12</w:t>
      </w:r>
      <w:r w:rsidR="00980B82">
        <w:t xml:space="preserve">, </w:t>
      </w:r>
      <w:r w:rsidR="00980B82">
        <w:rPr>
          <w:i/>
          <w:iCs/>
        </w:rPr>
        <w:t>30</w:t>
      </w:r>
      <w:r w:rsidR="00980B82">
        <w:t xml:space="preserve">, </w:t>
      </w:r>
      <w:r w:rsidR="00980B82">
        <w:rPr>
          <w:i/>
          <w:iCs/>
        </w:rPr>
        <w:t>31</w:t>
      </w:r>
      <w:r w:rsidR="00980B82">
        <w:t>)</w:t>
      </w:r>
      <w:r w:rsidR="00A77322">
        <w:fldChar w:fldCharType="end"/>
      </w:r>
      <w:r w:rsidR="00562980" w:rsidRPr="00562980">
        <w:t xml:space="preserve">. A summary of their results is reported in </w:t>
      </w:r>
      <w:r w:rsidR="00562980" w:rsidRPr="00881840">
        <w:t xml:space="preserve">table </w:t>
      </w:r>
      <w:r w:rsidR="0014402A" w:rsidRPr="00881840">
        <w:t>1.2</w:t>
      </w:r>
      <w:r w:rsidR="00562980" w:rsidRPr="00881840">
        <w:t>.</w:t>
      </w:r>
    </w:p>
    <w:p w14:paraId="7BC28819" w14:textId="1D2CA645" w:rsidR="00114348" w:rsidRDefault="00562980" w:rsidP="00562980">
      <w:r>
        <w:rPr>
          <w:highlight w:val="yellow"/>
        </w:rPr>
        <w:br w:type="page"/>
      </w:r>
    </w:p>
    <w:tbl>
      <w:tblPr>
        <w:tblW w:w="8486" w:type="dxa"/>
        <w:tblBorders>
          <w:top w:val="single" w:sz="4" w:space="0" w:color="auto"/>
          <w:left w:val="single" w:sz="4" w:space="0" w:color="auto"/>
          <w:bottom w:val="single" w:sz="4" w:space="0" w:color="auto"/>
          <w:right w:val="single" w:sz="4" w:space="0" w:color="auto"/>
        </w:tblBorders>
        <w:tblLayout w:type="fixed"/>
        <w:tblCellMar>
          <w:top w:w="115" w:type="dxa"/>
          <w:left w:w="0" w:type="dxa"/>
          <w:bottom w:w="115" w:type="dxa"/>
          <w:right w:w="0" w:type="dxa"/>
        </w:tblCellMar>
        <w:tblLook w:val="04A0" w:firstRow="1" w:lastRow="0" w:firstColumn="1" w:lastColumn="0" w:noHBand="0" w:noVBand="1"/>
      </w:tblPr>
      <w:tblGrid>
        <w:gridCol w:w="250"/>
        <w:gridCol w:w="258"/>
        <w:gridCol w:w="258"/>
        <w:gridCol w:w="258"/>
        <w:gridCol w:w="258"/>
        <w:gridCol w:w="258"/>
        <w:gridCol w:w="259"/>
        <w:gridCol w:w="259"/>
        <w:gridCol w:w="259"/>
        <w:gridCol w:w="259"/>
        <w:gridCol w:w="259"/>
        <w:gridCol w:w="259"/>
        <w:gridCol w:w="259"/>
        <w:gridCol w:w="259"/>
        <w:gridCol w:w="259"/>
        <w:gridCol w:w="259"/>
        <w:gridCol w:w="259"/>
        <w:gridCol w:w="259"/>
        <w:gridCol w:w="259"/>
        <w:gridCol w:w="259"/>
        <w:gridCol w:w="259"/>
        <w:gridCol w:w="259"/>
        <w:gridCol w:w="259"/>
        <w:gridCol w:w="259"/>
        <w:gridCol w:w="259"/>
        <w:gridCol w:w="259"/>
        <w:gridCol w:w="259"/>
        <w:gridCol w:w="259"/>
        <w:gridCol w:w="259"/>
        <w:gridCol w:w="259"/>
        <w:gridCol w:w="259"/>
        <w:gridCol w:w="233"/>
        <w:gridCol w:w="238"/>
      </w:tblGrid>
      <w:tr w:rsidR="00562980" w:rsidRPr="00A26022" w14:paraId="7E2B25DE" w14:textId="77777777" w:rsidTr="009464DA">
        <w:trPr>
          <w:trHeight w:val="560"/>
        </w:trPr>
        <w:tc>
          <w:tcPr>
            <w:tcW w:w="250" w:type="dxa"/>
            <w:shd w:val="clear" w:color="auto" w:fill="auto"/>
            <w:noWrap/>
            <w:textDirection w:val="btLr"/>
            <w:hideMark/>
          </w:tcPr>
          <w:p w14:paraId="3F2D82ED" w14:textId="77777777" w:rsidR="00562980" w:rsidRPr="0064365C" w:rsidRDefault="00562980" w:rsidP="009464DA">
            <w:pPr>
              <w:pStyle w:val="Tables"/>
              <w:rPr>
                <w:b/>
                <w:sz w:val="20"/>
                <w:szCs w:val="20"/>
              </w:rPr>
            </w:pPr>
            <w:r w:rsidRPr="0064365C">
              <w:rPr>
                <w:b/>
                <w:sz w:val="20"/>
                <w:szCs w:val="20"/>
              </w:rPr>
              <w:lastRenderedPageBreak/>
              <w:t> </w:t>
            </w:r>
          </w:p>
        </w:tc>
        <w:tc>
          <w:tcPr>
            <w:tcW w:w="258" w:type="dxa"/>
            <w:shd w:val="clear" w:color="auto" w:fill="auto"/>
            <w:noWrap/>
            <w:textDirection w:val="btLr"/>
            <w:vAlign w:val="center"/>
            <w:hideMark/>
          </w:tcPr>
          <w:p w14:paraId="50048FC5" w14:textId="77777777" w:rsidR="00562980" w:rsidRPr="00A26022" w:rsidRDefault="00562980" w:rsidP="009464DA">
            <w:pPr>
              <w:pStyle w:val="Tables"/>
              <w:jc w:val="right"/>
              <w:rPr>
                <w:sz w:val="20"/>
                <w:szCs w:val="20"/>
                <w:u w:val="single"/>
              </w:rPr>
            </w:pPr>
            <w:r w:rsidRPr="00A26022">
              <w:rPr>
                <w:sz w:val="20"/>
                <w:szCs w:val="20"/>
                <w:u w:val="single"/>
              </w:rPr>
              <w:t>wt %</w:t>
            </w:r>
          </w:p>
        </w:tc>
        <w:tc>
          <w:tcPr>
            <w:tcW w:w="258" w:type="dxa"/>
            <w:shd w:val="clear" w:color="auto" w:fill="auto"/>
            <w:noWrap/>
            <w:textDirection w:val="btLr"/>
            <w:vAlign w:val="center"/>
            <w:hideMark/>
          </w:tcPr>
          <w:p w14:paraId="5A0C51F4" w14:textId="77777777" w:rsidR="00562980" w:rsidRPr="00A26022" w:rsidRDefault="00562980" w:rsidP="009464DA">
            <w:pPr>
              <w:pStyle w:val="Tables"/>
              <w:jc w:val="right"/>
              <w:rPr>
                <w:sz w:val="20"/>
                <w:szCs w:val="20"/>
              </w:rPr>
            </w:pPr>
            <w:r w:rsidRPr="00A26022">
              <w:rPr>
                <w:sz w:val="20"/>
                <w:szCs w:val="20"/>
              </w:rPr>
              <w:t>1.8</w:t>
            </w:r>
          </w:p>
        </w:tc>
        <w:tc>
          <w:tcPr>
            <w:tcW w:w="258" w:type="dxa"/>
            <w:shd w:val="clear" w:color="auto" w:fill="auto"/>
            <w:noWrap/>
            <w:textDirection w:val="btLr"/>
            <w:vAlign w:val="center"/>
            <w:hideMark/>
          </w:tcPr>
          <w:p w14:paraId="25B0F23B" w14:textId="77777777" w:rsidR="00562980" w:rsidRPr="00A26022" w:rsidRDefault="00562980" w:rsidP="009464DA">
            <w:pPr>
              <w:pStyle w:val="Tables"/>
              <w:jc w:val="right"/>
              <w:rPr>
                <w:sz w:val="20"/>
                <w:szCs w:val="20"/>
              </w:rPr>
            </w:pPr>
            <w:r w:rsidRPr="00A26022">
              <w:rPr>
                <w:sz w:val="20"/>
                <w:szCs w:val="20"/>
              </w:rPr>
              <w:t>15.2</w:t>
            </w:r>
          </w:p>
        </w:tc>
        <w:tc>
          <w:tcPr>
            <w:tcW w:w="258" w:type="dxa"/>
            <w:shd w:val="clear" w:color="auto" w:fill="auto"/>
            <w:noWrap/>
            <w:textDirection w:val="btLr"/>
            <w:vAlign w:val="center"/>
            <w:hideMark/>
          </w:tcPr>
          <w:p w14:paraId="10498D30" w14:textId="77777777" w:rsidR="00562980" w:rsidRPr="00A26022" w:rsidRDefault="00562980" w:rsidP="009464DA">
            <w:pPr>
              <w:pStyle w:val="Tables"/>
              <w:jc w:val="right"/>
              <w:rPr>
                <w:sz w:val="20"/>
                <w:szCs w:val="20"/>
              </w:rPr>
            </w:pPr>
            <w:r w:rsidRPr="00A26022">
              <w:rPr>
                <w:sz w:val="20"/>
                <w:szCs w:val="20"/>
              </w:rPr>
              <w:t>0.9</w:t>
            </w:r>
          </w:p>
        </w:tc>
        <w:tc>
          <w:tcPr>
            <w:tcW w:w="258" w:type="dxa"/>
            <w:shd w:val="clear" w:color="auto" w:fill="auto"/>
            <w:noWrap/>
            <w:textDirection w:val="btLr"/>
            <w:vAlign w:val="center"/>
            <w:hideMark/>
          </w:tcPr>
          <w:p w14:paraId="70BA366A" w14:textId="77777777" w:rsidR="00562980" w:rsidRPr="00A26022" w:rsidRDefault="00562980" w:rsidP="009464DA">
            <w:pPr>
              <w:pStyle w:val="Tables"/>
              <w:jc w:val="right"/>
              <w:rPr>
                <w:sz w:val="20"/>
                <w:szCs w:val="20"/>
              </w:rPr>
            </w:pPr>
            <w:r w:rsidRPr="00A26022">
              <w:rPr>
                <w:sz w:val="20"/>
                <w:szCs w:val="20"/>
              </w:rPr>
              <w:t>0.7</w:t>
            </w:r>
          </w:p>
        </w:tc>
        <w:tc>
          <w:tcPr>
            <w:tcW w:w="259" w:type="dxa"/>
            <w:shd w:val="clear" w:color="auto" w:fill="auto"/>
            <w:noWrap/>
            <w:textDirection w:val="btLr"/>
            <w:vAlign w:val="center"/>
            <w:hideMark/>
          </w:tcPr>
          <w:p w14:paraId="32C66164" w14:textId="77777777" w:rsidR="00562980" w:rsidRPr="00A26022" w:rsidRDefault="00562980" w:rsidP="009464DA">
            <w:pPr>
              <w:pStyle w:val="Tables"/>
              <w:jc w:val="right"/>
              <w:rPr>
                <w:sz w:val="20"/>
                <w:szCs w:val="20"/>
              </w:rPr>
            </w:pPr>
            <w:r w:rsidRPr="00A26022">
              <w:rPr>
                <w:sz w:val="20"/>
                <w:szCs w:val="20"/>
              </w:rPr>
              <w:t>0.1</w:t>
            </w:r>
          </w:p>
        </w:tc>
        <w:tc>
          <w:tcPr>
            <w:tcW w:w="259" w:type="dxa"/>
            <w:shd w:val="clear" w:color="auto" w:fill="auto"/>
            <w:noWrap/>
            <w:textDirection w:val="btLr"/>
            <w:vAlign w:val="center"/>
            <w:hideMark/>
          </w:tcPr>
          <w:p w14:paraId="7F930DEB" w14:textId="77777777" w:rsidR="00562980" w:rsidRPr="00A26022" w:rsidRDefault="00562980" w:rsidP="009464DA">
            <w:pPr>
              <w:pStyle w:val="Tables"/>
              <w:jc w:val="right"/>
              <w:rPr>
                <w:sz w:val="20"/>
                <w:szCs w:val="20"/>
              </w:rPr>
            </w:pPr>
            <w:r w:rsidRPr="00A26022">
              <w:rPr>
                <w:sz w:val="20"/>
                <w:szCs w:val="20"/>
              </w:rPr>
              <w:t>11.5</w:t>
            </w:r>
          </w:p>
        </w:tc>
        <w:tc>
          <w:tcPr>
            <w:tcW w:w="259" w:type="dxa"/>
            <w:shd w:val="clear" w:color="auto" w:fill="auto"/>
            <w:noWrap/>
            <w:textDirection w:val="btLr"/>
            <w:vAlign w:val="center"/>
            <w:hideMark/>
          </w:tcPr>
          <w:p w14:paraId="4789F358" w14:textId="77777777" w:rsidR="00562980" w:rsidRPr="00A26022" w:rsidRDefault="00562980" w:rsidP="009464DA">
            <w:pPr>
              <w:pStyle w:val="Tables"/>
              <w:jc w:val="right"/>
              <w:rPr>
                <w:sz w:val="20"/>
                <w:szCs w:val="20"/>
              </w:rPr>
            </w:pPr>
            <w:r w:rsidRPr="00A26022">
              <w:rPr>
                <w:sz w:val="20"/>
                <w:szCs w:val="20"/>
              </w:rPr>
              <w:t>0.2</w:t>
            </w:r>
          </w:p>
        </w:tc>
        <w:tc>
          <w:tcPr>
            <w:tcW w:w="259" w:type="dxa"/>
            <w:shd w:val="clear" w:color="auto" w:fill="auto"/>
            <w:noWrap/>
            <w:textDirection w:val="btLr"/>
            <w:vAlign w:val="center"/>
            <w:hideMark/>
          </w:tcPr>
          <w:p w14:paraId="1249644B" w14:textId="77777777" w:rsidR="00562980" w:rsidRPr="00A26022" w:rsidRDefault="00562980" w:rsidP="009464DA">
            <w:pPr>
              <w:pStyle w:val="Tables"/>
              <w:jc w:val="right"/>
              <w:rPr>
                <w:sz w:val="20"/>
                <w:szCs w:val="20"/>
              </w:rPr>
            </w:pPr>
            <w:r w:rsidRPr="00A26022">
              <w:rPr>
                <w:sz w:val="20"/>
                <w:szCs w:val="20"/>
              </w:rPr>
              <w:t>1.9</w:t>
            </w:r>
          </w:p>
        </w:tc>
        <w:tc>
          <w:tcPr>
            <w:tcW w:w="259" w:type="dxa"/>
            <w:shd w:val="clear" w:color="auto" w:fill="auto"/>
            <w:noWrap/>
            <w:textDirection w:val="btLr"/>
            <w:vAlign w:val="center"/>
            <w:hideMark/>
          </w:tcPr>
          <w:p w14:paraId="24994540" w14:textId="77777777" w:rsidR="00562980" w:rsidRPr="00A26022" w:rsidRDefault="00562980" w:rsidP="009464DA">
            <w:pPr>
              <w:pStyle w:val="Tables"/>
              <w:jc w:val="right"/>
              <w:rPr>
                <w:sz w:val="20"/>
                <w:szCs w:val="20"/>
              </w:rPr>
            </w:pPr>
            <w:r w:rsidRPr="00A26022">
              <w:rPr>
                <w:sz w:val="20"/>
                <w:szCs w:val="20"/>
              </w:rPr>
              <w:t>0.9</w:t>
            </w:r>
          </w:p>
        </w:tc>
        <w:tc>
          <w:tcPr>
            <w:tcW w:w="259" w:type="dxa"/>
            <w:shd w:val="clear" w:color="auto" w:fill="auto"/>
            <w:noWrap/>
            <w:textDirection w:val="btLr"/>
            <w:vAlign w:val="center"/>
            <w:hideMark/>
          </w:tcPr>
          <w:p w14:paraId="27025DFA" w14:textId="77777777" w:rsidR="00562980" w:rsidRPr="00A26022" w:rsidRDefault="00562980" w:rsidP="009464DA">
            <w:pPr>
              <w:pStyle w:val="Tables"/>
              <w:jc w:val="right"/>
              <w:rPr>
                <w:sz w:val="20"/>
                <w:szCs w:val="20"/>
              </w:rPr>
            </w:pPr>
            <w:r w:rsidRPr="00A26022">
              <w:rPr>
                <w:sz w:val="20"/>
                <w:szCs w:val="20"/>
              </w:rPr>
              <w:t>0.1</w:t>
            </w:r>
          </w:p>
        </w:tc>
        <w:tc>
          <w:tcPr>
            <w:tcW w:w="259" w:type="dxa"/>
            <w:shd w:val="clear" w:color="auto" w:fill="auto"/>
            <w:noWrap/>
            <w:textDirection w:val="btLr"/>
            <w:vAlign w:val="center"/>
            <w:hideMark/>
          </w:tcPr>
          <w:p w14:paraId="20DBFC5D" w14:textId="77777777" w:rsidR="00562980" w:rsidRPr="00A26022" w:rsidRDefault="00562980" w:rsidP="009464DA">
            <w:pPr>
              <w:pStyle w:val="Tables"/>
              <w:jc w:val="right"/>
              <w:rPr>
                <w:sz w:val="20"/>
                <w:szCs w:val="20"/>
              </w:rPr>
            </w:pPr>
            <w:r w:rsidRPr="00A26022">
              <w:rPr>
                <w:sz w:val="20"/>
                <w:szCs w:val="20"/>
              </w:rPr>
              <w:t>0.6</w:t>
            </w:r>
          </w:p>
        </w:tc>
        <w:tc>
          <w:tcPr>
            <w:tcW w:w="259" w:type="dxa"/>
            <w:shd w:val="clear" w:color="auto" w:fill="auto"/>
            <w:noWrap/>
            <w:textDirection w:val="btLr"/>
            <w:vAlign w:val="center"/>
            <w:hideMark/>
          </w:tcPr>
          <w:p w14:paraId="326D4CA2" w14:textId="77777777" w:rsidR="00562980" w:rsidRPr="00A26022" w:rsidRDefault="00562980" w:rsidP="009464DA">
            <w:pPr>
              <w:pStyle w:val="Tables"/>
              <w:jc w:val="right"/>
              <w:rPr>
                <w:sz w:val="20"/>
                <w:szCs w:val="20"/>
              </w:rPr>
            </w:pPr>
            <w:r w:rsidRPr="00A26022">
              <w:rPr>
                <w:sz w:val="20"/>
                <w:szCs w:val="20"/>
              </w:rPr>
              <w:t>0.7</w:t>
            </w:r>
          </w:p>
        </w:tc>
        <w:tc>
          <w:tcPr>
            <w:tcW w:w="259" w:type="dxa"/>
            <w:shd w:val="clear" w:color="auto" w:fill="auto"/>
            <w:noWrap/>
            <w:textDirection w:val="btLr"/>
            <w:vAlign w:val="center"/>
            <w:hideMark/>
          </w:tcPr>
          <w:p w14:paraId="2621BC51" w14:textId="77777777" w:rsidR="00562980" w:rsidRPr="00A26022" w:rsidRDefault="00562980" w:rsidP="009464DA">
            <w:pPr>
              <w:pStyle w:val="Tables"/>
              <w:jc w:val="right"/>
              <w:rPr>
                <w:sz w:val="20"/>
                <w:szCs w:val="20"/>
              </w:rPr>
            </w:pPr>
            <w:r w:rsidRPr="00A26022">
              <w:rPr>
                <w:sz w:val="20"/>
                <w:szCs w:val="20"/>
              </w:rPr>
              <w:t>0.1</w:t>
            </w:r>
          </w:p>
        </w:tc>
        <w:tc>
          <w:tcPr>
            <w:tcW w:w="259" w:type="dxa"/>
            <w:shd w:val="clear" w:color="auto" w:fill="auto"/>
            <w:noWrap/>
            <w:textDirection w:val="btLr"/>
            <w:vAlign w:val="center"/>
            <w:hideMark/>
          </w:tcPr>
          <w:p w14:paraId="7742449E" w14:textId="77777777" w:rsidR="00562980" w:rsidRPr="00A26022" w:rsidRDefault="00562980" w:rsidP="009464DA">
            <w:pPr>
              <w:pStyle w:val="Tables"/>
              <w:jc w:val="right"/>
              <w:rPr>
                <w:sz w:val="20"/>
                <w:szCs w:val="20"/>
              </w:rPr>
            </w:pPr>
            <w:r w:rsidRPr="00A26022">
              <w:rPr>
                <w:sz w:val="20"/>
                <w:szCs w:val="20"/>
              </w:rPr>
              <w:t>0.6</w:t>
            </w:r>
          </w:p>
        </w:tc>
        <w:tc>
          <w:tcPr>
            <w:tcW w:w="259" w:type="dxa"/>
            <w:shd w:val="clear" w:color="auto" w:fill="auto"/>
            <w:noWrap/>
            <w:textDirection w:val="btLr"/>
            <w:vAlign w:val="center"/>
            <w:hideMark/>
          </w:tcPr>
          <w:p w14:paraId="444F4F65" w14:textId="77777777" w:rsidR="00562980" w:rsidRPr="00A26022" w:rsidRDefault="00562980" w:rsidP="009464DA">
            <w:pPr>
              <w:pStyle w:val="Tables"/>
              <w:jc w:val="right"/>
              <w:rPr>
                <w:sz w:val="20"/>
                <w:szCs w:val="20"/>
              </w:rPr>
            </w:pPr>
            <w:r w:rsidRPr="00A26022">
              <w:rPr>
                <w:sz w:val="20"/>
                <w:szCs w:val="20"/>
              </w:rPr>
              <w:t>0.4</w:t>
            </w:r>
          </w:p>
        </w:tc>
        <w:tc>
          <w:tcPr>
            <w:tcW w:w="259" w:type="dxa"/>
            <w:shd w:val="clear" w:color="auto" w:fill="auto"/>
            <w:noWrap/>
            <w:textDirection w:val="btLr"/>
            <w:vAlign w:val="center"/>
            <w:hideMark/>
          </w:tcPr>
          <w:p w14:paraId="31A5A20B" w14:textId="77777777" w:rsidR="00562980" w:rsidRPr="00A26022" w:rsidRDefault="00562980" w:rsidP="009464DA">
            <w:pPr>
              <w:pStyle w:val="Tables"/>
              <w:jc w:val="right"/>
              <w:rPr>
                <w:sz w:val="20"/>
                <w:szCs w:val="20"/>
              </w:rPr>
            </w:pPr>
            <w:r w:rsidRPr="00A26022">
              <w:rPr>
                <w:sz w:val="20"/>
                <w:szCs w:val="20"/>
              </w:rPr>
              <w:t>3.5</w:t>
            </w:r>
          </w:p>
        </w:tc>
        <w:tc>
          <w:tcPr>
            <w:tcW w:w="259" w:type="dxa"/>
            <w:shd w:val="clear" w:color="auto" w:fill="auto"/>
            <w:noWrap/>
            <w:textDirection w:val="btLr"/>
            <w:vAlign w:val="center"/>
            <w:hideMark/>
          </w:tcPr>
          <w:p w14:paraId="3A465D5B" w14:textId="77777777" w:rsidR="00562980" w:rsidRPr="00A26022" w:rsidRDefault="00562980" w:rsidP="009464DA">
            <w:pPr>
              <w:pStyle w:val="Tables"/>
              <w:jc w:val="right"/>
              <w:rPr>
                <w:sz w:val="20"/>
                <w:szCs w:val="20"/>
              </w:rPr>
            </w:pPr>
            <w:r w:rsidRPr="00A26022">
              <w:rPr>
                <w:sz w:val="20"/>
                <w:szCs w:val="20"/>
              </w:rPr>
              <w:t>1.8</w:t>
            </w:r>
          </w:p>
        </w:tc>
        <w:tc>
          <w:tcPr>
            <w:tcW w:w="259" w:type="dxa"/>
            <w:shd w:val="clear" w:color="auto" w:fill="auto"/>
            <w:noWrap/>
            <w:textDirection w:val="btLr"/>
            <w:vAlign w:val="center"/>
            <w:hideMark/>
          </w:tcPr>
          <w:p w14:paraId="38785256" w14:textId="77777777" w:rsidR="00562980" w:rsidRPr="00A26022" w:rsidRDefault="00562980" w:rsidP="009464DA">
            <w:pPr>
              <w:pStyle w:val="Tables"/>
              <w:jc w:val="right"/>
              <w:rPr>
                <w:sz w:val="20"/>
                <w:szCs w:val="20"/>
              </w:rPr>
            </w:pPr>
            <w:r w:rsidRPr="00A26022">
              <w:rPr>
                <w:sz w:val="20"/>
                <w:szCs w:val="20"/>
              </w:rPr>
              <w:t>1.4</w:t>
            </w:r>
          </w:p>
        </w:tc>
        <w:tc>
          <w:tcPr>
            <w:tcW w:w="259" w:type="dxa"/>
            <w:shd w:val="clear" w:color="auto" w:fill="auto"/>
            <w:noWrap/>
            <w:textDirection w:val="btLr"/>
            <w:vAlign w:val="center"/>
            <w:hideMark/>
          </w:tcPr>
          <w:p w14:paraId="7AFB84C1" w14:textId="663E2B51" w:rsidR="00562980" w:rsidRPr="00A26022" w:rsidRDefault="00562980" w:rsidP="009464DA">
            <w:pPr>
              <w:pStyle w:val="Tables"/>
              <w:jc w:val="right"/>
              <w:rPr>
                <w:sz w:val="20"/>
                <w:szCs w:val="20"/>
              </w:rPr>
            </w:pPr>
            <w:r w:rsidRPr="00A26022">
              <w:rPr>
                <w:sz w:val="20"/>
                <w:szCs w:val="20"/>
              </w:rPr>
              <w:t>1</w:t>
            </w:r>
            <w:r w:rsidR="00C47DF5">
              <w:rPr>
                <w:sz w:val="20"/>
                <w:szCs w:val="20"/>
              </w:rPr>
              <w:t>.0</w:t>
            </w:r>
          </w:p>
        </w:tc>
        <w:tc>
          <w:tcPr>
            <w:tcW w:w="259" w:type="dxa"/>
            <w:shd w:val="clear" w:color="auto" w:fill="auto"/>
            <w:noWrap/>
            <w:textDirection w:val="btLr"/>
            <w:vAlign w:val="center"/>
            <w:hideMark/>
          </w:tcPr>
          <w:p w14:paraId="1E20E650" w14:textId="77777777" w:rsidR="00562980" w:rsidRPr="00A26022" w:rsidRDefault="00562980" w:rsidP="009464DA">
            <w:pPr>
              <w:pStyle w:val="Tables"/>
              <w:jc w:val="right"/>
              <w:rPr>
                <w:sz w:val="20"/>
                <w:szCs w:val="20"/>
              </w:rPr>
            </w:pPr>
            <w:r w:rsidRPr="00A26022">
              <w:rPr>
                <w:sz w:val="20"/>
                <w:szCs w:val="20"/>
              </w:rPr>
              <w:t>0.2</w:t>
            </w:r>
          </w:p>
        </w:tc>
        <w:tc>
          <w:tcPr>
            <w:tcW w:w="259" w:type="dxa"/>
            <w:shd w:val="clear" w:color="auto" w:fill="auto"/>
            <w:noWrap/>
            <w:textDirection w:val="btLr"/>
            <w:vAlign w:val="center"/>
            <w:hideMark/>
          </w:tcPr>
          <w:p w14:paraId="6F304AD3" w14:textId="77777777" w:rsidR="00562980" w:rsidRPr="00A26022" w:rsidRDefault="00562980" w:rsidP="009464DA">
            <w:pPr>
              <w:pStyle w:val="Tables"/>
              <w:jc w:val="right"/>
              <w:rPr>
                <w:sz w:val="20"/>
                <w:szCs w:val="20"/>
              </w:rPr>
            </w:pPr>
            <w:r w:rsidRPr="00A26022">
              <w:rPr>
                <w:sz w:val="20"/>
                <w:szCs w:val="20"/>
              </w:rPr>
              <w:t>0.8</w:t>
            </w:r>
          </w:p>
        </w:tc>
        <w:tc>
          <w:tcPr>
            <w:tcW w:w="518" w:type="dxa"/>
            <w:gridSpan w:val="2"/>
            <w:shd w:val="clear" w:color="auto" w:fill="auto"/>
            <w:noWrap/>
            <w:textDirection w:val="btLr"/>
            <w:vAlign w:val="center"/>
            <w:hideMark/>
          </w:tcPr>
          <w:p w14:paraId="2AB37099" w14:textId="77777777" w:rsidR="00562980" w:rsidRPr="00A26022" w:rsidRDefault="00562980" w:rsidP="009464DA">
            <w:pPr>
              <w:pStyle w:val="Tables"/>
              <w:jc w:val="right"/>
              <w:rPr>
                <w:sz w:val="20"/>
                <w:szCs w:val="20"/>
              </w:rPr>
            </w:pPr>
            <w:r w:rsidRPr="00A26022">
              <w:rPr>
                <w:sz w:val="20"/>
                <w:szCs w:val="20"/>
              </w:rPr>
              <w:t>0.4</w:t>
            </w:r>
          </w:p>
        </w:tc>
        <w:tc>
          <w:tcPr>
            <w:tcW w:w="259" w:type="dxa"/>
            <w:shd w:val="clear" w:color="auto" w:fill="auto"/>
            <w:noWrap/>
            <w:textDirection w:val="btLr"/>
            <w:vAlign w:val="center"/>
          </w:tcPr>
          <w:p w14:paraId="40F35F72" w14:textId="77777777" w:rsidR="00562980" w:rsidRPr="00A26022" w:rsidRDefault="00562980" w:rsidP="009464DA">
            <w:pPr>
              <w:pStyle w:val="Tables"/>
              <w:jc w:val="right"/>
              <w:rPr>
                <w:sz w:val="20"/>
                <w:szCs w:val="20"/>
              </w:rPr>
            </w:pPr>
            <w:r w:rsidRPr="00A26022">
              <w:rPr>
                <w:sz w:val="20"/>
                <w:szCs w:val="20"/>
              </w:rPr>
              <w:t>0.8</w:t>
            </w:r>
          </w:p>
        </w:tc>
        <w:tc>
          <w:tcPr>
            <w:tcW w:w="259" w:type="dxa"/>
            <w:shd w:val="clear" w:color="auto" w:fill="auto"/>
            <w:noWrap/>
            <w:textDirection w:val="btLr"/>
            <w:vAlign w:val="center"/>
          </w:tcPr>
          <w:p w14:paraId="53A1654A" w14:textId="77777777" w:rsidR="00562980" w:rsidRPr="00A26022" w:rsidRDefault="00562980" w:rsidP="009464DA">
            <w:pPr>
              <w:pStyle w:val="Tables"/>
              <w:jc w:val="right"/>
              <w:rPr>
                <w:sz w:val="20"/>
                <w:szCs w:val="20"/>
              </w:rPr>
            </w:pPr>
            <w:r w:rsidRPr="00A26022">
              <w:rPr>
                <w:sz w:val="20"/>
                <w:szCs w:val="20"/>
              </w:rPr>
              <w:t>0.2</w:t>
            </w:r>
          </w:p>
        </w:tc>
        <w:tc>
          <w:tcPr>
            <w:tcW w:w="259" w:type="dxa"/>
            <w:shd w:val="clear" w:color="auto" w:fill="auto"/>
            <w:noWrap/>
            <w:textDirection w:val="btLr"/>
            <w:vAlign w:val="center"/>
          </w:tcPr>
          <w:p w14:paraId="71B7AFA8" w14:textId="77777777" w:rsidR="00562980" w:rsidRPr="00A26022" w:rsidRDefault="00562980" w:rsidP="009464DA">
            <w:pPr>
              <w:pStyle w:val="Tables"/>
              <w:jc w:val="right"/>
              <w:rPr>
                <w:sz w:val="20"/>
                <w:szCs w:val="20"/>
              </w:rPr>
            </w:pPr>
            <w:r w:rsidRPr="00A26022">
              <w:rPr>
                <w:sz w:val="20"/>
                <w:szCs w:val="20"/>
              </w:rPr>
              <w:t>0.3</w:t>
            </w:r>
          </w:p>
        </w:tc>
        <w:tc>
          <w:tcPr>
            <w:tcW w:w="518" w:type="dxa"/>
            <w:gridSpan w:val="2"/>
            <w:shd w:val="clear" w:color="auto" w:fill="auto"/>
            <w:noWrap/>
            <w:textDirection w:val="btLr"/>
            <w:vAlign w:val="center"/>
          </w:tcPr>
          <w:p w14:paraId="2EDAAFD3" w14:textId="77777777" w:rsidR="00562980" w:rsidRPr="00A26022" w:rsidRDefault="00562980" w:rsidP="009464DA">
            <w:pPr>
              <w:pStyle w:val="Tables"/>
              <w:jc w:val="right"/>
              <w:rPr>
                <w:sz w:val="20"/>
                <w:szCs w:val="20"/>
              </w:rPr>
            </w:pPr>
            <w:r w:rsidRPr="00A26022">
              <w:rPr>
                <w:sz w:val="20"/>
                <w:szCs w:val="20"/>
              </w:rPr>
              <w:t>0.3</w:t>
            </w:r>
          </w:p>
        </w:tc>
        <w:tc>
          <w:tcPr>
            <w:tcW w:w="259" w:type="dxa"/>
            <w:shd w:val="clear" w:color="auto" w:fill="auto"/>
            <w:noWrap/>
            <w:textDirection w:val="btLr"/>
            <w:vAlign w:val="center"/>
          </w:tcPr>
          <w:p w14:paraId="16980BCB" w14:textId="77777777" w:rsidR="00562980" w:rsidRPr="00A26022" w:rsidRDefault="00562980" w:rsidP="009464DA">
            <w:pPr>
              <w:pStyle w:val="Tables"/>
              <w:jc w:val="right"/>
              <w:rPr>
                <w:sz w:val="20"/>
                <w:szCs w:val="20"/>
              </w:rPr>
            </w:pPr>
            <w:r w:rsidRPr="00A26022">
              <w:rPr>
                <w:sz w:val="20"/>
                <w:szCs w:val="20"/>
              </w:rPr>
              <w:t>0.7</w:t>
            </w:r>
          </w:p>
        </w:tc>
        <w:tc>
          <w:tcPr>
            <w:tcW w:w="233" w:type="dxa"/>
            <w:textDirection w:val="btLr"/>
            <w:vAlign w:val="center"/>
          </w:tcPr>
          <w:p w14:paraId="620931ED" w14:textId="77777777" w:rsidR="00562980" w:rsidRPr="00A26022" w:rsidRDefault="00562980" w:rsidP="009464DA">
            <w:pPr>
              <w:pStyle w:val="Tables"/>
              <w:jc w:val="right"/>
              <w:rPr>
                <w:sz w:val="20"/>
                <w:szCs w:val="20"/>
              </w:rPr>
            </w:pPr>
            <w:r w:rsidRPr="00A26022">
              <w:rPr>
                <w:sz w:val="20"/>
                <w:szCs w:val="20"/>
              </w:rPr>
              <w:t>0.4</w:t>
            </w:r>
          </w:p>
        </w:tc>
        <w:tc>
          <w:tcPr>
            <w:tcW w:w="238" w:type="dxa"/>
            <w:textDirection w:val="btLr"/>
            <w:vAlign w:val="center"/>
          </w:tcPr>
          <w:p w14:paraId="15CD405E" w14:textId="77777777" w:rsidR="00562980" w:rsidRPr="00A26022" w:rsidRDefault="00562980" w:rsidP="009464DA">
            <w:pPr>
              <w:pStyle w:val="Tables"/>
              <w:jc w:val="right"/>
              <w:rPr>
                <w:sz w:val="20"/>
                <w:szCs w:val="20"/>
              </w:rPr>
            </w:pPr>
            <w:r w:rsidRPr="00A26022">
              <w:rPr>
                <w:sz w:val="20"/>
                <w:szCs w:val="20"/>
              </w:rPr>
              <w:t>37</w:t>
            </w:r>
          </w:p>
        </w:tc>
      </w:tr>
      <w:tr w:rsidR="00562980" w:rsidRPr="00A26022" w14:paraId="1835542D" w14:textId="77777777" w:rsidTr="009464DA">
        <w:trPr>
          <w:trHeight w:val="2567"/>
        </w:trPr>
        <w:tc>
          <w:tcPr>
            <w:tcW w:w="250" w:type="dxa"/>
            <w:shd w:val="clear" w:color="auto" w:fill="auto"/>
            <w:noWrap/>
            <w:textDirection w:val="btLr"/>
            <w:hideMark/>
          </w:tcPr>
          <w:p w14:paraId="5858C00A" w14:textId="77777777" w:rsidR="00562980" w:rsidRPr="0064365C" w:rsidRDefault="00562980" w:rsidP="009464DA">
            <w:pPr>
              <w:pStyle w:val="Tables"/>
              <w:rPr>
                <w:b/>
                <w:sz w:val="20"/>
                <w:szCs w:val="20"/>
              </w:rPr>
            </w:pPr>
            <w:r w:rsidRPr="0064365C">
              <w:rPr>
                <w:b/>
                <w:sz w:val="20"/>
                <w:szCs w:val="20"/>
              </w:rPr>
              <w:t>Lignin</w:t>
            </w:r>
          </w:p>
        </w:tc>
        <w:tc>
          <w:tcPr>
            <w:tcW w:w="258" w:type="dxa"/>
            <w:shd w:val="clear" w:color="auto" w:fill="auto"/>
            <w:noWrap/>
            <w:textDirection w:val="btLr"/>
            <w:hideMark/>
          </w:tcPr>
          <w:p w14:paraId="5FCC2C5A" w14:textId="77777777" w:rsidR="00562980" w:rsidRPr="00A26022" w:rsidRDefault="00562980" w:rsidP="009464DA">
            <w:pPr>
              <w:pStyle w:val="Tables"/>
              <w:rPr>
                <w:sz w:val="20"/>
                <w:szCs w:val="20"/>
                <w:u w:val="single"/>
              </w:rPr>
            </w:pPr>
            <w:r w:rsidRPr="00A26022">
              <w:rPr>
                <w:sz w:val="20"/>
                <w:szCs w:val="20"/>
                <w:u w:val="single"/>
              </w:rPr>
              <w:t>Product</w:t>
            </w:r>
          </w:p>
        </w:tc>
        <w:tc>
          <w:tcPr>
            <w:tcW w:w="258" w:type="dxa"/>
            <w:shd w:val="clear" w:color="auto" w:fill="auto"/>
            <w:noWrap/>
            <w:textDirection w:val="btLr"/>
            <w:hideMark/>
          </w:tcPr>
          <w:p w14:paraId="36CE680A" w14:textId="77777777" w:rsidR="00562980" w:rsidRPr="00A26022" w:rsidRDefault="00562980" w:rsidP="009464DA">
            <w:pPr>
              <w:pStyle w:val="Tables"/>
              <w:rPr>
                <w:sz w:val="20"/>
                <w:szCs w:val="20"/>
              </w:rPr>
            </w:pPr>
            <w:r w:rsidRPr="00A26022">
              <w:rPr>
                <w:sz w:val="20"/>
                <w:szCs w:val="20"/>
              </w:rPr>
              <w:t>CO</w:t>
            </w:r>
          </w:p>
        </w:tc>
        <w:tc>
          <w:tcPr>
            <w:tcW w:w="258" w:type="dxa"/>
            <w:shd w:val="clear" w:color="auto" w:fill="auto"/>
            <w:noWrap/>
            <w:textDirection w:val="btLr"/>
            <w:hideMark/>
          </w:tcPr>
          <w:p w14:paraId="277A1E54" w14:textId="77777777" w:rsidR="00562980" w:rsidRPr="00A26022" w:rsidRDefault="00562980" w:rsidP="009464DA">
            <w:pPr>
              <w:pStyle w:val="Tables"/>
              <w:rPr>
                <w:sz w:val="20"/>
                <w:szCs w:val="20"/>
              </w:rPr>
            </w:pPr>
            <w:r w:rsidRPr="00A26022">
              <w:rPr>
                <w:sz w:val="20"/>
                <w:szCs w:val="20"/>
              </w:rPr>
              <w:t>CO</w:t>
            </w:r>
            <w:r w:rsidRPr="00861C2E">
              <w:rPr>
                <w:sz w:val="20"/>
                <w:szCs w:val="20"/>
                <w:vertAlign w:val="subscript"/>
              </w:rPr>
              <w:t>2</w:t>
            </w:r>
          </w:p>
        </w:tc>
        <w:tc>
          <w:tcPr>
            <w:tcW w:w="258" w:type="dxa"/>
            <w:shd w:val="clear" w:color="auto" w:fill="auto"/>
            <w:noWrap/>
            <w:textDirection w:val="btLr"/>
            <w:hideMark/>
          </w:tcPr>
          <w:p w14:paraId="12EA3610" w14:textId="77777777" w:rsidR="00562980" w:rsidRPr="00A26022" w:rsidRDefault="00562980" w:rsidP="009464DA">
            <w:pPr>
              <w:pStyle w:val="Tables"/>
              <w:rPr>
                <w:sz w:val="20"/>
                <w:szCs w:val="20"/>
              </w:rPr>
            </w:pPr>
            <w:r w:rsidRPr="00A26022">
              <w:rPr>
                <w:sz w:val="20"/>
                <w:szCs w:val="20"/>
              </w:rPr>
              <w:t>Acetaldehyde</w:t>
            </w:r>
          </w:p>
        </w:tc>
        <w:tc>
          <w:tcPr>
            <w:tcW w:w="258" w:type="dxa"/>
            <w:shd w:val="clear" w:color="auto" w:fill="auto"/>
            <w:noWrap/>
            <w:textDirection w:val="btLr"/>
            <w:hideMark/>
          </w:tcPr>
          <w:p w14:paraId="3E28CA78" w14:textId="77777777" w:rsidR="00562980" w:rsidRPr="00A26022" w:rsidRDefault="00562980" w:rsidP="009464DA">
            <w:pPr>
              <w:pStyle w:val="Tables"/>
              <w:rPr>
                <w:sz w:val="20"/>
                <w:szCs w:val="20"/>
              </w:rPr>
            </w:pPr>
            <w:r w:rsidRPr="00A26022">
              <w:rPr>
                <w:sz w:val="20"/>
                <w:szCs w:val="20"/>
              </w:rPr>
              <w:t>Formic acid/Acetone</w:t>
            </w:r>
          </w:p>
        </w:tc>
        <w:tc>
          <w:tcPr>
            <w:tcW w:w="259" w:type="dxa"/>
            <w:shd w:val="clear" w:color="auto" w:fill="auto"/>
            <w:noWrap/>
            <w:textDirection w:val="btLr"/>
            <w:hideMark/>
          </w:tcPr>
          <w:p w14:paraId="3DEC4273" w14:textId="77777777" w:rsidR="00562980" w:rsidRPr="00A26022" w:rsidRDefault="00562980" w:rsidP="009464DA">
            <w:pPr>
              <w:pStyle w:val="Tables"/>
              <w:rPr>
                <w:sz w:val="20"/>
                <w:szCs w:val="20"/>
              </w:rPr>
            </w:pPr>
            <w:r w:rsidRPr="00A26022">
              <w:rPr>
                <w:sz w:val="20"/>
                <w:szCs w:val="20"/>
              </w:rPr>
              <w:t>2-methyl furan</w:t>
            </w:r>
          </w:p>
        </w:tc>
        <w:tc>
          <w:tcPr>
            <w:tcW w:w="259" w:type="dxa"/>
            <w:shd w:val="clear" w:color="auto" w:fill="auto"/>
            <w:noWrap/>
            <w:textDirection w:val="btLr"/>
            <w:hideMark/>
          </w:tcPr>
          <w:p w14:paraId="2BBDFBFD" w14:textId="77777777" w:rsidR="00562980" w:rsidRPr="00A26022" w:rsidRDefault="00562980" w:rsidP="009464DA">
            <w:pPr>
              <w:pStyle w:val="Tables"/>
              <w:rPr>
                <w:sz w:val="20"/>
                <w:szCs w:val="20"/>
              </w:rPr>
            </w:pPr>
            <w:r w:rsidRPr="00A26022">
              <w:rPr>
                <w:sz w:val="20"/>
                <w:szCs w:val="20"/>
              </w:rPr>
              <w:t>Acetic acid</w:t>
            </w:r>
          </w:p>
        </w:tc>
        <w:tc>
          <w:tcPr>
            <w:tcW w:w="259" w:type="dxa"/>
            <w:shd w:val="clear" w:color="auto" w:fill="auto"/>
            <w:noWrap/>
            <w:textDirection w:val="btLr"/>
            <w:hideMark/>
          </w:tcPr>
          <w:p w14:paraId="3278D3F4" w14:textId="77777777" w:rsidR="00562980" w:rsidRPr="00A26022" w:rsidRDefault="00562980" w:rsidP="009464DA">
            <w:pPr>
              <w:pStyle w:val="Tables"/>
              <w:rPr>
                <w:sz w:val="20"/>
                <w:szCs w:val="20"/>
              </w:rPr>
            </w:pPr>
            <w:r w:rsidRPr="00A26022">
              <w:rPr>
                <w:sz w:val="20"/>
                <w:szCs w:val="20"/>
              </w:rPr>
              <w:t>2-furaldehyde</w:t>
            </w:r>
          </w:p>
        </w:tc>
        <w:tc>
          <w:tcPr>
            <w:tcW w:w="259" w:type="dxa"/>
            <w:shd w:val="clear" w:color="auto" w:fill="auto"/>
            <w:noWrap/>
            <w:textDirection w:val="btLr"/>
            <w:hideMark/>
          </w:tcPr>
          <w:p w14:paraId="60681693" w14:textId="77777777" w:rsidR="00562980" w:rsidRPr="00A26022" w:rsidRDefault="00562980" w:rsidP="009464DA">
            <w:pPr>
              <w:pStyle w:val="Tables"/>
              <w:rPr>
                <w:sz w:val="20"/>
                <w:szCs w:val="20"/>
              </w:rPr>
            </w:pPr>
            <w:r w:rsidRPr="00A26022">
              <w:rPr>
                <w:sz w:val="20"/>
                <w:szCs w:val="20"/>
              </w:rPr>
              <w:t>Phenol</w:t>
            </w:r>
          </w:p>
        </w:tc>
        <w:tc>
          <w:tcPr>
            <w:tcW w:w="259" w:type="dxa"/>
            <w:shd w:val="clear" w:color="auto" w:fill="auto"/>
            <w:noWrap/>
            <w:textDirection w:val="btLr"/>
            <w:hideMark/>
          </w:tcPr>
          <w:p w14:paraId="1436E490" w14:textId="77777777" w:rsidR="00562980" w:rsidRPr="00A26022" w:rsidRDefault="00562980" w:rsidP="009464DA">
            <w:pPr>
              <w:pStyle w:val="Tables"/>
              <w:rPr>
                <w:sz w:val="20"/>
                <w:szCs w:val="20"/>
              </w:rPr>
            </w:pPr>
            <w:r w:rsidRPr="00A26022">
              <w:rPr>
                <w:sz w:val="20"/>
                <w:szCs w:val="20"/>
              </w:rPr>
              <w:t>2-methoxy phenol</w:t>
            </w:r>
          </w:p>
        </w:tc>
        <w:tc>
          <w:tcPr>
            <w:tcW w:w="259" w:type="dxa"/>
            <w:shd w:val="clear" w:color="auto" w:fill="auto"/>
            <w:noWrap/>
            <w:textDirection w:val="btLr"/>
            <w:hideMark/>
          </w:tcPr>
          <w:p w14:paraId="18EB3604" w14:textId="77777777" w:rsidR="00562980" w:rsidRPr="00A26022" w:rsidRDefault="00562980" w:rsidP="009464DA">
            <w:pPr>
              <w:pStyle w:val="Tables"/>
              <w:rPr>
                <w:sz w:val="20"/>
                <w:szCs w:val="20"/>
              </w:rPr>
            </w:pPr>
            <w:r w:rsidRPr="00A26022">
              <w:rPr>
                <w:sz w:val="20"/>
                <w:szCs w:val="20"/>
              </w:rPr>
              <w:t>2-methyl phenol</w:t>
            </w:r>
          </w:p>
        </w:tc>
        <w:tc>
          <w:tcPr>
            <w:tcW w:w="259" w:type="dxa"/>
            <w:shd w:val="clear" w:color="auto" w:fill="auto"/>
            <w:noWrap/>
            <w:textDirection w:val="btLr"/>
            <w:hideMark/>
          </w:tcPr>
          <w:p w14:paraId="1283F8CB" w14:textId="77777777" w:rsidR="00562980" w:rsidRPr="00A26022" w:rsidRDefault="00562980" w:rsidP="009464DA">
            <w:pPr>
              <w:pStyle w:val="Tables"/>
              <w:rPr>
                <w:sz w:val="20"/>
                <w:szCs w:val="20"/>
              </w:rPr>
            </w:pPr>
            <w:r w:rsidRPr="00A26022">
              <w:rPr>
                <w:sz w:val="20"/>
                <w:szCs w:val="20"/>
              </w:rPr>
              <w:t>4-methyl phenol</w:t>
            </w:r>
          </w:p>
        </w:tc>
        <w:tc>
          <w:tcPr>
            <w:tcW w:w="259" w:type="dxa"/>
            <w:shd w:val="clear" w:color="auto" w:fill="auto"/>
            <w:noWrap/>
            <w:textDirection w:val="btLr"/>
            <w:hideMark/>
          </w:tcPr>
          <w:p w14:paraId="6BEC4635" w14:textId="77777777" w:rsidR="00562980" w:rsidRPr="00A26022" w:rsidRDefault="00562980" w:rsidP="009464DA">
            <w:pPr>
              <w:pStyle w:val="Tables"/>
              <w:rPr>
                <w:sz w:val="20"/>
                <w:szCs w:val="20"/>
              </w:rPr>
            </w:pPr>
            <w:r w:rsidRPr="00A26022">
              <w:rPr>
                <w:sz w:val="20"/>
                <w:szCs w:val="20"/>
              </w:rPr>
              <w:t>2-methoxy-4-methyl phenol</w:t>
            </w:r>
          </w:p>
        </w:tc>
        <w:tc>
          <w:tcPr>
            <w:tcW w:w="259" w:type="dxa"/>
            <w:shd w:val="clear" w:color="auto" w:fill="auto"/>
            <w:noWrap/>
            <w:textDirection w:val="btLr"/>
            <w:hideMark/>
          </w:tcPr>
          <w:p w14:paraId="624E3D83" w14:textId="77777777" w:rsidR="00562980" w:rsidRPr="00A26022" w:rsidRDefault="00562980" w:rsidP="009464DA">
            <w:pPr>
              <w:pStyle w:val="Tables"/>
              <w:rPr>
                <w:sz w:val="20"/>
                <w:szCs w:val="20"/>
              </w:rPr>
            </w:pPr>
            <w:r w:rsidRPr="00A26022">
              <w:rPr>
                <w:sz w:val="20"/>
                <w:szCs w:val="20"/>
              </w:rPr>
              <w:t>3,5-dimethyl phenol</w:t>
            </w:r>
          </w:p>
        </w:tc>
        <w:tc>
          <w:tcPr>
            <w:tcW w:w="259" w:type="dxa"/>
            <w:shd w:val="clear" w:color="auto" w:fill="auto"/>
            <w:noWrap/>
            <w:textDirection w:val="btLr"/>
            <w:hideMark/>
          </w:tcPr>
          <w:p w14:paraId="6E9AB7E8" w14:textId="77777777" w:rsidR="00562980" w:rsidRPr="00A26022" w:rsidRDefault="00562980" w:rsidP="009464DA">
            <w:pPr>
              <w:pStyle w:val="Tables"/>
              <w:rPr>
                <w:sz w:val="20"/>
                <w:szCs w:val="20"/>
              </w:rPr>
            </w:pPr>
            <w:r w:rsidRPr="00A26022">
              <w:rPr>
                <w:sz w:val="20"/>
                <w:szCs w:val="20"/>
              </w:rPr>
              <w:t>3-ethyl phenol</w:t>
            </w:r>
          </w:p>
        </w:tc>
        <w:tc>
          <w:tcPr>
            <w:tcW w:w="259" w:type="dxa"/>
            <w:shd w:val="clear" w:color="auto" w:fill="auto"/>
            <w:noWrap/>
            <w:textDirection w:val="btLr"/>
            <w:hideMark/>
          </w:tcPr>
          <w:p w14:paraId="408E4002" w14:textId="77777777" w:rsidR="00562980" w:rsidRPr="00A26022" w:rsidRDefault="00562980" w:rsidP="009464DA">
            <w:pPr>
              <w:pStyle w:val="Tables"/>
              <w:rPr>
                <w:sz w:val="20"/>
                <w:szCs w:val="20"/>
              </w:rPr>
            </w:pPr>
            <w:r w:rsidRPr="00A26022">
              <w:rPr>
                <w:sz w:val="20"/>
                <w:szCs w:val="20"/>
              </w:rPr>
              <w:t>4-ethyl-2-methoxy phenol</w:t>
            </w:r>
          </w:p>
        </w:tc>
        <w:tc>
          <w:tcPr>
            <w:tcW w:w="259" w:type="dxa"/>
            <w:shd w:val="clear" w:color="auto" w:fill="auto"/>
            <w:noWrap/>
            <w:textDirection w:val="btLr"/>
            <w:hideMark/>
          </w:tcPr>
          <w:p w14:paraId="2C3A68F7" w14:textId="77777777" w:rsidR="00562980" w:rsidRPr="00A26022" w:rsidRDefault="00562980" w:rsidP="009464DA">
            <w:pPr>
              <w:pStyle w:val="Tables"/>
              <w:rPr>
                <w:sz w:val="20"/>
                <w:szCs w:val="20"/>
              </w:rPr>
            </w:pPr>
            <w:r w:rsidRPr="00A26022">
              <w:rPr>
                <w:sz w:val="20"/>
                <w:szCs w:val="20"/>
              </w:rPr>
              <w:t>4-vinyl phenol</w:t>
            </w:r>
          </w:p>
        </w:tc>
        <w:tc>
          <w:tcPr>
            <w:tcW w:w="259" w:type="dxa"/>
            <w:shd w:val="clear" w:color="auto" w:fill="auto"/>
            <w:noWrap/>
            <w:textDirection w:val="btLr"/>
            <w:hideMark/>
          </w:tcPr>
          <w:p w14:paraId="57D99635" w14:textId="77777777" w:rsidR="00562980" w:rsidRPr="00A26022" w:rsidRDefault="00562980" w:rsidP="009464DA">
            <w:pPr>
              <w:pStyle w:val="Tables"/>
              <w:rPr>
                <w:sz w:val="20"/>
                <w:szCs w:val="20"/>
              </w:rPr>
            </w:pPr>
            <w:r w:rsidRPr="00A26022">
              <w:rPr>
                <w:sz w:val="20"/>
                <w:szCs w:val="20"/>
              </w:rPr>
              <w:t>2-methoxy-4-vinyl phenol</w:t>
            </w:r>
          </w:p>
        </w:tc>
        <w:tc>
          <w:tcPr>
            <w:tcW w:w="259" w:type="dxa"/>
            <w:shd w:val="clear" w:color="auto" w:fill="auto"/>
            <w:noWrap/>
            <w:textDirection w:val="btLr"/>
            <w:hideMark/>
          </w:tcPr>
          <w:p w14:paraId="51645E39" w14:textId="77777777" w:rsidR="00562980" w:rsidRPr="00A26022" w:rsidRDefault="00562980" w:rsidP="009464DA">
            <w:pPr>
              <w:pStyle w:val="Tables"/>
              <w:rPr>
                <w:sz w:val="20"/>
                <w:szCs w:val="20"/>
              </w:rPr>
            </w:pPr>
            <w:r w:rsidRPr="00A26022">
              <w:rPr>
                <w:sz w:val="20"/>
                <w:szCs w:val="20"/>
              </w:rPr>
              <w:t>Unidentified (MW 114)</w:t>
            </w:r>
          </w:p>
        </w:tc>
        <w:tc>
          <w:tcPr>
            <w:tcW w:w="259" w:type="dxa"/>
            <w:shd w:val="clear" w:color="auto" w:fill="auto"/>
            <w:noWrap/>
            <w:textDirection w:val="btLr"/>
            <w:hideMark/>
          </w:tcPr>
          <w:p w14:paraId="127F8AEC" w14:textId="77777777" w:rsidR="00562980" w:rsidRPr="00A26022" w:rsidRDefault="00562980" w:rsidP="009464DA">
            <w:pPr>
              <w:pStyle w:val="Tables"/>
              <w:rPr>
                <w:sz w:val="20"/>
                <w:szCs w:val="20"/>
              </w:rPr>
            </w:pPr>
            <w:r w:rsidRPr="00A26022">
              <w:rPr>
                <w:sz w:val="20"/>
                <w:szCs w:val="20"/>
              </w:rPr>
              <w:t>2,6-dimethoxyphenol</w:t>
            </w:r>
          </w:p>
        </w:tc>
        <w:tc>
          <w:tcPr>
            <w:tcW w:w="259" w:type="dxa"/>
            <w:shd w:val="clear" w:color="auto" w:fill="auto"/>
            <w:noWrap/>
            <w:textDirection w:val="btLr"/>
            <w:hideMark/>
          </w:tcPr>
          <w:p w14:paraId="42014DE3" w14:textId="77777777" w:rsidR="00562980" w:rsidRPr="00A26022" w:rsidRDefault="00562980" w:rsidP="009464DA">
            <w:pPr>
              <w:pStyle w:val="Tables"/>
              <w:rPr>
                <w:sz w:val="20"/>
                <w:szCs w:val="20"/>
              </w:rPr>
            </w:pPr>
            <w:r w:rsidRPr="00A26022">
              <w:rPr>
                <w:sz w:val="20"/>
                <w:szCs w:val="20"/>
              </w:rPr>
              <w:t>Euginol</w:t>
            </w:r>
          </w:p>
        </w:tc>
        <w:tc>
          <w:tcPr>
            <w:tcW w:w="259" w:type="dxa"/>
            <w:shd w:val="clear" w:color="auto" w:fill="auto"/>
            <w:noWrap/>
            <w:textDirection w:val="btLr"/>
            <w:hideMark/>
          </w:tcPr>
          <w:p w14:paraId="4715C240" w14:textId="77777777" w:rsidR="00562980" w:rsidRPr="00A26022" w:rsidRDefault="00562980" w:rsidP="009464DA">
            <w:pPr>
              <w:pStyle w:val="Tables"/>
              <w:rPr>
                <w:sz w:val="20"/>
                <w:szCs w:val="20"/>
              </w:rPr>
            </w:pPr>
            <w:r w:rsidRPr="00A26022">
              <w:rPr>
                <w:sz w:val="20"/>
                <w:szCs w:val="20"/>
              </w:rPr>
              <w:t>4-methyl-2,6-dimethoxyphenol</w:t>
            </w:r>
          </w:p>
        </w:tc>
        <w:tc>
          <w:tcPr>
            <w:tcW w:w="518" w:type="dxa"/>
            <w:gridSpan w:val="2"/>
            <w:shd w:val="clear" w:color="auto" w:fill="auto"/>
            <w:noWrap/>
            <w:textDirection w:val="btLr"/>
            <w:hideMark/>
          </w:tcPr>
          <w:p w14:paraId="28C9E15A" w14:textId="77777777" w:rsidR="00562980" w:rsidRPr="00A26022" w:rsidRDefault="00562980" w:rsidP="009464DA">
            <w:pPr>
              <w:pStyle w:val="Tables"/>
              <w:rPr>
                <w:sz w:val="20"/>
                <w:szCs w:val="20"/>
              </w:rPr>
            </w:pPr>
            <w:r w:rsidRPr="00A26022">
              <w:rPr>
                <w:sz w:val="20"/>
                <w:szCs w:val="20"/>
              </w:rPr>
              <w:t>3,5-dimethoxy-4-hydroxy benzaldehyde</w:t>
            </w:r>
          </w:p>
        </w:tc>
        <w:tc>
          <w:tcPr>
            <w:tcW w:w="259" w:type="dxa"/>
            <w:shd w:val="clear" w:color="auto" w:fill="auto"/>
            <w:noWrap/>
            <w:textDirection w:val="btLr"/>
          </w:tcPr>
          <w:p w14:paraId="63D6F3D6" w14:textId="77777777" w:rsidR="00562980" w:rsidRPr="00A26022" w:rsidRDefault="00562980" w:rsidP="009464DA">
            <w:pPr>
              <w:pStyle w:val="Tables"/>
              <w:rPr>
                <w:sz w:val="20"/>
                <w:szCs w:val="20"/>
              </w:rPr>
            </w:pPr>
            <w:r w:rsidRPr="00A26022">
              <w:rPr>
                <w:sz w:val="20"/>
                <w:szCs w:val="20"/>
              </w:rPr>
              <w:t>3',4'-dimethoxy acetophenone</w:t>
            </w:r>
          </w:p>
        </w:tc>
        <w:tc>
          <w:tcPr>
            <w:tcW w:w="259" w:type="dxa"/>
            <w:shd w:val="clear" w:color="auto" w:fill="auto"/>
            <w:noWrap/>
            <w:textDirection w:val="btLr"/>
          </w:tcPr>
          <w:p w14:paraId="48555725" w14:textId="77777777" w:rsidR="00562980" w:rsidRPr="00A26022" w:rsidRDefault="00562980" w:rsidP="009464DA">
            <w:pPr>
              <w:pStyle w:val="Tables"/>
              <w:rPr>
                <w:sz w:val="20"/>
                <w:szCs w:val="20"/>
              </w:rPr>
            </w:pPr>
            <w:r w:rsidRPr="00A26022">
              <w:rPr>
                <w:sz w:val="20"/>
                <w:szCs w:val="20"/>
              </w:rPr>
              <w:t>4-allyl-2,6-dimethoxyphenol</w:t>
            </w:r>
          </w:p>
        </w:tc>
        <w:tc>
          <w:tcPr>
            <w:tcW w:w="259" w:type="dxa"/>
            <w:shd w:val="clear" w:color="auto" w:fill="auto"/>
            <w:noWrap/>
            <w:textDirection w:val="btLr"/>
          </w:tcPr>
          <w:p w14:paraId="0CFD10B1" w14:textId="77777777" w:rsidR="00562980" w:rsidRPr="00A26022" w:rsidRDefault="00562980" w:rsidP="009464DA">
            <w:pPr>
              <w:pStyle w:val="Tables"/>
              <w:rPr>
                <w:sz w:val="20"/>
                <w:szCs w:val="20"/>
              </w:rPr>
            </w:pPr>
            <w:r w:rsidRPr="00A26022">
              <w:rPr>
                <w:sz w:val="20"/>
                <w:szCs w:val="20"/>
              </w:rPr>
              <w:t>4-allyl-2,5-dimethoxyphenol</w:t>
            </w:r>
          </w:p>
        </w:tc>
        <w:tc>
          <w:tcPr>
            <w:tcW w:w="518" w:type="dxa"/>
            <w:gridSpan w:val="2"/>
            <w:shd w:val="clear" w:color="auto" w:fill="auto"/>
            <w:noWrap/>
            <w:textDirection w:val="btLr"/>
          </w:tcPr>
          <w:p w14:paraId="63761F81" w14:textId="77777777" w:rsidR="00562980" w:rsidRPr="00A26022" w:rsidRDefault="00562980" w:rsidP="009464DA">
            <w:pPr>
              <w:pStyle w:val="Tables"/>
              <w:rPr>
                <w:sz w:val="20"/>
                <w:szCs w:val="20"/>
              </w:rPr>
            </w:pPr>
            <w:r w:rsidRPr="00A26022">
              <w:rPr>
                <w:sz w:val="20"/>
                <w:szCs w:val="20"/>
              </w:rPr>
              <w:t>3',5'-dimethoxy-4'-hydroxy acetophenone</w:t>
            </w:r>
          </w:p>
        </w:tc>
        <w:tc>
          <w:tcPr>
            <w:tcW w:w="259" w:type="dxa"/>
            <w:shd w:val="clear" w:color="auto" w:fill="auto"/>
            <w:noWrap/>
            <w:textDirection w:val="btLr"/>
          </w:tcPr>
          <w:p w14:paraId="45A38376" w14:textId="77777777" w:rsidR="00562980" w:rsidRPr="00A26022" w:rsidRDefault="00562980" w:rsidP="009464DA">
            <w:pPr>
              <w:pStyle w:val="Tables"/>
              <w:rPr>
                <w:sz w:val="20"/>
                <w:szCs w:val="20"/>
              </w:rPr>
            </w:pPr>
            <w:r w:rsidRPr="00A26022">
              <w:rPr>
                <w:sz w:val="20"/>
                <w:szCs w:val="20"/>
              </w:rPr>
              <w:t>Sinapyl alcohol</w:t>
            </w:r>
          </w:p>
        </w:tc>
        <w:tc>
          <w:tcPr>
            <w:tcW w:w="233" w:type="dxa"/>
            <w:textDirection w:val="btLr"/>
          </w:tcPr>
          <w:p w14:paraId="2CF7196A" w14:textId="77777777" w:rsidR="00562980" w:rsidRPr="00A26022" w:rsidRDefault="00562980" w:rsidP="009464DA">
            <w:pPr>
              <w:pStyle w:val="Tables"/>
              <w:rPr>
                <w:sz w:val="20"/>
                <w:szCs w:val="20"/>
              </w:rPr>
            </w:pPr>
            <w:r w:rsidRPr="00A26022">
              <w:rPr>
                <w:sz w:val="20"/>
                <w:szCs w:val="20"/>
              </w:rPr>
              <w:t>Unidentified (MW 280)</w:t>
            </w:r>
          </w:p>
        </w:tc>
        <w:tc>
          <w:tcPr>
            <w:tcW w:w="238" w:type="dxa"/>
            <w:textDirection w:val="btLr"/>
          </w:tcPr>
          <w:p w14:paraId="1E96BF4B" w14:textId="77777777" w:rsidR="00562980" w:rsidRPr="00A26022" w:rsidRDefault="00562980" w:rsidP="009464DA">
            <w:pPr>
              <w:pStyle w:val="Tables"/>
              <w:rPr>
                <w:sz w:val="20"/>
                <w:szCs w:val="20"/>
              </w:rPr>
            </w:pPr>
            <w:r w:rsidRPr="00A26022">
              <w:rPr>
                <w:sz w:val="20"/>
                <w:szCs w:val="20"/>
              </w:rPr>
              <w:t>Char</w:t>
            </w:r>
          </w:p>
        </w:tc>
      </w:tr>
      <w:tr w:rsidR="00562980" w:rsidRPr="00A26022" w14:paraId="4A79BA8F" w14:textId="77777777" w:rsidTr="009464DA">
        <w:trPr>
          <w:trHeight w:val="540"/>
        </w:trPr>
        <w:tc>
          <w:tcPr>
            <w:tcW w:w="250" w:type="dxa"/>
            <w:shd w:val="clear" w:color="auto" w:fill="auto"/>
            <w:noWrap/>
            <w:textDirection w:val="btLr"/>
            <w:hideMark/>
          </w:tcPr>
          <w:p w14:paraId="50EAF11A" w14:textId="77777777" w:rsidR="00562980" w:rsidRPr="0064365C" w:rsidRDefault="00562980" w:rsidP="009464DA">
            <w:pPr>
              <w:pStyle w:val="Tables"/>
              <w:rPr>
                <w:b/>
                <w:sz w:val="20"/>
                <w:szCs w:val="20"/>
              </w:rPr>
            </w:pPr>
            <w:r w:rsidRPr="0064365C">
              <w:rPr>
                <w:b/>
                <w:sz w:val="20"/>
                <w:szCs w:val="20"/>
              </w:rPr>
              <w:t> </w:t>
            </w:r>
          </w:p>
        </w:tc>
        <w:tc>
          <w:tcPr>
            <w:tcW w:w="258" w:type="dxa"/>
            <w:shd w:val="clear" w:color="auto" w:fill="auto"/>
            <w:noWrap/>
            <w:textDirection w:val="btLr"/>
            <w:vAlign w:val="center"/>
            <w:hideMark/>
          </w:tcPr>
          <w:p w14:paraId="60305978" w14:textId="77777777" w:rsidR="00562980" w:rsidRPr="00A26022" w:rsidRDefault="00562980" w:rsidP="009464DA">
            <w:pPr>
              <w:pStyle w:val="Tables"/>
              <w:jc w:val="right"/>
              <w:rPr>
                <w:sz w:val="20"/>
                <w:szCs w:val="20"/>
                <w:u w:val="single"/>
              </w:rPr>
            </w:pPr>
            <w:r w:rsidRPr="00A26022">
              <w:rPr>
                <w:sz w:val="20"/>
                <w:szCs w:val="20"/>
                <w:u w:val="single"/>
              </w:rPr>
              <w:t>wt %</w:t>
            </w:r>
          </w:p>
        </w:tc>
        <w:tc>
          <w:tcPr>
            <w:tcW w:w="258" w:type="dxa"/>
            <w:shd w:val="clear" w:color="auto" w:fill="auto"/>
            <w:noWrap/>
            <w:textDirection w:val="btLr"/>
            <w:vAlign w:val="center"/>
            <w:hideMark/>
          </w:tcPr>
          <w:p w14:paraId="39E5476E" w14:textId="77777777" w:rsidR="00562980" w:rsidRPr="00A26022" w:rsidRDefault="00562980" w:rsidP="009464DA">
            <w:pPr>
              <w:pStyle w:val="Tables"/>
              <w:jc w:val="right"/>
              <w:rPr>
                <w:sz w:val="20"/>
                <w:szCs w:val="20"/>
              </w:rPr>
            </w:pPr>
            <w:r w:rsidRPr="00A26022">
              <w:rPr>
                <w:sz w:val="20"/>
                <w:szCs w:val="20"/>
              </w:rPr>
              <w:t>6.6</w:t>
            </w:r>
          </w:p>
        </w:tc>
        <w:tc>
          <w:tcPr>
            <w:tcW w:w="258" w:type="dxa"/>
            <w:shd w:val="clear" w:color="auto" w:fill="auto"/>
            <w:noWrap/>
            <w:textDirection w:val="btLr"/>
            <w:vAlign w:val="center"/>
            <w:hideMark/>
          </w:tcPr>
          <w:p w14:paraId="2BF223F3" w14:textId="77777777" w:rsidR="00562980" w:rsidRPr="00A26022" w:rsidRDefault="00562980" w:rsidP="009464DA">
            <w:pPr>
              <w:pStyle w:val="Tables"/>
              <w:jc w:val="right"/>
              <w:rPr>
                <w:sz w:val="20"/>
                <w:szCs w:val="20"/>
              </w:rPr>
            </w:pPr>
            <w:r w:rsidRPr="00A26022">
              <w:rPr>
                <w:sz w:val="20"/>
                <w:szCs w:val="20"/>
              </w:rPr>
              <w:t>0.7</w:t>
            </w:r>
          </w:p>
        </w:tc>
        <w:tc>
          <w:tcPr>
            <w:tcW w:w="258" w:type="dxa"/>
            <w:shd w:val="clear" w:color="auto" w:fill="auto"/>
            <w:noWrap/>
            <w:textDirection w:val="btLr"/>
            <w:vAlign w:val="center"/>
            <w:hideMark/>
          </w:tcPr>
          <w:p w14:paraId="0359E4B8" w14:textId="77777777" w:rsidR="00562980" w:rsidRPr="00A26022" w:rsidRDefault="00562980" w:rsidP="009464DA">
            <w:pPr>
              <w:pStyle w:val="Tables"/>
              <w:jc w:val="right"/>
              <w:rPr>
                <w:sz w:val="20"/>
                <w:szCs w:val="20"/>
              </w:rPr>
            </w:pPr>
            <w:r w:rsidRPr="00A26022">
              <w:rPr>
                <w:sz w:val="20"/>
                <w:szCs w:val="20"/>
              </w:rPr>
              <w:t>6.7</w:t>
            </w:r>
          </w:p>
        </w:tc>
        <w:tc>
          <w:tcPr>
            <w:tcW w:w="258" w:type="dxa"/>
            <w:shd w:val="clear" w:color="auto" w:fill="auto"/>
            <w:noWrap/>
            <w:textDirection w:val="btLr"/>
            <w:vAlign w:val="center"/>
            <w:hideMark/>
          </w:tcPr>
          <w:p w14:paraId="2AA8063E" w14:textId="77777777" w:rsidR="00562980" w:rsidRPr="00A26022" w:rsidRDefault="00562980" w:rsidP="009464DA">
            <w:pPr>
              <w:pStyle w:val="Tables"/>
              <w:jc w:val="right"/>
              <w:rPr>
                <w:sz w:val="20"/>
                <w:szCs w:val="20"/>
              </w:rPr>
            </w:pPr>
            <w:r w:rsidRPr="00A26022">
              <w:rPr>
                <w:sz w:val="20"/>
                <w:szCs w:val="20"/>
              </w:rPr>
              <w:t>0</w:t>
            </w:r>
          </w:p>
        </w:tc>
        <w:tc>
          <w:tcPr>
            <w:tcW w:w="259" w:type="dxa"/>
            <w:shd w:val="clear" w:color="auto" w:fill="auto"/>
            <w:noWrap/>
            <w:textDirection w:val="btLr"/>
            <w:vAlign w:val="center"/>
            <w:hideMark/>
          </w:tcPr>
          <w:p w14:paraId="0B043020" w14:textId="77777777" w:rsidR="00562980" w:rsidRPr="00A26022" w:rsidRDefault="00562980" w:rsidP="009464DA">
            <w:pPr>
              <w:pStyle w:val="Tables"/>
              <w:jc w:val="right"/>
              <w:rPr>
                <w:sz w:val="20"/>
                <w:szCs w:val="20"/>
              </w:rPr>
            </w:pPr>
            <w:r w:rsidRPr="00A26022">
              <w:rPr>
                <w:sz w:val="20"/>
                <w:szCs w:val="20"/>
              </w:rPr>
              <w:t>0.4</w:t>
            </w:r>
          </w:p>
        </w:tc>
        <w:tc>
          <w:tcPr>
            <w:tcW w:w="259" w:type="dxa"/>
            <w:shd w:val="clear" w:color="auto" w:fill="auto"/>
            <w:noWrap/>
            <w:textDirection w:val="btLr"/>
            <w:vAlign w:val="center"/>
            <w:hideMark/>
          </w:tcPr>
          <w:p w14:paraId="3AB6E68F" w14:textId="77777777" w:rsidR="00562980" w:rsidRPr="00A26022" w:rsidRDefault="00562980" w:rsidP="009464DA">
            <w:pPr>
              <w:pStyle w:val="Tables"/>
              <w:jc w:val="right"/>
              <w:rPr>
                <w:sz w:val="20"/>
                <w:szCs w:val="20"/>
              </w:rPr>
            </w:pPr>
            <w:r w:rsidRPr="00A26022">
              <w:rPr>
                <w:sz w:val="20"/>
                <w:szCs w:val="20"/>
              </w:rPr>
              <w:t>0.3</w:t>
            </w:r>
          </w:p>
        </w:tc>
        <w:tc>
          <w:tcPr>
            <w:tcW w:w="259" w:type="dxa"/>
            <w:shd w:val="clear" w:color="auto" w:fill="auto"/>
            <w:noWrap/>
            <w:textDirection w:val="btLr"/>
            <w:vAlign w:val="center"/>
            <w:hideMark/>
          </w:tcPr>
          <w:p w14:paraId="15B7D8DD" w14:textId="77777777" w:rsidR="00562980" w:rsidRPr="00A26022" w:rsidRDefault="00562980" w:rsidP="009464DA">
            <w:pPr>
              <w:pStyle w:val="Tables"/>
              <w:jc w:val="right"/>
              <w:rPr>
                <w:sz w:val="20"/>
                <w:szCs w:val="20"/>
              </w:rPr>
            </w:pPr>
            <w:r w:rsidRPr="00A26022">
              <w:rPr>
                <w:sz w:val="20"/>
                <w:szCs w:val="20"/>
              </w:rPr>
              <w:t>1.3</w:t>
            </w:r>
          </w:p>
        </w:tc>
        <w:tc>
          <w:tcPr>
            <w:tcW w:w="259" w:type="dxa"/>
            <w:shd w:val="clear" w:color="auto" w:fill="auto"/>
            <w:noWrap/>
            <w:textDirection w:val="btLr"/>
            <w:vAlign w:val="center"/>
            <w:hideMark/>
          </w:tcPr>
          <w:p w14:paraId="490752C1" w14:textId="77777777" w:rsidR="00562980" w:rsidRPr="00A26022" w:rsidRDefault="00562980" w:rsidP="009464DA">
            <w:pPr>
              <w:pStyle w:val="Tables"/>
              <w:jc w:val="right"/>
              <w:rPr>
                <w:sz w:val="20"/>
                <w:szCs w:val="20"/>
              </w:rPr>
            </w:pPr>
            <w:r w:rsidRPr="00A26022">
              <w:rPr>
                <w:sz w:val="20"/>
                <w:szCs w:val="20"/>
              </w:rPr>
              <w:t>0.5</w:t>
            </w:r>
          </w:p>
        </w:tc>
        <w:tc>
          <w:tcPr>
            <w:tcW w:w="259" w:type="dxa"/>
            <w:shd w:val="clear" w:color="auto" w:fill="auto"/>
            <w:noWrap/>
            <w:textDirection w:val="btLr"/>
            <w:vAlign w:val="center"/>
            <w:hideMark/>
          </w:tcPr>
          <w:p w14:paraId="38FE7FFE" w14:textId="77777777" w:rsidR="00562980" w:rsidRPr="00A26022" w:rsidRDefault="00562980" w:rsidP="009464DA">
            <w:pPr>
              <w:pStyle w:val="Tables"/>
              <w:jc w:val="right"/>
              <w:rPr>
                <w:sz w:val="20"/>
                <w:szCs w:val="20"/>
              </w:rPr>
            </w:pPr>
            <w:r w:rsidRPr="00A26022">
              <w:rPr>
                <w:sz w:val="20"/>
                <w:szCs w:val="20"/>
              </w:rPr>
              <w:t>0.3</w:t>
            </w:r>
          </w:p>
        </w:tc>
        <w:tc>
          <w:tcPr>
            <w:tcW w:w="259" w:type="dxa"/>
            <w:shd w:val="clear" w:color="auto" w:fill="auto"/>
            <w:noWrap/>
            <w:textDirection w:val="btLr"/>
            <w:vAlign w:val="center"/>
            <w:hideMark/>
          </w:tcPr>
          <w:p w14:paraId="168110DD" w14:textId="77777777" w:rsidR="00562980" w:rsidRPr="00A26022" w:rsidRDefault="00562980" w:rsidP="009464DA">
            <w:pPr>
              <w:pStyle w:val="Tables"/>
              <w:jc w:val="right"/>
              <w:rPr>
                <w:sz w:val="20"/>
                <w:szCs w:val="20"/>
              </w:rPr>
            </w:pPr>
            <w:r w:rsidRPr="00A26022">
              <w:rPr>
                <w:sz w:val="20"/>
                <w:szCs w:val="20"/>
              </w:rPr>
              <w:t>0.2</w:t>
            </w:r>
          </w:p>
        </w:tc>
        <w:tc>
          <w:tcPr>
            <w:tcW w:w="518" w:type="dxa"/>
            <w:gridSpan w:val="2"/>
            <w:shd w:val="clear" w:color="auto" w:fill="auto"/>
            <w:noWrap/>
            <w:textDirection w:val="btLr"/>
            <w:vAlign w:val="center"/>
            <w:hideMark/>
          </w:tcPr>
          <w:p w14:paraId="70709CBD" w14:textId="77777777" w:rsidR="00562980" w:rsidRPr="00A26022" w:rsidRDefault="00562980" w:rsidP="009464DA">
            <w:pPr>
              <w:pStyle w:val="Tables"/>
              <w:jc w:val="right"/>
              <w:rPr>
                <w:sz w:val="20"/>
                <w:szCs w:val="20"/>
              </w:rPr>
            </w:pPr>
            <w:r w:rsidRPr="00A26022">
              <w:rPr>
                <w:sz w:val="20"/>
                <w:szCs w:val="20"/>
              </w:rPr>
              <w:t>0.2</w:t>
            </w:r>
          </w:p>
        </w:tc>
        <w:tc>
          <w:tcPr>
            <w:tcW w:w="259" w:type="dxa"/>
            <w:shd w:val="clear" w:color="auto" w:fill="auto"/>
            <w:noWrap/>
            <w:textDirection w:val="btLr"/>
            <w:vAlign w:val="center"/>
          </w:tcPr>
          <w:p w14:paraId="2B39F02E" w14:textId="77777777" w:rsidR="00562980" w:rsidRPr="00A26022" w:rsidRDefault="00562980" w:rsidP="009464DA">
            <w:pPr>
              <w:pStyle w:val="Tables"/>
              <w:jc w:val="right"/>
              <w:rPr>
                <w:sz w:val="20"/>
                <w:szCs w:val="20"/>
              </w:rPr>
            </w:pPr>
            <w:r w:rsidRPr="00A26022">
              <w:rPr>
                <w:sz w:val="20"/>
                <w:szCs w:val="20"/>
              </w:rPr>
              <w:t>0.4</w:t>
            </w:r>
          </w:p>
        </w:tc>
        <w:tc>
          <w:tcPr>
            <w:tcW w:w="259" w:type="dxa"/>
            <w:shd w:val="clear" w:color="auto" w:fill="auto"/>
            <w:noWrap/>
            <w:textDirection w:val="btLr"/>
            <w:vAlign w:val="center"/>
          </w:tcPr>
          <w:p w14:paraId="68BFCF61" w14:textId="77777777" w:rsidR="00562980" w:rsidRPr="00A26022" w:rsidRDefault="00562980" w:rsidP="009464DA">
            <w:pPr>
              <w:pStyle w:val="Tables"/>
              <w:jc w:val="right"/>
              <w:rPr>
                <w:sz w:val="20"/>
                <w:szCs w:val="20"/>
              </w:rPr>
            </w:pPr>
            <w:r w:rsidRPr="00A26022">
              <w:rPr>
                <w:sz w:val="20"/>
                <w:szCs w:val="20"/>
              </w:rPr>
              <w:t>2.8</w:t>
            </w:r>
          </w:p>
        </w:tc>
        <w:tc>
          <w:tcPr>
            <w:tcW w:w="259" w:type="dxa"/>
            <w:shd w:val="clear" w:color="auto" w:fill="auto"/>
            <w:noWrap/>
            <w:textDirection w:val="btLr"/>
            <w:vAlign w:val="center"/>
          </w:tcPr>
          <w:p w14:paraId="21839EB2" w14:textId="77777777" w:rsidR="00562980" w:rsidRPr="00A26022" w:rsidRDefault="00562980" w:rsidP="009464DA">
            <w:pPr>
              <w:pStyle w:val="Tables"/>
              <w:jc w:val="right"/>
              <w:rPr>
                <w:sz w:val="20"/>
                <w:szCs w:val="20"/>
              </w:rPr>
            </w:pPr>
            <w:r w:rsidRPr="00A26022">
              <w:rPr>
                <w:sz w:val="20"/>
                <w:szCs w:val="20"/>
              </w:rPr>
              <w:t>3</w:t>
            </w:r>
          </w:p>
        </w:tc>
        <w:tc>
          <w:tcPr>
            <w:tcW w:w="259" w:type="dxa"/>
            <w:shd w:val="clear" w:color="auto" w:fill="auto"/>
            <w:noWrap/>
            <w:textDirection w:val="btLr"/>
            <w:vAlign w:val="center"/>
          </w:tcPr>
          <w:p w14:paraId="516BE010" w14:textId="77777777" w:rsidR="00562980" w:rsidRPr="00A26022" w:rsidRDefault="00562980" w:rsidP="009464DA">
            <w:pPr>
              <w:pStyle w:val="Tables"/>
              <w:jc w:val="right"/>
              <w:rPr>
                <w:sz w:val="20"/>
                <w:szCs w:val="20"/>
              </w:rPr>
            </w:pPr>
            <w:r w:rsidRPr="00A26022">
              <w:rPr>
                <w:sz w:val="20"/>
                <w:szCs w:val="20"/>
              </w:rPr>
              <w:t>58.8</w:t>
            </w:r>
          </w:p>
        </w:tc>
        <w:tc>
          <w:tcPr>
            <w:tcW w:w="259" w:type="dxa"/>
            <w:shd w:val="clear" w:color="auto" w:fill="auto"/>
            <w:noWrap/>
            <w:textDirection w:val="btLr"/>
            <w:vAlign w:val="center"/>
          </w:tcPr>
          <w:p w14:paraId="327FB801" w14:textId="77777777" w:rsidR="00562980" w:rsidRPr="00A26022" w:rsidRDefault="00562980" w:rsidP="009464DA">
            <w:pPr>
              <w:pStyle w:val="Tables"/>
              <w:jc w:val="right"/>
              <w:rPr>
                <w:sz w:val="20"/>
                <w:szCs w:val="20"/>
              </w:rPr>
            </w:pPr>
            <w:r w:rsidRPr="00A26022">
              <w:rPr>
                <w:sz w:val="20"/>
                <w:szCs w:val="20"/>
              </w:rPr>
              <w:t>4.1</w:t>
            </w:r>
          </w:p>
        </w:tc>
        <w:tc>
          <w:tcPr>
            <w:tcW w:w="259" w:type="dxa"/>
            <w:shd w:val="clear" w:color="auto" w:fill="auto"/>
            <w:noWrap/>
            <w:textDirection w:val="btLr"/>
            <w:vAlign w:val="center"/>
          </w:tcPr>
          <w:p w14:paraId="68C2D14F" w14:textId="77777777" w:rsidR="00562980" w:rsidRPr="00A26022" w:rsidRDefault="00562980" w:rsidP="009464DA">
            <w:pPr>
              <w:pStyle w:val="Tables"/>
              <w:jc w:val="right"/>
              <w:rPr>
                <w:sz w:val="20"/>
                <w:szCs w:val="20"/>
              </w:rPr>
            </w:pPr>
            <w:r w:rsidRPr="00A26022">
              <w:rPr>
                <w:sz w:val="20"/>
                <w:szCs w:val="20"/>
              </w:rPr>
              <w:t>1.4</w:t>
            </w:r>
          </w:p>
        </w:tc>
        <w:tc>
          <w:tcPr>
            <w:tcW w:w="259" w:type="dxa"/>
            <w:shd w:val="clear" w:color="auto" w:fill="auto"/>
            <w:noWrap/>
            <w:textDirection w:val="btLr"/>
            <w:vAlign w:val="center"/>
            <w:hideMark/>
          </w:tcPr>
          <w:p w14:paraId="14E4A077" w14:textId="77777777" w:rsidR="00562980" w:rsidRPr="00A26022" w:rsidRDefault="00562980" w:rsidP="009464DA">
            <w:pPr>
              <w:pStyle w:val="Tables"/>
              <w:jc w:val="right"/>
              <w:rPr>
                <w:sz w:val="20"/>
                <w:szCs w:val="20"/>
              </w:rPr>
            </w:pPr>
            <w:r w:rsidRPr="00A26022">
              <w:rPr>
                <w:sz w:val="20"/>
                <w:szCs w:val="20"/>
              </w:rPr>
              <w:t>5.4</w:t>
            </w:r>
          </w:p>
        </w:tc>
        <w:tc>
          <w:tcPr>
            <w:tcW w:w="259" w:type="dxa"/>
            <w:shd w:val="clear" w:color="auto" w:fill="auto"/>
            <w:noWrap/>
            <w:textDirection w:val="btLr"/>
            <w:vAlign w:val="center"/>
            <w:hideMark/>
          </w:tcPr>
          <w:p w14:paraId="21ECA3C3" w14:textId="77777777" w:rsidR="00562980" w:rsidRPr="00A26022" w:rsidRDefault="00562980" w:rsidP="009464DA">
            <w:pPr>
              <w:pStyle w:val="Tables"/>
              <w:jc w:val="center"/>
              <w:rPr>
                <w:sz w:val="20"/>
                <w:szCs w:val="20"/>
              </w:rPr>
            </w:pPr>
          </w:p>
        </w:tc>
        <w:tc>
          <w:tcPr>
            <w:tcW w:w="259" w:type="dxa"/>
            <w:shd w:val="clear" w:color="auto" w:fill="auto"/>
            <w:noWrap/>
            <w:textDirection w:val="btLr"/>
            <w:vAlign w:val="center"/>
            <w:hideMark/>
          </w:tcPr>
          <w:p w14:paraId="0E5341F7" w14:textId="77777777" w:rsidR="00562980" w:rsidRPr="00A26022" w:rsidRDefault="00562980" w:rsidP="009464DA">
            <w:pPr>
              <w:pStyle w:val="Tables"/>
              <w:jc w:val="center"/>
              <w:rPr>
                <w:sz w:val="20"/>
                <w:szCs w:val="20"/>
              </w:rPr>
            </w:pPr>
          </w:p>
        </w:tc>
        <w:tc>
          <w:tcPr>
            <w:tcW w:w="259" w:type="dxa"/>
            <w:shd w:val="clear" w:color="auto" w:fill="auto"/>
            <w:noWrap/>
            <w:textDirection w:val="btLr"/>
            <w:vAlign w:val="center"/>
            <w:hideMark/>
          </w:tcPr>
          <w:p w14:paraId="2B165734" w14:textId="77777777" w:rsidR="00562980" w:rsidRPr="00A26022" w:rsidRDefault="00562980" w:rsidP="009464DA">
            <w:pPr>
              <w:pStyle w:val="Tables"/>
              <w:jc w:val="center"/>
              <w:rPr>
                <w:sz w:val="20"/>
                <w:szCs w:val="20"/>
              </w:rPr>
            </w:pPr>
          </w:p>
        </w:tc>
        <w:tc>
          <w:tcPr>
            <w:tcW w:w="259" w:type="dxa"/>
            <w:shd w:val="clear" w:color="auto" w:fill="auto"/>
            <w:noWrap/>
            <w:textDirection w:val="btLr"/>
            <w:vAlign w:val="center"/>
            <w:hideMark/>
          </w:tcPr>
          <w:p w14:paraId="131C41C1" w14:textId="77777777" w:rsidR="00562980" w:rsidRPr="00A26022" w:rsidRDefault="00562980" w:rsidP="009464DA">
            <w:pPr>
              <w:pStyle w:val="Tables"/>
              <w:jc w:val="center"/>
              <w:rPr>
                <w:sz w:val="20"/>
                <w:szCs w:val="20"/>
              </w:rPr>
            </w:pPr>
          </w:p>
        </w:tc>
        <w:tc>
          <w:tcPr>
            <w:tcW w:w="259" w:type="dxa"/>
            <w:shd w:val="clear" w:color="auto" w:fill="auto"/>
            <w:noWrap/>
            <w:textDirection w:val="btLr"/>
            <w:vAlign w:val="center"/>
            <w:hideMark/>
          </w:tcPr>
          <w:p w14:paraId="3E13571D" w14:textId="77777777" w:rsidR="00562980" w:rsidRPr="00A26022" w:rsidRDefault="00562980" w:rsidP="009464DA">
            <w:pPr>
              <w:pStyle w:val="Tables"/>
              <w:jc w:val="center"/>
              <w:rPr>
                <w:sz w:val="20"/>
                <w:szCs w:val="20"/>
              </w:rPr>
            </w:pPr>
          </w:p>
        </w:tc>
        <w:tc>
          <w:tcPr>
            <w:tcW w:w="259" w:type="dxa"/>
            <w:shd w:val="clear" w:color="auto" w:fill="auto"/>
            <w:noWrap/>
            <w:textDirection w:val="btLr"/>
            <w:vAlign w:val="center"/>
            <w:hideMark/>
          </w:tcPr>
          <w:p w14:paraId="0701D0C0" w14:textId="77777777" w:rsidR="00562980" w:rsidRPr="00A26022" w:rsidRDefault="00562980" w:rsidP="009464DA">
            <w:pPr>
              <w:pStyle w:val="Tables"/>
              <w:jc w:val="center"/>
              <w:rPr>
                <w:sz w:val="20"/>
                <w:szCs w:val="20"/>
              </w:rPr>
            </w:pPr>
          </w:p>
        </w:tc>
        <w:tc>
          <w:tcPr>
            <w:tcW w:w="259" w:type="dxa"/>
            <w:shd w:val="clear" w:color="auto" w:fill="auto"/>
            <w:noWrap/>
            <w:textDirection w:val="btLr"/>
            <w:vAlign w:val="center"/>
            <w:hideMark/>
          </w:tcPr>
          <w:p w14:paraId="6BB207BA" w14:textId="77777777" w:rsidR="00562980" w:rsidRPr="00A26022" w:rsidRDefault="00562980" w:rsidP="009464DA">
            <w:pPr>
              <w:pStyle w:val="Tables"/>
              <w:jc w:val="center"/>
              <w:rPr>
                <w:sz w:val="20"/>
                <w:szCs w:val="20"/>
              </w:rPr>
            </w:pPr>
          </w:p>
        </w:tc>
        <w:tc>
          <w:tcPr>
            <w:tcW w:w="259" w:type="dxa"/>
            <w:shd w:val="clear" w:color="auto" w:fill="auto"/>
            <w:noWrap/>
            <w:textDirection w:val="btLr"/>
            <w:vAlign w:val="center"/>
            <w:hideMark/>
          </w:tcPr>
          <w:p w14:paraId="27DF4A55" w14:textId="77777777" w:rsidR="00562980" w:rsidRPr="00A26022" w:rsidRDefault="00562980" w:rsidP="009464DA">
            <w:pPr>
              <w:pStyle w:val="Tables"/>
              <w:jc w:val="center"/>
              <w:rPr>
                <w:sz w:val="20"/>
                <w:szCs w:val="20"/>
              </w:rPr>
            </w:pPr>
          </w:p>
        </w:tc>
        <w:tc>
          <w:tcPr>
            <w:tcW w:w="259" w:type="dxa"/>
            <w:shd w:val="clear" w:color="auto" w:fill="auto"/>
            <w:noWrap/>
            <w:textDirection w:val="btLr"/>
            <w:vAlign w:val="center"/>
            <w:hideMark/>
          </w:tcPr>
          <w:p w14:paraId="3C3357C0" w14:textId="77777777" w:rsidR="00562980" w:rsidRPr="00A26022" w:rsidRDefault="00562980" w:rsidP="009464DA">
            <w:pPr>
              <w:pStyle w:val="Tables"/>
              <w:jc w:val="center"/>
              <w:rPr>
                <w:sz w:val="20"/>
                <w:szCs w:val="20"/>
              </w:rPr>
            </w:pPr>
          </w:p>
        </w:tc>
        <w:tc>
          <w:tcPr>
            <w:tcW w:w="259" w:type="dxa"/>
            <w:shd w:val="clear" w:color="auto" w:fill="auto"/>
            <w:noWrap/>
            <w:textDirection w:val="btLr"/>
            <w:vAlign w:val="center"/>
            <w:hideMark/>
          </w:tcPr>
          <w:p w14:paraId="18BA356C" w14:textId="77777777" w:rsidR="00562980" w:rsidRPr="00A26022" w:rsidRDefault="00562980" w:rsidP="009464DA">
            <w:pPr>
              <w:pStyle w:val="Tables"/>
              <w:jc w:val="center"/>
              <w:rPr>
                <w:sz w:val="20"/>
                <w:szCs w:val="20"/>
              </w:rPr>
            </w:pPr>
          </w:p>
        </w:tc>
        <w:tc>
          <w:tcPr>
            <w:tcW w:w="233" w:type="dxa"/>
            <w:textDirection w:val="btLr"/>
            <w:vAlign w:val="center"/>
          </w:tcPr>
          <w:p w14:paraId="3AA02D74" w14:textId="77777777" w:rsidR="00562980" w:rsidRPr="00A26022" w:rsidRDefault="00562980" w:rsidP="009464DA">
            <w:pPr>
              <w:pStyle w:val="Tables"/>
              <w:jc w:val="center"/>
              <w:rPr>
                <w:sz w:val="20"/>
                <w:szCs w:val="20"/>
              </w:rPr>
            </w:pPr>
          </w:p>
        </w:tc>
        <w:tc>
          <w:tcPr>
            <w:tcW w:w="238" w:type="dxa"/>
            <w:textDirection w:val="btLr"/>
            <w:vAlign w:val="center"/>
          </w:tcPr>
          <w:p w14:paraId="2DFC7DFA" w14:textId="77777777" w:rsidR="00562980" w:rsidRPr="00A26022" w:rsidRDefault="00562980" w:rsidP="009464DA">
            <w:pPr>
              <w:pStyle w:val="Tables"/>
              <w:jc w:val="center"/>
              <w:rPr>
                <w:sz w:val="20"/>
                <w:szCs w:val="20"/>
              </w:rPr>
            </w:pPr>
          </w:p>
        </w:tc>
      </w:tr>
      <w:tr w:rsidR="00562980" w:rsidRPr="00A26022" w14:paraId="347A510B" w14:textId="77777777" w:rsidTr="009464DA">
        <w:trPr>
          <w:trHeight w:val="2135"/>
        </w:trPr>
        <w:tc>
          <w:tcPr>
            <w:tcW w:w="250" w:type="dxa"/>
            <w:shd w:val="clear" w:color="auto" w:fill="auto"/>
            <w:noWrap/>
            <w:textDirection w:val="btLr"/>
            <w:hideMark/>
          </w:tcPr>
          <w:p w14:paraId="3AF6D884" w14:textId="77777777" w:rsidR="00562980" w:rsidRPr="0064365C" w:rsidRDefault="00562980" w:rsidP="009464DA">
            <w:pPr>
              <w:pStyle w:val="Tables"/>
              <w:rPr>
                <w:b/>
                <w:sz w:val="20"/>
                <w:szCs w:val="20"/>
              </w:rPr>
            </w:pPr>
            <w:r w:rsidRPr="0064365C">
              <w:rPr>
                <w:b/>
                <w:sz w:val="20"/>
                <w:szCs w:val="20"/>
              </w:rPr>
              <w:t>Cellulose</w:t>
            </w:r>
          </w:p>
        </w:tc>
        <w:tc>
          <w:tcPr>
            <w:tcW w:w="258" w:type="dxa"/>
            <w:shd w:val="clear" w:color="auto" w:fill="auto"/>
            <w:noWrap/>
            <w:textDirection w:val="btLr"/>
            <w:hideMark/>
          </w:tcPr>
          <w:p w14:paraId="2ADD0E41" w14:textId="77777777" w:rsidR="00562980" w:rsidRPr="00A26022" w:rsidRDefault="00562980" w:rsidP="009464DA">
            <w:pPr>
              <w:pStyle w:val="Tables"/>
              <w:rPr>
                <w:sz w:val="20"/>
                <w:szCs w:val="20"/>
                <w:u w:val="single"/>
              </w:rPr>
            </w:pPr>
            <w:r w:rsidRPr="00A26022">
              <w:rPr>
                <w:sz w:val="20"/>
                <w:szCs w:val="20"/>
                <w:u w:val="single"/>
              </w:rPr>
              <w:t>Product</w:t>
            </w:r>
          </w:p>
        </w:tc>
        <w:tc>
          <w:tcPr>
            <w:tcW w:w="258" w:type="dxa"/>
            <w:shd w:val="clear" w:color="auto" w:fill="auto"/>
            <w:noWrap/>
            <w:textDirection w:val="btLr"/>
            <w:hideMark/>
          </w:tcPr>
          <w:p w14:paraId="7D78A655" w14:textId="77777777" w:rsidR="00562980" w:rsidRPr="00A26022" w:rsidRDefault="00562980" w:rsidP="009464DA">
            <w:pPr>
              <w:pStyle w:val="Tables"/>
              <w:rPr>
                <w:sz w:val="20"/>
                <w:szCs w:val="20"/>
              </w:rPr>
            </w:pPr>
            <w:r w:rsidRPr="00A26022">
              <w:rPr>
                <w:sz w:val="20"/>
                <w:szCs w:val="20"/>
              </w:rPr>
              <w:t>Formic Acid</w:t>
            </w:r>
          </w:p>
        </w:tc>
        <w:tc>
          <w:tcPr>
            <w:tcW w:w="258" w:type="dxa"/>
            <w:shd w:val="clear" w:color="auto" w:fill="auto"/>
            <w:noWrap/>
            <w:textDirection w:val="btLr"/>
            <w:hideMark/>
          </w:tcPr>
          <w:p w14:paraId="1891F91A" w14:textId="77777777" w:rsidR="00562980" w:rsidRPr="00A26022" w:rsidRDefault="00562980" w:rsidP="009464DA">
            <w:pPr>
              <w:pStyle w:val="Tables"/>
              <w:rPr>
                <w:sz w:val="20"/>
                <w:szCs w:val="20"/>
              </w:rPr>
            </w:pPr>
            <w:r w:rsidRPr="00A26022">
              <w:rPr>
                <w:sz w:val="20"/>
                <w:szCs w:val="20"/>
              </w:rPr>
              <w:t>Furan/Acetone</w:t>
            </w:r>
          </w:p>
        </w:tc>
        <w:tc>
          <w:tcPr>
            <w:tcW w:w="258" w:type="dxa"/>
            <w:shd w:val="clear" w:color="auto" w:fill="auto"/>
            <w:noWrap/>
            <w:textDirection w:val="btLr"/>
            <w:hideMark/>
          </w:tcPr>
          <w:p w14:paraId="330E156A" w14:textId="77777777" w:rsidR="00562980" w:rsidRPr="00A26022" w:rsidRDefault="00562980" w:rsidP="009464DA">
            <w:pPr>
              <w:pStyle w:val="Tables"/>
              <w:rPr>
                <w:sz w:val="20"/>
                <w:szCs w:val="20"/>
              </w:rPr>
            </w:pPr>
            <w:r w:rsidRPr="00A26022">
              <w:rPr>
                <w:sz w:val="20"/>
                <w:szCs w:val="20"/>
              </w:rPr>
              <w:t>Glycolaldehyde</w:t>
            </w:r>
          </w:p>
        </w:tc>
        <w:tc>
          <w:tcPr>
            <w:tcW w:w="258" w:type="dxa"/>
            <w:shd w:val="clear" w:color="auto" w:fill="auto"/>
            <w:noWrap/>
            <w:textDirection w:val="btLr"/>
            <w:hideMark/>
          </w:tcPr>
          <w:p w14:paraId="3E585B79" w14:textId="77777777" w:rsidR="00562980" w:rsidRPr="00A26022" w:rsidRDefault="00562980" w:rsidP="009464DA">
            <w:pPr>
              <w:pStyle w:val="Tables"/>
              <w:rPr>
                <w:sz w:val="20"/>
                <w:szCs w:val="20"/>
              </w:rPr>
            </w:pPr>
            <w:r w:rsidRPr="00A26022">
              <w:rPr>
                <w:sz w:val="20"/>
                <w:szCs w:val="20"/>
              </w:rPr>
              <w:t>Acetic acid</w:t>
            </w:r>
          </w:p>
        </w:tc>
        <w:tc>
          <w:tcPr>
            <w:tcW w:w="259" w:type="dxa"/>
            <w:shd w:val="clear" w:color="auto" w:fill="auto"/>
            <w:noWrap/>
            <w:textDirection w:val="btLr"/>
            <w:hideMark/>
          </w:tcPr>
          <w:p w14:paraId="5EBA143C" w14:textId="77777777" w:rsidR="00562980" w:rsidRPr="00A26022" w:rsidRDefault="00562980" w:rsidP="009464DA">
            <w:pPr>
              <w:pStyle w:val="Tables"/>
              <w:rPr>
                <w:sz w:val="20"/>
                <w:szCs w:val="20"/>
              </w:rPr>
            </w:pPr>
            <w:r w:rsidRPr="00A26022">
              <w:rPr>
                <w:sz w:val="20"/>
                <w:szCs w:val="20"/>
              </w:rPr>
              <w:t>2-Methyl furan</w:t>
            </w:r>
          </w:p>
        </w:tc>
        <w:tc>
          <w:tcPr>
            <w:tcW w:w="259" w:type="dxa"/>
            <w:shd w:val="clear" w:color="auto" w:fill="auto"/>
            <w:noWrap/>
            <w:textDirection w:val="btLr"/>
            <w:hideMark/>
          </w:tcPr>
          <w:p w14:paraId="23A7357D" w14:textId="77777777" w:rsidR="00562980" w:rsidRPr="00A26022" w:rsidRDefault="00562980" w:rsidP="009464DA">
            <w:pPr>
              <w:pStyle w:val="Tables"/>
              <w:rPr>
                <w:sz w:val="20"/>
                <w:szCs w:val="20"/>
              </w:rPr>
            </w:pPr>
            <w:r w:rsidRPr="00A26022">
              <w:rPr>
                <w:sz w:val="20"/>
                <w:szCs w:val="20"/>
              </w:rPr>
              <w:t>Acetol</w:t>
            </w:r>
          </w:p>
        </w:tc>
        <w:tc>
          <w:tcPr>
            <w:tcW w:w="259" w:type="dxa"/>
            <w:shd w:val="clear" w:color="auto" w:fill="auto"/>
            <w:noWrap/>
            <w:textDirection w:val="btLr"/>
            <w:hideMark/>
          </w:tcPr>
          <w:p w14:paraId="60BBC145" w14:textId="77777777" w:rsidR="00562980" w:rsidRPr="00A26022" w:rsidRDefault="00562980" w:rsidP="009464DA">
            <w:pPr>
              <w:pStyle w:val="Tables"/>
              <w:rPr>
                <w:sz w:val="20"/>
                <w:szCs w:val="20"/>
              </w:rPr>
            </w:pPr>
            <w:r w:rsidRPr="00A26022">
              <w:rPr>
                <w:sz w:val="20"/>
                <w:szCs w:val="20"/>
              </w:rPr>
              <w:t>Furfural</w:t>
            </w:r>
          </w:p>
        </w:tc>
        <w:tc>
          <w:tcPr>
            <w:tcW w:w="259" w:type="dxa"/>
            <w:shd w:val="clear" w:color="auto" w:fill="auto"/>
            <w:noWrap/>
            <w:textDirection w:val="btLr"/>
            <w:hideMark/>
          </w:tcPr>
          <w:p w14:paraId="1DF24B23" w14:textId="77777777" w:rsidR="00562980" w:rsidRPr="00A26022" w:rsidRDefault="00562980" w:rsidP="009464DA">
            <w:pPr>
              <w:pStyle w:val="Tables"/>
              <w:rPr>
                <w:sz w:val="20"/>
                <w:szCs w:val="20"/>
              </w:rPr>
            </w:pPr>
            <w:r w:rsidRPr="00A26022">
              <w:rPr>
                <w:sz w:val="20"/>
                <w:szCs w:val="20"/>
              </w:rPr>
              <w:t>2-Furanmethanol</w:t>
            </w:r>
          </w:p>
        </w:tc>
        <w:tc>
          <w:tcPr>
            <w:tcW w:w="259" w:type="dxa"/>
            <w:shd w:val="clear" w:color="auto" w:fill="auto"/>
            <w:noWrap/>
            <w:textDirection w:val="btLr"/>
            <w:hideMark/>
          </w:tcPr>
          <w:p w14:paraId="733933BC" w14:textId="77777777" w:rsidR="00562980" w:rsidRPr="00A26022" w:rsidRDefault="00562980" w:rsidP="009464DA">
            <w:pPr>
              <w:pStyle w:val="Tables"/>
              <w:rPr>
                <w:sz w:val="20"/>
                <w:szCs w:val="20"/>
              </w:rPr>
            </w:pPr>
            <w:r w:rsidRPr="00A26022">
              <w:rPr>
                <w:sz w:val="20"/>
                <w:szCs w:val="20"/>
              </w:rPr>
              <w:t>3-Furanmethanol</w:t>
            </w:r>
          </w:p>
        </w:tc>
        <w:tc>
          <w:tcPr>
            <w:tcW w:w="259" w:type="dxa"/>
            <w:shd w:val="clear" w:color="auto" w:fill="auto"/>
            <w:noWrap/>
            <w:textDirection w:val="btLr"/>
            <w:hideMark/>
          </w:tcPr>
          <w:p w14:paraId="7482B213" w14:textId="77777777" w:rsidR="00562980" w:rsidRPr="00A26022" w:rsidRDefault="00562980" w:rsidP="009464DA">
            <w:pPr>
              <w:pStyle w:val="Tables"/>
              <w:rPr>
                <w:sz w:val="20"/>
                <w:szCs w:val="20"/>
              </w:rPr>
            </w:pPr>
            <w:r w:rsidRPr="00A26022">
              <w:rPr>
                <w:sz w:val="20"/>
                <w:szCs w:val="20"/>
              </w:rPr>
              <w:t>5-Methyl furfural</w:t>
            </w:r>
          </w:p>
        </w:tc>
        <w:tc>
          <w:tcPr>
            <w:tcW w:w="518" w:type="dxa"/>
            <w:gridSpan w:val="2"/>
            <w:shd w:val="clear" w:color="auto" w:fill="auto"/>
            <w:noWrap/>
            <w:textDirection w:val="btLr"/>
            <w:hideMark/>
          </w:tcPr>
          <w:p w14:paraId="54F669A1" w14:textId="77777777" w:rsidR="00562980" w:rsidRPr="00A26022" w:rsidRDefault="00562980" w:rsidP="009464DA">
            <w:pPr>
              <w:pStyle w:val="Tables"/>
              <w:rPr>
                <w:sz w:val="20"/>
                <w:szCs w:val="20"/>
              </w:rPr>
            </w:pPr>
            <w:r w:rsidRPr="00A26022">
              <w:rPr>
                <w:sz w:val="20"/>
                <w:szCs w:val="20"/>
              </w:rPr>
              <w:t>2-Hydroxy-3-methyl cyclopenten-1-one</w:t>
            </w:r>
          </w:p>
        </w:tc>
        <w:tc>
          <w:tcPr>
            <w:tcW w:w="259" w:type="dxa"/>
            <w:shd w:val="clear" w:color="auto" w:fill="auto"/>
            <w:noWrap/>
            <w:textDirection w:val="btLr"/>
          </w:tcPr>
          <w:p w14:paraId="0C3F2088" w14:textId="77777777" w:rsidR="00562980" w:rsidRPr="00A26022" w:rsidRDefault="00562980" w:rsidP="009464DA">
            <w:pPr>
              <w:pStyle w:val="Tables"/>
              <w:rPr>
                <w:sz w:val="20"/>
                <w:szCs w:val="20"/>
              </w:rPr>
            </w:pPr>
            <w:r w:rsidRPr="00A26022">
              <w:rPr>
                <w:sz w:val="20"/>
                <w:szCs w:val="20"/>
              </w:rPr>
              <w:t>Levoglucosenone</w:t>
            </w:r>
          </w:p>
        </w:tc>
        <w:tc>
          <w:tcPr>
            <w:tcW w:w="259" w:type="dxa"/>
            <w:shd w:val="clear" w:color="auto" w:fill="auto"/>
            <w:noWrap/>
            <w:textDirection w:val="btLr"/>
          </w:tcPr>
          <w:p w14:paraId="6CCFA91E" w14:textId="77777777" w:rsidR="00562980" w:rsidRPr="00A26022" w:rsidRDefault="00562980" w:rsidP="009464DA">
            <w:pPr>
              <w:pStyle w:val="Tables"/>
              <w:rPr>
                <w:sz w:val="20"/>
                <w:szCs w:val="20"/>
              </w:rPr>
            </w:pPr>
            <w:r w:rsidRPr="00A26022">
              <w:rPr>
                <w:sz w:val="20"/>
                <w:szCs w:val="20"/>
              </w:rPr>
              <w:t>5-Hydroxymethyl furfural</w:t>
            </w:r>
          </w:p>
        </w:tc>
        <w:tc>
          <w:tcPr>
            <w:tcW w:w="259" w:type="dxa"/>
            <w:shd w:val="clear" w:color="auto" w:fill="auto"/>
            <w:noWrap/>
            <w:textDirection w:val="btLr"/>
          </w:tcPr>
          <w:p w14:paraId="7597C813" w14:textId="77777777" w:rsidR="00562980" w:rsidRPr="00A26022" w:rsidRDefault="00562980" w:rsidP="009464DA">
            <w:pPr>
              <w:pStyle w:val="Tables"/>
              <w:rPr>
                <w:sz w:val="20"/>
                <w:szCs w:val="20"/>
              </w:rPr>
            </w:pPr>
            <w:r w:rsidRPr="00A26022">
              <w:rPr>
                <w:sz w:val="20"/>
                <w:szCs w:val="20"/>
              </w:rPr>
              <w:t>Anhydro xylopyranose</w:t>
            </w:r>
          </w:p>
        </w:tc>
        <w:tc>
          <w:tcPr>
            <w:tcW w:w="259" w:type="dxa"/>
            <w:shd w:val="clear" w:color="auto" w:fill="auto"/>
            <w:noWrap/>
            <w:textDirection w:val="btLr"/>
          </w:tcPr>
          <w:p w14:paraId="5AE37B8F" w14:textId="77777777" w:rsidR="00562980" w:rsidRPr="00A26022" w:rsidRDefault="00562980" w:rsidP="009464DA">
            <w:pPr>
              <w:pStyle w:val="Tables"/>
              <w:rPr>
                <w:sz w:val="20"/>
                <w:szCs w:val="20"/>
              </w:rPr>
            </w:pPr>
            <w:r w:rsidRPr="00A26022">
              <w:rPr>
                <w:sz w:val="20"/>
                <w:szCs w:val="20"/>
              </w:rPr>
              <w:t>Levoglucosan - pyranose</w:t>
            </w:r>
          </w:p>
        </w:tc>
        <w:tc>
          <w:tcPr>
            <w:tcW w:w="259" w:type="dxa"/>
            <w:shd w:val="clear" w:color="auto" w:fill="auto"/>
            <w:noWrap/>
            <w:textDirection w:val="btLr"/>
          </w:tcPr>
          <w:p w14:paraId="64080420" w14:textId="77777777" w:rsidR="00562980" w:rsidRPr="00A26022" w:rsidRDefault="00562980" w:rsidP="009464DA">
            <w:pPr>
              <w:pStyle w:val="Tables"/>
              <w:rPr>
                <w:sz w:val="20"/>
                <w:szCs w:val="20"/>
              </w:rPr>
            </w:pPr>
            <w:r w:rsidRPr="00A26022">
              <w:rPr>
                <w:sz w:val="20"/>
                <w:szCs w:val="20"/>
              </w:rPr>
              <w:t>Levoglucosan - furanose</w:t>
            </w:r>
          </w:p>
        </w:tc>
        <w:tc>
          <w:tcPr>
            <w:tcW w:w="259" w:type="dxa"/>
            <w:shd w:val="clear" w:color="auto" w:fill="auto"/>
            <w:noWrap/>
            <w:textDirection w:val="btLr"/>
          </w:tcPr>
          <w:p w14:paraId="22931E09" w14:textId="77777777" w:rsidR="00562980" w:rsidRPr="00A26022" w:rsidRDefault="00562980" w:rsidP="009464DA">
            <w:pPr>
              <w:pStyle w:val="Tables"/>
              <w:rPr>
                <w:sz w:val="20"/>
                <w:szCs w:val="20"/>
              </w:rPr>
            </w:pPr>
            <w:r w:rsidRPr="00A26022">
              <w:rPr>
                <w:sz w:val="20"/>
                <w:szCs w:val="20"/>
              </w:rPr>
              <w:t>Other anhydrosugars</w:t>
            </w:r>
          </w:p>
        </w:tc>
        <w:tc>
          <w:tcPr>
            <w:tcW w:w="259" w:type="dxa"/>
            <w:shd w:val="clear" w:color="auto" w:fill="auto"/>
            <w:noWrap/>
            <w:textDirection w:val="btLr"/>
            <w:hideMark/>
          </w:tcPr>
          <w:p w14:paraId="00F41405" w14:textId="77777777" w:rsidR="00562980" w:rsidRPr="00A26022" w:rsidRDefault="00562980" w:rsidP="009464DA">
            <w:pPr>
              <w:pStyle w:val="Tables"/>
              <w:rPr>
                <w:sz w:val="20"/>
                <w:szCs w:val="20"/>
              </w:rPr>
            </w:pPr>
            <w:r w:rsidRPr="00A26022">
              <w:rPr>
                <w:sz w:val="20"/>
                <w:szCs w:val="20"/>
              </w:rPr>
              <w:t>Char</w:t>
            </w:r>
          </w:p>
        </w:tc>
        <w:tc>
          <w:tcPr>
            <w:tcW w:w="259" w:type="dxa"/>
            <w:shd w:val="clear" w:color="auto" w:fill="auto"/>
            <w:noWrap/>
            <w:textDirection w:val="btLr"/>
            <w:hideMark/>
          </w:tcPr>
          <w:p w14:paraId="2EB0A1A4" w14:textId="77777777" w:rsidR="00562980" w:rsidRPr="00A26022" w:rsidRDefault="00562980" w:rsidP="009464DA">
            <w:pPr>
              <w:pStyle w:val="Tables"/>
              <w:rPr>
                <w:sz w:val="20"/>
                <w:szCs w:val="20"/>
              </w:rPr>
            </w:pPr>
            <w:r w:rsidRPr="00A26022">
              <w:rPr>
                <w:sz w:val="20"/>
                <w:szCs w:val="20"/>
              </w:rPr>
              <w:t> </w:t>
            </w:r>
          </w:p>
        </w:tc>
        <w:tc>
          <w:tcPr>
            <w:tcW w:w="259" w:type="dxa"/>
            <w:shd w:val="clear" w:color="auto" w:fill="auto"/>
            <w:noWrap/>
            <w:textDirection w:val="btLr"/>
            <w:hideMark/>
          </w:tcPr>
          <w:p w14:paraId="4935CF4B" w14:textId="77777777" w:rsidR="00562980" w:rsidRPr="00A26022" w:rsidRDefault="00562980" w:rsidP="009464DA">
            <w:pPr>
              <w:pStyle w:val="Tables"/>
              <w:rPr>
                <w:sz w:val="20"/>
                <w:szCs w:val="20"/>
              </w:rPr>
            </w:pPr>
            <w:r w:rsidRPr="00A26022">
              <w:rPr>
                <w:sz w:val="20"/>
                <w:szCs w:val="20"/>
              </w:rPr>
              <w:t> </w:t>
            </w:r>
          </w:p>
        </w:tc>
        <w:tc>
          <w:tcPr>
            <w:tcW w:w="259" w:type="dxa"/>
            <w:shd w:val="clear" w:color="auto" w:fill="auto"/>
            <w:noWrap/>
            <w:textDirection w:val="btLr"/>
            <w:hideMark/>
          </w:tcPr>
          <w:p w14:paraId="305E56DD" w14:textId="77777777" w:rsidR="00562980" w:rsidRPr="00A26022" w:rsidRDefault="00562980" w:rsidP="009464DA">
            <w:pPr>
              <w:pStyle w:val="Tables"/>
              <w:rPr>
                <w:sz w:val="20"/>
                <w:szCs w:val="20"/>
              </w:rPr>
            </w:pPr>
            <w:r w:rsidRPr="00A26022">
              <w:rPr>
                <w:sz w:val="20"/>
                <w:szCs w:val="20"/>
              </w:rPr>
              <w:t> </w:t>
            </w:r>
          </w:p>
        </w:tc>
        <w:tc>
          <w:tcPr>
            <w:tcW w:w="259" w:type="dxa"/>
            <w:shd w:val="clear" w:color="auto" w:fill="auto"/>
            <w:noWrap/>
            <w:textDirection w:val="btLr"/>
            <w:hideMark/>
          </w:tcPr>
          <w:p w14:paraId="2E371994" w14:textId="77777777" w:rsidR="00562980" w:rsidRPr="00A26022" w:rsidRDefault="00562980" w:rsidP="009464DA">
            <w:pPr>
              <w:pStyle w:val="Tables"/>
              <w:rPr>
                <w:sz w:val="20"/>
                <w:szCs w:val="20"/>
              </w:rPr>
            </w:pPr>
            <w:r w:rsidRPr="00A26022">
              <w:rPr>
                <w:sz w:val="20"/>
                <w:szCs w:val="20"/>
              </w:rPr>
              <w:t> </w:t>
            </w:r>
          </w:p>
        </w:tc>
        <w:tc>
          <w:tcPr>
            <w:tcW w:w="259" w:type="dxa"/>
            <w:shd w:val="clear" w:color="auto" w:fill="auto"/>
            <w:noWrap/>
            <w:textDirection w:val="btLr"/>
            <w:hideMark/>
          </w:tcPr>
          <w:p w14:paraId="12DD0C93" w14:textId="77777777" w:rsidR="00562980" w:rsidRPr="00A26022" w:rsidRDefault="00562980" w:rsidP="009464DA">
            <w:pPr>
              <w:pStyle w:val="Tables"/>
              <w:rPr>
                <w:sz w:val="20"/>
                <w:szCs w:val="20"/>
              </w:rPr>
            </w:pPr>
            <w:r w:rsidRPr="00A26022">
              <w:rPr>
                <w:sz w:val="20"/>
                <w:szCs w:val="20"/>
              </w:rPr>
              <w:t> </w:t>
            </w:r>
          </w:p>
        </w:tc>
        <w:tc>
          <w:tcPr>
            <w:tcW w:w="259" w:type="dxa"/>
            <w:shd w:val="clear" w:color="auto" w:fill="auto"/>
            <w:noWrap/>
            <w:textDirection w:val="btLr"/>
            <w:hideMark/>
          </w:tcPr>
          <w:p w14:paraId="453813A8" w14:textId="77777777" w:rsidR="00562980" w:rsidRPr="00A26022" w:rsidRDefault="00562980" w:rsidP="009464DA">
            <w:pPr>
              <w:pStyle w:val="Tables"/>
              <w:rPr>
                <w:sz w:val="20"/>
                <w:szCs w:val="20"/>
              </w:rPr>
            </w:pPr>
            <w:r w:rsidRPr="00A26022">
              <w:rPr>
                <w:sz w:val="20"/>
                <w:szCs w:val="20"/>
              </w:rPr>
              <w:t> </w:t>
            </w:r>
          </w:p>
        </w:tc>
        <w:tc>
          <w:tcPr>
            <w:tcW w:w="259" w:type="dxa"/>
            <w:shd w:val="clear" w:color="auto" w:fill="auto"/>
            <w:noWrap/>
            <w:textDirection w:val="btLr"/>
            <w:hideMark/>
          </w:tcPr>
          <w:p w14:paraId="1356ECF9" w14:textId="77777777" w:rsidR="00562980" w:rsidRPr="00A26022" w:rsidRDefault="00562980" w:rsidP="009464DA">
            <w:pPr>
              <w:pStyle w:val="Tables"/>
              <w:rPr>
                <w:sz w:val="20"/>
                <w:szCs w:val="20"/>
              </w:rPr>
            </w:pPr>
            <w:r w:rsidRPr="00A26022">
              <w:rPr>
                <w:sz w:val="20"/>
                <w:szCs w:val="20"/>
              </w:rPr>
              <w:t> </w:t>
            </w:r>
          </w:p>
        </w:tc>
        <w:tc>
          <w:tcPr>
            <w:tcW w:w="259" w:type="dxa"/>
            <w:shd w:val="clear" w:color="auto" w:fill="auto"/>
            <w:noWrap/>
            <w:textDirection w:val="btLr"/>
            <w:hideMark/>
          </w:tcPr>
          <w:p w14:paraId="08CDD73D" w14:textId="77777777" w:rsidR="00562980" w:rsidRPr="00A26022" w:rsidRDefault="00562980" w:rsidP="009464DA">
            <w:pPr>
              <w:pStyle w:val="Tables"/>
              <w:rPr>
                <w:sz w:val="20"/>
                <w:szCs w:val="20"/>
              </w:rPr>
            </w:pPr>
            <w:r w:rsidRPr="00A26022">
              <w:rPr>
                <w:sz w:val="20"/>
                <w:szCs w:val="20"/>
              </w:rPr>
              <w:t> </w:t>
            </w:r>
          </w:p>
        </w:tc>
        <w:tc>
          <w:tcPr>
            <w:tcW w:w="259" w:type="dxa"/>
            <w:shd w:val="clear" w:color="auto" w:fill="auto"/>
            <w:noWrap/>
            <w:textDirection w:val="btLr"/>
            <w:hideMark/>
          </w:tcPr>
          <w:p w14:paraId="5BC6FD46" w14:textId="77777777" w:rsidR="00562980" w:rsidRPr="00A26022" w:rsidRDefault="00562980" w:rsidP="009464DA">
            <w:pPr>
              <w:pStyle w:val="Tables"/>
              <w:rPr>
                <w:sz w:val="20"/>
                <w:szCs w:val="20"/>
              </w:rPr>
            </w:pPr>
            <w:r w:rsidRPr="00A26022">
              <w:rPr>
                <w:sz w:val="20"/>
                <w:szCs w:val="20"/>
              </w:rPr>
              <w:t> </w:t>
            </w:r>
          </w:p>
        </w:tc>
        <w:tc>
          <w:tcPr>
            <w:tcW w:w="259" w:type="dxa"/>
            <w:shd w:val="clear" w:color="auto" w:fill="auto"/>
            <w:noWrap/>
            <w:textDirection w:val="btLr"/>
            <w:hideMark/>
          </w:tcPr>
          <w:p w14:paraId="7BEF5685" w14:textId="77777777" w:rsidR="00562980" w:rsidRPr="00A26022" w:rsidRDefault="00562980" w:rsidP="009464DA">
            <w:pPr>
              <w:pStyle w:val="Tables"/>
              <w:rPr>
                <w:sz w:val="20"/>
                <w:szCs w:val="20"/>
              </w:rPr>
            </w:pPr>
            <w:r w:rsidRPr="00A26022">
              <w:rPr>
                <w:sz w:val="20"/>
                <w:szCs w:val="20"/>
              </w:rPr>
              <w:t> </w:t>
            </w:r>
          </w:p>
        </w:tc>
        <w:tc>
          <w:tcPr>
            <w:tcW w:w="233" w:type="dxa"/>
            <w:textDirection w:val="btLr"/>
          </w:tcPr>
          <w:p w14:paraId="27D72255" w14:textId="77777777" w:rsidR="00562980" w:rsidRPr="00A26022" w:rsidRDefault="00562980" w:rsidP="009464DA">
            <w:pPr>
              <w:pStyle w:val="Tables"/>
              <w:rPr>
                <w:sz w:val="20"/>
                <w:szCs w:val="20"/>
              </w:rPr>
            </w:pPr>
          </w:p>
        </w:tc>
        <w:tc>
          <w:tcPr>
            <w:tcW w:w="238" w:type="dxa"/>
            <w:textDirection w:val="btLr"/>
          </w:tcPr>
          <w:p w14:paraId="034CCDA8" w14:textId="77777777" w:rsidR="00562980" w:rsidRPr="00A26022" w:rsidRDefault="00562980" w:rsidP="009464DA">
            <w:pPr>
              <w:pStyle w:val="Tables"/>
              <w:rPr>
                <w:sz w:val="20"/>
                <w:szCs w:val="20"/>
              </w:rPr>
            </w:pPr>
          </w:p>
        </w:tc>
      </w:tr>
      <w:tr w:rsidR="00562980" w:rsidRPr="00A26022" w14:paraId="16B90D4A" w14:textId="77777777" w:rsidTr="009464DA">
        <w:trPr>
          <w:trHeight w:val="506"/>
        </w:trPr>
        <w:tc>
          <w:tcPr>
            <w:tcW w:w="250" w:type="dxa"/>
            <w:shd w:val="clear" w:color="auto" w:fill="auto"/>
            <w:noWrap/>
            <w:textDirection w:val="btLr"/>
            <w:hideMark/>
          </w:tcPr>
          <w:p w14:paraId="5383D084" w14:textId="77777777" w:rsidR="00562980" w:rsidRPr="0064365C" w:rsidRDefault="00562980" w:rsidP="009464DA">
            <w:pPr>
              <w:pStyle w:val="Tables"/>
              <w:rPr>
                <w:b/>
                <w:sz w:val="20"/>
                <w:szCs w:val="20"/>
              </w:rPr>
            </w:pPr>
            <w:r w:rsidRPr="0064365C">
              <w:rPr>
                <w:b/>
                <w:sz w:val="20"/>
                <w:szCs w:val="20"/>
              </w:rPr>
              <w:t> </w:t>
            </w:r>
          </w:p>
        </w:tc>
        <w:tc>
          <w:tcPr>
            <w:tcW w:w="258" w:type="dxa"/>
            <w:shd w:val="clear" w:color="auto" w:fill="auto"/>
            <w:noWrap/>
            <w:textDirection w:val="btLr"/>
            <w:vAlign w:val="center"/>
            <w:hideMark/>
          </w:tcPr>
          <w:p w14:paraId="02E3274E" w14:textId="77777777" w:rsidR="00562980" w:rsidRPr="00A26022" w:rsidRDefault="00562980" w:rsidP="009464DA">
            <w:pPr>
              <w:pStyle w:val="Tables"/>
              <w:jc w:val="right"/>
              <w:rPr>
                <w:sz w:val="20"/>
                <w:szCs w:val="20"/>
                <w:u w:val="single"/>
              </w:rPr>
            </w:pPr>
            <w:r w:rsidRPr="00A26022">
              <w:rPr>
                <w:sz w:val="20"/>
                <w:szCs w:val="20"/>
                <w:u w:val="single"/>
              </w:rPr>
              <w:t>wt %</w:t>
            </w:r>
          </w:p>
        </w:tc>
        <w:tc>
          <w:tcPr>
            <w:tcW w:w="258" w:type="dxa"/>
            <w:shd w:val="clear" w:color="auto" w:fill="auto"/>
            <w:noWrap/>
            <w:textDirection w:val="btLr"/>
            <w:vAlign w:val="center"/>
            <w:hideMark/>
          </w:tcPr>
          <w:p w14:paraId="5F679C86" w14:textId="77777777" w:rsidR="00562980" w:rsidRPr="00A26022" w:rsidRDefault="00562980" w:rsidP="009464DA">
            <w:pPr>
              <w:pStyle w:val="Tables"/>
              <w:jc w:val="right"/>
              <w:rPr>
                <w:sz w:val="20"/>
                <w:szCs w:val="20"/>
              </w:rPr>
            </w:pPr>
            <w:r w:rsidRPr="00A26022">
              <w:rPr>
                <w:sz w:val="20"/>
                <w:szCs w:val="20"/>
              </w:rPr>
              <w:t>2.8</w:t>
            </w:r>
          </w:p>
        </w:tc>
        <w:tc>
          <w:tcPr>
            <w:tcW w:w="258" w:type="dxa"/>
            <w:shd w:val="clear" w:color="auto" w:fill="auto"/>
            <w:noWrap/>
            <w:textDirection w:val="btLr"/>
            <w:vAlign w:val="center"/>
            <w:hideMark/>
          </w:tcPr>
          <w:p w14:paraId="24EC9B92" w14:textId="77777777" w:rsidR="00562980" w:rsidRPr="00A26022" w:rsidRDefault="00562980" w:rsidP="009464DA">
            <w:pPr>
              <w:pStyle w:val="Tables"/>
              <w:jc w:val="right"/>
              <w:rPr>
                <w:sz w:val="20"/>
                <w:szCs w:val="20"/>
              </w:rPr>
            </w:pPr>
            <w:r w:rsidRPr="00A26022">
              <w:rPr>
                <w:sz w:val="20"/>
                <w:szCs w:val="20"/>
              </w:rPr>
              <w:t>18.8</w:t>
            </w:r>
          </w:p>
        </w:tc>
        <w:tc>
          <w:tcPr>
            <w:tcW w:w="258" w:type="dxa"/>
            <w:shd w:val="clear" w:color="auto" w:fill="auto"/>
            <w:noWrap/>
            <w:textDirection w:val="btLr"/>
            <w:vAlign w:val="center"/>
            <w:hideMark/>
          </w:tcPr>
          <w:p w14:paraId="2419072F" w14:textId="77777777" w:rsidR="00562980" w:rsidRPr="00A26022" w:rsidRDefault="00562980" w:rsidP="009464DA">
            <w:pPr>
              <w:pStyle w:val="Tables"/>
              <w:jc w:val="right"/>
              <w:rPr>
                <w:sz w:val="20"/>
                <w:szCs w:val="20"/>
              </w:rPr>
            </w:pPr>
            <w:r w:rsidRPr="00A26022">
              <w:rPr>
                <w:sz w:val="20"/>
                <w:szCs w:val="20"/>
              </w:rPr>
              <w:t>0.7</w:t>
            </w:r>
          </w:p>
        </w:tc>
        <w:tc>
          <w:tcPr>
            <w:tcW w:w="258" w:type="dxa"/>
            <w:shd w:val="clear" w:color="auto" w:fill="auto"/>
            <w:noWrap/>
            <w:textDirection w:val="btLr"/>
            <w:vAlign w:val="center"/>
            <w:hideMark/>
          </w:tcPr>
          <w:p w14:paraId="6F355310" w14:textId="77777777" w:rsidR="00562980" w:rsidRPr="00A26022" w:rsidRDefault="00562980" w:rsidP="009464DA">
            <w:pPr>
              <w:pStyle w:val="Tables"/>
              <w:jc w:val="right"/>
              <w:rPr>
                <w:sz w:val="20"/>
                <w:szCs w:val="20"/>
              </w:rPr>
            </w:pPr>
            <w:r w:rsidRPr="00A26022">
              <w:rPr>
                <w:sz w:val="20"/>
                <w:szCs w:val="20"/>
              </w:rPr>
              <w:t>11</w:t>
            </w:r>
          </w:p>
        </w:tc>
        <w:tc>
          <w:tcPr>
            <w:tcW w:w="259" w:type="dxa"/>
            <w:shd w:val="clear" w:color="auto" w:fill="auto"/>
            <w:noWrap/>
            <w:textDirection w:val="btLr"/>
            <w:vAlign w:val="center"/>
            <w:hideMark/>
          </w:tcPr>
          <w:p w14:paraId="6BC08778" w14:textId="77777777" w:rsidR="00562980" w:rsidRPr="00A26022" w:rsidRDefault="00562980" w:rsidP="009464DA">
            <w:pPr>
              <w:pStyle w:val="Tables"/>
              <w:jc w:val="right"/>
              <w:rPr>
                <w:sz w:val="20"/>
                <w:szCs w:val="20"/>
              </w:rPr>
            </w:pPr>
            <w:r w:rsidRPr="00A26022">
              <w:rPr>
                <w:sz w:val="20"/>
                <w:szCs w:val="20"/>
              </w:rPr>
              <w:t>1.5</w:t>
            </w:r>
          </w:p>
        </w:tc>
        <w:tc>
          <w:tcPr>
            <w:tcW w:w="259" w:type="dxa"/>
            <w:shd w:val="clear" w:color="auto" w:fill="auto"/>
            <w:noWrap/>
            <w:textDirection w:val="btLr"/>
            <w:vAlign w:val="center"/>
            <w:hideMark/>
          </w:tcPr>
          <w:p w14:paraId="5419EDC5" w14:textId="77777777" w:rsidR="00562980" w:rsidRPr="00A26022" w:rsidRDefault="00562980" w:rsidP="009464DA">
            <w:pPr>
              <w:pStyle w:val="Tables"/>
              <w:jc w:val="right"/>
              <w:rPr>
                <w:sz w:val="20"/>
                <w:szCs w:val="20"/>
              </w:rPr>
            </w:pPr>
            <w:r w:rsidRPr="00A26022">
              <w:rPr>
                <w:sz w:val="20"/>
                <w:szCs w:val="20"/>
              </w:rPr>
              <w:t>1.1</w:t>
            </w:r>
          </w:p>
        </w:tc>
        <w:tc>
          <w:tcPr>
            <w:tcW w:w="259" w:type="dxa"/>
            <w:shd w:val="clear" w:color="auto" w:fill="auto"/>
            <w:noWrap/>
            <w:textDirection w:val="btLr"/>
            <w:vAlign w:val="center"/>
            <w:hideMark/>
          </w:tcPr>
          <w:p w14:paraId="01C37D0E" w14:textId="77777777" w:rsidR="00562980" w:rsidRPr="00A26022" w:rsidRDefault="00562980" w:rsidP="009464DA">
            <w:pPr>
              <w:pStyle w:val="Tables"/>
              <w:jc w:val="right"/>
              <w:rPr>
                <w:sz w:val="20"/>
                <w:szCs w:val="20"/>
              </w:rPr>
            </w:pPr>
            <w:r w:rsidRPr="00A26022">
              <w:rPr>
                <w:sz w:val="20"/>
                <w:szCs w:val="20"/>
              </w:rPr>
              <w:t>3</w:t>
            </w:r>
          </w:p>
        </w:tc>
        <w:tc>
          <w:tcPr>
            <w:tcW w:w="259" w:type="dxa"/>
            <w:shd w:val="clear" w:color="auto" w:fill="auto"/>
            <w:noWrap/>
            <w:textDirection w:val="btLr"/>
            <w:vAlign w:val="center"/>
            <w:hideMark/>
          </w:tcPr>
          <w:p w14:paraId="43A1376F" w14:textId="77777777" w:rsidR="00562980" w:rsidRPr="00A26022" w:rsidRDefault="00562980" w:rsidP="009464DA">
            <w:pPr>
              <w:pStyle w:val="Tables"/>
              <w:jc w:val="right"/>
              <w:rPr>
                <w:sz w:val="20"/>
                <w:szCs w:val="20"/>
              </w:rPr>
            </w:pPr>
            <w:r w:rsidRPr="00A26022">
              <w:rPr>
                <w:sz w:val="20"/>
                <w:szCs w:val="20"/>
              </w:rPr>
              <w:t>2.2</w:t>
            </w:r>
          </w:p>
        </w:tc>
        <w:tc>
          <w:tcPr>
            <w:tcW w:w="259" w:type="dxa"/>
            <w:shd w:val="clear" w:color="auto" w:fill="auto"/>
            <w:noWrap/>
            <w:textDirection w:val="btLr"/>
            <w:vAlign w:val="center"/>
            <w:hideMark/>
          </w:tcPr>
          <w:p w14:paraId="1AD883C2" w14:textId="77777777" w:rsidR="00562980" w:rsidRPr="00A26022" w:rsidRDefault="00562980" w:rsidP="009464DA">
            <w:pPr>
              <w:pStyle w:val="Tables"/>
              <w:jc w:val="right"/>
              <w:rPr>
                <w:sz w:val="20"/>
                <w:szCs w:val="20"/>
              </w:rPr>
            </w:pPr>
            <w:r w:rsidRPr="00A26022">
              <w:rPr>
                <w:sz w:val="20"/>
                <w:szCs w:val="20"/>
              </w:rPr>
              <w:t>1.6</w:t>
            </w:r>
          </w:p>
        </w:tc>
        <w:tc>
          <w:tcPr>
            <w:tcW w:w="259" w:type="dxa"/>
            <w:shd w:val="clear" w:color="auto" w:fill="auto"/>
            <w:noWrap/>
            <w:textDirection w:val="btLr"/>
            <w:vAlign w:val="center"/>
            <w:hideMark/>
          </w:tcPr>
          <w:p w14:paraId="7F435934" w14:textId="77777777" w:rsidR="00562980" w:rsidRPr="00A26022" w:rsidRDefault="00562980" w:rsidP="009464DA">
            <w:pPr>
              <w:pStyle w:val="Tables"/>
              <w:jc w:val="right"/>
              <w:rPr>
                <w:sz w:val="20"/>
                <w:szCs w:val="20"/>
              </w:rPr>
            </w:pPr>
            <w:r w:rsidRPr="00A26022">
              <w:rPr>
                <w:sz w:val="20"/>
                <w:szCs w:val="20"/>
              </w:rPr>
              <w:t>7</w:t>
            </w:r>
          </w:p>
        </w:tc>
        <w:tc>
          <w:tcPr>
            <w:tcW w:w="259" w:type="dxa"/>
            <w:shd w:val="clear" w:color="auto" w:fill="auto"/>
            <w:noWrap/>
            <w:textDirection w:val="btLr"/>
            <w:vAlign w:val="center"/>
            <w:hideMark/>
          </w:tcPr>
          <w:p w14:paraId="55C214C7" w14:textId="77777777" w:rsidR="00562980" w:rsidRPr="00A26022" w:rsidRDefault="00562980" w:rsidP="009464DA">
            <w:pPr>
              <w:pStyle w:val="Tables"/>
              <w:jc w:val="right"/>
              <w:rPr>
                <w:sz w:val="20"/>
                <w:szCs w:val="20"/>
              </w:rPr>
            </w:pPr>
            <w:r w:rsidRPr="00A26022">
              <w:rPr>
                <w:sz w:val="20"/>
                <w:szCs w:val="20"/>
              </w:rPr>
              <w:t>0.6</w:t>
            </w:r>
          </w:p>
        </w:tc>
        <w:tc>
          <w:tcPr>
            <w:tcW w:w="259" w:type="dxa"/>
            <w:shd w:val="clear" w:color="auto" w:fill="auto"/>
            <w:noWrap/>
            <w:textDirection w:val="btLr"/>
            <w:vAlign w:val="center"/>
            <w:hideMark/>
          </w:tcPr>
          <w:p w14:paraId="11A3FDEC" w14:textId="77777777" w:rsidR="00562980" w:rsidRPr="00A26022" w:rsidRDefault="00562980" w:rsidP="009464DA">
            <w:pPr>
              <w:pStyle w:val="Tables"/>
              <w:jc w:val="right"/>
              <w:rPr>
                <w:sz w:val="20"/>
                <w:szCs w:val="20"/>
              </w:rPr>
            </w:pPr>
            <w:r w:rsidRPr="00A26022">
              <w:rPr>
                <w:sz w:val="20"/>
                <w:szCs w:val="20"/>
              </w:rPr>
              <w:t>2</w:t>
            </w:r>
          </w:p>
        </w:tc>
        <w:tc>
          <w:tcPr>
            <w:tcW w:w="259" w:type="dxa"/>
            <w:shd w:val="clear" w:color="auto" w:fill="auto"/>
            <w:noWrap/>
            <w:textDirection w:val="btLr"/>
            <w:vAlign w:val="center"/>
            <w:hideMark/>
          </w:tcPr>
          <w:p w14:paraId="5B51023A" w14:textId="77777777" w:rsidR="00562980" w:rsidRPr="00A26022" w:rsidRDefault="00562980" w:rsidP="009464DA">
            <w:pPr>
              <w:pStyle w:val="Tables"/>
              <w:jc w:val="right"/>
              <w:rPr>
                <w:sz w:val="20"/>
                <w:szCs w:val="20"/>
              </w:rPr>
            </w:pPr>
            <w:r w:rsidRPr="00A26022">
              <w:rPr>
                <w:sz w:val="20"/>
                <w:szCs w:val="20"/>
              </w:rPr>
              <w:t>1.4</w:t>
            </w:r>
          </w:p>
        </w:tc>
        <w:tc>
          <w:tcPr>
            <w:tcW w:w="259" w:type="dxa"/>
            <w:shd w:val="clear" w:color="auto" w:fill="auto"/>
            <w:noWrap/>
            <w:textDirection w:val="btLr"/>
            <w:vAlign w:val="center"/>
            <w:hideMark/>
          </w:tcPr>
          <w:p w14:paraId="4DCF4D73" w14:textId="77777777" w:rsidR="00562980" w:rsidRPr="00A26022" w:rsidRDefault="00562980" w:rsidP="009464DA">
            <w:pPr>
              <w:pStyle w:val="Tables"/>
              <w:jc w:val="right"/>
              <w:rPr>
                <w:sz w:val="20"/>
                <w:szCs w:val="20"/>
              </w:rPr>
            </w:pPr>
            <w:r w:rsidRPr="00A26022">
              <w:rPr>
                <w:sz w:val="20"/>
                <w:szCs w:val="20"/>
              </w:rPr>
              <w:t>10.7</w:t>
            </w:r>
          </w:p>
        </w:tc>
        <w:tc>
          <w:tcPr>
            <w:tcW w:w="259" w:type="dxa"/>
            <w:shd w:val="clear" w:color="auto" w:fill="auto"/>
            <w:noWrap/>
            <w:textDirection w:val="btLr"/>
            <w:vAlign w:val="center"/>
            <w:hideMark/>
          </w:tcPr>
          <w:p w14:paraId="24DB2193" w14:textId="77777777" w:rsidR="00562980" w:rsidRPr="00A26022" w:rsidRDefault="00562980" w:rsidP="009464DA">
            <w:pPr>
              <w:pStyle w:val="Tables"/>
              <w:jc w:val="right"/>
              <w:rPr>
                <w:sz w:val="20"/>
                <w:szCs w:val="20"/>
              </w:rPr>
            </w:pPr>
            <w:r w:rsidRPr="00A26022">
              <w:rPr>
                <w:sz w:val="20"/>
                <w:szCs w:val="20"/>
              </w:rPr>
              <w:t>4.9</w:t>
            </w:r>
          </w:p>
        </w:tc>
        <w:tc>
          <w:tcPr>
            <w:tcW w:w="259" w:type="dxa"/>
            <w:shd w:val="clear" w:color="auto" w:fill="auto"/>
            <w:noWrap/>
            <w:textDirection w:val="btLr"/>
            <w:vAlign w:val="center"/>
            <w:hideMark/>
          </w:tcPr>
          <w:p w14:paraId="05A3D45B" w14:textId="77777777" w:rsidR="00562980" w:rsidRPr="00A26022" w:rsidRDefault="00562980" w:rsidP="009464DA">
            <w:pPr>
              <w:pStyle w:val="Tables"/>
              <w:jc w:val="right"/>
              <w:rPr>
                <w:sz w:val="20"/>
                <w:szCs w:val="20"/>
              </w:rPr>
            </w:pPr>
            <w:r w:rsidRPr="00A26022">
              <w:rPr>
                <w:sz w:val="20"/>
                <w:szCs w:val="20"/>
              </w:rPr>
              <w:t>15.1</w:t>
            </w:r>
          </w:p>
        </w:tc>
        <w:tc>
          <w:tcPr>
            <w:tcW w:w="259" w:type="dxa"/>
            <w:shd w:val="clear" w:color="auto" w:fill="auto"/>
            <w:noWrap/>
            <w:textDirection w:val="btLr"/>
            <w:vAlign w:val="center"/>
            <w:hideMark/>
          </w:tcPr>
          <w:p w14:paraId="79165343" w14:textId="77777777" w:rsidR="00562980" w:rsidRPr="00A26022" w:rsidRDefault="00562980" w:rsidP="009464DA">
            <w:pPr>
              <w:pStyle w:val="Tables"/>
              <w:jc w:val="center"/>
              <w:rPr>
                <w:sz w:val="20"/>
                <w:szCs w:val="20"/>
              </w:rPr>
            </w:pPr>
          </w:p>
        </w:tc>
        <w:tc>
          <w:tcPr>
            <w:tcW w:w="259" w:type="dxa"/>
            <w:shd w:val="clear" w:color="auto" w:fill="auto"/>
            <w:noWrap/>
            <w:textDirection w:val="btLr"/>
            <w:vAlign w:val="center"/>
            <w:hideMark/>
          </w:tcPr>
          <w:p w14:paraId="688537FC" w14:textId="77777777" w:rsidR="00562980" w:rsidRPr="00A26022" w:rsidRDefault="00562980" w:rsidP="009464DA">
            <w:pPr>
              <w:pStyle w:val="Tables"/>
              <w:jc w:val="center"/>
              <w:rPr>
                <w:sz w:val="20"/>
                <w:szCs w:val="20"/>
              </w:rPr>
            </w:pPr>
          </w:p>
        </w:tc>
        <w:tc>
          <w:tcPr>
            <w:tcW w:w="259" w:type="dxa"/>
            <w:shd w:val="clear" w:color="auto" w:fill="auto"/>
            <w:noWrap/>
            <w:textDirection w:val="btLr"/>
            <w:vAlign w:val="center"/>
            <w:hideMark/>
          </w:tcPr>
          <w:p w14:paraId="59C1A81F" w14:textId="77777777" w:rsidR="00562980" w:rsidRPr="00A26022" w:rsidRDefault="00562980" w:rsidP="009464DA">
            <w:pPr>
              <w:pStyle w:val="Tables"/>
              <w:jc w:val="center"/>
              <w:rPr>
                <w:sz w:val="20"/>
                <w:szCs w:val="20"/>
              </w:rPr>
            </w:pPr>
          </w:p>
        </w:tc>
        <w:tc>
          <w:tcPr>
            <w:tcW w:w="259" w:type="dxa"/>
            <w:shd w:val="clear" w:color="auto" w:fill="auto"/>
            <w:noWrap/>
            <w:textDirection w:val="btLr"/>
            <w:vAlign w:val="center"/>
            <w:hideMark/>
          </w:tcPr>
          <w:p w14:paraId="755B847A" w14:textId="77777777" w:rsidR="00562980" w:rsidRPr="00A26022" w:rsidRDefault="00562980" w:rsidP="009464DA">
            <w:pPr>
              <w:pStyle w:val="Tables"/>
              <w:jc w:val="center"/>
              <w:rPr>
                <w:sz w:val="20"/>
                <w:szCs w:val="20"/>
              </w:rPr>
            </w:pPr>
          </w:p>
        </w:tc>
        <w:tc>
          <w:tcPr>
            <w:tcW w:w="259" w:type="dxa"/>
            <w:shd w:val="clear" w:color="auto" w:fill="auto"/>
            <w:noWrap/>
            <w:textDirection w:val="btLr"/>
            <w:hideMark/>
          </w:tcPr>
          <w:p w14:paraId="52F626A5" w14:textId="77777777" w:rsidR="00562980" w:rsidRPr="00A26022" w:rsidRDefault="00562980" w:rsidP="009464DA">
            <w:pPr>
              <w:pStyle w:val="Tables"/>
              <w:rPr>
                <w:sz w:val="20"/>
                <w:szCs w:val="20"/>
              </w:rPr>
            </w:pPr>
            <w:r w:rsidRPr="00A26022">
              <w:rPr>
                <w:sz w:val="20"/>
                <w:szCs w:val="20"/>
              </w:rPr>
              <w:t> </w:t>
            </w:r>
          </w:p>
        </w:tc>
        <w:tc>
          <w:tcPr>
            <w:tcW w:w="259" w:type="dxa"/>
            <w:shd w:val="clear" w:color="auto" w:fill="auto"/>
            <w:noWrap/>
            <w:textDirection w:val="btLr"/>
            <w:hideMark/>
          </w:tcPr>
          <w:p w14:paraId="48355830" w14:textId="77777777" w:rsidR="00562980" w:rsidRPr="00A26022" w:rsidRDefault="00562980" w:rsidP="009464DA">
            <w:pPr>
              <w:pStyle w:val="Tables"/>
              <w:rPr>
                <w:sz w:val="20"/>
                <w:szCs w:val="20"/>
              </w:rPr>
            </w:pPr>
            <w:r w:rsidRPr="00A26022">
              <w:rPr>
                <w:sz w:val="20"/>
                <w:szCs w:val="20"/>
              </w:rPr>
              <w:t> </w:t>
            </w:r>
          </w:p>
        </w:tc>
        <w:tc>
          <w:tcPr>
            <w:tcW w:w="259" w:type="dxa"/>
            <w:shd w:val="clear" w:color="auto" w:fill="auto"/>
            <w:noWrap/>
            <w:textDirection w:val="btLr"/>
            <w:hideMark/>
          </w:tcPr>
          <w:p w14:paraId="418517E2" w14:textId="77777777" w:rsidR="00562980" w:rsidRPr="00A26022" w:rsidRDefault="00562980" w:rsidP="009464DA">
            <w:pPr>
              <w:pStyle w:val="Tables"/>
              <w:rPr>
                <w:sz w:val="20"/>
                <w:szCs w:val="20"/>
              </w:rPr>
            </w:pPr>
            <w:r w:rsidRPr="00A26022">
              <w:rPr>
                <w:sz w:val="20"/>
                <w:szCs w:val="20"/>
              </w:rPr>
              <w:t> </w:t>
            </w:r>
          </w:p>
        </w:tc>
        <w:tc>
          <w:tcPr>
            <w:tcW w:w="259" w:type="dxa"/>
            <w:shd w:val="clear" w:color="auto" w:fill="auto"/>
            <w:noWrap/>
            <w:textDirection w:val="btLr"/>
            <w:hideMark/>
          </w:tcPr>
          <w:p w14:paraId="29F208E7" w14:textId="77777777" w:rsidR="00562980" w:rsidRPr="00A26022" w:rsidRDefault="00562980" w:rsidP="009464DA">
            <w:pPr>
              <w:pStyle w:val="Tables"/>
              <w:rPr>
                <w:sz w:val="20"/>
                <w:szCs w:val="20"/>
              </w:rPr>
            </w:pPr>
            <w:r w:rsidRPr="00A26022">
              <w:rPr>
                <w:sz w:val="20"/>
                <w:szCs w:val="20"/>
              </w:rPr>
              <w:t> </w:t>
            </w:r>
          </w:p>
        </w:tc>
        <w:tc>
          <w:tcPr>
            <w:tcW w:w="259" w:type="dxa"/>
            <w:shd w:val="clear" w:color="auto" w:fill="auto"/>
            <w:noWrap/>
            <w:textDirection w:val="btLr"/>
            <w:hideMark/>
          </w:tcPr>
          <w:p w14:paraId="454C4A8D" w14:textId="77777777" w:rsidR="00562980" w:rsidRPr="00A26022" w:rsidRDefault="00562980" w:rsidP="009464DA">
            <w:pPr>
              <w:pStyle w:val="Tables"/>
              <w:rPr>
                <w:sz w:val="20"/>
                <w:szCs w:val="20"/>
              </w:rPr>
            </w:pPr>
            <w:r w:rsidRPr="00A26022">
              <w:rPr>
                <w:sz w:val="20"/>
                <w:szCs w:val="20"/>
              </w:rPr>
              <w:t> </w:t>
            </w:r>
          </w:p>
        </w:tc>
        <w:tc>
          <w:tcPr>
            <w:tcW w:w="259" w:type="dxa"/>
            <w:shd w:val="clear" w:color="auto" w:fill="auto"/>
            <w:noWrap/>
            <w:textDirection w:val="btLr"/>
            <w:hideMark/>
          </w:tcPr>
          <w:p w14:paraId="1AD4EBC0" w14:textId="77777777" w:rsidR="00562980" w:rsidRPr="00A26022" w:rsidRDefault="00562980" w:rsidP="009464DA">
            <w:pPr>
              <w:pStyle w:val="Tables"/>
              <w:rPr>
                <w:sz w:val="20"/>
                <w:szCs w:val="20"/>
              </w:rPr>
            </w:pPr>
            <w:r w:rsidRPr="00A26022">
              <w:rPr>
                <w:sz w:val="20"/>
                <w:szCs w:val="20"/>
              </w:rPr>
              <w:t> </w:t>
            </w:r>
          </w:p>
        </w:tc>
        <w:tc>
          <w:tcPr>
            <w:tcW w:w="259" w:type="dxa"/>
            <w:shd w:val="clear" w:color="auto" w:fill="auto"/>
            <w:noWrap/>
            <w:textDirection w:val="btLr"/>
            <w:hideMark/>
          </w:tcPr>
          <w:p w14:paraId="7564E722" w14:textId="77777777" w:rsidR="00562980" w:rsidRPr="00A26022" w:rsidRDefault="00562980" w:rsidP="009464DA">
            <w:pPr>
              <w:pStyle w:val="Tables"/>
              <w:rPr>
                <w:sz w:val="20"/>
                <w:szCs w:val="20"/>
              </w:rPr>
            </w:pPr>
            <w:r w:rsidRPr="00A26022">
              <w:rPr>
                <w:sz w:val="20"/>
                <w:szCs w:val="20"/>
              </w:rPr>
              <w:t> </w:t>
            </w:r>
          </w:p>
        </w:tc>
        <w:tc>
          <w:tcPr>
            <w:tcW w:w="259" w:type="dxa"/>
            <w:shd w:val="clear" w:color="auto" w:fill="auto"/>
            <w:noWrap/>
            <w:textDirection w:val="btLr"/>
            <w:hideMark/>
          </w:tcPr>
          <w:p w14:paraId="3B040102" w14:textId="77777777" w:rsidR="00562980" w:rsidRPr="00A26022" w:rsidRDefault="00562980" w:rsidP="009464DA">
            <w:pPr>
              <w:pStyle w:val="Tables"/>
              <w:rPr>
                <w:sz w:val="20"/>
                <w:szCs w:val="20"/>
              </w:rPr>
            </w:pPr>
            <w:r w:rsidRPr="00A26022">
              <w:rPr>
                <w:sz w:val="20"/>
                <w:szCs w:val="20"/>
              </w:rPr>
              <w:t> </w:t>
            </w:r>
          </w:p>
        </w:tc>
        <w:tc>
          <w:tcPr>
            <w:tcW w:w="259" w:type="dxa"/>
            <w:shd w:val="clear" w:color="auto" w:fill="auto"/>
            <w:noWrap/>
            <w:textDirection w:val="btLr"/>
            <w:hideMark/>
          </w:tcPr>
          <w:p w14:paraId="23A774BB" w14:textId="77777777" w:rsidR="00562980" w:rsidRPr="00A26022" w:rsidRDefault="00562980" w:rsidP="009464DA">
            <w:pPr>
              <w:pStyle w:val="Tables"/>
              <w:rPr>
                <w:sz w:val="20"/>
                <w:szCs w:val="20"/>
              </w:rPr>
            </w:pPr>
            <w:r w:rsidRPr="00A26022">
              <w:rPr>
                <w:sz w:val="20"/>
                <w:szCs w:val="20"/>
              </w:rPr>
              <w:t> </w:t>
            </w:r>
          </w:p>
        </w:tc>
        <w:tc>
          <w:tcPr>
            <w:tcW w:w="233" w:type="dxa"/>
            <w:textDirection w:val="btLr"/>
          </w:tcPr>
          <w:p w14:paraId="6A35FCF4" w14:textId="77777777" w:rsidR="00562980" w:rsidRPr="00A26022" w:rsidRDefault="00562980" w:rsidP="009464DA">
            <w:pPr>
              <w:pStyle w:val="Tables"/>
              <w:rPr>
                <w:sz w:val="20"/>
                <w:szCs w:val="20"/>
              </w:rPr>
            </w:pPr>
          </w:p>
        </w:tc>
        <w:tc>
          <w:tcPr>
            <w:tcW w:w="238" w:type="dxa"/>
            <w:textDirection w:val="btLr"/>
          </w:tcPr>
          <w:p w14:paraId="3436005F" w14:textId="77777777" w:rsidR="00562980" w:rsidRPr="00A26022" w:rsidRDefault="00562980" w:rsidP="009464DA">
            <w:pPr>
              <w:pStyle w:val="Tables"/>
              <w:rPr>
                <w:sz w:val="20"/>
                <w:szCs w:val="20"/>
              </w:rPr>
            </w:pPr>
          </w:p>
        </w:tc>
      </w:tr>
      <w:tr w:rsidR="00562980" w:rsidRPr="00A26022" w14:paraId="6B25116D" w14:textId="77777777" w:rsidTr="009464DA">
        <w:trPr>
          <w:trHeight w:val="1320"/>
        </w:trPr>
        <w:tc>
          <w:tcPr>
            <w:tcW w:w="250" w:type="dxa"/>
            <w:shd w:val="clear" w:color="auto" w:fill="auto"/>
            <w:noWrap/>
            <w:textDirection w:val="btLr"/>
            <w:hideMark/>
          </w:tcPr>
          <w:p w14:paraId="543F7C04" w14:textId="77777777" w:rsidR="00562980" w:rsidRPr="0064365C" w:rsidRDefault="00562980" w:rsidP="009464DA">
            <w:pPr>
              <w:pStyle w:val="Tables"/>
              <w:rPr>
                <w:b/>
                <w:sz w:val="20"/>
                <w:szCs w:val="20"/>
              </w:rPr>
            </w:pPr>
            <w:r w:rsidRPr="0064365C">
              <w:rPr>
                <w:b/>
                <w:sz w:val="20"/>
                <w:szCs w:val="20"/>
              </w:rPr>
              <w:t>Hemicellulose</w:t>
            </w:r>
          </w:p>
        </w:tc>
        <w:tc>
          <w:tcPr>
            <w:tcW w:w="258" w:type="dxa"/>
            <w:shd w:val="clear" w:color="auto" w:fill="auto"/>
            <w:noWrap/>
            <w:textDirection w:val="btLr"/>
            <w:hideMark/>
          </w:tcPr>
          <w:p w14:paraId="22857EC5" w14:textId="77777777" w:rsidR="00562980" w:rsidRPr="00A26022" w:rsidRDefault="00562980" w:rsidP="009464DA">
            <w:pPr>
              <w:pStyle w:val="Tables"/>
              <w:rPr>
                <w:sz w:val="20"/>
                <w:szCs w:val="20"/>
                <w:u w:val="single"/>
              </w:rPr>
            </w:pPr>
            <w:r w:rsidRPr="00A26022">
              <w:rPr>
                <w:sz w:val="20"/>
                <w:szCs w:val="20"/>
                <w:u w:val="single"/>
              </w:rPr>
              <w:t>Product</w:t>
            </w:r>
          </w:p>
        </w:tc>
        <w:tc>
          <w:tcPr>
            <w:tcW w:w="258" w:type="dxa"/>
            <w:shd w:val="clear" w:color="auto" w:fill="auto"/>
            <w:noWrap/>
            <w:textDirection w:val="btLr"/>
            <w:hideMark/>
          </w:tcPr>
          <w:p w14:paraId="765D12D2" w14:textId="77777777" w:rsidR="00562980" w:rsidRPr="00A26022" w:rsidRDefault="00562980" w:rsidP="009464DA">
            <w:pPr>
              <w:pStyle w:val="Tables"/>
              <w:rPr>
                <w:sz w:val="20"/>
                <w:szCs w:val="20"/>
              </w:rPr>
            </w:pPr>
            <w:r w:rsidRPr="00A26022">
              <w:rPr>
                <w:sz w:val="20"/>
                <w:szCs w:val="20"/>
              </w:rPr>
              <w:t>CO</w:t>
            </w:r>
          </w:p>
        </w:tc>
        <w:tc>
          <w:tcPr>
            <w:tcW w:w="258" w:type="dxa"/>
            <w:shd w:val="clear" w:color="auto" w:fill="auto"/>
            <w:noWrap/>
            <w:textDirection w:val="btLr"/>
            <w:hideMark/>
          </w:tcPr>
          <w:p w14:paraId="6BA7F886" w14:textId="77777777" w:rsidR="00562980" w:rsidRPr="00A26022" w:rsidRDefault="00562980" w:rsidP="009464DA">
            <w:pPr>
              <w:pStyle w:val="Tables"/>
              <w:rPr>
                <w:sz w:val="20"/>
                <w:szCs w:val="20"/>
              </w:rPr>
            </w:pPr>
            <w:r w:rsidRPr="00A26022">
              <w:rPr>
                <w:sz w:val="20"/>
                <w:szCs w:val="20"/>
              </w:rPr>
              <w:t>CO</w:t>
            </w:r>
            <w:r w:rsidRPr="00861C2E">
              <w:rPr>
                <w:sz w:val="20"/>
                <w:szCs w:val="20"/>
                <w:vertAlign w:val="subscript"/>
              </w:rPr>
              <w:t>2</w:t>
            </w:r>
          </w:p>
        </w:tc>
        <w:tc>
          <w:tcPr>
            <w:tcW w:w="258" w:type="dxa"/>
            <w:shd w:val="clear" w:color="auto" w:fill="auto"/>
            <w:noWrap/>
            <w:textDirection w:val="btLr"/>
            <w:hideMark/>
          </w:tcPr>
          <w:p w14:paraId="25F61ECC" w14:textId="77777777" w:rsidR="00562980" w:rsidRPr="00A26022" w:rsidRDefault="00562980" w:rsidP="009464DA">
            <w:pPr>
              <w:pStyle w:val="Tables"/>
              <w:rPr>
                <w:sz w:val="20"/>
                <w:szCs w:val="20"/>
              </w:rPr>
            </w:pPr>
            <w:r w:rsidRPr="00A26022">
              <w:rPr>
                <w:sz w:val="20"/>
                <w:szCs w:val="20"/>
              </w:rPr>
              <w:t>Acetaldehyde</w:t>
            </w:r>
          </w:p>
        </w:tc>
        <w:tc>
          <w:tcPr>
            <w:tcW w:w="258" w:type="dxa"/>
            <w:shd w:val="clear" w:color="auto" w:fill="auto"/>
            <w:noWrap/>
            <w:textDirection w:val="btLr"/>
            <w:hideMark/>
          </w:tcPr>
          <w:p w14:paraId="6E084429" w14:textId="77777777" w:rsidR="00562980" w:rsidRPr="00A26022" w:rsidRDefault="00562980" w:rsidP="009464DA">
            <w:pPr>
              <w:pStyle w:val="Tables"/>
              <w:rPr>
                <w:sz w:val="20"/>
                <w:szCs w:val="20"/>
              </w:rPr>
            </w:pPr>
            <w:r w:rsidRPr="00A26022">
              <w:rPr>
                <w:sz w:val="20"/>
                <w:szCs w:val="20"/>
              </w:rPr>
              <w:t>Formic Acid</w:t>
            </w:r>
          </w:p>
        </w:tc>
        <w:tc>
          <w:tcPr>
            <w:tcW w:w="259" w:type="dxa"/>
            <w:shd w:val="clear" w:color="auto" w:fill="auto"/>
            <w:noWrap/>
            <w:textDirection w:val="btLr"/>
            <w:hideMark/>
          </w:tcPr>
          <w:p w14:paraId="4E2BC0BF" w14:textId="77777777" w:rsidR="00562980" w:rsidRPr="00A26022" w:rsidRDefault="00562980" w:rsidP="009464DA">
            <w:pPr>
              <w:pStyle w:val="Tables"/>
              <w:rPr>
                <w:sz w:val="20"/>
                <w:szCs w:val="20"/>
              </w:rPr>
            </w:pPr>
            <w:r w:rsidRPr="00A26022">
              <w:rPr>
                <w:sz w:val="20"/>
                <w:szCs w:val="20"/>
              </w:rPr>
              <w:t>2-methyl furan</w:t>
            </w:r>
          </w:p>
        </w:tc>
        <w:tc>
          <w:tcPr>
            <w:tcW w:w="259" w:type="dxa"/>
            <w:shd w:val="clear" w:color="auto" w:fill="auto"/>
            <w:noWrap/>
            <w:textDirection w:val="btLr"/>
            <w:hideMark/>
          </w:tcPr>
          <w:p w14:paraId="7F8E2FEE" w14:textId="77777777" w:rsidR="00562980" w:rsidRPr="00A26022" w:rsidRDefault="00562980" w:rsidP="009464DA">
            <w:pPr>
              <w:pStyle w:val="Tables"/>
              <w:rPr>
                <w:sz w:val="20"/>
                <w:szCs w:val="20"/>
              </w:rPr>
            </w:pPr>
            <w:r w:rsidRPr="00A26022">
              <w:rPr>
                <w:sz w:val="20"/>
                <w:szCs w:val="20"/>
              </w:rPr>
              <w:t>Acetic acid</w:t>
            </w:r>
          </w:p>
        </w:tc>
        <w:tc>
          <w:tcPr>
            <w:tcW w:w="259" w:type="dxa"/>
            <w:shd w:val="clear" w:color="auto" w:fill="auto"/>
            <w:noWrap/>
            <w:textDirection w:val="btLr"/>
            <w:hideMark/>
          </w:tcPr>
          <w:p w14:paraId="0CD1C7C8" w14:textId="77777777" w:rsidR="00562980" w:rsidRPr="00A26022" w:rsidRDefault="00562980" w:rsidP="009464DA">
            <w:pPr>
              <w:pStyle w:val="Tables"/>
              <w:rPr>
                <w:sz w:val="20"/>
                <w:szCs w:val="20"/>
              </w:rPr>
            </w:pPr>
            <w:r w:rsidRPr="00A26022">
              <w:rPr>
                <w:sz w:val="20"/>
                <w:szCs w:val="20"/>
              </w:rPr>
              <w:t>Acetol</w:t>
            </w:r>
          </w:p>
        </w:tc>
        <w:tc>
          <w:tcPr>
            <w:tcW w:w="259" w:type="dxa"/>
            <w:shd w:val="clear" w:color="auto" w:fill="auto"/>
            <w:noWrap/>
            <w:textDirection w:val="btLr"/>
            <w:hideMark/>
          </w:tcPr>
          <w:p w14:paraId="66EA031E" w14:textId="77777777" w:rsidR="00562980" w:rsidRPr="00A26022" w:rsidRDefault="00562980" w:rsidP="009464DA">
            <w:pPr>
              <w:pStyle w:val="Tables"/>
              <w:rPr>
                <w:sz w:val="20"/>
                <w:szCs w:val="20"/>
              </w:rPr>
            </w:pPr>
            <w:r w:rsidRPr="00A26022">
              <w:rPr>
                <w:sz w:val="20"/>
                <w:szCs w:val="20"/>
              </w:rPr>
              <w:t>Furfural</w:t>
            </w:r>
          </w:p>
        </w:tc>
        <w:tc>
          <w:tcPr>
            <w:tcW w:w="259" w:type="dxa"/>
            <w:shd w:val="clear" w:color="auto" w:fill="auto"/>
            <w:noWrap/>
            <w:textDirection w:val="btLr"/>
            <w:hideMark/>
          </w:tcPr>
          <w:p w14:paraId="3A869055" w14:textId="77777777" w:rsidR="00562980" w:rsidRPr="00A26022" w:rsidRDefault="00562980" w:rsidP="009464DA">
            <w:pPr>
              <w:pStyle w:val="Tables"/>
              <w:rPr>
                <w:sz w:val="20"/>
                <w:szCs w:val="20"/>
              </w:rPr>
            </w:pPr>
            <w:r w:rsidRPr="00A26022">
              <w:rPr>
                <w:sz w:val="20"/>
                <w:szCs w:val="20"/>
              </w:rPr>
              <w:t>DAXP 1</w:t>
            </w:r>
          </w:p>
        </w:tc>
        <w:tc>
          <w:tcPr>
            <w:tcW w:w="259" w:type="dxa"/>
            <w:shd w:val="clear" w:color="auto" w:fill="auto"/>
            <w:noWrap/>
            <w:textDirection w:val="btLr"/>
            <w:hideMark/>
          </w:tcPr>
          <w:p w14:paraId="575BDF13" w14:textId="77777777" w:rsidR="00562980" w:rsidRPr="00A26022" w:rsidRDefault="00562980" w:rsidP="009464DA">
            <w:pPr>
              <w:pStyle w:val="Tables"/>
              <w:rPr>
                <w:sz w:val="20"/>
                <w:szCs w:val="20"/>
              </w:rPr>
            </w:pPr>
            <w:r w:rsidRPr="00A26022">
              <w:rPr>
                <w:sz w:val="20"/>
                <w:szCs w:val="20"/>
              </w:rPr>
              <w:t>DAXP 2</w:t>
            </w:r>
          </w:p>
        </w:tc>
        <w:tc>
          <w:tcPr>
            <w:tcW w:w="259" w:type="dxa"/>
            <w:shd w:val="clear" w:color="auto" w:fill="auto"/>
            <w:noWrap/>
            <w:textDirection w:val="btLr"/>
            <w:hideMark/>
          </w:tcPr>
          <w:p w14:paraId="7A89BFB4" w14:textId="77777777" w:rsidR="00562980" w:rsidRPr="00A26022" w:rsidRDefault="00562980" w:rsidP="009464DA">
            <w:pPr>
              <w:pStyle w:val="Tables"/>
              <w:rPr>
                <w:sz w:val="20"/>
                <w:szCs w:val="20"/>
              </w:rPr>
            </w:pPr>
            <w:r w:rsidRPr="00A26022">
              <w:rPr>
                <w:sz w:val="20"/>
                <w:szCs w:val="20"/>
              </w:rPr>
              <w:t>Other DAXP</w:t>
            </w:r>
          </w:p>
        </w:tc>
        <w:tc>
          <w:tcPr>
            <w:tcW w:w="259" w:type="dxa"/>
            <w:shd w:val="clear" w:color="auto" w:fill="auto"/>
            <w:noWrap/>
            <w:textDirection w:val="btLr"/>
            <w:hideMark/>
          </w:tcPr>
          <w:p w14:paraId="118C5A80" w14:textId="77777777" w:rsidR="00562980" w:rsidRPr="00A26022" w:rsidRDefault="00562980" w:rsidP="009464DA">
            <w:pPr>
              <w:pStyle w:val="Tables"/>
              <w:rPr>
                <w:sz w:val="20"/>
                <w:szCs w:val="20"/>
              </w:rPr>
            </w:pPr>
            <w:r w:rsidRPr="00A26022">
              <w:rPr>
                <w:sz w:val="20"/>
                <w:szCs w:val="20"/>
              </w:rPr>
              <w:t>AXP</w:t>
            </w:r>
          </w:p>
        </w:tc>
        <w:tc>
          <w:tcPr>
            <w:tcW w:w="259" w:type="dxa"/>
            <w:shd w:val="clear" w:color="auto" w:fill="auto"/>
            <w:noWrap/>
            <w:textDirection w:val="btLr"/>
            <w:hideMark/>
          </w:tcPr>
          <w:p w14:paraId="50788896" w14:textId="77777777" w:rsidR="00562980" w:rsidRPr="00A26022" w:rsidRDefault="00562980" w:rsidP="009464DA">
            <w:pPr>
              <w:pStyle w:val="Tables"/>
              <w:rPr>
                <w:sz w:val="20"/>
                <w:szCs w:val="20"/>
              </w:rPr>
            </w:pPr>
            <w:r w:rsidRPr="00A26022">
              <w:rPr>
                <w:sz w:val="20"/>
                <w:szCs w:val="20"/>
              </w:rPr>
              <w:t>Other AXP</w:t>
            </w:r>
          </w:p>
        </w:tc>
        <w:tc>
          <w:tcPr>
            <w:tcW w:w="259" w:type="dxa"/>
            <w:shd w:val="clear" w:color="auto" w:fill="auto"/>
            <w:noWrap/>
            <w:textDirection w:val="btLr"/>
            <w:hideMark/>
          </w:tcPr>
          <w:p w14:paraId="3B1CC326" w14:textId="77777777" w:rsidR="00562980" w:rsidRPr="00A26022" w:rsidRDefault="00562980" w:rsidP="009464DA">
            <w:pPr>
              <w:pStyle w:val="Tables"/>
              <w:rPr>
                <w:sz w:val="20"/>
                <w:szCs w:val="20"/>
              </w:rPr>
            </w:pPr>
            <w:r w:rsidRPr="00A26022">
              <w:rPr>
                <w:sz w:val="20"/>
                <w:szCs w:val="20"/>
              </w:rPr>
              <w:t>Char</w:t>
            </w:r>
          </w:p>
        </w:tc>
        <w:tc>
          <w:tcPr>
            <w:tcW w:w="259" w:type="dxa"/>
            <w:shd w:val="clear" w:color="auto" w:fill="auto"/>
            <w:noWrap/>
            <w:textDirection w:val="btLr"/>
            <w:hideMark/>
          </w:tcPr>
          <w:p w14:paraId="59776EC8" w14:textId="77777777" w:rsidR="00562980" w:rsidRPr="00A26022" w:rsidRDefault="00562980" w:rsidP="009464DA">
            <w:pPr>
              <w:pStyle w:val="Tables"/>
              <w:rPr>
                <w:sz w:val="20"/>
                <w:szCs w:val="20"/>
              </w:rPr>
            </w:pPr>
            <w:r w:rsidRPr="00A26022">
              <w:rPr>
                <w:sz w:val="20"/>
                <w:szCs w:val="20"/>
              </w:rPr>
              <w:t>Xylose</w:t>
            </w:r>
          </w:p>
        </w:tc>
        <w:tc>
          <w:tcPr>
            <w:tcW w:w="259" w:type="dxa"/>
            <w:shd w:val="clear" w:color="auto" w:fill="auto"/>
            <w:noWrap/>
            <w:textDirection w:val="btLr"/>
            <w:hideMark/>
          </w:tcPr>
          <w:p w14:paraId="55E1D0A9" w14:textId="77777777" w:rsidR="00562980" w:rsidRPr="00A26022" w:rsidRDefault="00562980" w:rsidP="009464DA">
            <w:pPr>
              <w:pStyle w:val="Tables"/>
              <w:rPr>
                <w:sz w:val="20"/>
                <w:szCs w:val="20"/>
              </w:rPr>
            </w:pPr>
            <w:r w:rsidRPr="00A26022">
              <w:rPr>
                <w:sz w:val="20"/>
                <w:szCs w:val="20"/>
              </w:rPr>
              <w:t>Water</w:t>
            </w:r>
          </w:p>
        </w:tc>
        <w:tc>
          <w:tcPr>
            <w:tcW w:w="259" w:type="dxa"/>
            <w:shd w:val="clear" w:color="auto" w:fill="auto"/>
            <w:noWrap/>
            <w:textDirection w:val="btLr"/>
            <w:hideMark/>
          </w:tcPr>
          <w:p w14:paraId="530ED3B6" w14:textId="77777777" w:rsidR="00562980" w:rsidRPr="00A26022" w:rsidRDefault="00562980" w:rsidP="009464DA">
            <w:pPr>
              <w:pStyle w:val="Tables"/>
              <w:rPr>
                <w:sz w:val="20"/>
                <w:szCs w:val="20"/>
              </w:rPr>
            </w:pPr>
            <w:r w:rsidRPr="00A26022">
              <w:rPr>
                <w:sz w:val="20"/>
                <w:szCs w:val="20"/>
              </w:rPr>
              <w:t> </w:t>
            </w:r>
          </w:p>
        </w:tc>
        <w:tc>
          <w:tcPr>
            <w:tcW w:w="259" w:type="dxa"/>
            <w:shd w:val="clear" w:color="auto" w:fill="auto"/>
            <w:noWrap/>
            <w:textDirection w:val="btLr"/>
            <w:hideMark/>
          </w:tcPr>
          <w:p w14:paraId="7ADCD1AB" w14:textId="77777777" w:rsidR="00562980" w:rsidRPr="00A26022" w:rsidRDefault="00562980" w:rsidP="009464DA">
            <w:pPr>
              <w:pStyle w:val="Tables"/>
              <w:rPr>
                <w:sz w:val="20"/>
                <w:szCs w:val="20"/>
              </w:rPr>
            </w:pPr>
            <w:r w:rsidRPr="00A26022">
              <w:rPr>
                <w:sz w:val="20"/>
                <w:szCs w:val="20"/>
              </w:rPr>
              <w:t> </w:t>
            </w:r>
          </w:p>
        </w:tc>
        <w:tc>
          <w:tcPr>
            <w:tcW w:w="259" w:type="dxa"/>
            <w:shd w:val="clear" w:color="auto" w:fill="auto"/>
            <w:noWrap/>
            <w:textDirection w:val="btLr"/>
            <w:hideMark/>
          </w:tcPr>
          <w:p w14:paraId="04648430" w14:textId="77777777" w:rsidR="00562980" w:rsidRPr="00A26022" w:rsidRDefault="00562980" w:rsidP="009464DA">
            <w:pPr>
              <w:pStyle w:val="Tables"/>
              <w:rPr>
                <w:sz w:val="20"/>
                <w:szCs w:val="20"/>
              </w:rPr>
            </w:pPr>
            <w:r w:rsidRPr="00A26022">
              <w:rPr>
                <w:sz w:val="20"/>
                <w:szCs w:val="20"/>
              </w:rPr>
              <w:t> </w:t>
            </w:r>
          </w:p>
        </w:tc>
        <w:tc>
          <w:tcPr>
            <w:tcW w:w="259" w:type="dxa"/>
            <w:shd w:val="clear" w:color="auto" w:fill="auto"/>
            <w:noWrap/>
            <w:textDirection w:val="btLr"/>
            <w:hideMark/>
          </w:tcPr>
          <w:p w14:paraId="1F2FCAAE" w14:textId="77777777" w:rsidR="00562980" w:rsidRPr="00A26022" w:rsidRDefault="00562980" w:rsidP="009464DA">
            <w:pPr>
              <w:pStyle w:val="Tables"/>
              <w:rPr>
                <w:sz w:val="20"/>
                <w:szCs w:val="20"/>
              </w:rPr>
            </w:pPr>
            <w:r w:rsidRPr="00A26022">
              <w:rPr>
                <w:sz w:val="20"/>
                <w:szCs w:val="20"/>
              </w:rPr>
              <w:t> </w:t>
            </w:r>
          </w:p>
        </w:tc>
        <w:tc>
          <w:tcPr>
            <w:tcW w:w="259" w:type="dxa"/>
            <w:shd w:val="clear" w:color="auto" w:fill="auto"/>
            <w:noWrap/>
            <w:textDirection w:val="btLr"/>
            <w:hideMark/>
          </w:tcPr>
          <w:p w14:paraId="077F3341" w14:textId="77777777" w:rsidR="00562980" w:rsidRPr="00A26022" w:rsidRDefault="00562980" w:rsidP="009464DA">
            <w:pPr>
              <w:pStyle w:val="Tables"/>
              <w:rPr>
                <w:sz w:val="20"/>
                <w:szCs w:val="20"/>
              </w:rPr>
            </w:pPr>
            <w:r w:rsidRPr="00A26022">
              <w:rPr>
                <w:sz w:val="20"/>
                <w:szCs w:val="20"/>
              </w:rPr>
              <w:t> </w:t>
            </w:r>
          </w:p>
        </w:tc>
        <w:tc>
          <w:tcPr>
            <w:tcW w:w="259" w:type="dxa"/>
            <w:shd w:val="clear" w:color="auto" w:fill="auto"/>
            <w:noWrap/>
            <w:textDirection w:val="btLr"/>
            <w:hideMark/>
          </w:tcPr>
          <w:p w14:paraId="35DE0760" w14:textId="77777777" w:rsidR="00562980" w:rsidRPr="00A26022" w:rsidRDefault="00562980" w:rsidP="009464DA">
            <w:pPr>
              <w:pStyle w:val="Tables"/>
              <w:rPr>
                <w:sz w:val="20"/>
                <w:szCs w:val="20"/>
              </w:rPr>
            </w:pPr>
            <w:r w:rsidRPr="00A26022">
              <w:rPr>
                <w:sz w:val="20"/>
                <w:szCs w:val="20"/>
              </w:rPr>
              <w:t> </w:t>
            </w:r>
          </w:p>
        </w:tc>
        <w:tc>
          <w:tcPr>
            <w:tcW w:w="259" w:type="dxa"/>
            <w:shd w:val="clear" w:color="auto" w:fill="auto"/>
            <w:noWrap/>
            <w:textDirection w:val="btLr"/>
            <w:hideMark/>
          </w:tcPr>
          <w:p w14:paraId="21CDC1A6" w14:textId="77777777" w:rsidR="00562980" w:rsidRPr="00A26022" w:rsidRDefault="00562980" w:rsidP="009464DA">
            <w:pPr>
              <w:pStyle w:val="Tables"/>
              <w:rPr>
                <w:sz w:val="20"/>
                <w:szCs w:val="20"/>
              </w:rPr>
            </w:pPr>
            <w:r w:rsidRPr="00A26022">
              <w:rPr>
                <w:sz w:val="20"/>
                <w:szCs w:val="20"/>
              </w:rPr>
              <w:t> </w:t>
            </w:r>
          </w:p>
        </w:tc>
        <w:tc>
          <w:tcPr>
            <w:tcW w:w="259" w:type="dxa"/>
            <w:shd w:val="clear" w:color="auto" w:fill="auto"/>
            <w:noWrap/>
            <w:textDirection w:val="btLr"/>
            <w:hideMark/>
          </w:tcPr>
          <w:p w14:paraId="6D8AB3A0" w14:textId="77777777" w:rsidR="00562980" w:rsidRPr="00A26022" w:rsidRDefault="00562980" w:rsidP="009464DA">
            <w:pPr>
              <w:pStyle w:val="Tables"/>
              <w:rPr>
                <w:sz w:val="20"/>
                <w:szCs w:val="20"/>
              </w:rPr>
            </w:pPr>
            <w:r w:rsidRPr="00A26022">
              <w:rPr>
                <w:sz w:val="20"/>
                <w:szCs w:val="20"/>
              </w:rPr>
              <w:t> </w:t>
            </w:r>
          </w:p>
        </w:tc>
        <w:tc>
          <w:tcPr>
            <w:tcW w:w="259" w:type="dxa"/>
            <w:shd w:val="clear" w:color="auto" w:fill="auto"/>
            <w:noWrap/>
            <w:textDirection w:val="btLr"/>
            <w:hideMark/>
          </w:tcPr>
          <w:p w14:paraId="7D19F569" w14:textId="77777777" w:rsidR="00562980" w:rsidRPr="00A26022" w:rsidRDefault="00562980" w:rsidP="009464DA">
            <w:pPr>
              <w:pStyle w:val="Tables"/>
              <w:rPr>
                <w:sz w:val="20"/>
                <w:szCs w:val="20"/>
              </w:rPr>
            </w:pPr>
            <w:r w:rsidRPr="00A26022">
              <w:rPr>
                <w:sz w:val="20"/>
                <w:szCs w:val="20"/>
              </w:rPr>
              <w:t> </w:t>
            </w:r>
          </w:p>
        </w:tc>
        <w:tc>
          <w:tcPr>
            <w:tcW w:w="259" w:type="dxa"/>
            <w:shd w:val="clear" w:color="auto" w:fill="auto"/>
            <w:noWrap/>
            <w:textDirection w:val="btLr"/>
            <w:hideMark/>
          </w:tcPr>
          <w:p w14:paraId="67E8B9C0" w14:textId="77777777" w:rsidR="00562980" w:rsidRPr="00A26022" w:rsidRDefault="00562980" w:rsidP="009464DA">
            <w:pPr>
              <w:pStyle w:val="Tables"/>
              <w:rPr>
                <w:sz w:val="20"/>
                <w:szCs w:val="20"/>
              </w:rPr>
            </w:pPr>
            <w:r w:rsidRPr="00A26022">
              <w:rPr>
                <w:sz w:val="20"/>
                <w:szCs w:val="20"/>
              </w:rPr>
              <w:t> </w:t>
            </w:r>
          </w:p>
        </w:tc>
        <w:tc>
          <w:tcPr>
            <w:tcW w:w="259" w:type="dxa"/>
            <w:shd w:val="clear" w:color="auto" w:fill="auto"/>
            <w:noWrap/>
            <w:textDirection w:val="btLr"/>
            <w:hideMark/>
          </w:tcPr>
          <w:p w14:paraId="662AD749" w14:textId="77777777" w:rsidR="00562980" w:rsidRPr="00A26022" w:rsidRDefault="00562980" w:rsidP="009464DA">
            <w:pPr>
              <w:pStyle w:val="Tables"/>
              <w:rPr>
                <w:sz w:val="20"/>
                <w:szCs w:val="20"/>
              </w:rPr>
            </w:pPr>
            <w:r w:rsidRPr="00A26022">
              <w:rPr>
                <w:sz w:val="20"/>
                <w:szCs w:val="20"/>
              </w:rPr>
              <w:t> </w:t>
            </w:r>
          </w:p>
        </w:tc>
        <w:tc>
          <w:tcPr>
            <w:tcW w:w="259" w:type="dxa"/>
            <w:shd w:val="clear" w:color="auto" w:fill="auto"/>
            <w:noWrap/>
            <w:textDirection w:val="btLr"/>
            <w:hideMark/>
          </w:tcPr>
          <w:p w14:paraId="1491F1E0" w14:textId="77777777" w:rsidR="00562980" w:rsidRPr="00A26022" w:rsidRDefault="00562980" w:rsidP="009464DA">
            <w:pPr>
              <w:pStyle w:val="Tables"/>
              <w:rPr>
                <w:sz w:val="20"/>
                <w:szCs w:val="20"/>
              </w:rPr>
            </w:pPr>
            <w:r w:rsidRPr="00A26022">
              <w:rPr>
                <w:sz w:val="20"/>
                <w:szCs w:val="20"/>
              </w:rPr>
              <w:t> </w:t>
            </w:r>
          </w:p>
        </w:tc>
        <w:tc>
          <w:tcPr>
            <w:tcW w:w="259" w:type="dxa"/>
            <w:shd w:val="clear" w:color="auto" w:fill="auto"/>
            <w:noWrap/>
            <w:textDirection w:val="btLr"/>
            <w:hideMark/>
          </w:tcPr>
          <w:p w14:paraId="3DF8D67F" w14:textId="77777777" w:rsidR="00562980" w:rsidRPr="00A26022" w:rsidRDefault="00562980" w:rsidP="009464DA">
            <w:pPr>
              <w:pStyle w:val="Tables"/>
              <w:rPr>
                <w:sz w:val="20"/>
                <w:szCs w:val="20"/>
              </w:rPr>
            </w:pPr>
            <w:r w:rsidRPr="00A26022">
              <w:rPr>
                <w:sz w:val="20"/>
                <w:szCs w:val="20"/>
              </w:rPr>
              <w:t> </w:t>
            </w:r>
          </w:p>
        </w:tc>
        <w:tc>
          <w:tcPr>
            <w:tcW w:w="233" w:type="dxa"/>
            <w:textDirection w:val="btLr"/>
          </w:tcPr>
          <w:p w14:paraId="0E49A1DA" w14:textId="77777777" w:rsidR="00562980" w:rsidRPr="00A26022" w:rsidRDefault="00562980" w:rsidP="009464DA">
            <w:pPr>
              <w:pStyle w:val="Tables"/>
              <w:rPr>
                <w:sz w:val="20"/>
                <w:szCs w:val="20"/>
              </w:rPr>
            </w:pPr>
          </w:p>
        </w:tc>
        <w:tc>
          <w:tcPr>
            <w:tcW w:w="238" w:type="dxa"/>
            <w:textDirection w:val="btLr"/>
          </w:tcPr>
          <w:p w14:paraId="39D2E842" w14:textId="77777777" w:rsidR="00562980" w:rsidRPr="00A26022" w:rsidRDefault="00562980" w:rsidP="009464DA">
            <w:pPr>
              <w:pStyle w:val="Tables"/>
              <w:rPr>
                <w:sz w:val="20"/>
                <w:szCs w:val="20"/>
              </w:rPr>
            </w:pPr>
          </w:p>
        </w:tc>
      </w:tr>
    </w:tbl>
    <w:p w14:paraId="102BC8AF" w14:textId="77777777" w:rsidR="007215D6" w:rsidRDefault="00562980" w:rsidP="00562980">
      <w:pPr>
        <w:pStyle w:val="Caption"/>
        <w:rPr>
          <w:b w:val="0"/>
        </w:rPr>
      </w:pPr>
      <w:bookmarkStart w:id="16" w:name="_Toc449964923"/>
      <w:r>
        <w:t xml:space="preserve">Table </w:t>
      </w:r>
      <w:fldSimple w:instr=" STYLEREF &quot;Chapter&quot; \s ">
        <w:r w:rsidR="00463F52">
          <w:rPr>
            <w:noProof/>
          </w:rPr>
          <w:t>1</w:t>
        </w:r>
      </w:fldSimple>
      <w:r>
        <w:t>.</w:t>
      </w:r>
      <w:fldSimple w:instr=" SEQ Table \* ARABIC \s 1 ">
        <w:r w:rsidR="00463F52">
          <w:rPr>
            <w:noProof/>
          </w:rPr>
          <w:t>2</w:t>
        </w:r>
      </w:fldSimple>
      <w:r>
        <w:t>.</w:t>
      </w:r>
      <w:r w:rsidRPr="008E2374">
        <w:t xml:space="preserve"> </w:t>
      </w:r>
      <w:r w:rsidRPr="00562980">
        <w:rPr>
          <w:b w:val="0"/>
        </w:rPr>
        <w:t>Product distribution from fast pyrolysi</w:t>
      </w:r>
      <w:r>
        <w:rPr>
          <w:b w:val="0"/>
        </w:rPr>
        <w:t>s of three biopol</w:t>
      </w:r>
      <w:r w:rsidR="007215D6">
        <w:rPr>
          <w:b w:val="0"/>
        </w:rPr>
        <w:t>ymer fractions.</w:t>
      </w:r>
      <w:bookmarkEnd w:id="16"/>
    </w:p>
    <w:p w14:paraId="1B6F866E" w14:textId="680FB882" w:rsidR="00562980" w:rsidRDefault="00562980" w:rsidP="00562980">
      <w:pPr>
        <w:pStyle w:val="Caption"/>
        <w:rPr>
          <w:b w:val="0"/>
        </w:rPr>
      </w:pPr>
      <w:r w:rsidRPr="00562980">
        <w:rPr>
          <w:b w:val="0"/>
        </w:rPr>
        <w:t xml:space="preserve">From </w:t>
      </w:r>
      <w:r w:rsidR="00A77322" w:rsidRPr="00D1372B">
        <w:rPr>
          <w:b w:val="0"/>
        </w:rPr>
        <w:fldChar w:fldCharType="begin"/>
      </w:r>
      <w:r w:rsidR="00807999">
        <w:rPr>
          <w:b w:val="0"/>
        </w:rPr>
        <w:instrText xml:space="preserve"> ADDIN PAPERS2_CITATIONS &lt;citation&gt;&lt;uuid&gt;4421F332-AEC7-4056-8184-1FACA88E87AD&lt;/uuid&gt;&lt;priority&gt;0&lt;/priority&gt;&lt;publications&gt;&lt;publication&gt;&lt;uuid&gt;0F039A4D-3B13-43BA-9986-1D237E7D7A00&lt;/uuid&gt;&lt;volume&gt;4&lt;/volume&gt;&lt;doi&gt;10.1002/cssc.201100133&lt;/doi&gt;&lt;startpage&gt;1629&lt;/startpage&gt;&lt;publication_date&gt;99201111181200000000222000&lt;/publication_date&gt;&lt;url&gt;http://onlinelibrary.wiley.com/doi/10.1002/cssc.201100133/full&lt;/url&gt;&lt;citekey&gt;Patwardhan:2011in&lt;/citekey&gt;&lt;type&gt;400&lt;/type&gt;&lt;title&gt;Understanding the Fast Pyrolysis of Lignin&lt;/title&gt;&lt;publisher&gt;WILEY</w:instrText>
      </w:r>
      <w:r w:rsidR="00807999">
        <w:rPr>
          <w:rFonts w:ascii="Calibri" w:eastAsia="Calibri" w:hAnsi="Calibri" w:cs="Calibri"/>
          <w:b w:val="0"/>
        </w:rPr>
        <w:instrText>‐</w:instrText>
      </w:r>
      <w:r w:rsidR="00807999">
        <w:rPr>
          <w:b w:val="0"/>
        </w:rPr>
        <w:instrText>VCH Verlag&lt;/publisher&gt;&lt;number&gt;11&lt;/number&gt;&lt;subtype&gt;400&lt;/subtype&gt;&lt;endpage&gt;1636&lt;/endpage&gt;&lt;bundle&gt;&lt;publication&gt;&lt;publisher&gt;WILEY</w:instrText>
      </w:r>
      <w:r w:rsidR="00807999">
        <w:rPr>
          <w:rFonts w:ascii="Calibri" w:eastAsia="Calibri" w:hAnsi="Calibri" w:cs="Calibri"/>
          <w:b w:val="0"/>
        </w:rPr>
        <w:instrText>‐</w:instrText>
      </w:r>
      <w:r w:rsidR="00807999">
        <w:rPr>
          <w:b w:val="0"/>
        </w:rPr>
        <w:instrText>VCH Verlag&lt;/publisher&gt;&lt;title&gt;ChemSusChem&lt;/title&gt;&lt;type&gt;-100&lt;/type&gt;&lt;subtype&gt;-100&lt;/subtype&gt;&lt;uuid&gt;7311DD7F-36BC-4619-8B6C-41D5069DF002&lt;/uuid&gt;&lt;/publication&gt;&lt;/bundle&gt;&lt;authors&gt;&lt;author&gt;&lt;firstName&gt;Pushkaraj&lt;/firstName&gt;&lt;middleNames&gt;R&lt;/middleNames&gt;&lt;lastName&gt;Patwardhan&lt;/lastName&gt;&lt;/author&gt;&lt;author&gt;&lt;firstName&gt;Robert&lt;/firstName&gt;&lt;middleNames&gt;C&lt;/middleNames&gt;&lt;lastName&gt;Brown&lt;/lastName&gt;&lt;/author&gt;&lt;author&gt;&lt;firstName&gt;Brent&lt;/firstName&gt;&lt;middleNames&gt;H&lt;/middleNames&gt;&lt;lastName&gt;Shanks&lt;/lastName&gt;&lt;/author&gt;&lt;/authors&gt;&lt;/publication&gt;&lt;publication&gt;&lt;publication_date&gt;99201100001200000000200000&lt;/publication_date&gt;&lt;doi&gt;10.1002/cssc.201000425/full&lt;/doi&gt;&lt;title&gt;Product distribution from the fast pyrolysis of hemicellulose&lt;/title&gt;&lt;uuid&gt;BD813F33-3913-4A9A-9121-EA81B3ACDAE8&lt;/uuid&gt;&lt;subtype&gt;400&lt;/subtype&gt;&lt;type&gt;400&lt;/type&gt;&lt;url&gt;http://onlinelibrary.wiley.com/doi/10.1002/cssc.201000425/full&lt;/url&gt;&lt;bundle&gt;&lt;publication&gt;&lt;publisher&gt;WILEY</w:instrText>
      </w:r>
      <w:r w:rsidR="00807999">
        <w:rPr>
          <w:rFonts w:ascii="Calibri" w:eastAsia="Calibri" w:hAnsi="Calibri" w:cs="Calibri"/>
          <w:b w:val="0"/>
        </w:rPr>
        <w:instrText>‐</w:instrText>
      </w:r>
      <w:r w:rsidR="00807999">
        <w:rPr>
          <w:b w:val="0"/>
        </w:rPr>
        <w:instrText>VCH Verlag&lt;/publisher&gt;&lt;title&gt;ChemSusChem&lt;/title&gt;&lt;type&gt;-100&lt;/type&gt;&lt;subtype&gt;-100&lt;/subtype&gt;&lt;uuid&gt;7311DD7F-36BC-4619-8B6C-41D5069DF002&lt;/uuid&gt;&lt;/publication&gt;&lt;/bundle&gt;&lt;authors&gt;&lt;author&gt;&lt;firstName&gt;Pushkaraj&lt;/firstName&gt;&lt;middleNames&gt;R&lt;/middleNames&gt;&lt;lastName&gt;Patwardhan&lt;/lastName&gt;&lt;/author&gt;&lt;author&gt;&lt;firstName&gt;Robert&lt;/firstName&gt;&lt;middleNames&gt;C&lt;/middleNames&gt;&lt;lastName&gt;Brown&lt;/lastName&gt;&lt;/author&gt;&lt;author&gt;&lt;firstName&gt;Brent&lt;/firstName&gt;&lt;middleNames&gt;H&lt;/middleNames&gt;&lt;lastName&gt;Shanks&lt;/lastName&gt;&lt;/author&gt;&lt;/authors&gt;&lt;/publication&gt;&lt;publication&gt;&lt;publication_date&gt;99201100001200000000200000&lt;/publication_date&gt;&lt;doi&gt;10.1016/j.biortech.2011.02.018&lt;/doi&gt;&lt;title&gt;Distinguishing primary and secondary reactions of cellulose pyrolysis&lt;/title&gt;&lt;uuid&gt;03ED85DE-07DF-4E32-B887-11673E3EDD28&lt;/uuid&gt;&lt;subtype&gt;400&lt;/subtype&gt;&lt;type&gt;400&lt;/type&gt;&lt;citekey&gt;Patwardhan:2011kaa&lt;/citekey&gt;&lt;url&gt;http://www.sciencedirect.com/science/article/pii/S0960852411002033&lt;/url&gt;&lt;bundle&gt;&lt;publication&gt;&lt;publisher&gt;Elsevier Ltd&lt;/publisher&gt;&lt;title&gt;Bioresource technology&lt;/title&gt;&lt;type&gt;-100&lt;/type&gt;&lt;subtype&gt;-100&lt;/subtype&gt;&lt;uuid&gt;20FABC45-BAD7-4D11-A180-BCA66580D347&lt;/uuid&gt;&lt;/publication&gt;&lt;/bundle&gt;&lt;authors&gt;&lt;author&gt;&lt;firstName&gt;Pushkaraj&lt;/firstName&gt;&lt;middleNames&gt;R&lt;/middleNames&gt;&lt;lastName&gt;Patwardhan&lt;/lastName&gt;&lt;/author&gt;&lt;author&gt;&lt;firstName&gt;Dustin&lt;/firstName&gt;&lt;middleNames&gt;L&lt;/middleNames&gt;&lt;lastName&gt;Dalluge&lt;/lastName&gt;&lt;/author&gt;&lt;author&gt;&lt;firstName&gt;Brent&lt;/firstName&gt;&lt;middleNames&gt;H&lt;/middleNames&gt;&lt;lastName&gt;Shanks&lt;/lastName&gt;&lt;/author&gt;&lt;/authors&gt;&lt;/publication&gt;&lt;/publications&gt;&lt;cites&gt;&lt;/cites&gt;&lt;/citation&gt;</w:instrText>
      </w:r>
      <w:r w:rsidR="00A77322" w:rsidRPr="00D1372B">
        <w:rPr>
          <w:b w:val="0"/>
        </w:rPr>
        <w:fldChar w:fldCharType="separate"/>
      </w:r>
      <w:r w:rsidR="00980B82" w:rsidRPr="00D1372B">
        <w:rPr>
          <w:b w:val="0"/>
        </w:rPr>
        <w:t>(</w:t>
      </w:r>
      <w:r w:rsidR="00980B82" w:rsidRPr="00D1372B">
        <w:rPr>
          <w:b w:val="0"/>
          <w:i/>
          <w:iCs/>
        </w:rPr>
        <w:t>12</w:t>
      </w:r>
      <w:r w:rsidR="00980B82" w:rsidRPr="00D1372B">
        <w:rPr>
          <w:b w:val="0"/>
        </w:rPr>
        <w:t xml:space="preserve">, </w:t>
      </w:r>
      <w:r w:rsidR="00980B82" w:rsidRPr="00D1372B">
        <w:rPr>
          <w:b w:val="0"/>
          <w:i/>
          <w:iCs/>
        </w:rPr>
        <w:t>30</w:t>
      </w:r>
      <w:r w:rsidR="00980B82" w:rsidRPr="00D1372B">
        <w:rPr>
          <w:b w:val="0"/>
        </w:rPr>
        <w:t xml:space="preserve">, </w:t>
      </w:r>
      <w:r w:rsidR="00980B82" w:rsidRPr="00D1372B">
        <w:rPr>
          <w:b w:val="0"/>
          <w:i/>
          <w:iCs/>
        </w:rPr>
        <w:t>31</w:t>
      </w:r>
      <w:r w:rsidR="00980B82" w:rsidRPr="00D1372B">
        <w:rPr>
          <w:b w:val="0"/>
        </w:rPr>
        <w:t>)</w:t>
      </w:r>
      <w:r w:rsidR="00A77322" w:rsidRPr="00D1372B">
        <w:rPr>
          <w:b w:val="0"/>
        </w:rPr>
        <w:fldChar w:fldCharType="end"/>
      </w:r>
    </w:p>
    <w:p w14:paraId="1A0AAB8D" w14:textId="77777777" w:rsidR="00114348" w:rsidRDefault="00114348" w:rsidP="00801CCA"/>
    <w:p w14:paraId="4AAC931D" w14:textId="6915B8F6" w:rsidR="00801CCA" w:rsidRDefault="00801CCA" w:rsidP="00801CCA">
      <w:r>
        <w:t>As all three biopolymers yield distinct thermal decomposition products, it should be possible to develop a staged thermal fractionation strategy that is capable of producing several product streams of enhanced compositional purity (Figure 1</w:t>
      </w:r>
      <w:r w:rsidR="008A6C31">
        <w:t>.1</w:t>
      </w:r>
      <w:r>
        <w:t xml:space="preserve">). A low temperature step (at torrefaction conditions) targeting hemicellulose decomposition is followed by an intermediate step targeting cellulose decomposition, and finally a high </w:t>
      </w:r>
      <w:r>
        <w:lastRenderedPageBreak/>
        <w:t>temperature step (similar to fast pyrolysis conditions) to decompose the remaining lignin. These purified streams could then be catalytically upgraded using</w:t>
      </w:r>
      <w:r w:rsidR="00C676FC">
        <w:t xml:space="preserve"> the best catalyst for the job.</w:t>
      </w:r>
    </w:p>
    <w:p w14:paraId="541DE1BE" w14:textId="30550E84" w:rsidR="00C676FC" w:rsidRDefault="0051198A" w:rsidP="005B60FA">
      <w:pPr>
        <w:pStyle w:val="NoSpacing"/>
      </w:pPr>
      <w:r>
        <w:rPr>
          <w:noProof/>
        </w:rPr>
        <w:drawing>
          <wp:inline distT="0" distB="0" distL="0" distR="0" wp14:anchorId="156CC16D" wp14:editId="157F73CD">
            <wp:extent cx="5394960" cy="2241812"/>
            <wp:effectExtent l="0" t="0" r="0" b="0"/>
            <wp:docPr id="72" name="Picture 72" descr="Staged%20thermal%20fractionation%20cartoon.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taged%20thermal%20fractionation%20cartoon.pdf"/>
                    <pic:cNvPicPr>
                      <a:picLocks noChangeAspect="1" noChangeArrowheads="1"/>
                    </pic:cNvPicPr>
                  </pic:nvPicPr>
                  <pic:blipFill rotWithShape="1">
                    <a:blip r:embed="rId9">
                      <a:extLst>
                        <a:ext uri="{28A0092B-C50C-407E-A947-70E740481C1C}">
                          <a14:useLocalDpi xmlns:a14="http://schemas.microsoft.com/office/drawing/2010/main" val="0"/>
                        </a:ext>
                      </a:extLst>
                    </a:blip>
                    <a:srcRect l="3087" t="31563" r="11532" b="22585"/>
                    <a:stretch/>
                  </pic:blipFill>
                  <pic:spPr bwMode="auto">
                    <a:xfrm>
                      <a:off x="0" y="0"/>
                      <a:ext cx="5394960" cy="2241812"/>
                    </a:xfrm>
                    <a:prstGeom prst="rect">
                      <a:avLst/>
                    </a:prstGeom>
                    <a:noFill/>
                    <a:ln>
                      <a:noFill/>
                    </a:ln>
                    <a:extLst>
                      <a:ext uri="{53640926-AAD7-44D8-BBD7-CCE9431645EC}">
                        <a14:shadowObscured xmlns:a14="http://schemas.microsoft.com/office/drawing/2010/main"/>
                      </a:ext>
                    </a:extLst>
                  </pic:spPr>
                </pic:pic>
              </a:graphicData>
            </a:graphic>
          </wp:inline>
        </w:drawing>
      </w:r>
    </w:p>
    <w:p w14:paraId="2FCA1313" w14:textId="4C196212" w:rsidR="00C676FC" w:rsidRPr="00C676FC" w:rsidRDefault="00C676FC" w:rsidP="00C676FC">
      <w:pPr>
        <w:pStyle w:val="Caption"/>
        <w:rPr>
          <w:b w:val="0"/>
        </w:rPr>
      </w:pPr>
      <w:bookmarkStart w:id="17" w:name="_Toc449964952"/>
      <w:r>
        <w:t xml:space="preserve">Figure </w:t>
      </w:r>
      <w:fldSimple w:instr=" STYLEREF &quot;Chapter&quot; \s ">
        <w:r w:rsidR="00463F52">
          <w:rPr>
            <w:noProof/>
          </w:rPr>
          <w:t>1</w:t>
        </w:r>
      </w:fldSimple>
      <w:r>
        <w:t>.</w:t>
      </w:r>
      <w:fldSimple w:instr=" SEQ Figure \* ARABIC \s 1 ">
        <w:r w:rsidR="00463F52">
          <w:rPr>
            <w:noProof/>
          </w:rPr>
          <w:t>1</w:t>
        </w:r>
      </w:fldSimple>
      <w:r>
        <w:rPr>
          <w:noProof/>
        </w:rPr>
        <w:t xml:space="preserve">. </w:t>
      </w:r>
      <w:r w:rsidRPr="00C676FC">
        <w:rPr>
          <w:b w:val="0"/>
        </w:rPr>
        <w:t>Hypothetical configuration for thermal fractionation of lignocellulosic biomass with resultant purified product streams</w:t>
      </w:r>
      <w:bookmarkEnd w:id="17"/>
    </w:p>
    <w:p w14:paraId="1570BD24" w14:textId="77777777" w:rsidR="00C676FC" w:rsidRDefault="00C676FC" w:rsidP="00801CCA"/>
    <w:p w14:paraId="44B8C0B0" w14:textId="30E7145A" w:rsidR="00801CCA" w:rsidRDefault="00801CCA" w:rsidP="00801CCA">
      <w:r>
        <w:t>Achieving a purely thermal separation of the cellulose- and lignin- derived components from biomass (e.g., levoglucosan and phenolic species) is of particular interest due to the inherent overlapping thermal stability regimes of these components and challenges of downstream separation. As hemicellulose is the more unstable polysaccharide, lower temperature treatments are expected to decompose this component with minimal cellulose decomposition leaving a remaining solid enriched in cellulose and lignin. The major products of these two biopolymers – levoglucosan and variously substituted phenolics – are difficult to separate using thermal methods and typically involve solvent extraction of one form or another</w:t>
      </w:r>
      <w:r w:rsidR="00274D38">
        <w:t xml:space="preserve"> </w:t>
      </w:r>
      <w:r w:rsidR="00172B5F">
        <w:fldChar w:fldCharType="begin"/>
      </w:r>
      <w:r w:rsidR="00807999">
        <w:instrText xml:space="preserve"> ADDIN PAPERS2_CITATIONS &lt;citation&gt;&lt;uuid&gt;A41AA5D0-4749-403E-A0E8-C263952FC353&lt;/uuid&gt;&lt;priority&gt;0&lt;/priority&gt;&lt;publications&gt;&lt;publication&gt;&lt;volume&gt;20&lt;/volume&gt;&lt;publication_date&gt;99200605001200000000220000&lt;/publication_date&gt;&lt;number&gt;3&lt;/number&gt;&lt;doi&gt;10.1021/ef0502397&lt;/doi&gt;&lt;startpage&gt;848&lt;/startpage&gt;&lt;title&gt;Pyrolysis of Wood/Biomass for Bio-oil:  A Critical Review&lt;/title&gt;&lt;uuid&gt;C24DAD04-EE8A-46A5-85D6-228E168811BB&lt;/uuid&gt;&lt;subtype&gt;400&lt;/subtype&gt;&lt;endpage&gt;889&lt;/endpage&gt;&lt;type&gt;400&lt;/type&gt;&lt;url&gt;http://pubs.acs.org/doi/abs/10.1021/ef0502397&lt;/url&gt;&lt;bundle&gt;&lt;publication&gt;&lt;publisher&gt;American Chemical Society&lt;/publisher&gt;&lt;title&gt;Energy &amp;amp; Fuels&lt;/title&gt;&lt;type&gt;-100&lt;/type&gt;&lt;subtype&gt;-100&lt;/subtype&gt;&lt;uuid&gt;DCD2A25C-F261-4333-B749-6E6DAB1F820E&lt;/uuid&gt;&lt;/publication&gt;&lt;/bundle&gt;&lt;authors&gt;&lt;author&gt;&lt;firstName&gt;Dinesh&lt;/firstName&gt;&lt;lastName&gt;Mohan&lt;/lastName&gt;&lt;/author&gt;&lt;author&gt;&lt;firstName&gt;Charles&lt;/firstName&gt;&lt;middleNames&gt;U&lt;/middleNames&gt;&lt;lastName&gt;Pittman&lt;/lastName&gt;&lt;/author&gt;&lt;author&gt;&lt;firstName&gt;Philip&lt;/firstName&gt;&lt;middleNames&gt;H&lt;/middleNames&gt;&lt;lastName&gt;Steele&lt;/lastName&gt;&lt;/author&gt;&lt;/authors&gt;&lt;/publication&gt;&lt;/publications&gt;&lt;cites&gt;&lt;/cites&gt;&lt;/citation&gt;</w:instrText>
      </w:r>
      <w:r w:rsidR="00172B5F">
        <w:fldChar w:fldCharType="separate"/>
      </w:r>
      <w:r w:rsidR="001C1AAC">
        <w:t>(</w:t>
      </w:r>
      <w:r w:rsidR="001C1AAC">
        <w:rPr>
          <w:i/>
          <w:iCs/>
        </w:rPr>
        <w:t>32</w:t>
      </w:r>
      <w:r w:rsidR="001C1AAC">
        <w:t>)</w:t>
      </w:r>
      <w:r w:rsidR="00172B5F">
        <w:fldChar w:fldCharType="end"/>
      </w:r>
      <w:r>
        <w:t>. Achieving a thermal segregation of these major pyrolysis products could enable implementation of the advanced catalytic strategies outlined above by eliminating the need for a costly downstream separation step.</w:t>
      </w:r>
      <w:r w:rsidR="00023814">
        <w:t xml:space="preserve"> T</w:t>
      </w:r>
      <w:r w:rsidR="0091323E" w:rsidRPr="00C85EA1">
        <w:t xml:space="preserve">his latter challenge might be addressed by understanding the relationships between biomass </w:t>
      </w:r>
      <w:r w:rsidR="0091323E" w:rsidRPr="00C85EA1">
        <w:lastRenderedPageBreak/>
        <w:t xml:space="preserve">composition and bio-oil components, and using this information to alter biomass, either through genetic, chemical, or thermal means. </w:t>
      </w:r>
    </w:p>
    <w:p w14:paraId="24C97B00" w14:textId="04E4A094" w:rsidR="00B103E0" w:rsidRDefault="00B103E0" w:rsidP="00B103E0">
      <w:r>
        <w:br w:type="page"/>
      </w:r>
    </w:p>
    <w:p w14:paraId="740FC604" w14:textId="0493F815" w:rsidR="003B659C" w:rsidRPr="000F56FF" w:rsidRDefault="00C85EA1" w:rsidP="00610540">
      <w:pPr>
        <w:pStyle w:val="Chapter"/>
      </w:pPr>
      <w:bookmarkStart w:id="18" w:name="_Toc449964830"/>
      <w:r w:rsidRPr="00C85EA1">
        <w:lastRenderedPageBreak/>
        <w:t>Relationships between biomass composition and liquid products formed via pyrolysis</w:t>
      </w:r>
      <w:bookmarkEnd w:id="18"/>
    </w:p>
    <w:p w14:paraId="2EFE4429" w14:textId="022E266A" w:rsidR="00C85EA1" w:rsidRPr="001C12CB" w:rsidRDefault="00B103E0" w:rsidP="00C85EA1">
      <w:r>
        <w:t>Adapted from a</w:t>
      </w:r>
      <w:r w:rsidR="00C85EA1">
        <w:t xml:space="preserve"> paper published in Frontiers in Energy Research</w:t>
      </w:r>
    </w:p>
    <w:p w14:paraId="543BC161" w14:textId="77777777" w:rsidR="00C85EA1" w:rsidRPr="00C85EA1" w:rsidRDefault="00C85EA1" w:rsidP="00C85EA1">
      <w:r w:rsidRPr="00C85EA1">
        <w:t>Fan Lin, Christopher L. Waters, Richard G. Mallinson, Lance L. Lobban, Laura E. Bartley</w:t>
      </w:r>
    </w:p>
    <w:p w14:paraId="4248AEB0" w14:textId="76B703EE" w:rsidR="00C85EA1" w:rsidRDefault="00C85EA1" w:rsidP="005C7E19">
      <w:pPr>
        <w:pStyle w:val="Heading2"/>
      </w:pPr>
      <w:bookmarkStart w:id="19" w:name="_Toc449964831"/>
      <w:r>
        <w:t>Biomass composition and chemical structures</w:t>
      </w:r>
      <w:bookmarkEnd w:id="19"/>
    </w:p>
    <w:p w14:paraId="6E5EF6C4" w14:textId="77777777" w:rsidR="00807999" w:rsidRDefault="00C85EA1" w:rsidP="0057053C">
      <w:r>
        <w:t xml:space="preserve">Recent reviews have addressed the general relationships between biomass composition and thermal products, such as increasing the content of phenolics relative to carbohydrates to reduce the oxygen content of bio-oil </w:t>
      </w:r>
      <w:r w:rsidR="00A77322">
        <w:fldChar w:fldCharType="begin"/>
      </w:r>
      <w:r w:rsidR="00807999">
        <w:instrText xml:space="preserve"> ADDIN PAPERS2_CITATIONS &lt;citation&gt;&lt;uuid&gt;55EE5598-9522-47CC-BC94-804996BE5437&lt;/uuid&gt;&lt;priority&gt;0&lt;/priority&gt;&lt;publications&gt;&lt;publication&gt;&lt;volume&gt;4&lt;/volume&gt;&lt;publication_date&gt;99201300001200000000200000&lt;/publication_date&gt;&lt;doi&gt;10.3389/fpls.2013.00218&lt;/doi&gt;&lt;title&gt;Biomass for thermochemical conversion: targets and challenges&lt;/title&gt;&lt;uuid&gt;5E8CD48A-E79C-4FEE-93B5-2479E71E4AEE&lt;/uuid&gt;&lt;subtype&gt;400&lt;/subtype&gt;&lt;type&gt;400&lt;/type&gt;&lt;citekey&gt;Tanger:2013cz&lt;/citekey&gt;&lt;url&gt;http://journal.frontiersin.org/article/10.3389/fpls.2013.00218/abstract&lt;/url&gt;&lt;bundle&gt;&lt;publication&gt;&lt;publisher&gt;&lt;/publisher&gt;&lt;title&gt;Frontiers in Plant Science&lt;/title&gt;&lt;type&gt;-100&lt;/type&gt;&lt;subtype&gt;-100&lt;/subtype&gt;&lt;uuid&gt;8AA6A00A-CE07-44F2-813A-4FD9FCE7A180&lt;/uuid&gt;&lt;/publication&gt;&lt;/bundle&gt;&lt;authors&gt;&lt;author&gt;&lt;firstName&gt;Paul&lt;/firstName&gt;&lt;lastName&gt;Tanger&lt;/lastName&gt;&lt;/author&gt;&lt;author&gt;&lt;firstName&gt;John&lt;/firstName&gt;&lt;middleNames&gt;L&lt;/middleNames&gt;&lt;lastName&gt;Field&lt;/lastName&gt;&lt;/author&gt;&lt;author&gt;&lt;firstName&gt;Courtney&lt;/firstName&gt;&lt;middleNames&gt;E&lt;/middleNames&gt;&lt;lastName&gt;Jahn&lt;/lastName&gt;&lt;/author&gt;&lt;author&gt;&lt;firstName&gt;Morgan&lt;/firstName&gt;&lt;middleNames&gt;W&lt;/middleNames&gt;&lt;lastName&gt;DeFoort&lt;/lastName&gt;&lt;/author&gt;&lt;author&gt;&lt;firstName&gt;Jan&lt;/firstName&gt;&lt;middleNames&gt;E&lt;/middleNames&gt;&lt;lastName&gt;Leach&lt;/lastName&gt;&lt;/author&gt;&lt;/authors&gt;&lt;/publication&gt;&lt;/publications&gt;&lt;cites&gt;&lt;/cites&gt;&lt;/citation&gt;</w:instrText>
      </w:r>
      <w:r w:rsidR="00A77322">
        <w:fldChar w:fldCharType="separate"/>
      </w:r>
      <w:r w:rsidR="001C1AAC">
        <w:t>(</w:t>
      </w:r>
      <w:r w:rsidR="001C1AAC">
        <w:rPr>
          <w:i/>
          <w:iCs/>
        </w:rPr>
        <w:t>33</w:t>
      </w:r>
      <w:r w:rsidR="001C1AAC">
        <w:t>)</w:t>
      </w:r>
      <w:r w:rsidR="00A77322">
        <w:fldChar w:fldCharType="end"/>
      </w:r>
      <w:r w:rsidR="00A77322">
        <w:t>.</w:t>
      </w:r>
      <w:r>
        <w:t xml:space="preserve"> Here, we provide a more detailed description of the chemical structure and interactions among major cell wall components to aid in understanding more subtle relationships between biomass and bio-oil content. Biomass consists of cell walls that establish the structure of </w:t>
      </w:r>
      <w:r w:rsidRPr="00D43053">
        <w:t>the plant and, to a lesser extent, nonstructural components (</w:t>
      </w:r>
      <w:r w:rsidRPr="00B146E0">
        <w:t xml:space="preserve">Table </w:t>
      </w:r>
      <w:r w:rsidR="00D43053" w:rsidRPr="00B146E0">
        <w:t>2</w:t>
      </w:r>
      <w:r w:rsidR="00D635B3" w:rsidRPr="00B146E0">
        <w:t>.</w:t>
      </w:r>
      <w:r w:rsidR="00D43053" w:rsidRPr="00B146E0">
        <w:t>1</w:t>
      </w:r>
      <w:r w:rsidRPr="00D43053">
        <w:t>). Cell walls</w:t>
      </w:r>
      <w:r>
        <w:t xml:space="preserve"> determine the shape of leaves and stems and the cells that compose them and consist of cellulose, hemicellulose, lignin, as well as structural proteins and wall-associated mineral components</w:t>
      </w:r>
      <w:r w:rsidR="0057053C">
        <w:t>.</w:t>
      </w:r>
      <w:r>
        <w:t xml:space="preserve"> Nonstructural components include sugars, proteins, and additional minerals </w:t>
      </w:r>
      <w:r w:rsidR="0057053C">
        <w:fldChar w:fldCharType="begin"/>
      </w:r>
      <w:r w:rsidR="00807999">
        <w:instrText xml:space="preserve"> ADDIN PAPERS2_CITATIONS &lt;citation&gt;&lt;uuid&gt;0A3CCA76-5F83-4E64-A2DF-56F6821F8477&lt;/uuid&gt;&lt;priority&gt;0&lt;/priority&gt;&lt;publications&gt;&lt;publication&gt;&lt;publication_date&gt;99200902121200000000222000&lt;/publication_date&gt;&lt;startpage&gt;400&lt;/startpage&gt;&lt;title&gt;The Plant Cell Wall&lt;/title&gt;&lt;uuid&gt;3766327D-978F-450A-96A8-BBCB42F6C90E&lt;/uuid&gt;&lt;subtype&gt;-1000&lt;/subtype&gt;&lt;publisher&gt;John Wiley &amp;amp; Sons&lt;/publisher&gt;&lt;type&gt;-1000&lt;/type&gt;&lt;url&gt;http://books.google.com/books?id=R9LU3uiNFnYC&amp;amp;printsec=frontcover&amp;amp;dq=intitle:The+plant+cell+wall+2009&amp;amp;hl=&amp;amp;cd=1&amp;amp;source=gbs_api&lt;/url&gt;&lt;bundle&gt;&lt;publication&gt;&lt;title&gt;Annual Plant Reviews&lt;/title&gt;&lt;type&gt;0&lt;/type&gt;&lt;subtype&gt;0&lt;/subtype&gt;&lt;uuid&gt;2DDFB482-79B4-48F2-BECF-97114D7407AC&lt;/uuid&gt;&lt;/publication&gt;&lt;/bundle&gt;&lt;authors&gt;&lt;author&gt;&lt;firstName&gt;M&lt;/firstName&gt;&lt;middleNames&gt;A&lt;/middleNames&gt;&lt;lastName&gt;ONeill&lt;/lastName&gt;&lt;/author&gt;&lt;author&gt;&lt;firstName&gt;W&lt;/firstName&gt;&lt;middleNames&gt;S&lt;/middleNames&gt;&lt;lastName&gt;York&lt;/lastName&gt;&lt;/author&gt;&lt;/authors&gt;&lt;editors&gt;&lt;author&gt;&lt;firstName&gt;Jocelyn&lt;/firstName&gt;&lt;middleNames&gt;K C&lt;/middleNames&gt;&lt;lastName&gt;Rose&lt;/lastName&gt;&lt;/author&gt;&lt;/editors&gt;&lt;/publication&gt;&lt;publication&gt;&lt;uuid&gt;C9E3D121-0421-4692-8A6E-43BCA947E167&lt;/uuid&gt;&lt;volume&gt;4&lt;/volume&gt;&lt;doi&gt;10.1007/s12155-010-9104-4&lt;/doi&gt;&lt;startpage&gt;96&lt;/startpage&gt;&lt;publication_date&gt;99201106001200000000220000&lt;/publication_date&gt;&lt;url&gt;http://link.springer.com/article/10.1007%2Fs12155-010-9104-4&lt;/url&gt;&lt;type&gt;400&lt;/type&gt;&lt;title&gt;Quantifying Actual and Theoretical Ethanol Yields for Switchgrass Strains Using NIRS Analyses&lt;/title&gt;&lt;institution&gt;Vogel, KP</w:instrText>
      </w:r>
    </w:p>
    <w:p w14:paraId="5AFA8505" w14:textId="77777777" w:rsidR="00807999" w:rsidRDefault="00807999" w:rsidP="0057053C">
      <w:r>
        <w:instrText>Univ Nebraska, Grain Forage &amp;amp; Bioenergy Res Unit, USDA ARS, 137 Keim Hall,POB 830937, Lincoln, NE 68583 USA</w:instrText>
      </w:r>
    </w:p>
    <w:p w14:paraId="15E31057" w14:textId="77777777" w:rsidR="00807999" w:rsidRDefault="00807999" w:rsidP="0057053C">
      <w:r>
        <w:instrText>Univ Nebraska, Grain Forage &amp;amp; Bioenergy Res Unit, USDA ARS, 137 Keim Hall,POB 830937, Lincoln, NE 68583 USA</w:instrText>
      </w:r>
    </w:p>
    <w:p w14:paraId="067B3CB8" w14:textId="77777777" w:rsidR="00807999" w:rsidRDefault="00807999" w:rsidP="0057053C">
      <w:r>
        <w:instrText>Univ Nebraska, Grain Forage &amp;amp; Bioenergy Res Unit, USDA ARS, Lincoln, NE 68583 USA</w:instrText>
      </w:r>
    </w:p>
    <w:p w14:paraId="4AE7518B" w14:textId="77777777" w:rsidR="00807999" w:rsidRDefault="00807999" w:rsidP="0057053C">
      <w:r>
        <w:instrText>USDA ARS, Fermentat Biotechnol Res Unit, Natl Ctr Agr Utilizat Res, Peoria, IL 61604 USA</w:instrText>
      </w:r>
    </w:p>
    <w:p w14:paraId="7E24E66D" w14:textId="77777777" w:rsidR="00807999" w:rsidRDefault="00807999" w:rsidP="0057053C">
      <w:r>
        <w:instrText>USDA ARS, Plant Sci Res Unit, St Paul, MN 55108 USA</w:instrText>
      </w:r>
    </w:p>
    <w:p w14:paraId="4AA6143F" w14:textId="77777777" w:rsidR="00807999" w:rsidRDefault="00807999" w:rsidP="0057053C">
      <w:r>
        <w:instrText>US Dairy Forage Res Ctr, Madison, WI 53706 USA&lt;/institution&gt;&lt;number&gt;2&lt;/number&gt;&lt;subtype&gt;400&lt;/subtype&gt;&lt;endpage&gt;110&lt;/endpage&gt;&lt;bundle&gt;&lt;publication&gt;&lt;publisher&gt;Springer US&lt;/publisher&gt;&lt;title&gt;BioEnergy Research&lt;/title&gt;&lt;type&gt;-100&lt;/type&gt;&lt;subtype&gt;-100&lt;/subtype&gt;&lt;uuid&gt;10F75356-9E4C-4774-98A2-0C658827ED32&lt;/uuid&gt;&lt;/publication&gt;&lt;/bundle&gt;&lt;authors&gt;&lt;author&gt;&lt;firstName&gt;K&lt;/firstName&gt;&lt;middleNames&gt;P&lt;/middleNames&gt;&lt;lastName&gt;Vogel&lt;/lastName&gt;&lt;/author&gt;&lt;author&gt;&lt;firstName&gt;B&lt;/firstName&gt;&lt;middleNames&gt;S&lt;/middleNames&gt;&lt;lastName&gt;Dien&lt;/lastName&gt;&lt;/author&gt;&lt;author&gt;&lt;firstName&gt;Hans-Joachim&lt;/firstName&gt;&lt;middleNames&gt;G&lt;/middleNames&gt;&lt;lastName&gt;Jung&lt;/lastName&gt;&lt;/author&gt;&lt;author&gt;&lt;firstName&gt;Michael&lt;/firstName&gt;&lt;middleNames&gt;D&lt;/middleNames&gt;&lt;lastName&gt;Casler&lt;/lastName&gt;&lt;/author&gt;&lt;author&gt;&lt;firstName&gt;S&lt;/firstName&gt;&lt;middleNames&gt;D&lt;/middleNames&gt;&lt;lastName&gt;Masterson&lt;/lastName&gt;&lt;/author&gt;&lt;author&gt;&lt;firstName&gt;R&lt;/firstName&gt;&lt;middleNames&gt;B&lt;/middleNames&gt;&lt;lastName&gt;Mitchell&lt;/lastName&gt;&lt;/author&gt;&lt;/authors&gt;&lt;/publication&gt;&lt;publication&gt;&lt;volume&gt;4&lt;/volume&gt;&lt;publication_date&gt;99201300001200000000200000&lt;/publication_date&gt;&lt;doi&gt;10.3389/fpls.2013.00218&lt;/doi&gt;&lt;title&gt;Biomass for thermochemical conversion: targets and challenges&lt;/title&gt;&lt;uuid&gt;5E8CD48A-E79C-4FEE-93B5-2479E71E4AEE&lt;/uuid&gt;&lt;subtype&gt;400&lt;/subtype&gt;&lt;type&gt;400&lt;/type&gt;&lt;citekey&gt;Tanger:2013cz&lt;/citekey&gt;&lt;url&gt;http://journal.frontiersin.org/article/10.3389/fpls.2013.00218/abstract&lt;/url&gt;&lt;bundle&gt;&lt;publication&gt;&lt;publisher&gt;&lt;/publisher&gt;&lt;title&gt;Frontiers in Plant Science&lt;/title&gt;&lt;type&gt;-100&lt;/type&gt;&lt;subtype&gt;-100&lt;/subtype&gt;&lt;uuid&gt;8AA6A00A-CE07-44F2-813A-4FD9FCE7A180&lt;/uuid&gt;&lt;/publication&gt;&lt;/bundle&gt;&lt;authors&gt;&lt;author&gt;&lt;firstName&gt;Paul&lt;/firstName&gt;&lt;lastName&gt;Tanger&lt;/lastName&gt;&lt;/author&gt;&lt;author&gt;&lt;firstName&gt;John&lt;/firstName&gt;&lt;middleNames&gt;L&lt;/middleNames&gt;&lt;lastName&gt;Field&lt;/lastName&gt;&lt;/author&gt;&lt;author&gt;&lt;firstName&gt;Courtney&lt;/firstName&gt;&lt;middleNames&gt;E&lt;/middleNames&gt;&lt;lastName&gt;Jahn&lt;/lastName&gt;&lt;/author&gt;&lt;author&gt;&lt;firstName&gt;Morgan&lt;/firstName&gt;&lt;middleNames&gt;W&lt;/middleNames&gt;&lt;lastName&gt;DeFoort&lt;/lastName&gt;&lt;/author&gt;&lt;author&gt;&lt;firstName&gt;Jan&lt;/firstName&gt;&lt;middleNames&gt;E&lt;/middleNames&gt;&lt;lastName&gt;Leach&lt;/lastName&gt;&lt;/author&gt;&lt;/authors&gt;&lt;/publication&gt;&lt;/publications&gt;&lt;cites&gt;&lt;/cites&gt;&lt;/citation&gt;</w:instrText>
      </w:r>
      <w:r w:rsidR="0057053C">
        <w:fldChar w:fldCharType="separate"/>
      </w:r>
      <w:r w:rsidR="001C1AAC">
        <w:t>(</w:t>
      </w:r>
      <w:r w:rsidR="001C1AAC">
        <w:rPr>
          <w:i/>
          <w:iCs/>
        </w:rPr>
        <w:t>33</w:t>
      </w:r>
      <w:r w:rsidR="001C1AAC">
        <w:t>-</w:t>
      </w:r>
      <w:r w:rsidR="001C1AAC">
        <w:rPr>
          <w:i/>
          <w:iCs/>
        </w:rPr>
        <w:t>35</w:t>
      </w:r>
      <w:r w:rsidR="001C1AAC">
        <w:t>)</w:t>
      </w:r>
      <w:r w:rsidR="0057053C">
        <w:fldChar w:fldCharType="end"/>
      </w:r>
      <w:r w:rsidR="00C85EA1">
        <w:t>. For example, in switchgrass, an important potential bioenergy crop, dry biomass consists of ~70% cell walls, 9% intrinsic water, 8% minerals, 6% protein</w:t>
      </w:r>
      <w:r w:rsidR="0057053C">
        <w:t xml:space="preserve">s, and 5% nonstructural sugars </w:t>
      </w:r>
      <w:r w:rsidR="0057053C">
        <w:fldChar w:fldCharType="begin"/>
      </w:r>
      <w:r>
        <w:instrText xml:space="preserve"> ADDIN PAPERS2_CITATIONS &lt;citation&gt;&lt;uuid&gt;140B573B-ADDC-4D1A-8FD5-81EB995B3E15&lt;/uuid&gt;&lt;priority&gt;0&lt;/priority&gt;&lt;publications&gt;&lt;publication&gt;&lt;uuid&gt;C9E3D121-0421-4692-8A6E-43BCA947E167&lt;/uuid&gt;&lt;volume&gt;4&lt;/volume&gt;&lt;doi&gt;10.1007/s12155-010-9104-4&lt;/doi&gt;&lt;startpage&gt;96&lt;/startpage&gt;&lt;publication_date&gt;99201106001200000000220000&lt;/publication_date&gt;&lt;url&gt;http://link.springer.com/article/10.1007%2Fs12155-010-9104-4&lt;/url&gt;&lt;type&gt;400&lt;/type&gt;&lt;title&gt;Quantifying Actual and Theoretical Ethanol Yields for Switchgrass Strains Using NIRS Analyses&lt;/title&gt;&lt;institution&gt;Vogel, KP</w:instrText>
      </w:r>
    </w:p>
    <w:p w14:paraId="65BACF00" w14:textId="77777777" w:rsidR="00807999" w:rsidRDefault="00807999" w:rsidP="0057053C">
      <w:r>
        <w:instrText>Univ Nebraska, Grain Forage &amp;amp; Bioenergy Res Unit, USDA ARS, 137 Keim Hall,POB 830937, Lincoln, NE 68583 USA</w:instrText>
      </w:r>
    </w:p>
    <w:p w14:paraId="76963068" w14:textId="77777777" w:rsidR="00807999" w:rsidRDefault="00807999" w:rsidP="0057053C">
      <w:r>
        <w:instrText>Univ Nebraska, Grain Forage &amp;amp; Bioenergy Res Unit, USDA ARS, 137 Keim Hall,POB 830937, Lincoln, NE 68583 USA</w:instrText>
      </w:r>
    </w:p>
    <w:p w14:paraId="7F480F4A" w14:textId="77777777" w:rsidR="00807999" w:rsidRDefault="00807999" w:rsidP="0057053C">
      <w:r>
        <w:instrText>Univ Nebraska, Grain Forage &amp;amp; Bioenergy Res Unit, USDA ARS, Lincoln, NE 68583 USA</w:instrText>
      </w:r>
    </w:p>
    <w:p w14:paraId="58884F42" w14:textId="77777777" w:rsidR="00807999" w:rsidRDefault="00807999" w:rsidP="0057053C">
      <w:r>
        <w:instrText>USDA ARS, Fermentat Biotechnol Res Unit, Natl Ctr Agr Utilizat Res, Peoria, IL 61604 USA</w:instrText>
      </w:r>
    </w:p>
    <w:p w14:paraId="692EEF96" w14:textId="77777777" w:rsidR="00807999" w:rsidRDefault="00807999" w:rsidP="0057053C">
      <w:r>
        <w:instrText>USDA ARS, Plant Sci Res Unit, St Paul, MN 55108 USA</w:instrText>
      </w:r>
    </w:p>
    <w:p w14:paraId="38BB631F" w14:textId="77777777" w:rsidR="00807999" w:rsidRDefault="00807999" w:rsidP="0057053C">
      <w:r>
        <w:instrText>US Dairy Forage Res Ctr, Madison, WI 53706 USA&lt;/institution&gt;&lt;number&gt;2&lt;/number&gt;&lt;subtype&gt;400&lt;/subtype&gt;&lt;endpage&gt;110&lt;/endpage&gt;&lt;bundle&gt;&lt;publication&gt;&lt;publisher&gt;Springer US&lt;/publisher&gt;&lt;title&gt;BioEnergy Research&lt;/title&gt;&lt;type&gt;-100&lt;/type&gt;&lt;subtype&gt;-100&lt;/subtype&gt;&lt;uuid&gt;10F75356-9E4C-4774-98A2-0C658827ED32&lt;/uuid&gt;&lt;/publication&gt;&lt;/bundle&gt;&lt;authors&gt;&lt;author&gt;&lt;firstName&gt;K&lt;/firstName&gt;&lt;middleNames&gt;P&lt;/middleNames&gt;&lt;lastName&gt;Vogel&lt;/lastName&gt;&lt;/author&gt;&lt;author&gt;&lt;firstName&gt;B&lt;/firstName&gt;&lt;middleNames&gt;S&lt;/middleNames&gt;&lt;lastName&gt;Dien&lt;/lastName&gt;&lt;/author&gt;&lt;author&gt;&lt;firstName&gt;Hans-Joachim&lt;/firstName&gt;&lt;middleNames&gt;G&lt;/middleNames&gt;&lt;lastName&gt;Jung&lt;/lastName&gt;&lt;/author&gt;&lt;author&gt;&lt;firstName&gt;Michael&lt;/firstName&gt;&lt;middleNames&gt;D&lt;/middleNames&gt;&lt;lastName&gt;Casler&lt;/lastName&gt;&lt;/author&gt;&lt;author&gt;&lt;firstName&gt;S&lt;/firstName&gt;&lt;middleNames&gt;D&lt;/middleNames&gt;&lt;lastName&gt;Masterson&lt;/lastName&gt;&lt;/author&gt;&lt;author&gt;&lt;firstName&gt;R&lt;/firstName&gt;&lt;middleNames&gt;B&lt;/middleNames&gt;&lt;lastName&gt;Mitchell&lt;/lastName&gt;&lt;/author&gt;&lt;/authors&gt;&lt;/publication&gt;&lt;/publications&gt;&lt;cites&gt;&lt;/cites&gt;&lt;/citation&gt;</w:instrText>
      </w:r>
      <w:r w:rsidR="0057053C">
        <w:fldChar w:fldCharType="separate"/>
      </w:r>
      <w:r w:rsidR="001C1AAC">
        <w:t>(</w:t>
      </w:r>
      <w:r w:rsidR="001C1AAC">
        <w:rPr>
          <w:i/>
          <w:iCs/>
        </w:rPr>
        <w:t>35</w:t>
      </w:r>
      <w:r w:rsidR="001C1AAC">
        <w:t>)</w:t>
      </w:r>
      <w:r w:rsidR="0057053C">
        <w:fldChar w:fldCharType="end"/>
      </w:r>
      <w:r w:rsidR="00C85EA1">
        <w:t xml:space="preserve">. The relative fractions of different components, chemical linkages within and between polymers, and cellular patterning varies among plant species, organs, developmental stages, and growth conditions </w:t>
      </w:r>
      <w:r w:rsidR="0057053C">
        <w:fldChar w:fldCharType="begin"/>
      </w:r>
      <w:r>
        <w:instrText xml:space="preserve"> ADDIN PAPERS2_CITATIONS &lt;citation&gt;&lt;uuid&gt;D91F798A-3394-4039-B461-5FE4E5F5246A&lt;/uuid&gt;&lt;priority&gt;0&lt;/priority&gt;&lt;publications&gt;&lt;publication&gt;&lt;volume&gt;98&lt;/volume&gt;&lt;number&gt;6&lt;/number&gt;&lt;doi&gt;10.2134/agronj2005.0351&lt;/doi&gt;&lt;institution&gt;Adler, PR</w:instrText>
      </w:r>
    </w:p>
    <w:p w14:paraId="4E1F1A58" w14:textId="77777777" w:rsidR="00807999" w:rsidRDefault="00807999" w:rsidP="0057053C">
      <w:r>
        <w:instrText>USDA ARS, Pasture Syst &amp;amp; Watershed Management Res Unit, Bldg 3702,Curtin Rd, University Pk, PA 16802 USA</w:instrText>
      </w:r>
    </w:p>
    <w:p w14:paraId="05E1CB5D" w14:textId="77777777" w:rsidR="00807999" w:rsidRDefault="00807999" w:rsidP="0057053C">
      <w:r>
        <w:instrText>USDA ARS, Pasture Syst &amp;amp; Watershed Management Res Unit, Bldg 3702,Curtin Rd, University Pk, PA 16802 USA</w:instrText>
      </w:r>
    </w:p>
    <w:p w14:paraId="68982256" w14:textId="77777777" w:rsidR="00807999" w:rsidRDefault="00807999" w:rsidP="0057053C">
      <w:r>
        <w:instrText>USDA ARS, Pasture Syst &amp;amp; Watershed Management Res Unit, University Pk, PA 16802 USA</w:instrText>
      </w:r>
    </w:p>
    <w:p w14:paraId="17122F20" w14:textId="77777777" w:rsidR="00807999" w:rsidRDefault="00807999" w:rsidP="0057053C">
      <w:r>
        <w:instrText>USDA ARS, Eastern Reg Res Ctr, Wyndmoor, PA 19038 USA</w:instrText>
      </w:r>
    </w:p>
    <w:p w14:paraId="28AC4E2A" w14:textId="77777777" w:rsidR="00807999" w:rsidRDefault="00807999" w:rsidP="0057053C">
      <w:r>
        <w:instrText>USDA ARS, US Dairy Forage Res Ctr, Madison, WI 53706 USA</w:instrText>
      </w:r>
    </w:p>
    <w:p w14:paraId="457EF4FA" w14:textId="77777777" w:rsidR="00807999" w:rsidRDefault="00807999" w:rsidP="0057053C">
      <w:r>
        <w:instrText>USDA ARS, Plant Sci Res Unit, St Paul, MN 55108 USA&lt;/institution&gt;&lt;startpage&gt;1518&lt;/startpage&gt;&lt;title&gt;Biomass yield and biofuel quality of switchgrass harvested in fall or spring&lt;/title&gt;&lt;uuid&gt;0A1EC85A-00A9-4628-9605-72CDE7C64187&lt;/uuid&gt;&lt;subtype&gt;400&lt;/subtype&gt;&lt;endpage&gt;1525&lt;/endpage&gt;&lt;type&gt;400&lt;/type&gt;&lt;publication_date&gt;99200600001200000000210000Nov-Dec&lt;/publication_date&gt;&lt;bundle&gt;&lt;publication&gt;&lt;title&gt;Agronomy Journal&lt;/title&gt;&lt;type&gt;-100&lt;/type&gt;&lt;subtype&gt;-100&lt;/subtype&gt;&lt;uuid&gt;2358CEDB-7196-4C5C-91A7-E8984F656BA8&lt;/uuid&gt;&lt;/publication&gt;&lt;/bundle&gt;&lt;authors&gt;&lt;author&gt;&lt;firstName&gt;P&lt;/firstName&gt;&lt;middleNames&gt;R&lt;/middleNames&gt;&lt;lastName&gt;Adler&lt;/lastName&gt;&lt;/author&gt;&lt;author&gt;&lt;firstName&gt;M&lt;/firstName&gt;&lt;middleNames&gt;A&lt;/middleNames&gt;&lt;lastName&gt;Sanderson&lt;/lastName&gt;&lt;/author&gt;&lt;author&gt;&lt;firstName&gt;A&lt;/firstName&gt;&lt;middleNames&gt;A&lt;/middleNames&gt;&lt;lastName&gt;Boateng&lt;/lastName&gt;&lt;/author&gt;&lt;author&gt;&lt;firstName&gt;P&lt;/firstName&gt;&lt;middleNames&gt;I&lt;/middleNames&gt;&lt;lastName&gt;Weimer&lt;/lastName&gt;&lt;/author&gt;&lt;author&gt;&lt;firstName&gt;H&lt;/firstName&gt;&lt;middleNames&gt;J G&lt;/middleNames&gt;&lt;lastName&gt;Jung&lt;/lastName&gt;&lt;/author&gt;&lt;/authors&gt;&lt;/publication&gt;&lt;publication&gt;&lt;uuid&gt;E80CC0F0-F40F-498C-9284-C68D6906A8B6&lt;/uuid&gt;&lt;volume&gt;100&lt;/volume&gt;&lt;doi&gt;10.1016/j.biortech.2008.09.058&lt;/doi&gt;&lt;startpage&gt;1809&lt;/startpage&gt;&lt;publication_date&gt;99200903001200000000220000&lt;/publication_date&gt;&lt;url&gt;http://www.sciencedirect.com/science/article/pii/S0960852408008560&lt;/url&gt;&lt;type&gt;400&lt;/type&gt;&lt;title&gt;Genotypic variability in mineral composition of switchgrass&lt;/title&gt;&lt;institution&gt;Banowetz, GM</w:instrText>
      </w:r>
    </w:p>
    <w:p w14:paraId="4A8C2FA9" w14:textId="77777777" w:rsidR="00807999" w:rsidRDefault="00807999" w:rsidP="0057053C">
      <w:r>
        <w:instrText>USDA ARS, 3450 SW Campus Way, Corvallis, OR 97331 USA</w:instrText>
      </w:r>
    </w:p>
    <w:p w14:paraId="3D15108F" w14:textId="77777777" w:rsidR="00807999" w:rsidRDefault="00807999" w:rsidP="0057053C">
      <w:r>
        <w:instrText>USDA ARS, 3450 SW Campus Way, Corvallis, OR 97331 USA</w:instrText>
      </w:r>
    </w:p>
    <w:p w14:paraId="01541D1C" w14:textId="77777777" w:rsidR="00807999" w:rsidRDefault="00807999" w:rsidP="0057053C">
      <w:r>
        <w:instrText>USDA ARS, Corvallis, OR 97331 USA</w:instrText>
      </w:r>
    </w:p>
    <w:p w14:paraId="37594365" w14:textId="77777777" w:rsidR="00807999" w:rsidRDefault="00807999" w:rsidP="0057053C">
      <w:r>
        <w:instrText>USDA ARS, Madison, WI 53706 USA</w:instrText>
      </w:r>
    </w:p>
    <w:p w14:paraId="477F1AE9" w14:textId="77777777" w:rsidR="00807999" w:rsidRDefault="00807999" w:rsidP="0057053C">
      <w:r>
        <w:instrText>Univ Nebraska, USDA ARS, Lincoln, NE 68583 USA&lt;/institution&gt;&lt;number&gt;5&lt;/number&gt;&lt;subtype&gt;400&lt;/subtype&gt;&lt;endpage&gt;1814&lt;/endpage&gt;&lt;bundle&gt;&lt;publication&gt;&lt;publisher&gt;Elsevier Ltd&lt;/publisher&gt;&lt;title&gt;Bioresource technology&lt;/title&gt;&lt;type&gt;-100&lt;/type&gt;&lt;subtype&gt;-100&lt;/subtype&gt;&lt;uuid&gt;20FABC45-BAD7-4D11-A180-BCA66580D347&lt;/uuid&gt;&lt;/publication&gt;&lt;/bundle&gt;&lt;authors&gt;&lt;author&gt;&lt;firstName&gt;H&lt;/firstName&gt;&lt;middleNames&gt;M&lt;/middleNames&gt;&lt;lastName&gt;El-Nashaar&lt;/lastName&gt;&lt;/author&gt;&lt;author&gt;&lt;firstName&gt;G&lt;/firstName&gt;&lt;middleNames&gt;M&lt;/middleNames&gt;&lt;lastName&gt;Banowetz&lt;/lastName&gt;&lt;/author&gt;&lt;author&gt;&lt;firstName&gt;S&lt;/firstName&gt;&lt;middleNames&gt;M&lt;/middleNames&gt;&lt;lastName&gt;Griffith&lt;/lastName&gt;&lt;/author&gt;&lt;author&gt;&lt;firstName&gt;Michael&lt;/firstName&gt;&lt;middleNames&gt;D&lt;/middleNames&gt;&lt;lastName&gt;Casler&lt;/lastName&gt;&lt;/author&gt;&lt;author&gt;&lt;firstName&gt;K&lt;/firstName&gt;&lt;middleNames&gt;P&lt;/middleNames&gt;&lt;lastName&gt;Vogel&lt;/lastName&gt;&lt;/author&gt;&lt;/authors&gt;&lt;/publication&gt;&lt;publication&gt;&lt;volume&gt;47&lt;/volume&gt;&lt;startpage&gt;1&lt;/startpage&gt;&lt;doi&gt;10.1016/j.biombioe.2012.10.022&lt;/doi&gt;&lt;institution&gt;Erickson, JE</w:instrText>
      </w:r>
    </w:p>
    <w:p w14:paraId="70BA59C0" w14:textId="77777777" w:rsidR="00807999" w:rsidRDefault="00807999" w:rsidP="0057053C">
      <w:r>
        <w:instrText>Univ Florida, Dept Agron, POB 110965, Gainesville, FL 32611 USA</w:instrText>
      </w:r>
    </w:p>
    <w:p w14:paraId="280BA56A" w14:textId="77777777" w:rsidR="00807999" w:rsidRDefault="00807999" w:rsidP="0057053C">
      <w:r>
        <w:instrText>Univ Florida, Dept Agron, POB 110965, Gainesville, FL 32611 USA</w:instrText>
      </w:r>
    </w:p>
    <w:p w14:paraId="590CB32E" w14:textId="77777777" w:rsidR="00807999" w:rsidRDefault="00807999" w:rsidP="0057053C">
      <w:r>
        <w:instrText>Univ Florida, Dept Agron, Gainesville, FL 32611 USA</w:instrText>
      </w:r>
    </w:p>
    <w:p w14:paraId="5DD497D7" w14:textId="77777777" w:rsidR="00807999" w:rsidRDefault="00807999" w:rsidP="0057053C">
      <w:r>
        <w:instrText>Univ Florida, Range Cattle Res &amp;amp; Educ Ctr, Gainesville, FL USA&lt;/institution&gt;&lt;title&gt;Mineral composition and biomass partitioning of sweet sorghum grown for bioenergy in the southeastern USA&lt;/title&gt;&lt;uuid&gt;9BCA98DA-D475-41C0-AFBB-B94139E356C2&lt;/uuid&gt;&lt;subtype&gt;400&lt;/subtype&gt;&lt;endpage&gt;8&lt;/endpage&gt;&lt;type&gt;400&lt;/type&gt;&lt;publication_date&gt;99201212001200000000220000&lt;/publication_date&gt;&lt;bundle&gt;&lt;publication&gt;&lt;publisher&gt;Elsevier Ltd&lt;/publisher&gt;&lt;title&gt;Biomass and bioenergy&lt;/title&gt;&lt;type&gt;-100&lt;/type&gt;&lt;subtype&gt;-100&lt;/subtype&gt;&lt;uuid&gt;061A0FBA-C147-4B37-8BD5-0E9D81EA124C&lt;/uuid&gt;&lt;/publication&gt;&lt;/bundle&gt;&lt;authors&gt;&lt;author&gt;&lt;firstName&gt;M&lt;/firstName&gt;&lt;middleNames&gt;P&lt;/middleNames&gt;&lt;lastName&gt;Singh&lt;/lastName&gt;&lt;/author&gt;&lt;author&gt;&lt;firstName&gt;J&lt;/firstName&gt;&lt;middleNames&gt;E&lt;/middleNames&gt;&lt;lastName&gt;Erickson&lt;/lastName&gt;&lt;/author&gt;&lt;author&gt;&lt;firstName&gt;L&lt;/firstName&gt;&lt;middleNames&gt;E&lt;/middleNames&gt;&lt;lastName&gt;Sollenberger&lt;/lastName&gt;&lt;/author&gt;&lt;author&gt;&lt;firstName&gt;K&lt;/firstName&gt;&lt;middleNames&gt;R&lt;/middleNames&gt;&lt;lastName&gt;Woodard&lt;/lastName&gt;&lt;/author&gt;&lt;author&gt;&lt;firstName&gt;J&lt;/firstName&gt;&lt;middleNames&gt;M B&lt;/middleNames&gt;&lt;lastName&gt;Vendramini&lt;/lastName&gt;&lt;/author&gt;&lt;author&gt;&lt;firstName&gt;J&lt;/firstName&gt;&lt;middleNames&gt;R&lt;/middleNames&gt;&lt;lastName&gt;Fedenko&lt;/lastName&gt;&lt;/author&gt;&lt;/authors&gt;&lt;/publication&gt;&lt;publication&gt;&lt;volume&gt;39&lt;/volume&gt;&lt;startpage&gt;261&lt;/startpage&gt;&lt;doi&gt;10.1016/j.biombioe.2012.01.020&lt;/doi&gt;&lt;institution&gt;Xie, GH</w:instrText>
      </w:r>
    </w:p>
    <w:p w14:paraId="72DAD8D3" w14:textId="77777777" w:rsidR="00807999" w:rsidRDefault="00807999" w:rsidP="0057053C">
      <w:r>
        <w:instrText>China Agr Univ, Coll Agron &amp;amp; Biotechnol, Beijing 100193, Peoples R China</w:instrText>
      </w:r>
    </w:p>
    <w:p w14:paraId="051FE17B" w14:textId="77777777" w:rsidR="00807999" w:rsidRDefault="00807999" w:rsidP="0057053C">
      <w:r>
        <w:instrText>China Agr Univ, Coll Agron &amp;amp; Biotechnol, Beijing 100193, Peoples R China</w:instrText>
      </w:r>
    </w:p>
    <w:p w14:paraId="00541EEF" w14:textId="77777777" w:rsidR="00807999" w:rsidRDefault="00807999" w:rsidP="0057053C">
      <w:r>
        <w:instrText>China Agr Univ, Coll Agron &amp;amp; Biotechnol, Beijing 100193, Peoples R China</w:instrText>
      </w:r>
    </w:p>
    <w:p w14:paraId="6B868478" w14:textId="77777777" w:rsidR="00807999" w:rsidRDefault="00807999" w:rsidP="0057053C">
      <w:r>
        <w:instrText>Henan Agr Univ, Agron Coll, Zhengzhou 450002, Peoples R China</w:instrText>
      </w:r>
    </w:p>
    <w:p w14:paraId="23FACBFF" w14:textId="77777777" w:rsidR="00807999" w:rsidRDefault="00807999" w:rsidP="0057053C">
      <w:r>
        <w:instrText>China Agr Univ, Natl Energy R&amp;amp;D Ctr Biomass, Beijing 100193, Peoples R China</w:instrText>
      </w:r>
    </w:p>
    <w:p w14:paraId="1465511A" w14:textId="77777777" w:rsidR="00807999" w:rsidRDefault="00807999" w:rsidP="0057053C">
      <w:r>
        <w:instrText>Bar Ilan Univ, Mina &amp;amp; Everard Goodman Fac Life Sci, IL-52900 Ramat Gan, Israel&lt;/institution&gt;&lt;title&gt;Changes in stem composition and harvested produce of sweet sorghum during the period from maturity to a sequence of delayed harvest dates&lt;/title&gt;&lt;uuid&gt;BF8534F8-1AFB-47DC-950E-A394AD27AE57&lt;/uuid&gt;&lt;subtype&gt;400&lt;/subtype&gt;&lt;endpage&gt;273&lt;/endpage&gt;&lt;type&gt;400&lt;/type&gt;&lt;publication_date&gt;99201204001200000000220000&lt;/publication_date&gt;&lt;bundle&gt;&lt;publication&gt;&lt;publisher&gt;Elsevier Ltd&lt;/publisher&gt;&lt;title&gt;Biomass and bioenergy&lt;/title&gt;&lt;type&gt;-100&lt;/type&gt;&lt;subtype&gt;-100&lt;/subtype&gt;&lt;uuid&gt;061A0FBA-C147-4B37-8BD5-0E9D81EA124C&lt;/uuid&gt;&lt;/publication&gt;&lt;/bundle&gt;&lt;authors&gt;&lt;author&gt;&lt;firstName&gt;Y&lt;/firstName&gt;&lt;middleNames&gt;L&lt;/middleNames&gt;&lt;lastName&gt;Zhao&lt;/lastName&gt;&lt;/author&gt;&lt;author&gt;&lt;firstName&gt;Y&lt;/firstName&gt;&lt;lastName&gt;Steinberger&lt;/lastName&gt;&lt;/author&gt;&lt;author&gt;&lt;firstName&gt;M&lt;/firstName&gt;&lt;lastName&gt;Shi&lt;/lastName&gt;&lt;/author&gt;&lt;author&gt;&lt;lastName&gt;Han, L. P.&lt;/lastName&gt;&lt;/author&gt;&lt;author&gt;&lt;firstName&gt;G&lt;/firstName&gt;&lt;middleNames&gt;H&lt;/middleNames&gt;&lt;lastName&gt;Xie&lt;/lastName&gt;&lt;/author&gt;&lt;/authors&gt;&lt;/publication&gt;&lt;/publications&gt;&lt;cites&gt;&lt;/cites&gt;&lt;/citation&gt;</w:instrText>
      </w:r>
      <w:r w:rsidR="0057053C">
        <w:fldChar w:fldCharType="separate"/>
      </w:r>
      <w:r w:rsidR="001C1AAC">
        <w:t>(</w:t>
      </w:r>
      <w:r w:rsidR="001C1AAC">
        <w:rPr>
          <w:i/>
          <w:iCs/>
        </w:rPr>
        <w:t>36</w:t>
      </w:r>
      <w:r w:rsidR="001C1AAC">
        <w:t>-</w:t>
      </w:r>
      <w:r w:rsidR="001C1AAC">
        <w:rPr>
          <w:i/>
          <w:iCs/>
        </w:rPr>
        <w:t>39</w:t>
      </w:r>
      <w:r w:rsidR="001C1AAC">
        <w:t>)</w:t>
      </w:r>
      <w:r w:rsidR="0057053C">
        <w:fldChar w:fldCharType="end"/>
      </w:r>
      <w:r w:rsidR="0057053C">
        <w:t xml:space="preserve">. </w:t>
      </w:r>
      <w:r w:rsidR="00C85EA1">
        <w:t xml:space="preserve">Here, we review the components of secondary cell walls, which are formed as plant growth ceases, as they constitute the majority of plant biomass </w:t>
      </w:r>
      <w:r w:rsidR="0057053C">
        <w:fldChar w:fldCharType="begin"/>
      </w:r>
      <w:r>
        <w:instrText xml:space="preserve"> ADDIN PAPERS2_CITATIONS &lt;citation&gt;&lt;uuid&gt;BA9E5360-8D88-4996-8C5B-FED0C0409FA3&lt;/uuid&gt;&lt;priority&gt;0&lt;/priority&gt;&lt;publications&gt;&lt;publication&gt;&lt;volume&gt;54&lt;/volume&gt;&lt;number&gt;4&lt;/number&gt;&lt;doi&gt;10.1111/j.1365-313X.2008.03463.x&lt;/doi&gt;&lt;institution&gt;Pauly, M</w:instrText>
      </w:r>
    </w:p>
    <w:p w14:paraId="1F7D5203" w14:textId="77777777" w:rsidR="00807999" w:rsidRDefault="00807999" w:rsidP="0057053C">
      <w:r>
        <w:instrText>Michigan State Univ, Dept Energy, Plant Res Lab, E Lansing, MI 48824 USA</w:instrText>
      </w:r>
    </w:p>
    <w:p w14:paraId="523FDC88" w14:textId="77777777" w:rsidR="00807999" w:rsidRDefault="00807999" w:rsidP="0057053C">
      <w:r>
        <w:instrText>Michigan State Univ, Dept Energy, Plant Res Lab, E Lansing, MI 48824 USA</w:instrText>
      </w:r>
    </w:p>
    <w:p w14:paraId="45B64850" w14:textId="77777777" w:rsidR="00807999" w:rsidRDefault="00807999" w:rsidP="0057053C">
      <w:r>
        <w:instrText>Michigan State Univ, Dept Energy, Plant Res Lab, E Lansing, MI 48824 USA</w:instrText>
      </w:r>
    </w:p>
    <w:p w14:paraId="19D1DE43" w14:textId="571A3388" w:rsidR="00D43053" w:rsidRDefault="00807999" w:rsidP="0057053C">
      <w:r>
        <w:instrText>Michigan State Univ, Dept Biochem &amp;amp; Mol Biol, E Lansing, MI 48824 USA&lt;/institution&gt;&lt;startpage&gt;559&lt;/startpage&gt;&lt;title&gt;Cell-wall carbohydrates and their modification as a resource for biofuels&lt;/title&gt;&lt;uuid&gt;09CB0D5A-6DCE-490A-8FB6-94E67C914D6F&lt;/uuid&gt;&lt;subtype&gt;400&lt;/subtype&gt;&lt;endpage&gt;568&lt;/endpage&gt;&lt;type&gt;400&lt;/type&gt;&lt;publication_date&gt;99200805001200000000220000&lt;/publication_date&gt;&lt;bundle&gt;&lt;publication&gt;&lt;title&gt;Plant Journal&lt;/title&gt;&lt;type&gt;-100&lt;/type&gt;&lt;subtype&gt;-100&lt;/subtype&gt;&lt;uuid&gt;2F3A7548-422B-440E-B60D-942724219C51&lt;/uuid&gt;&lt;/publication&gt;&lt;/bundle&gt;&lt;authors&gt;&lt;author&gt;&lt;firstName&gt;M&lt;/firstName&gt;&lt;lastName&gt;Pauly&lt;/lastName&gt;&lt;/author&gt;&lt;author&gt;&lt;firstName&gt;K&lt;/firstName&gt;&lt;lastName&gt;Keegstra&lt;/lastName&gt;&lt;/author&gt;&lt;/authors&gt;&lt;/publication&gt;&lt;/publications&gt;&lt;cites&gt;&lt;/cites&gt;&lt;/citation&gt;</w:instrText>
      </w:r>
      <w:r w:rsidR="0057053C">
        <w:fldChar w:fldCharType="separate"/>
      </w:r>
      <w:r w:rsidR="001C1AAC">
        <w:t>(</w:t>
      </w:r>
      <w:r w:rsidR="001C1AAC">
        <w:rPr>
          <w:i/>
          <w:iCs/>
        </w:rPr>
        <w:t>40</w:t>
      </w:r>
      <w:r w:rsidR="001C1AAC">
        <w:t>)</w:t>
      </w:r>
      <w:r w:rsidR="0057053C">
        <w:fldChar w:fldCharType="end"/>
      </w:r>
      <w:r w:rsidR="0057053C">
        <w:t>,</w:t>
      </w:r>
      <w:r w:rsidR="00C85EA1">
        <w:t xml:space="preserve"> and then discuss evidence for interactions among components. </w:t>
      </w:r>
      <w:r w:rsidR="00C85EA1" w:rsidRPr="00D43053">
        <w:t xml:space="preserve">Table </w:t>
      </w:r>
      <w:r w:rsidR="00D43053">
        <w:t>2</w:t>
      </w:r>
      <w:r w:rsidR="00D635B3" w:rsidRPr="00D43053">
        <w:t>.</w:t>
      </w:r>
      <w:r w:rsidR="00D43053">
        <w:t>1</w:t>
      </w:r>
      <w:r w:rsidR="00C85EA1">
        <w:t xml:space="preserve"> lists the different major and minor </w:t>
      </w:r>
      <w:r w:rsidR="00C85EA1">
        <w:lastRenderedPageBreak/>
        <w:t xml:space="preserve">components of biomass and the broad ranges of their representation within biomass for biofuel conversion. </w:t>
      </w:r>
      <w:r w:rsidR="00C85EA1" w:rsidRPr="00D43053">
        <w:t xml:space="preserve">Figure </w:t>
      </w:r>
      <w:r w:rsidR="00F21DC3" w:rsidRPr="00D43053">
        <w:t>2</w:t>
      </w:r>
      <w:r w:rsidR="0090515B" w:rsidRPr="00D43053">
        <w:t>.</w:t>
      </w:r>
      <w:r w:rsidR="00D43053" w:rsidRPr="00D43053">
        <w:t xml:space="preserve">1 </w:t>
      </w:r>
      <w:r w:rsidR="00C85EA1">
        <w:t>shows the chemical structures and atom numbering of the most abunda</w:t>
      </w:r>
      <w:r w:rsidR="00B146E0">
        <w:t>nt cell wall monomeric species.</w:t>
      </w:r>
    </w:p>
    <w:tbl>
      <w:tblPr>
        <w:tblW w:w="8496" w:type="dxa"/>
        <w:tblLayout w:type="fixed"/>
        <w:tblLook w:val="04A0" w:firstRow="1" w:lastRow="0" w:firstColumn="1" w:lastColumn="0" w:noHBand="0" w:noVBand="1"/>
      </w:tblPr>
      <w:tblGrid>
        <w:gridCol w:w="273"/>
        <w:gridCol w:w="4055"/>
        <w:gridCol w:w="4168"/>
      </w:tblGrid>
      <w:tr w:rsidR="00D43053" w:rsidRPr="000B45E4" w14:paraId="41AA31E5" w14:textId="77777777" w:rsidTr="00927C4D">
        <w:trPr>
          <w:trHeight w:val="20"/>
        </w:trPr>
        <w:tc>
          <w:tcPr>
            <w:tcW w:w="4216" w:type="dxa"/>
            <w:gridSpan w:val="2"/>
            <w:tcBorders>
              <w:bottom w:val="single" w:sz="4" w:space="0" w:color="auto"/>
            </w:tcBorders>
            <w:shd w:val="clear" w:color="auto" w:fill="auto"/>
            <w:noWrap/>
            <w:hideMark/>
          </w:tcPr>
          <w:p w14:paraId="23488157" w14:textId="77777777" w:rsidR="00D43053" w:rsidRPr="001B6938" w:rsidRDefault="00D43053" w:rsidP="00927C4D">
            <w:pPr>
              <w:pStyle w:val="Tables"/>
              <w:rPr>
                <w:b/>
              </w:rPr>
            </w:pPr>
            <w:r w:rsidRPr="001B6938">
              <w:rPr>
                <w:b/>
              </w:rPr>
              <w:t>Biomass Component</w:t>
            </w:r>
          </w:p>
        </w:tc>
        <w:tc>
          <w:tcPr>
            <w:tcW w:w="4061" w:type="dxa"/>
            <w:tcBorders>
              <w:bottom w:val="single" w:sz="4" w:space="0" w:color="auto"/>
            </w:tcBorders>
            <w:shd w:val="clear" w:color="auto" w:fill="auto"/>
            <w:noWrap/>
            <w:hideMark/>
          </w:tcPr>
          <w:p w14:paraId="2F96A7A5" w14:textId="77777777" w:rsidR="00D43053" w:rsidRPr="001B6938" w:rsidRDefault="00D43053" w:rsidP="00927C4D">
            <w:pPr>
              <w:pStyle w:val="Tables"/>
              <w:rPr>
                <w:b/>
              </w:rPr>
            </w:pPr>
            <w:r w:rsidRPr="001B6938">
              <w:rPr>
                <w:b/>
                <w:bCs/>
              </w:rPr>
              <w:t>Dry Wt (%)</w:t>
            </w:r>
            <w:r w:rsidRPr="001B6938">
              <w:rPr>
                <w:b/>
                <w:vertAlign w:val="superscript"/>
              </w:rPr>
              <w:t>a</w:t>
            </w:r>
          </w:p>
        </w:tc>
      </w:tr>
      <w:tr w:rsidR="00D43053" w:rsidRPr="000B45E4" w14:paraId="071ED2A2" w14:textId="77777777" w:rsidTr="00927C4D">
        <w:trPr>
          <w:trHeight w:val="20"/>
        </w:trPr>
        <w:tc>
          <w:tcPr>
            <w:tcW w:w="4216" w:type="dxa"/>
            <w:gridSpan w:val="2"/>
            <w:tcBorders>
              <w:top w:val="single" w:sz="4" w:space="0" w:color="auto"/>
            </w:tcBorders>
            <w:shd w:val="clear" w:color="auto" w:fill="auto"/>
            <w:noWrap/>
            <w:hideMark/>
          </w:tcPr>
          <w:p w14:paraId="3948E693" w14:textId="77777777" w:rsidR="00D43053" w:rsidRPr="000B45E4" w:rsidRDefault="00D43053" w:rsidP="00927C4D">
            <w:pPr>
              <w:pStyle w:val="Tables"/>
            </w:pPr>
            <w:r w:rsidRPr="000B45E4">
              <w:t>Cellulose</w:t>
            </w:r>
          </w:p>
        </w:tc>
        <w:tc>
          <w:tcPr>
            <w:tcW w:w="4061" w:type="dxa"/>
            <w:tcBorders>
              <w:top w:val="single" w:sz="4" w:space="0" w:color="auto"/>
            </w:tcBorders>
            <w:shd w:val="clear" w:color="auto" w:fill="auto"/>
            <w:noWrap/>
            <w:hideMark/>
          </w:tcPr>
          <w:p w14:paraId="3CC25AB6" w14:textId="77777777" w:rsidR="00D43053" w:rsidRPr="000B45E4" w:rsidRDefault="00D43053" w:rsidP="00927C4D">
            <w:pPr>
              <w:pStyle w:val="Tables"/>
            </w:pPr>
            <w:r w:rsidRPr="000B45E4">
              <w:t>15-49</w:t>
            </w:r>
            <w:r w:rsidRPr="000B45E4">
              <w:rPr>
                <w:vertAlign w:val="superscript"/>
              </w:rPr>
              <w:t xml:space="preserve"> b</w:t>
            </w:r>
          </w:p>
        </w:tc>
      </w:tr>
      <w:tr w:rsidR="00D43053" w:rsidRPr="000B45E4" w14:paraId="346C8F36" w14:textId="77777777" w:rsidTr="00927C4D">
        <w:trPr>
          <w:trHeight w:val="20"/>
        </w:trPr>
        <w:tc>
          <w:tcPr>
            <w:tcW w:w="4216" w:type="dxa"/>
            <w:gridSpan w:val="2"/>
            <w:shd w:val="clear" w:color="auto" w:fill="auto"/>
            <w:noWrap/>
            <w:hideMark/>
          </w:tcPr>
          <w:p w14:paraId="44835483" w14:textId="77777777" w:rsidR="00D43053" w:rsidRPr="000B45E4" w:rsidRDefault="00D43053" w:rsidP="00927C4D">
            <w:pPr>
              <w:pStyle w:val="Tables"/>
            </w:pPr>
            <w:r w:rsidRPr="000B45E4">
              <w:t>Hemicellulose:</w:t>
            </w:r>
          </w:p>
        </w:tc>
        <w:tc>
          <w:tcPr>
            <w:tcW w:w="4061" w:type="dxa"/>
            <w:shd w:val="clear" w:color="auto" w:fill="auto"/>
            <w:noWrap/>
            <w:hideMark/>
          </w:tcPr>
          <w:p w14:paraId="7D4E0040" w14:textId="77777777" w:rsidR="00D43053" w:rsidRPr="000B45E4" w:rsidRDefault="00D43053" w:rsidP="00927C4D">
            <w:pPr>
              <w:pStyle w:val="Tables"/>
            </w:pPr>
            <w:r w:rsidRPr="000B45E4">
              <w:t xml:space="preserve">12-50 </w:t>
            </w:r>
            <w:r w:rsidRPr="000B45E4">
              <w:rPr>
                <w:vertAlign w:val="superscript"/>
              </w:rPr>
              <w:t>b, c, d</w:t>
            </w:r>
          </w:p>
        </w:tc>
      </w:tr>
      <w:tr w:rsidR="00D43053" w:rsidRPr="000B45E4" w14:paraId="509B6603" w14:textId="77777777" w:rsidTr="00927C4D">
        <w:trPr>
          <w:trHeight w:val="20"/>
        </w:trPr>
        <w:tc>
          <w:tcPr>
            <w:tcW w:w="266" w:type="dxa"/>
            <w:shd w:val="clear" w:color="auto" w:fill="auto"/>
            <w:noWrap/>
            <w:hideMark/>
          </w:tcPr>
          <w:p w14:paraId="43BEDD1D" w14:textId="77777777" w:rsidR="00D43053" w:rsidRPr="000B45E4" w:rsidRDefault="00D43053" w:rsidP="00927C4D">
            <w:pPr>
              <w:pStyle w:val="Tables"/>
              <w:rPr>
                <w:sz w:val="20"/>
                <w:szCs w:val="20"/>
              </w:rPr>
            </w:pPr>
            <w:r w:rsidRPr="000B45E4">
              <w:rPr>
                <w:sz w:val="20"/>
                <w:szCs w:val="20"/>
              </w:rPr>
              <w:t> </w:t>
            </w:r>
          </w:p>
        </w:tc>
        <w:tc>
          <w:tcPr>
            <w:tcW w:w="3950" w:type="dxa"/>
            <w:shd w:val="clear" w:color="auto" w:fill="auto"/>
            <w:hideMark/>
          </w:tcPr>
          <w:p w14:paraId="0C357ADA" w14:textId="77777777" w:rsidR="00D43053" w:rsidRPr="000B45E4" w:rsidRDefault="00D43053" w:rsidP="00927C4D">
            <w:pPr>
              <w:pStyle w:val="Tables"/>
            </w:pPr>
            <w:r w:rsidRPr="000B45E4">
              <w:t>Xylan</w:t>
            </w:r>
          </w:p>
        </w:tc>
        <w:tc>
          <w:tcPr>
            <w:tcW w:w="4061" w:type="dxa"/>
            <w:shd w:val="clear" w:color="auto" w:fill="auto"/>
            <w:noWrap/>
            <w:hideMark/>
          </w:tcPr>
          <w:p w14:paraId="7AB6C473" w14:textId="77777777" w:rsidR="00D43053" w:rsidRPr="000B45E4" w:rsidRDefault="00D43053" w:rsidP="00927C4D">
            <w:pPr>
              <w:pStyle w:val="Tables"/>
            </w:pPr>
            <w:r w:rsidRPr="000B45E4">
              <w:t>5-50</w:t>
            </w:r>
            <w:r w:rsidRPr="000B45E4">
              <w:rPr>
                <w:vertAlign w:val="superscript"/>
              </w:rPr>
              <w:t xml:space="preserve"> c</w:t>
            </w:r>
          </w:p>
        </w:tc>
      </w:tr>
      <w:tr w:rsidR="00D43053" w:rsidRPr="000B45E4" w14:paraId="133733B0" w14:textId="77777777" w:rsidTr="00927C4D">
        <w:trPr>
          <w:trHeight w:val="20"/>
        </w:trPr>
        <w:tc>
          <w:tcPr>
            <w:tcW w:w="266" w:type="dxa"/>
            <w:shd w:val="clear" w:color="auto" w:fill="auto"/>
            <w:noWrap/>
            <w:hideMark/>
          </w:tcPr>
          <w:p w14:paraId="74A57334" w14:textId="77777777" w:rsidR="00D43053" w:rsidRPr="000B45E4" w:rsidRDefault="00D43053" w:rsidP="00927C4D">
            <w:pPr>
              <w:pStyle w:val="Tables"/>
              <w:rPr>
                <w:sz w:val="20"/>
                <w:szCs w:val="20"/>
              </w:rPr>
            </w:pPr>
            <w:r w:rsidRPr="000B45E4">
              <w:rPr>
                <w:sz w:val="20"/>
                <w:szCs w:val="20"/>
              </w:rPr>
              <w:t> </w:t>
            </w:r>
          </w:p>
        </w:tc>
        <w:tc>
          <w:tcPr>
            <w:tcW w:w="3950" w:type="dxa"/>
            <w:shd w:val="clear" w:color="auto" w:fill="auto"/>
            <w:hideMark/>
          </w:tcPr>
          <w:p w14:paraId="0A41843C" w14:textId="77777777" w:rsidR="00D43053" w:rsidRPr="000B45E4" w:rsidRDefault="00D43053" w:rsidP="00927C4D">
            <w:pPr>
              <w:pStyle w:val="Tables"/>
            </w:pPr>
            <w:r w:rsidRPr="000B45E4">
              <w:t>Mixed Linkage Glucan</w:t>
            </w:r>
          </w:p>
        </w:tc>
        <w:tc>
          <w:tcPr>
            <w:tcW w:w="4061" w:type="dxa"/>
            <w:shd w:val="clear" w:color="auto" w:fill="auto"/>
            <w:noWrap/>
            <w:hideMark/>
          </w:tcPr>
          <w:p w14:paraId="0E7AAC78" w14:textId="77777777" w:rsidR="00D43053" w:rsidRPr="000B45E4" w:rsidRDefault="00D43053" w:rsidP="00927C4D">
            <w:pPr>
              <w:pStyle w:val="Tables"/>
            </w:pPr>
            <w:r w:rsidRPr="000B45E4">
              <w:t>0-5</w:t>
            </w:r>
            <w:r w:rsidRPr="000B45E4">
              <w:rPr>
                <w:vertAlign w:val="superscript"/>
              </w:rPr>
              <w:t xml:space="preserve"> c, e</w:t>
            </w:r>
          </w:p>
        </w:tc>
      </w:tr>
      <w:tr w:rsidR="00D43053" w:rsidRPr="000B45E4" w14:paraId="183375D5" w14:textId="77777777" w:rsidTr="00927C4D">
        <w:trPr>
          <w:trHeight w:val="20"/>
        </w:trPr>
        <w:tc>
          <w:tcPr>
            <w:tcW w:w="266" w:type="dxa"/>
            <w:shd w:val="clear" w:color="auto" w:fill="auto"/>
            <w:noWrap/>
            <w:hideMark/>
          </w:tcPr>
          <w:p w14:paraId="47C6B457" w14:textId="77777777" w:rsidR="00D43053" w:rsidRPr="000B45E4" w:rsidRDefault="00D43053" w:rsidP="00927C4D">
            <w:pPr>
              <w:pStyle w:val="Tables"/>
              <w:rPr>
                <w:sz w:val="20"/>
                <w:szCs w:val="20"/>
              </w:rPr>
            </w:pPr>
            <w:r w:rsidRPr="000B45E4">
              <w:rPr>
                <w:sz w:val="20"/>
                <w:szCs w:val="20"/>
              </w:rPr>
              <w:t> </w:t>
            </w:r>
          </w:p>
        </w:tc>
        <w:tc>
          <w:tcPr>
            <w:tcW w:w="3950" w:type="dxa"/>
            <w:shd w:val="clear" w:color="auto" w:fill="auto"/>
            <w:hideMark/>
          </w:tcPr>
          <w:p w14:paraId="2D01396F" w14:textId="77777777" w:rsidR="00D43053" w:rsidRPr="000B45E4" w:rsidRDefault="00D43053" w:rsidP="00927C4D">
            <w:pPr>
              <w:pStyle w:val="Tables"/>
            </w:pPr>
            <w:r w:rsidRPr="000B45E4">
              <w:t>Xyloglucan</w:t>
            </w:r>
          </w:p>
        </w:tc>
        <w:tc>
          <w:tcPr>
            <w:tcW w:w="4061" w:type="dxa"/>
            <w:shd w:val="clear" w:color="auto" w:fill="auto"/>
            <w:noWrap/>
            <w:hideMark/>
          </w:tcPr>
          <w:p w14:paraId="23052A46" w14:textId="77777777" w:rsidR="00D43053" w:rsidRPr="000B45E4" w:rsidRDefault="00D43053" w:rsidP="00927C4D">
            <w:pPr>
              <w:pStyle w:val="Tables"/>
            </w:pPr>
            <w:r w:rsidRPr="000B45E4">
              <w:t xml:space="preserve">Minor </w:t>
            </w:r>
            <w:r w:rsidRPr="000B45E4">
              <w:rPr>
                <w:vertAlign w:val="superscript"/>
              </w:rPr>
              <w:t>c</w:t>
            </w:r>
          </w:p>
        </w:tc>
      </w:tr>
      <w:tr w:rsidR="00D43053" w:rsidRPr="000B45E4" w14:paraId="2911457F" w14:textId="77777777" w:rsidTr="00927C4D">
        <w:trPr>
          <w:trHeight w:val="20"/>
        </w:trPr>
        <w:tc>
          <w:tcPr>
            <w:tcW w:w="266" w:type="dxa"/>
            <w:shd w:val="clear" w:color="auto" w:fill="auto"/>
            <w:noWrap/>
            <w:hideMark/>
          </w:tcPr>
          <w:p w14:paraId="093C1AEA" w14:textId="77777777" w:rsidR="00D43053" w:rsidRPr="000B45E4" w:rsidRDefault="00D43053" w:rsidP="00927C4D">
            <w:pPr>
              <w:pStyle w:val="Tables"/>
              <w:rPr>
                <w:sz w:val="20"/>
                <w:szCs w:val="20"/>
              </w:rPr>
            </w:pPr>
            <w:r w:rsidRPr="000B45E4">
              <w:rPr>
                <w:sz w:val="20"/>
                <w:szCs w:val="20"/>
              </w:rPr>
              <w:t> </w:t>
            </w:r>
          </w:p>
        </w:tc>
        <w:tc>
          <w:tcPr>
            <w:tcW w:w="3950" w:type="dxa"/>
            <w:shd w:val="clear" w:color="auto" w:fill="auto"/>
            <w:hideMark/>
          </w:tcPr>
          <w:p w14:paraId="61E12EC4" w14:textId="77777777" w:rsidR="00D43053" w:rsidRPr="000B45E4" w:rsidRDefault="00D43053" w:rsidP="00927C4D">
            <w:pPr>
              <w:pStyle w:val="Tables"/>
            </w:pPr>
            <w:r w:rsidRPr="000B45E4">
              <w:t>Mannan (and galactoglucomannan)</w:t>
            </w:r>
          </w:p>
        </w:tc>
        <w:tc>
          <w:tcPr>
            <w:tcW w:w="4061" w:type="dxa"/>
            <w:shd w:val="clear" w:color="auto" w:fill="auto"/>
            <w:noWrap/>
            <w:hideMark/>
          </w:tcPr>
          <w:p w14:paraId="16CBF20B" w14:textId="77777777" w:rsidR="00D43053" w:rsidRPr="000B45E4" w:rsidRDefault="00D43053" w:rsidP="00927C4D">
            <w:pPr>
              <w:pStyle w:val="Tables"/>
            </w:pPr>
            <w:r w:rsidRPr="000B45E4">
              <w:t xml:space="preserve">0-30 </w:t>
            </w:r>
            <w:r w:rsidRPr="000B45E4">
              <w:rPr>
                <w:vertAlign w:val="superscript"/>
              </w:rPr>
              <w:t>c, f</w:t>
            </w:r>
          </w:p>
        </w:tc>
      </w:tr>
      <w:tr w:rsidR="00D43053" w:rsidRPr="000B45E4" w14:paraId="42018A70" w14:textId="77777777" w:rsidTr="00927C4D">
        <w:trPr>
          <w:trHeight w:val="20"/>
        </w:trPr>
        <w:tc>
          <w:tcPr>
            <w:tcW w:w="4216" w:type="dxa"/>
            <w:gridSpan w:val="2"/>
            <w:shd w:val="clear" w:color="auto" w:fill="auto"/>
            <w:noWrap/>
            <w:hideMark/>
          </w:tcPr>
          <w:p w14:paraId="16A3E724" w14:textId="77777777" w:rsidR="00D43053" w:rsidRPr="000B45E4" w:rsidRDefault="00D43053" w:rsidP="00927C4D">
            <w:pPr>
              <w:pStyle w:val="Tables"/>
            </w:pPr>
            <w:r w:rsidRPr="000B45E4">
              <w:t>Soluble (Mainly sucrose)</w:t>
            </w:r>
          </w:p>
        </w:tc>
        <w:tc>
          <w:tcPr>
            <w:tcW w:w="4061" w:type="dxa"/>
            <w:shd w:val="clear" w:color="auto" w:fill="auto"/>
            <w:noWrap/>
            <w:hideMark/>
          </w:tcPr>
          <w:p w14:paraId="28E706ED" w14:textId="77777777" w:rsidR="00D43053" w:rsidRPr="000B45E4" w:rsidRDefault="00D43053" w:rsidP="00927C4D">
            <w:pPr>
              <w:pStyle w:val="Tables"/>
            </w:pPr>
            <w:r w:rsidRPr="000B45E4">
              <w:t>9-67</w:t>
            </w:r>
            <w:r w:rsidRPr="000B45E4">
              <w:rPr>
                <w:vertAlign w:val="superscript"/>
              </w:rPr>
              <w:t xml:space="preserve"> b, g</w:t>
            </w:r>
          </w:p>
        </w:tc>
      </w:tr>
      <w:tr w:rsidR="00D43053" w:rsidRPr="000B45E4" w14:paraId="2A62333C" w14:textId="77777777" w:rsidTr="00927C4D">
        <w:trPr>
          <w:trHeight w:val="20"/>
        </w:trPr>
        <w:tc>
          <w:tcPr>
            <w:tcW w:w="4216" w:type="dxa"/>
            <w:gridSpan w:val="2"/>
            <w:shd w:val="clear" w:color="auto" w:fill="auto"/>
            <w:noWrap/>
            <w:hideMark/>
          </w:tcPr>
          <w:p w14:paraId="5028CA72" w14:textId="77777777" w:rsidR="00D43053" w:rsidRPr="000B45E4" w:rsidRDefault="00D43053" w:rsidP="00927C4D">
            <w:pPr>
              <w:pStyle w:val="Tables"/>
            </w:pPr>
            <w:r w:rsidRPr="000B45E4">
              <w:t>Pectin</w:t>
            </w:r>
          </w:p>
        </w:tc>
        <w:tc>
          <w:tcPr>
            <w:tcW w:w="4061" w:type="dxa"/>
            <w:shd w:val="clear" w:color="auto" w:fill="auto"/>
            <w:noWrap/>
            <w:hideMark/>
          </w:tcPr>
          <w:p w14:paraId="47EB567F" w14:textId="77777777" w:rsidR="00D43053" w:rsidRPr="000B45E4" w:rsidRDefault="00D43053" w:rsidP="00927C4D">
            <w:pPr>
              <w:pStyle w:val="Tables"/>
            </w:pPr>
            <w:r w:rsidRPr="000B45E4">
              <w:t>&lt; 0.1</w:t>
            </w:r>
            <w:r w:rsidRPr="000B45E4">
              <w:rPr>
                <w:vertAlign w:val="superscript"/>
              </w:rPr>
              <w:t xml:space="preserve"> h</w:t>
            </w:r>
          </w:p>
        </w:tc>
      </w:tr>
      <w:tr w:rsidR="00D43053" w:rsidRPr="000B45E4" w14:paraId="35BDAF98" w14:textId="77777777" w:rsidTr="00927C4D">
        <w:trPr>
          <w:trHeight w:val="20"/>
        </w:trPr>
        <w:tc>
          <w:tcPr>
            <w:tcW w:w="4216" w:type="dxa"/>
            <w:gridSpan w:val="2"/>
            <w:shd w:val="clear" w:color="auto" w:fill="auto"/>
            <w:noWrap/>
            <w:hideMark/>
          </w:tcPr>
          <w:p w14:paraId="14544A42" w14:textId="77777777" w:rsidR="00D43053" w:rsidRPr="000B45E4" w:rsidRDefault="00D43053" w:rsidP="00927C4D">
            <w:pPr>
              <w:pStyle w:val="Tables"/>
            </w:pPr>
            <w:r w:rsidRPr="000B45E4">
              <w:t>Lignin</w:t>
            </w:r>
          </w:p>
        </w:tc>
        <w:tc>
          <w:tcPr>
            <w:tcW w:w="4061" w:type="dxa"/>
            <w:shd w:val="clear" w:color="auto" w:fill="auto"/>
            <w:noWrap/>
            <w:hideMark/>
          </w:tcPr>
          <w:p w14:paraId="00B18811" w14:textId="77777777" w:rsidR="00D43053" w:rsidRPr="000B45E4" w:rsidRDefault="00D43053" w:rsidP="00927C4D">
            <w:pPr>
              <w:pStyle w:val="Tables"/>
            </w:pPr>
            <w:r w:rsidRPr="000B45E4">
              <w:t>6-28</w:t>
            </w:r>
            <w:r w:rsidRPr="000B45E4">
              <w:rPr>
                <w:vertAlign w:val="superscript"/>
              </w:rPr>
              <w:t xml:space="preserve"> b</w:t>
            </w:r>
          </w:p>
        </w:tc>
      </w:tr>
      <w:tr w:rsidR="00D43053" w:rsidRPr="000B45E4" w14:paraId="6FD1FB91" w14:textId="77777777" w:rsidTr="00927C4D">
        <w:trPr>
          <w:trHeight w:val="20"/>
        </w:trPr>
        <w:tc>
          <w:tcPr>
            <w:tcW w:w="4216" w:type="dxa"/>
            <w:gridSpan w:val="2"/>
            <w:shd w:val="clear" w:color="auto" w:fill="auto"/>
            <w:noWrap/>
            <w:hideMark/>
          </w:tcPr>
          <w:p w14:paraId="490635A2" w14:textId="77777777" w:rsidR="00D43053" w:rsidRPr="000B45E4" w:rsidRDefault="00D43053" w:rsidP="00927C4D">
            <w:pPr>
              <w:pStyle w:val="Tables"/>
            </w:pPr>
            <w:r w:rsidRPr="000B45E4">
              <w:t xml:space="preserve">Ferulic acid and </w:t>
            </w:r>
            <w:r w:rsidRPr="000B45E4">
              <w:rPr>
                <w:i/>
                <w:iCs/>
              </w:rPr>
              <w:t>p</w:t>
            </w:r>
            <w:r w:rsidRPr="000B45E4">
              <w:t>-coumaric acid</w:t>
            </w:r>
          </w:p>
        </w:tc>
        <w:tc>
          <w:tcPr>
            <w:tcW w:w="4061" w:type="dxa"/>
            <w:shd w:val="clear" w:color="auto" w:fill="auto"/>
            <w:noWrap/>
            <w:hideMark/>
          </w:tcPr>
          <w:p w14:paraId="0E445DDF" w14:textId="77777777" w:rsidR="00D43053" w:rsidRPr="000B45E4" w:rsidRDefault="00D43053" w:rsidP="00927C4D">
            <w:pPr>
              <w:pStyle w:val="Tables"/>
            </w:pPr>
            <w:r w:rsidRPr="000B45E4">
              <w:t>&lt; 1.5</w:t>
            </w:r>
            <w:r w:rsidRPr="000B45E4">
              <w:rPr>
                <w:vertAlign w:val="superscript"/>
              </w:rPr>
              <w:t xml:space="preserve"> h</w:t>
            </w:r>
          </w:p>
        </w:tc>
      </w:tr>
      <w:tr w:rsidR="00D43053" w:rsidRPr="000B45E4" w14:paraId="1E111F20" w14:textId="77777777" w:rsidTr="00927C4D">
        <w:trPr>
          <w:trHeight w:val="20"/>
        </w:trPr>
        <w:tc>
          <w:tcPr>
            <w:tcW w:w="4216" w:type="dxa"/>
            <w:gridSpan w:val="2"/>
            <w:shd w:val="clear" w:color="auto" w:fill="auto"/>
            <w:noWrap/>
            <w:hideMark/>
          </w:tcPr>
          <w:p w14:paraId="65ACD56C" w14:textId="77777777" w:rsidR="00D43053" w:rsidRPr="000B45E4" w:rsidRDefault="00D43053" w:rsidP="00927C4D">
            <w:pPr>
              <w:pStyle w:val="Tables"/>
            </w:pPr>
            <w:r w:rsidRPr="000B45E4">
              <w:t>Protein</w:t>
            </w:r>
          </w:p>
        </w:tc>
        <w:tc>
          <w:tcPr>
            <w:tcW w:w="4061" w:type="dxa"/>
            <w:shd w:val="clear" w:color="auto" w:fill="auto"/>
            <w:noWrap/>
            <w:hideMark/>
          </w:tcPr>
          <w:p w14:paraId="328471DE" w14:textId="77777777" w:rsidR="00D43053" w:rsidRPr="000B45E4" w:rsidRDefault="00D43053" w:rsidP="00927C4D">
            <w:pPr>
              <w:pStyle w:val="Tables"/>
            </w:pPr>
            <w:r w:rsidRPr="000B45E4">
              <w:t>4-5</w:t>
            </w:r>
            <w:r w:rsidRPr="000B45E4">
              <w:rPr>
                <w:vertAlign w:val="superscript"/>
              </w:rPr>
              <w:t xml:space="preserve"> b</w:t>
            </w:r>
          </w:p>
        </w:tc>
      </w:tr>
      <w:tr w:rsidR="00D43053" w:rsidRPr="000B45E4" w14:paraId="6A540B95" w14:textId="77777777" w:rsidTr="00927C4D">
        <w:trPr>
          <w:trHeight w:val="20"/>
        </w:trPr>
        <w:tc>
          <w:tcPr>
            <w:tcW w:w="4216" w:type="dxa"/>
            <w:gridSpan w:val="2"/>
            <w:shd w:val="clear" w:color="auto" w:fill="auto"/>
            <w:noWrap/>
            <w:hideMark/>
          </w:tcPr>
          <w:p w14:paraId="11E3E16D" w14:textId="77777777" w:rsidR="00D43053" w:rsidRPr="000B45E4" w:rsidRDefault="00D43053" w:rsidP="00927C4D">
            <w:pPr>
              <w:pStyle w:val="Tables"/>
            </w:pPr>
            <w:r w:rsidRPr="000B45E4">
              <w:t>Ash (Mainly silicate)</w:t>
            </w:r>
          </w:p>
        </w:tc>
        <w:tc>
          <w:tcPr>
            <w:tcW w:w="4061" w:type="dxa"/>
            <w:shd w:val="clear" w:color="auto" w:fill="auto"/>
            <w:noWrap/>
            <w:hideMark/>
          </w:tcPr>
          <w:p w14:paraId="6E4BBB0E" w14:textId="77777777" w:rsidR="00D43053" w:rsidRPr="000B45E4" w:rsidRDefault="00D43053" w:rsidP="00927C4D">
            <w:pPr>
              <w:pStyle w:val="Tables"/>
            </w:pPr>
            <w:r w:rsidRPr="000B45E4">
              <w:t>0.4-14.4</w:t>
            </w:r>
            <w:r w:rsidRPr="000B45E4">
              <w:rPr>
                <w:vertAlign w:val="superscript"/>
              </w:rPr>
              <w:t xml:space="preserve"> b</w:t>
            </w:r>
          </w:p>
        </w:tc>
      </w:tr>
      <w:tr w:rsidR="00D43053" w:rsidRPr="000B45E4" w14:paraId="5CAD67DB" w14:textId="77777777" w:rsidTr="00927C4D">
        <w:trPr>
          <w:trHeight w:val="20"/>
        </w:trPr>
        <w:tc>
          <w:tcPr>
            <w:tcW w:w="4216" w:type="dxa"/>
            <w:gridSpan w:val="2"/>
            <w:tcBorders>
              <w:bottom w:val="single" w:sz="4" w:space="0" w:color="auto"/>
            </w:tcBorders>
            <w:shd w:val="clear" w:color="auto" w:fill="auto"/>
            <w:noWrap/>
            <w:hideMark/>
          </w:tcPr>
          <w:p w14:paraId="354D4AF1" w14:textId="77777777" w:rsidR="00D43053" w:rsidRPr="000B45E4" w:rsidRDefault="00D43053" w:rsidP="00927C4D">
            <w:pPr>
              <w:pStyle w:val="Tables"/>
            </w:pPr>
            <w:r w:rsidRPr="000B45E4">
              <w:t>Intrinsic moisture</w:t>
            </w:r>
          </w:p>
        </w:tc>
        <w:tc>
          <w:tcPr>
            <w:tcW w:w="4061" w:type="dxa"/>
            <w:tcBorders>
              <w:bottom w:val="single" w:sz="4" w:space="0" w:color="auto"/>
            </w:tcBorders>
            <w:shd w:val="clear" w:color="auto" w:fill="auto"/>
            <w:noWrap/>
            <w:hideMark/>
          </w:tcPr>
          <w:p w14:paraId="7140C408" w14:textId="77777777" w:rsidR="00D43053" w:rsidRPr="000B45E4" w:rsidRDefault="00D43053" w:rsidP="00927C4D">
            <w:pPr>
              <w:pStyle w:val="Tables"/>
            </w:pPr>
            <w:r w:rsidRPr="000B45E4">
              <w:t>11-34</w:t>
            </w:r>
            <w:r w:rsidRPr="000B45E4">
              <w:rPr>
                <w:vertAlign w:val="superscript"/>
              </w:rPr>
              <w:t xml:space="preserve"> i</w:t>
            </w:r>
          </w:p>
        </w:tc>
      </w:tr>
      <w:tr w:rsidR="00D43053" w:rsidRPr="000B45E4" w14:paraId="67C130A2" w14:textId="77777777" w:rsidTr="00927C4D">
        <w:trPr>
          <w:trHeight w:val="20"/>
        </w:trPr>
        <w:tc>
          <w:tcPr>
            <w:tcW w:w="8277" w:type="dxa"/>
            <w:gridSpan w:val="3"/>
            <w:tcBorders>
              <w:top w:val="single" w:sz="4" w:space="0" w:color="auto"/>
              <w:bottom w:val="single" w:sz="4" w:space="0" w:color="auto"/>
            </w:tcBorders>
            <w:shd w:val="clear" w:color="auto" w:fill="auto"/>
            <w:noWrap/>
          </w:tcPr>
          <w:p w14:paraId="121E23A7" w14:textId="77777777" w:rsidR="00807999" w:rsidRDefault="00D43053" w:rsidP="0057053C">
            <w:pPr>
              <w:pStyle w:val="Tables"/>
              <w:rPr>
                <w:sz w:val="16"/>
              </w:rPr>
            </w:pPr>
            <w:r w:rsidRPr="00D635B3">
              <w:rPr>
                <w:sz w:val="16"/>
                <w:vertAlign w:val="superscript"/>
              </w:rPr>
              <w:t>a</w:t>
            </w:r>
            <w:r w:rsidRPr="00D635B3">
              <w:rPr>
                <w:sz w:val="16"/>
              </w:rPr>
              <w:t xml:space="preserve">Percent mass composition of secondary cell walls. </w:t>
            </w:r>
            <w:r w:rsidRPr="00D635B3">
              <w:rPr>
                <w:sz w:val="16"/>
                <w:vertAlign w:val="superscript"/>
              </w:rPr>
              <w:t>b</w:t>
            </w:r>
            <w:r w:rsidR="0057053C">
              <w:rPr>
                <w:sz w:val="16"/>
              </w:rPr>
              <w:fldChar w:fldCharType="begin"/>
            </w:r>
            <w:r w:rsidR="00807999">
              <w:rPr>
                <w:sz w:val="16"/>
              </w:rPr>
              <w:instrText xml:space="preserve"> ADDIN PAPERS2_CITATIONS &lt;citation&gt;&lt;uuid&gt;EA1257F0-3802-479C-B7D0-8308678BFA80&lt;/uuid&gt;&lt;priority&gt;0&lt;/priority&gt;&lt;publications&gt;&lt;publication&gt;&lt;volume&gt;54&lt;/volume&gt;&lt;number&gt;4&lt;/number&gt;&lt;doi&gt;10.1111/j.1365-313X.2008.03463.x&lt;/doi&gt;&lt;institution&gt;Pauly, M</w:instrText>
            </w:r>
          </w:p>
          <w:p w14:paraId="72173070" w14:textId="77777777" w:rsidR="00807999" w:rsidRDefault="00807999" w:rsidP="0057053C">
            <w:pPr>
              <w:pStyle w:val="Tables"/>
              <w:rPr>
                <w:sz w:val="16"/>
              </w:rPr>
            </w:pPr>
            <w:r>
              <w:rPr>
                <w:sz w:val="16"/>
              </w:rPr>
              <w:instrText>Michigan State Univ, Dept Energy, Plant Res Lab, E Lansing, MI 48824 USA</w:instrText>
            </w:r>
          </w:p>
          <w:p w14:paraId="604D377E" w14:textId="77777777" w:rsidR="00807999" w:rsidRDefault="00807999" w:rsidP="0057053C">
            <w:pPr>
              <w:pStyle w:val="Tables"/>
              <w:rPr>
                <w:sz w:val="16"/>
              </w:rPr>
            </w:pPr>
            <w:r>
              <w:rPr>
                <w:sz w:val="16"/>
              </w:rPr>
              <w:instrText>Michigan State Univ, Dept Energy, Plant Res Lab, E Lansing, MI 48824 USA</w:instrText>
            </w:r>
          </w:p>
          <w:p w14:paraId="53AB2B11" w14:textId="77777777" w:rsidR="00807999" w:rsidRDefault="00807999" w:rsidP="0057053C">
            <w:pPr>
              <w:pStyle w:val="Tables"/>
              <w:rPr>
                <w:sz w:val="16"/>
              </w:rPr>
            </w:pPr>
            <w:r>
              <w:rPr>
                <w:sz w:val="16"/>
              </w:rPr>
              <w:instrText>Michigan State Univ, Dept Energy, Plant Res Lab, E Lansing, MI 48824 USA</w:instrText>
            </w:r>
          </w:p>
          <w:p w14:paraId="52408DF0" w14:textId="77777777" w:rsidR="00807999" w:rsidRDefault="00807999" w:rsidP="0057053C">
            <w:pPr>
              <w:pStyle w:val="Tables"/>
              <w:rPr>
                <w:sz w:val="16"/>
              </w:rPr>
            </w:pPr>
            <w:r>
              <w:rPr>
                <w:sz w:val="16"/>
              </w:rPr>
              <w:instrText>Michigan State Univ, Dept Biochem &amp;amp; Mol Biol, E Lansing, MI 48824 USA&lt;/institution&gt;&lt;startpage&gt;559&lt;/startpage&gt;&lt;title&gt;Cell-wall carbohydrates and their modification as a resource for biofuels&lt;/title&gt;&lt;uuid&gt;09CB0D5A-6DCE-490A-8FB6-94E67C914D6F&lt;/uuid&gt;&lt;subtype&gt;400&lt;/subtype&gt;&lt;endpage&gt;568&lt;/endpage&gt;&lt;type&gt;400&lt;/type&gt;&lt;publication_date&gt;99200805001200000000220000&lt;/publication_date&gt;&lt;bundle&gt;&lt;publication&gt;&lt;title&gt;Plant Journal&lt;/title&gt;&lt;type&gt;-100&lt;/type&gt;&lt;subtype&gt;-100&lt;/subtype&gt;&lt;uuid&gt;2F3A7548-422B-440E-B60D-942724219C51&lt;/uuid&gt;&lt;/publication&gt;&lt;/bundle&gt;&lt;authors&gt;&lt;author&gt;&lt;firstName&gt;M&lt;/firstName&gt;&lt;lastName&gt;Pauly&lt;/lastName&gt;&lt;/author&gt;&lt;author&gt;&lt;firstName&gt;K&lt;/firstName&gt;&lt;lastName&gt;Keegstra&lt;/lastName&gt;&lt;/author&gt;&lt;/authors&gt;&lt;/publication&gt;&lt;/publications&gt;&lt;cites&gt;&lt;/cites&gt;&lt;/citation&gt;</w:instrText>
            </w:r>
            <w:r w:rsidR="0057053C">
              <w:rPr>
                <w:sz w:val="16"/>
              </w:rPr>
              <w:fldChar w:fldCharType="separate"/>
            </w:r>
            <w:r w:rsidR="001C1AAC">
              <w:rPr>
                <w:sz w:val="16"/>
                <w:szCs w:val="16"/>
              </w:rPr>
              <w:t>(</w:t>
            </w:r>
            <w:r w:rsidR="001C1AAC">
              <w:rPr>
                <w:i/>
                <w:iCs/>
                <w:sz w:val="16"/>
                <w:szCs w:val="16"/>
              </w:rPr>
              <w:t>40</w:t>
            </w:r>
            <w:r w:rsidR="001C1AAC">
              <w:rPr>
                <w:sz w:val="16"/>
                <w:szCs w:val="16"/>
              </w:rPr>
              <w:t>)</w:t>
            </w:r>
            <w:r w:rsidR="0057053C">
              <w:rPr>
                <w:sz w:val="16"/>
              </w:rPr>
              <w:fldChar w:fldCharType="end"/>
            </w:r>
            <w:r w:rsidR="00D43053" w:rsidRPr="00D635B3">
              <w:rPr>
                <w:sz w:val="16"/>
              </w:rPr>
              <w:t xml:space="preserve"> </w:t>
            </w:r>
            <w:r w:rsidR="00D43053" w:rsidRPr="00D635B3">
              <w:rPr>
                <w:sz w:val="16"/>
                <w:vertAlign w:val="superscript"/>
              </w:rPr>
              <w:t>c</w:t>
            </w:r>
            <w:r w:rsidR="0057053C">
              <w:rPr>
                <w:sz w:val="16"/>
              </w:rPr>
              <w:fldChar w:fldCharType="begin"/>
            </w:r>
            <w:r>
              <w:rPr>
                <w:sz w:val="16"/>
              </w:rPr>
              <w:instrText xml:space="preserve"> ADDIN PAPERS2_CITATIONS &lt;citation&gt;&lt;uuid&gt;A4BA99FB-686E-4F5D-AC56-5F4CCCFE5AE3&lt;/uuid&gt;&lt;priority&gt;0&lt;/priority&gt;&lt;publications&gt;&lt;publication&gt;&lt;volume&gt;61&lt;/volume&gt;&lt;publication_date&gt;99201000001200000000200000&lt;/publication_date&gt;&lt;number&gt;1&lt;/number&gt;&lt;doi&gt;10.1146/annurev-arplant-042809-112315&lt;/doi&gt;&lt;startpage&gt;263&lt;/startpage&gt;&lt;title&gt;Hemicelluloses&lt;/title&gt;&lt;uuid&gt;3197DB28-417C-4088-8849-5A6795896816&lt;/uuid&gt;&lt;subtype&gt;400&lt;/subtype&gt;&lt;endpage&gt;289&lt;/endpage&gt;&lt;type&gt;400&lt;/type&gt;&lt;url&gt;http://www.annualreviews.org/doi/abs/10.1146/annurev-arplant-042809-112315&lt;/url&gt;&lt;bundle&gt;&lt;publication&gt;&lt;title&gt;Annual review of plant biology&lt;/title&gt;&lt;type&gt;-100&lt;/type&gt;&lt;subtype&gt;-100&lt;/subtype&gt;&lt;uuid&gt;4CDB0732-FE75-4F56-9627-A14F8E94872D&lt;/uuid&gt;&lt;/publication&gt;&lt;/bundle&gt;&lt;authors&gt;&lt;author&gt;&lt;firstName&gt;Henrik&lt;/firstName&gt;&lt;middleNames&gt;Vibe&lt;/middleNames&gt;&lt;lastName&gt;Scheller&lt;/lastName&gt;&lt;/author&gt;&lt;author&gt;&lt;firstName&gt;Peter&lt;/firstName&gt;&lt;lastName&gt;Ulvskov&lt;/lastName&gt;&lt;/author&gt;&lt;/authors&gt;&lt;/publication&gt;&lt;/publications&gt;&lt;cites&gt;&lt;/cites&gt;&lt;/citation&gt;</w:instrText>
            </w:r>
            <w:r w:rsidR="0057053C">
              <w:rPr>
                <w:sz w:val="16"/>
              </w:rPr>
              <w:fldChar w:fldCharType="separate"/>
            </w:r>
            <w:r w:rsidR="001C1AAC">
              <w:rPr>
                <w:sz w:val="16"/>
                <w:szCs w:val="16"/>
              </w:rPr>
              <w:t>(</w:t>
            </w:r>
            <w:r w:rsidR="001C1AAC">
              <w:rPr>
                <w:i/>
                <w:iCs/>
                <w:sz w:val="16"/>
                <w:szCs w:val="16"/>
              </w:rPr>
              <w:t>41</w:t>
            </w:r>
            <w:r w:rsidR="001C1AAC">
              <w:rPr>
                <w:sz w:val="16"/>
                <w:szCs w:val="16"/>
              </w:rPr>
              <w:t>)</w:t>
            </w:r>
            <w:r w:rsidR="0057053C">
              <w:rPr>
                <w:sz w:val="16"/>
              </w:rPr>
              <w:fldChar w:fldCharType="end"/>
            </w:r>
            <w:r w:rsidR="00D43053" w:rsidRPr="00D635B3">
              <w:rPr>
                <w:sz w:val="16"/>
                <w:vertAlign w:val="superscript"/>
              </w:rPr>
              <w:t>d</w:t>
            </w:r>
            <w:r w:rsidR="00D43053" w:rsidRPr="00D635B3">
              <w:rPr>
                <w:sz w:val="16"/>
              </w:rPr>
              <w:t xml:space="preserve">As the highest percentage of xylan in </w:t>
            </w:r>
            <w:r w:rsidR="0057053C">
              <w:rPr>
                <w:sz w:val="16"/>
              </w:rPr>
              <w:fldChar w:fldCharType="begin"/>
            </w:r>
            <w:r>
              <w:rPr>
                <w:sz w:val="16"/>
              </w:rPr>
              <w:instrText xml:space="preserve"> ADDIN PAPERS2_CITATIONS &lt;citation&gt;&lt;uuid&gt;1C8AF453-F2DE-44AE-8996-B6D5C8AD6C6B&lt;/uuid&gt;&lt;priority&gt;0&lt;/priority&gt;&lt;publications&gt;&lt;publication&gt;&lt;volume&gt;61&lt;/volume&gt;&lt;publication_date&gt;99201000001200000000200000&lt;/publication_date&gt;&lt;number&gt;1&lt;/number&gt;&lt;doi&gt;10.1146/annurev-arplant-042809-112315&lt;/doi&gt;&lt;startpage&gt;263&lt;/startpage&gt;&lt;title&gt;Hemicelluloses&lt;/title&gt;&lt;uuid&gt;3197DB28-417C-4088-8849-5A6795896816&lt;/uuid&gt;&lt;subtype&gt;400&lt;/subtype&gt;&lt;endpage&gt;289&lt;/endpage&gt;&lt;type&gt;400&lt;/type&gt;&lt;url&gt;http://www.annualreviews.org/doi/abs/10.1146/annurev-arplant-042809-112315&lt;/url&gt;&lt;bundle&gt;&lt;publication&gt;&lt;title&gt;Annual review of plant biology&lt;/title&gt;&lt;type&gt;-100&lt;/type&gt;&lt;subtype&gt;-100&lt;/subtype&gt;&lt;uuid&gt;4CDB0732-FE75-4F56-9627-A14F8E94872D&lt;/uuid&gt;&lt;/publication&gt;&lt;/bundle&gt;&lt;authors&gt;&lt;author&gt;&lt;firstName&gt;Henrik&lt;/firstName&gt;&lt;middleNames&gt;Vibe&lt;/middleNames&gt;&lt;lastName&gt;Scheller&lt;/lastName&gt;&lt;/author&gt;&lt;author&gt;&lt;firstName&gt;Peter&lt;/firstName&gt;&lt;lastName&gt;Ulvskov&lt;/lastName&gt;&lt;/author&gt;&lt;/authors&gt;&lt;/publication&gt;&lt;/publications&gt;&lt;cites&gt;&lt;/cites&gt;&lt;/citation&gt;</w:instrText>
            </w:r>
            <w:r w:rsidR="0057053C">
              <w:rPr>
                <w:sz w:val="16"/>
              </w:rPr>
              <w:fldChar w:fldCharType="separate"/>
            </w:r>
            <w:r w:rsidR="001C1AAC">
              <w:rPr>
                <w:sz w:val="16"/>
                <w:szCs w:val="16"/>
              </w:rPr>
              <w:t>(</w:t>
            </w:r>
            <w:r w:rsidR="001C1AAC">
              <w:rPr>
                <w:i/>
                <w:iCs/>
                <w:sz w:val="16"/>
                <w:szCs w:val="16"/>
              </w:rPr>
              <w:t>41</w:t>
            </w:r>
            <w:r w:rsidR="001C1AAC">
              <w:rPr>
                <w:sz w:val="16"/>
                <w:szCs w:val="16"/>
              </w:rPr>
              <w:t>)</w:t>
            </w:r>
            <w:r w:rsidR="0057053C">
              <w:rPr>
                <w:sz w:val="16"/>
              </w:rPr>
              <w:fldChar w:fldCharType="end"/>
            </w:r>
            <w:r w:rsidR="00D43053" w:rsidRPr="00D635B3">
              <w:rPr>
                <w:sz w:val="16"/>
              </w:rPr>
              <w:t xml:space="preserve"> is higher than the highest percentage of hemicellulose in </w:t>
            </w:r>
            <w:r w:rsidR="0057053C">
              <w:rPr>
                <w:sz w:val="16"/>
              </w:rPr>
              <w:fldChar w:fldCharType="begin"/>
            </w:r>
            <w:r>
              <w:rPr>
                <w:sz w:val="16"/>
              </w:rPr>
              <w:instrText xml:space="preserve"> ADDIN PAPERS2_CITATIONS &lt;citation&gt;&lt;uuid&gt;CC49D239-7563-40A5-B1B6-AB30C28F22F1&lt;/uuid&gt;&lt;priority&gt;0&lt;/priority&gt;&lt;publications&gt;&lt;publication&gt;&lt;volume&gt;54&lt;/volume&gt;&lt;number&gt;4&lt;/number&gt;&lt;doi&gt;10.1111/j.1365-313X.2008.03463.x&lt;/doi&gt;&lt;institution&gt;Pauly, M</w:instrText>
            </w:r>
          </w:p>
          <w:p w14:paraId="545644C9" w14:textId="77777777" w:rsidR="00807999" w:rsidRDefault="00807999" w:rsidP="0057053C">
            <w:pPr>
              <w:pStyle w:val="Tables"/>
              <w:rPr>
                <w:sz w:val="16"/>
              </w:rPr>
            </w:pPr>
            <w:r>
              <w:rPr>
                <w:sz w:val="16"/>
              </w:rPr>
              <w:instrText>Michigan State Univ, Dept Energy, Plant Res Lab, E Lansing, MI 48824 USA</w:instrText>
            </w:r>
          </w:p>
          <w:p w14:paraId="0060B063" w14:textId="77777777" w:rsidR="00807999" w:rsidRDefault="00807999" w:rsidP="0057053C">
            <w:pPr>
              <w:pStyle w:val="Tables"/>
              <w:rPr>
                <w:sz w:val="16"/>
              </w:rPr>
            </w:pPr>
            <w:r>
              <w:rPr>
                <w:sz w:val="16"/>
              </w:rPr>
              <w:instrText>Michigan State Univ, Dept Energy, Plant Res Lab, E Lansing, MI 48824 USA</w:instrText>
            </w:r>
          </w:p>
          <w:p w14:paraId="0A70DD28" w14:textId="77777777" w:rsidR="00807999" w:rsidRDefault="00807999" w:rsidP="0057053C">
            <w:pPr>
              <w:pStyle w:val="Tables"/>
              <w:rPr>
                <w:sz w:val="16"/>
              </w:rPr>
            </w:pPr>
            <w:r>
              <w:rPr>
                <w:sz w:val="16"/>
              </w:rPr>
              <w:instrText>Michigan State Univ, Dept Energy, Plant Res Lab, E Lansing, MI 48824 USA</w:instrText>
            </w:r>
          </w:p>
          <w:p w14:paraId="5CB82D89" w14:textId="77777777" w:rsidR="00807999" w:rsidRDefault="00807999" w:rsidP="0057053C">
            <w:pPr>
              <w:pStyle w:val="Tables"/>
              <w:rPr>
                <w:sz w:val="16"/>
              </w:rPr>
            </w:pPr>
            <w:r>
              <w:rPr>
                <w:sz w:val="16"/>
              </w:rPr>
              <w:instrText>Michigan State Univ, Dept Biochem &amp;amp; Mol Biol, E Lansing, MI 48824 USA&lt;/institution&gt;&lt;startpage&gt;559&lt;/startpage&gt;&lt;title&gt;Cell-wall carbohydrates and their modification as a resource for biofuels&lt;/title&gt;&lt;uuid&gt;09CB0D5A-6DCE-490A-8FB6-94E67C914D6F&lt;/uuid&gt;&lt;subtype&gt;400&lt;/subtype&gt;&lt;endpage&gt;568&lt;/endpage&gt;&lt;type&gt;400&lt;/type&gt;&lt;publication_date&gt;99200805001200000000220000&lt;/publication_date&gt;&lt;bundle&gt;&lt;publication&gt;&lt;title&gt;Plant Journal&lt;/title&gt;&lt;type&gt;-100&lt;/type&gt;&lt;subtype&gt;-100&lt;/subtype&gt;&lt;uuid&gt;2F3A7548-422B-440E-B60D-942724219C51&lt;/uuid&gt;&lt;/publication&gt;&lt;/bundle&gt;&lt;authors&gt;&lt;author&gt;&lt;firstName&gt;M&lt;/firstName&gt;&lt;lastName&gt;Pauly&lt;/lastName&gt;&lt;/author&gt;&lt;author&gt;&lt;firstName&gt;K&lt;/firstName&gt;&lt;lastName&gt;Keegstra&lt;/lastName&gt;&lt;/author&gt;&lt;/authors&gt;&lt;/publication&gt;&lt;/publications&gt;&lt;cites&gt;&lt;/cites&gt;&lt;/citation&gt;</w:instrText>
            </w:r>
            <w:r w:rsidR="0057053C">
              <w:rPr>
                <w:sz w:val="16"/>
              </w:rPr>
              <w:fldChar w:fldCharType="separate"/>
            </w:r>
            <w:r w:rsidR="001C1AAC">
              <w:rPr>
                <w:sz w:val="16"/>
                <w:szCs w:val="16"/>
              </w:rPr>
              <w:t>(</w:t>
            </w:r>
            <w:r w:rsidR="001C1AAC">
              <w:rPr>
                <w:i/>
                <w:iCs/>
                <w:sz w:val="16"/>
                <w:szCs w:val="16"/>
              </w:rPr>
              <w:t>40</w:t>
            </w:r>
            <w:r w:rsidR="001C1AAC">
              <w:rPr>
                <w:sz w:val="16"/>
                <w:szCs w:val="16"/>
              </w:rPr>
              <w:t>)</w:t>
            </w:r>
            <w:r w:rsidR="0057053C">
              <w:rPr>
                <w:sz w:val="16"/>
              </w:rPr>
              <w:fldChar w:fldCharType="end"/>
            </w:r>
            <w:r w:rsidR="00D43053" w:rsidRPr="00D635B3">
              <w:rPr>
                <w:sz w:val="16"/>
              </w:rPr>
              <w:t xml:space="preserve">, the highest percentage of hemicellulose is set to the highest percentage of xylan. </w:t>
            </w:r>
            <w:r w:rsidR="00D43053" w:rsidRPr="00D635B3">
              <w:rPr>
                <w:sz w:val="16"/>
                <w:vertAlign w:val="superscript"/>
              </w:rPr>
              <w:t>e</w:t>
            </w:r>
            <w:r w:rsidR="00D43053" w:rsidRPr="00D635B3">
              <w:rPr>
                <w:sz w:val="16"/>
              </w:rPr>
              <w:t>MLG is only abundant in grasses, The maximum percentage of MLG we are aware of is that of the mat</w:t>
            </w:r>
            <w:r w:rsidR="0057053C">
              <w:rPr>
                <w:sz w:val="16"/>
              </w:rPr>
              <w:t xml:space="preserve">ure rice stem after flowering. </w:t>
            </w:r>
            <w:r w:rsidR="0057053C">
              <w:rPr>
                <w:sz w:val="16"/>
              </w:rPr>
              <w:fldChar w:fldCharType="begin"/>
            </w:r>
            <w:r>
              <w:rPr>
                <w:sz w:val="16"/>
              </w:rPr>
              <w:instrText xml:space="preserve"> ADDIN PAPERS2_CITATIONS &lt;citation&gt;&lt;uuid&gt;012CDB03-CD2F-496B-B3B2-C0F41ECA7565&lt;/uuid&gt;&lt;priority&gt;0&lt;/priority&gt;&lt;publications&gt;&lt;publication&gt;&lt;volume&gt;159&lt;/volume&gt;&lt;number&gt;1&lt;/number&gt;&lt;doi&gt;10.1104/pp.112.195495&lt;/doi&gt;&lt;institution&gt;Ronald, PC</w:instrText>
            </w:r>
          </w:p>
          <w:p w14:paraId="68C9E15A" w14:textId="77777777" w:rsidR="00807999" w:rsidRDefault="00807999" w:rsidP="0057053C">
            <w:pPr>
              <w:pStyle w:val="Tables"/>
              <w:rPr>
                <w:sz w:val="16"/>
              </w:rPr>
            </w:pPr>
            <w:r>
              <w:rPr>
                <w:sz w:val="16"/>
              </w:rPr>
              <w:instrText>Joint BioEnergy Inst, Emeryville, CA 94608 USA</w:instrText>
            </w:r>
          </w:p>
          <w:p w14:paraId="114E0FD1" w14:textId="77777777" w:rsidR="00807999" w:rsidRDefault="00807999" w:rsidP="0057053C">
            <w:pPr>
              <w:pStyle w:val="Tables"/>
              <w:rPr>
                <w:sz w:val="16"/>
              </w:rPr>
            </w:pPr>
            <w:r>
              <w:rPr>
                <w:sz w:val="16"/>
              </w:rPr>
              <w:instrText>Joint BioEnergy Inst, Emeryville, CA 94608 USA</w:instrText>
            </w:r>
          </w:p>
          <w:p w14:paraId="6EA47183" w14:textId="77777777" w:rsidR="00807999" w:rsidRDefault="00807999" w:rsidP="0057053C">
            <w:pPr>
              <w:pStyle w:val="Tables"/>
              <w:rPr>
                <w:sz w:val="16"/>
              </w:rPr>
            </w:pPr>
            <w:r>
              <w:rPr>
                <w:sz w:val="16"/>
              </w:rPr>
              <w:instrText>Joint BioEnergy Inst, Emeryville, CA 94608 USA</w:instrText>
            </w:r>
          </w:p>
          <w:p w14:paraId="6421EBBB" w14:textId="77777777" w:rsidR="00807999" w:rsidRDefault="00807999" w:rsidP="0057053C">
            <w:pPr>
              <w:pStyle w:val="Tables"/>
              <w:rPr>
                <w:sz w:val="16"/>
              </w:rPr>
            </w:pPr>
            <w:r>
              <w:rPr>
                <w:sz w:val="16"/>
              </w:rPr>
              <w:instrText>Univ Calif Berkeley, Lawrence Berkeley Natl Lab, Div Phys Biosci, Berkeley, CA 94720 USA</w:instrText>
            </w:r>
          </w:p>
          <w:p w14:paraId="1E2879C6" w14:textId="77777777" w:rsidR="00807999" w:rsidRDefault="00807999" w:rsidP="0057053C">
            <w:pPr>
              <w:pStyle w:val="Tables"/>
              <w:rPr>
                <w:sz w:val="16"/>
              </w:rPr>
            </w:pPr>
            <w:r>
              <w:rPr>
                <w:sz w:val="16"/>
              </w:rPr>
              <w:instrText>Univ Calif Berkeley, Lawrence Berkeley Natl Lab, Div Life Sci, Berkeley, CA 94720 USA</w:instrText>
            </w:r>
          </w:p>
          <w:p w14:paraId="1B8E563F" w14:textId="77777777" w:rsidR="00807999" w:rsidRDefault="00807999" w:rsidP="0057053C">
            <w:pPr>
              <w:pStyle w:val="Tables"/>
              <w:rPr>
                <w:sz w:val="16"/>
              </w:rPr>
            </w:pPr>
            <w:r>
              <w:rPr>
                <w:sz w:val="16"/>
              </w:rPr>
              <w:instrText>Black Mt Labs, Commonwealth Sci &amp;amp; Ind Res Org Food Futures Flags, Black Mt, ACT 2601, Australia</w:instrText>
            </w:r>
          </w:p>
          <w:p w14:paraId="1FDF82E3" w14:textId="77777777" w:rsidR="00807999" w:rsidRDefault="00807999" w:rsidP="0057053C">
            <w:pPr>
              <w:pStyle w:val="Tables"/>
              <w:rPr>
                <w:sz w:val="16"/>
              </w:rPr>
            </w:pPr>
            <w:r>
              <w:rPr>
                <w:sz w:val="16"/>
              </w:rPr>
              <w:instrText>Black Mt Labs, Commonwealth Sci &amp;amp; Ind Res Org Plant Ind, Black Mt, ACT 2601, Australia</w:instrText>
            </w:r>
          </w:p>
          <w:p w14:paraId="0176DFBD" w14:textId="77777777" w:rsidR="00807999" w:rsidRDefault="00807999" w:rsidP="0057053C">
            <w:pPr>
              <w:pStyle w:val="Tables"/>
              <w:rPr>
                <w:sz w:val="16"/>
              </w:rPr>
            </w:pPr>
            <w:r>
              <w:rPr>
                <w:sz w:val="16"/>
              </w:rPr>
              <w:instrText>Univ Calif Davis, Dept Plant Pathol, Davis, CA 95616 USA</w:instrText>
            </w:r>
          </w:p>
          <w:p w14:paraId="5779B08C" w14:textId="77777777" w:rsidR="00807999" w:rsidRDefault="00807999" w:rsidP="0057053C">
            <w:pPr>
              <w:pStyle w:val="Tables"/>
              <w:rPr>
                <w:sz w:val="16"/>
              </w:rPr>
            </w:pPr>
            <w:r>
              <w:rPr>
                <w:sz w:val="16"/>
              </w:rPr>
              <w:instrText>Univ Calif Davis, Genome Ctr, Davis, CA 95616 USA</w:instrText>
            </w:r>
          </w:p>
          <w:p w14:paraId="5081C2EA" w14:textId="77777777" w:rsidR="00807999" w:rsidRDefault="00807999" w:rsidP="0057053C">
            <w:pPr>
              <w:pStyle w:val="Tables"/>
              <w:rPr>
                <w:sz w:val="16"/>
              </w:rPr>
            </w:pPr>
            <w:r>
              <w:rPr>
                <w:sz w:val="16"/>
              </w:rPr>
              <w:instrText>Sandia Natl Labs, Biomass Sci &amp;amp; Convers Technol Dept, Livermore, CA 94551 USA</w:instrText>
            </w:r>
          </w:p>
          <w:p w14:paraId="5B2A0AF2" w14:textId="77777777" w:rsidR="00807999" w:rsidRDefault="00807999" w:rsidP="0057053C">
            <w:pPr>
              <w:pStyle w:val="Tables"/>
              <w:rPr>
                <w:sz w:val="16"/>
              </w:rPr>
            </w:pPr>
            <w:r>
              <w:rPr>
                <w:sz w:val="16"/>
              </w:rPr>
              <w:instrText>Kyung Hee Univ, Dept Plant Mol Syst Biotechnol, Yongin 446701, South Korea</w:instrText>
            </w:r>
          </w:p>
          <w:p w14:paraId="33411915" w14:textId="77777777" w:rsidR="00807999" w:rsidRDefault="00807999" w:rsidP="0057053C">
            <w:pPr>
              <w:pStyle w:val="Tables"/>
              <w:rPr>
                <w:sz w:val="16"/>
              </w:rPr>
            </w:pPr>
            <w:r>
              <w:rPr>
                <w:sz w:val="16"/>
              </w:rPr>
              <w:instrText>Kyung Hee Univ, Crop Biotech Inst, Yongin 446701, South Korea&lt;/institution&gt;&lt;startpage&gt;56&lt;/startpage&gt;&lt;title&gt;Loss of Cellulose Synthase-Like F6 Function Affects Mixed-Linkage Glucan Deposition, Cell Wall Mechanical Properties, and Defense Responses in Vegetative Tissues of Rice&lt;/title&gt;&lt;uuid&gt;D92CC9B1-CE4D-45A4-AB16-A96501322A5C&lt;/uuid&gt;&lt;subtype&gt;400&lt;/subtype&gt;&lt;endpage&gt;69&lt;/endpage&gt;&lt;type&gt;400&lt;/type&gt;&lt;publication_date&gt;99201205001200000000220000&lt;/publication_date&gt;&lt;bundle&gt;&lt;publication&gt;&lt;publisher&gt;American Society of Plant Physiologists&lt;/publisher&gt;&lt;title&gt;Plant physiology&lt;/title&gt;&lt;type&gt;-100&lt;/type&gt;&lt;subtype&gt;-100&lt;/subtype&gt;&lt;uuid&gt;B97DA55A-D50B-4A35-A621-F9088F5658CB&lt;/uuid&gt;&lt;/publication&gt;&lt;/bundle&gt;&lt;authors&gt;&lt;author&gt;&lt;firstName&gt;Miguel&lt;/firstName&gt;&lt;middleNames&gt;E&lt;/middleNames&gt;&lt;lastName&gt;Vega-Sánchez&lt;/lastName&gt;&lt;/author&gt;&lt;author&gt;&lt;firstName&gt;Y&lt;/firstName&gt;&lt;lastName&gt;Verhertbruggen&lt;/lastName&gt;&lt;/author&gt;&lt;author&gt;&lt;firstName&gt;U&lt;/firstName&gt;&lt;lastName&gt;Christensen&lt;/lastName&gt;&lt;/author&gt;&lt;author&gt;&lt;firstName&gt;X&lt;/firstName&gt;&lt;middleNames&gt;W&lt;/middleNames&gt;&lt;lastName&gt;Chen&lt;/lastName&gt;&lt;/author&gt;&lt;author&gt;&lt;firstName&gt;V&lt;/firstName&gt;&lt;lastName&gt;Sharma&lt;/lastName&gt;&lt;/author&gt;&lt;author&gt;&lt;firstName&gt;P&lt;/firstName&gt;&lt;lastName&gt;Varanasi&lt;/lastName&gt;&lt;/author&gt;&lt;author&gt;&lt;firstName&gt;S&lt;/firstName&gt;&lt;middleNames&gt;A&lt;/middleNames&gt;&lt;lastName&gt;Jobling&lt;/lastName&gt;&lt;/author&gt;&lt;author&gt;&lt;firstName&gt;M&lt;/firstName&gt;&lt;lastName&gt;Talbot&lt;/lastName&gt;&lt;/author&gt;&lt;author&gt;&lt;firstName&gt;R&lt;/firstName&gt;&lt;middleNames&gt;G&lt;/middleNames&gt;&lt;lastName&gt;White&lt;/lastName&gt;&lt;/author&gt;&lt;author&gt;&lt;firstName&gt;M&lt;/firstName&gt;&lt;lastName&gt;Joo&lt;/lastName&gt;&lt;/author&gt;&lt;author&gt;&lt;firstName&gt;S&lt;/firstName&gt;&lt;lastName&gt;Singh&lt;/lastName&gt;&lt;/author&gt;&lt;author&gt;&lt;firstName&gt;M&lt;/firstName&gt;&lt;lastName&gt;Auer&lt;/lastName&gt;&lt;/author&gt;&lt;author&gt;&lt;firstName&gt;H&lt;/firstName&gt;&lt;middleNames&gt;V&lt;/middleNames&gt;&lt;lastName&gt;Scheller&lt;/lastName&gt;&lt;/author&gt;&lt;author&gt;&lt;firstName&gt;Pamela&lt;/firstName&gt;&lt;middleNames&gt;C&lt;/middleNames&gt;&lt;lastName&gt;Ronald&lt;/lastName&gt;&lt;/author&gt;&lt;/authors&gt;&lt;/publication&gt;&lt;/publications&gt;&lt;cites&gt;&lt;/cites&gt;&lt;/citation&gt;</w:instrText>
            </w:r>
            <w:r w:rsidR="0057053C">
              <w:rPr>
                <w:sz w:val="16"/>
              </w:rPr>
              <w:fldChar w:fldCharType="separate"/>
            </w:r>
            <w:r w:rsidR="001C1AAC">
              <w:rPr>
                <w:sz w:val="16"/>
                <w:szCs w:val="16"/>
              </w:rPr>
              <w:t>(</w:t>
            </w:r>
            <w:r w:rsidR="001C1AAC">
              <w:rPr>
                <w:i/>
                <w:iCs/>
                <w:sz w:val="16"/>
                <w:szCs w:val="16"/>
              </w:rPr>
              <w:t>42</w:t>
            </w:r>
            <w:r w:rsidR="001C1AAC">
              <w:rPr>
                <w:sz w:val="16"/>
                <w:szCs w:val="16"/>
              </w:rPr>
              <w:t>)</w:t>
            </w:r>
            <w:r w:rsidR="0057053C">
              <w:rPr>
                <w:sz w:val="16"/>
              </w:rPr>
              <w:fldChar w:fldCharType="end"/>
            </w:r>
            <w:r w:rsidR="00D43053" w:rsidRPr="00D635B3">
              <w:rPr>
                <w:sz w:val="16"/>
              </w:rPr>
              <w:t xml:space="preserve"> </w:t>
            </w:r>
            <w:r w:rsidR="00D43053" w:rsidRPr="00D635B3">
              <w:rPr>
                <w:sz w:val="16"/>
                <w:vertAlign w:val="superscript"/>
              </w:rPr>
              <w:t>f</w:t>
            </w:r>
            <w:r w:rsidR="00D43053" w:rsidRPr="00D635B3">
              <w:rPr>
                <w:sz w:val="16"/>
              </w:rPr>
              <w:t xml:space="preserve">Galactoglucomannan is only abundant in gymnosperm woods.  Dicots and grasses possess &lt;8% of mannan and galactoglucomannan. </w:t>
            </w:r>
            <w:r w:rsidR="0057053C">
              <w:rPr>
                <w:sz w:val="16"/>
              </w:rPr>
              <w:fldChar w:fldCharType="begin"/>
            </w:r>
            <w:r>
              <w:rPr>
                <w:sz w:val="16"/>
              </w:rPr>
              <w:instrText xml:space="preserve"> ADDIN PAPERS2_CITATIONS &lt;citation&gt;&lt;uuid&gt;9847FAFF-A4C8-4A5E-BD8E-89D6B0D8CC80&lt;/uuid&gt;&lt;priority&gt;0&lt;/priority&gt;&lt;publications&gt;&lt;publication&gt;&lt;volume&gt;61&lt;/volume&gt;&lt;publication_date&gt;99201000001200000000200000&lt;/publication_date&gt;&lt;number&gt;1&lt;/number&gt;&lt;doi&gt;10.1146/annurev-arplant-042809-112315&lt;/doi&gt;&lt;startpage&gt;263&lt;/startpage&gt;&lt;title&gt;Hemicelluloses&lt;/title&gt;&lt;uuid&gt;3197DB28-417C-4088-8849-5A6795896816&lt;/uuid&gt;&lt;subtype&gt;400&lt;/subtype&gt;&lt;endpage&gt;289&lt;/endpage&gt;&lt;type&gt;400&lt;/type&gt;&lt;url&gt;http://www.annualreviews.org/doi/abs/10.1146/annurev-arplant-042809-112315&lt;/url&gt;&lt;bundle&gt;&lt;publication&gt;&lt;title&gt;Annual review of plant biology&lt;/title&gt;&lt;type&gt;-100&lt;/type&gt;&lt;subtype&gt;-100&lt;/subtype&gt;&lt;uuid&gt;4CDB0732-FE75-4F56-9627-A14F8E94872D&lt;/uuid&gt;&lt;/publication&gt;&lt;/bundle&gt;&lt;authors&gt;&lt;author&gt;&lt;firstName&gt;Henrik&lt;/firstName&gt;&lt;middleNames&gt;Vibe&lt;/middleNames&gt;&lt;lastName&gt;Scheller&lt;/lastName&gt;&lt;/author&gt;&lt;author&gt;&lt;firstName&gt;Peter&lt;/firstName&gt;&lt;lastName&gt;Ulvskov&lt;/lastName&gt;&lt;/author&gt;&lt;/authors&gt;&lt;/publication&gt;&lt;/publications&gt;&lt;cites&gt;&lt;/cites&gt;&lt;/citation&gt;</w:instrText>
            </w:r>
            <w:r w:rsidR="0057053C">
              <w:rPr>
                <w:sz w:val="16"/>
              </w:rPr>
              <w:fldChar w:fldCharType="separate"/>
            </w:r>
            <w:r w:rsidR="001C1AAC">
              <w:rPr>
                <w:sz w:val="16"/>
                <w:szCs w:val="16"/>
              </w:rPr>
              <w:t>(</w:t>
            </w:r>
            <w:r w:rsidR="001C1AAC">
              <w:rPr>
                <w:i/>
                <w:iCs/>
                <w:sz w:val="16"/>
                <w:szCs w:val="16"/>
              </w:rPr>
              <w:t>41</w:t>
            </w:r>
            <w:r w:rsidR="001C1AAC">
              <w:rPr>
                <w:sz w:val="16"/>
                <w:szCs w:val="16"/>
              </w:rPr>
              <w:t>)</w:t>
            </w:r>
            <w:r w:rsidR="0057053C">
              <w:rPr>
                <w:sz w:val="16"/>
              </w:rPr>
              <w:fldChar w:fldCharType="end"/>
            </w:r>
            <w:r w:rsidR="00D43053" w:rsidRPr="00D635B3">
              <w:rPr>
                <w:sz w:val="16"/>
              </w:rPr>
              <w:t xml:space="preserve"> </w:t>
            </w:r>
            <w:r w:rsidR="00D43053" w:rsidRPr="00D635B3">
              <w:rPr>
                <w:sz w:val="16"/>
                <w:vertAlign w:val="superscript"/>
              </w:rPr>
              <w:t>g</w:t>
            </w:r>
            <w:r w:rsidR="00D43053" w:rsidRPr="00D635B3">
              <w:rPr>
                <w:sz w:val="16"/>
              </w:rPr>
              <w:t xml:space="preserve">The high solubles abundance is only for sorghum biomass. Other plants usually have less than 15% soluble content. </w:t>
            </w:r>
            <w:r w:rsidR="0057053C">
              <w:rPr>
                <w:sz w:val="16"/>
              </w:rPr>
              <w:fldChar w:fldCharType="begin"/>
            </w:r>
            <w:r>
              <w:rPr>
                <w:sz w:val="16"/>
              </w:rPr>
              <w:instrText xml:space="preserve"> ADDIN PAPERS2_CITATIONS &lt;citation&gt;&lt;uuid&gt;3B5A15C0-4E3F-4158-916C-9A39AD954BA5&lt;/uuid&gt;&lt;priority&gt;0&lt;/priority&gt;&lt;publications&gt;&lt;publication&gt;&lt;volume&gt;54&lt;/volume&gt;&lt;number&gt;4&lt;/number&gt;&lt;doi&gt;10.1111/j.1365-313X.2008.03463.x&lt;/doi&gt;&lt;institution&gt;Pauly, M</w:instrText>
            </w:r>
          </w:p>
          <w:p w14:paraId="06238C21" w14:textId="77777777" w:rsidR="00807999" w:rsidRDefault="00807999" w:rsidP="0057053C">
            <w:pPr>
              <w:pStyle w:val="Tables"/>
              <w:rPr>
                <w:sz w:val="16"/>
              </w:rPr>
            </w:pPr>
            <w:r>
              <w:rPr>
                <w:sz w:val="16"/>
              </w:rPr>
              <w:instrText>Michigan State Univ, Dept Energy, Plant Res Lab, E Lansing, MI 48824 USA</w:instrText>
            </w:r>
          </w:p>
          <w:p w14:paraId="1480F5F0" w14:textId="77777777" w:rsidR="00807999" w:rsidRDefault="00807999" w:rsidP="0057053C">
            <w:pPr>
              <w:pStyle w:val="Tables"/>
              <w:rPr>
                <w:sz w:val="16"/>
              </w:rPr>
            </w:pPr>
            <w:r>
              <w:rPr>
                <w:sz w:val="16"/>
              </w:rPr>
              <w:instrText>Michigan State Univ, Dept Energy, Plant Res Lab, E Lansing, MI 48824 USA</w:instrText>
            </w:r>
          </w:p>
          <w:p w14:paraId="506A90D3" w14:textId="77777777" w:rsidR="00807999" w:rsidRDefault="00807999" w:rsidP="0057053C">
            <w:pPr>
              <w:pStyle w:val="Tables"/>
              <w:rPr>
                <w:sz w:val="16"/>
              </w:rPr>
            </w:pPr>
            <w:r>
              <w:rPr>
                <w:sz w:val="16"/>
              </w:rPr>
              <w:instrText>Michigan State Univ, Dept Energy, Plant Res Lab, E Lansing, MI 48824 USA</w:instrText>
            </w:r>
          </w:p>
          <w:p w14:paraId="03762DA1" w14:textId="0C60AFEB" w:rsidR="00D43053" w:rsidRPr="000B45E4" w:rsidRDefault="00807999" w:rsidP="0057053C">
            <w:pPr>
              <w:pStyle w:val="Tables"/>
            </w:pPr>
            <w:r>
              <w:rPr>
                <w:sz w:val="16"/>
              </w:rPr>
              <w:instrText>Michigan State Univ, Dept Biochem &amp;amp; Mol Biol, E Lansing, MI 48824 USA&lt;/institution&gt;&lt;startpage&gt;559&lt;/startpage&gt;&lt;title&gt;Cell-wall carbohydrates and their modification as a resource for biofuels&lt;/title&gt;&lt;uuid&gt;09CB0D5A-6DCE-490A-8FB6-94E67C914D6F&lt;/uuid&gt;&lt;subtype&gt;400&lt;/subtype&gt;&lt;endpage&gt;568&lt;/endpage&gt;&lt;type&gt;400&lt;/type&gt;&lt;publication_date&gt;99200805001200000000220000&lt;/publication_date&gt;&lt;bundle&gt;&lt;publication&gt;&lt;title&gt;Plant Journal&lt;/title&gt;&lt;type&gt;-100&lt;/type&gt;&lt;subtype&gt;-100&lt;/subtype&gt;&lt;uuid&gt;2F3A7548-422B-440E-B60D-942724219C51&lt;/uuid&gt;&lt;/publication&gt;&lt;/bundle&gt;&lt;authors&gt;&lt;author&gt;&lt;firstName&gt;M&lt;/firstName&gt;&lt;lastName&gt;Pauly&lt;/lastName&gt;&lt;/author&gt;&lt;author&gt;&lt;firstName&gt;K&lt;/firstName&gt;&lt;lastName&gt;Keegstra&lt;/lastName&gt;&lt;/author&gt;&lt;/authors&gt;&lt;/publication&gt;&lt;/publications&gt;&lt;cites&gt;&lt;/cites&gt;&lt;/citation&gt;</w:instrText>
            </w:r>
            <w:r w:rsidR="0057053C">
              <w:rPr>
                <w:sz w:val="16"/>
              </w:rPr>
              <w:fldChar w:fldCharType="separate"/>
            </w:r>
            <w:r w:rsidR="001C1AAC">
              <w:rPr>
                <w:sz w:val="16"/>
                <w:szCs w:val="16"/>
              </w:rPr>
              <w:t>(</w:t>
            </w:r>
            <w:r w:rsidR="001C1AAC">
              <w:rPr>
                <w:i/>
                <w:iCs/>
                <w:sz w:val="16"/>
                <w:szCs w:val="16"/>
              </w:rPr>
              <w:t>40</w:t>
            </w:r>
            <w:r w:rsidR="001C1AAC">
              <w:rPr>
                <w:sz w:val="16"/>
                <w:szCs w:val="16"/>
              </w:rPr>
              <w:t>)</w:t>
            </w:r>
            <w:r w:rsidR="0057053C">
              <w:rPr>
                <w:sz w:val="16"/>
              </w:rPr>
              <w:fldChar w:fldCharType="end"/>
            </w:r>
            <w:r w:rsidR="00D43053" w:rsidRPr="00D635B3">
              <w:rPr>
                <w:sz w:val="16"/>
              </w:rPr>
              <w:t xml:space="preserve"> </w:t>
            </w:r>
            <w:r w:rsidR="00D43053" w:rsidRPr="00D635B3">
              <w:rPr>
                <w:sz w:val="16"/>
                <w:vertAlign w:val="superscript"/>
              </w:rPr>
              <w:t>h</w:t>
            </w:r>
            <w:r w:rsidR="0057053C">
              <w:rPr>
                <w:sz w:val="16"/>
              </w:rPr>
              <w:fldChar w:fldCharType="begin"/>
            </w:r>
            <w:r>
              <w:rPr>
                <w:sz w:val="16"/>
              </w:rPr>
              <w:instrText xml:space="preserve"> ADDIN PAPERS2_CITATIONS &lt;citation&gt;&lt;uuid&gt;D42F75E7-9DD2-436B-8BD2-906012C29D20&lt;/uuid&gt;&lt;priority&gt;0&lt;/priority&gt;&lt;publications&gt;&lt;publication&gt;&lt;volume&gt;11&lt;/volume&gt;&lt;publication_date&gt;99200806001200000000220000&lt;/publication_date&gt;&lt;number&gt;3&lt;/number&gt;&lt;doi&gt;10.1016/j.pbi.2008.03.002&lt;/doi&gt;&lt;startpage&gt;301&lt;/startpage&gt;&lt;title&gt;Unique aspects of the grass cell wall&lt;/title&gt;&lt;uuid&gt;D2360471-92E9-46D1-8229-E921352A61C8&lt;/uuid&gt;&lt;subtype&gt;400&lt;/subtype&gt;&lt;endpage&gt;307&lt;/endpage&gt;&lt;type&gt;400&lt;/type&gt;&lt;url&gt;http://linkinghub.elsevier.com/retrieve/pii/S1369526608000423&lt;/url&gt;&lt;bundle&gt;&lt;publication&gt;&lt;title&gt;Current opinion in plant biology&lt;/title&gt;&lt;type&gt;-100&lt;/type&gt;&lt;subtype&gt;-100&lt;/subtype&gt;&lt;uuid&gt;7665784C-A931-44B1-B852-0ADB7240232D&lt;/uuid&gt;&lt;/publication&gt;&lt;/bundle&gt;&lt;authors&gt;&lt;author&gt;&lt;firstName&gt;J&lt;/firstName&gt;&lt;lastName&gt;Vogel&lt;/lastName&gt;&lt;/author&gt;&lt;/authors&gt;&lt;/publication&gt;&lt;/publications&gt;&lt;cites&gt;&lt;/cites&gt;&lt;/citation&gt;</w:instrText>
            </w:r>
            <w:r w:rsidR="0057053C">
              <w:rPr>
                <w:sz w:val="16"/>
              </w:rPr>
              <w:fldChar w:fldCharType="separate"/>
            </w:r>
            <w:r w:rsidR="001C1AAC">
              <w:rPr>
                <w:sz w:val="16"/>
                <w:szCs w:val="16"/>
              </w:rPr>
              <w:t>(</w:t>
            </w:r>
            <w:r w:rsidR="001C1AAC">
              <w:rPr>
                <w:i/>
                <w:iCs/>
                <w:sz w:val="16"/>
                <w:szCs w:val="16"/>
              </w:rPr>
              <w:t>43</w:t>
            </w:r>
            <w:r w:rsidR="001C1AAC">
              <w:rPr>
                <w:sz w:val="16"/>
                <w:szCs w:val="16"/>
              </w:rPr>
              <w:t>)</w:t>
            </w:r>
            <w:r w:rsidR="0057053C">
              <w:rPr>
                <w:sz w:val="16"/>
              </w:rPr>
              <w:fldChar w:fldCharType="end"/>
            </w:r>
            <w:r w:rsidR="00D43053" w:rsidRPr="00D635B3">
              <w:rPr>
                <w:sz w:val="16"/>
              </w:rPr>
              <w:t xml:space="preserve"> i </w:t>
            </w:r>
            <w:r w:rsidR="0057053C">
              <w:rPr>
                <w:sz w:val="16"/>
              </w:rPr>
              <w:fldChar w:fldCharType="begin"/>
            </w:r>
            <w:r>
              <w:rPr>
                <w:sz w:val="16"/>
              </w:rPr>
              <w:instrText xml:space="preserve"> ADDIN PAPERS2_CITATIONS &lt;citation&gt;&lt;uuid&gt;339163AE-2F6C-4D36-8734-7D28E413C1B7&lt;/uuid&gt;&lt;priority&gt;0&lt;/priority&gt;&lt;publications&gt;&lt;publication&gt;&lt;volume&gt;83&lt;/volume&gt;&lt;publication_date&gt;99200205001200000000220000&lt;/publication_date&gt;&lt;number&gt;1&lt;/number&gt;&lt;doi&gt;10.1016/S0960-8524(01)00118-3&lt;/doi&gt;&lt;startpage&gt;37&lt;/startpage&gt;&lt;title&gt;Energy production from biomass (part 1): overview of biomass&lt;/title&gt;&lt;uuid&gt;E5B005D5-B337-4698-93D3-681EC2834487&lt;/uuid&gt;&lt;subtype&gt;400&lt;/subtype&gt;&lt;endpage&gt;46&lt;/endpage&gt;&lt;type&gt;400&lt;/type&gt;&lt;url&gt;http://linkinghub.elsevier.com/retrieve/pii/S0960852401001183&lt;/url&gt;&lt;bundle&gt;&lt;publication&gt;&lt;publisher&gt;Elsevier Ltd&lt;/publisher&gt;&lt;title&gt;Bioresource technology&lt;/title&gt;&lt;type&gt;-100&lt;/type&gt;&lt;subtype&gt;-100&lt;/subtype&gt;&lt;uuid&gt;20FABC45-BAD7-4D11-A180-BCA66580D347&lt;/uuid&gt;&lt;/publication&gt;&lt;/bundle&gt;&lt;authors&gt;&lt;author&gt;&lt;firstName&gt;Peter&lt;/firstName&gt;&lt;lastName&gt;McKendry&lt;/lastName&gt;&lt;/author&gt;&lt;/authors&gt;&lt;/publication&gt;&lt;/publications&gt;&lt;cites&gt;&lt;/cites&gt;&lt;/citation&gt;</w:instrText>
            </w:r>
            <w:r w:rsidR="0057053C">
              <w:rPr>
                <w:sz w:val="16"/>
              </w:rPr>
              <w:fldChar w:fldCharType="separate"/>
            </w:r>
            <w:r w:rsidR="001C1AAC">
              <w:rPr>
                <w:sz w:val="16"/>
                <w:szCs w:val="16"/>
              </w:rPr>
              <w:t>(</w:t>
            </w:r>
            <w:r w:rsidR="001C1AAC">
              <w:rPr>
                <w:i/>
                <w:iCs/>
                <w:sz w:val="16"/>
                <w:szCs w:val="16"/>
              </w:rPr>
              <w:t>44</w:t>
            </w:r>
            <w:r w:rsidR="001C1AAC">
              <w:rPr>
                <w:sz w:val="16"/>
                <w:szCs w:val="16"/>
              </w:rPr>
              <w:t>)</w:t>
            </w:r>
            <w:r w:rsidR="0057053C">
              <w:rPr>
                <w:sz w:val="16"/>
              </w:rPr>
              <w:fldChar w:fldCharType="end"/>
            </w:r>
          </w:p>
        </w:tc>
      </w:tr>
    </w:tbl>
    <w:p w14:paraId="7973AB10" w14:textId="77777777" w:rsidR="00D43053" w:rsidRDefault="00D43053" w:rsidP="00D43053">
      <w:pPr>
        <w:pStyle w:val="Caption"/>
        <w:rPr>
          <w:b w:val="0"/>
        </w:rPr>
      </w:pPr>
      <w:bookmarkStart w:id="20" w:name="_Toc449964924"/>
      <w:r>
        <w:t xml:space="preserve">Table </w:t>
      </w:r>
      <w:fldSimple w:instr=" STYLEREF &quot;Chapter&quot; \s ">
        <w:r w:rsidR="00463F52">
          <w:rPr>
            <w:noProof/>
          </w:rPr>
          <w:t>2</w:t>
        </w:r>
      </w:fldSimple>
      <w:r>
        <w:t>.</w:t>
      </w:r>
      <w:fldSimple w:instr=" SEQ Table \r 1 \* ARABIC \s 1 ">
        <w:r w:rsidR="00463F52">
          <w:rPr>
            <w:noProof/>
          </w:rPr>
          <w:t>1</w:t>
        </w:r>
      </w:fldSimple>
      <w:r>
        <w:t>.</w:t>
      </w:r>
      <w:r w:rsidRPr="008E2374">
        <w:t xml:space="preserve"> </w:t>
      </w:r>
      <w:r w:rsidRPr="000B45E4">
        <w:rPr>
          <w:b w:val="0"/>
        </w:rPr>
        <w:t>The variation of biomass components among vascular plants including grasses, softwoods, and hardwoods.</w:t>
      </w:r>
      <w:bookmarkEnd w:id="20"/>
    </w:p>
    <w:p w14:paraId="79627AB6" w14:textId="6EA70E06" w:rsidR="00C85EA1" w:rsidRDefault="00C85EA1" w:rsidP="00C85EA1"/>
    <w:p w14:paraId="273CD6EA" w14:textId="17468F27" w:rsidR="00843ED5" w:rsidRDefault="008929FB" w:rsidP="005B60FA">
      <w:pPr>
        <w:pStyle w:val="NoSpacing"/>
      </w:pPr>
      <w:r w:rsidRPr="008929FB">
        <w:rPr>
          <w:noProof/>
        </w:rPr>
        <w:drawing>
          <wp:inline distT="0" distB="0" distL="0" distR="0" wp14:anchorId="08EE84DE" wp14:editId="2543EA09">
            <wp:extent cx="5394960" cy="246570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394960" cy="2465705"/>
                    </a:xfrm>
                    <a:prstGeom prst="rect">
                      <a:avLst/>
                    </a:prstGeom>
                  </pic:spPr>
                </pic:pic>
              </a:graphicData>
            </a:graphic>
          </wp:inline>
        </w:drawing>
      </w:r>
    </w:p>
    <w:p w14:paraId="4F5C10A2" w14:textId="1B374D99" w:rsidR="00843ED5" w:rsidRPr="008929FB" w:rsidRDefault="008929FB" w:rsidP="008929FB">
      <w:pPr>
        <w:pStyle w:val="Caption"/>
        <w:rPr>
          <w:b w:val="0"/>
        </w:rPr>
      </w:pPr>
      <w:bookmarkStart w:id="21" w:name="_Toc449964953"/>
      <w:r>
        <w:t xml:space="preserve">Figure </w:t>
      </w:r>
      <w:fldSimple w:instr=" STYLEREF &quot;Chapter&quot; \s ">
        <w:r w:rsidR="00463F52">
          <w:rPr>
            <w:noProof/>
          </w:rPr>
          <w:t>2</w:t>
        </w:r>
      </w:fldSimple>
      <w:r>
        <w:t>.</w:t>
      </w:r>
      <w:r w:rsidR="00714B85">
        <w:fldChar w:fldCharType="begin"/>
      </w:r>
      <w:r w:rsidR="00714B85">
        <w:instrText xml:space="preserve"> SEQ Figure</w:instrText>
      </w:r>
      <w:r w:rsidR="00F21DC3">
        <w:instrText xml:space="preserve"> \r 1</w:instrText>
      </w:r>
      <w:r w:rsidR="00714B85">
        <w:instrText xml:space="preserve"> \* ARABIC \s 1 </w:instrText>
      </w:r>
      <w:r w:rsidR="00714B85">
        <w:fldChar w:fldCharType="separate"/>
      </w:r>
      <w:r w:rsidR="00463F52">
        <w:rPr>
          <w:noProof/>
        </w:rPr>
        <w:t>1</w:t>
      </w:r>
      <w:r w:rsidR="00714B85">
        <w:rPr>
          <w:noProof/>
        </w:rPr>
        <w:fldChar w:fldCharType="end"/>
      </w:r>
      <w:r>
        <w:rPr>
          <w:noProof/>
        </w:rPr>
        <w:t xml:space="preserve">. </w:t>
      </w:r>
      <w:r w:rsidRPr="008929FB">
        <w:rPr>
          <w:b w:val="0"/>
        </w:rPr>
        <w:t>Structure of the major basic units of biomas</w:t>
      </w:r>
      <w:r>
        <w:rPr>
          <w:b w:val="0"/>
        </w:rPr>
        <w:t>s polymers and related products</w:t>
      </w:r>
      <w:bookmarkEnd w:id="21"/>
    </w:p>
    <w:p w14:paraId="19F6F809" w14:textId="77777777" w:rsidR="00843ED5" w:rsidRDefault="00843ED5" w:rsidP="00C85EA1"/>
    <w:p w14:paraId="286864FB" w14:textId="77777777" w:rsidR="00807999" w:rsidRDefault="00C85EA1" w:rsidP="00C85EA1">
      <w:r>
        <w:lastRenderedPageBreak/>
        <w:t xml:space="preserve">Cellulose and hemicellulose represent 15-49% and 12-50% of biomass by dry weight, respectively </w:t>
      </w:r>
      <w:r w:rsidR="0057053C">
        <w:fldChar w:fldCharType="begin"/>
      </w:r>
      <w:r w:rsidR="00807999">
        <w:instrText xml:space="preserve"> ADDIN PAPERS2_CITATIONS &lt;citation&gt;&lt;uuid&gt;8C6992FB-4A33-406F-800E-6793C5AF8189&lt;/uuid&gt;&lt;priority&gt;0&lt;/priority&gt;&lt;publications&gt;&lt;publication&gt;&lt;volume&gt;54&lt;/volume&gt;&lt;number&gt;4&lt;/number&gt;&lt;doi&gt;10.1111/j.1365-313X.2008.03463.x&lt;/doi&gt;&lt;institution&gt;Pauly, M</w:instrText>
      </w:r>
    </w:p>
    <w:p w14:paraId="68FCD820" w14:textId="77777777" w:rsidR="00807999" w:rsidRDefault="00807999" w:rsidP="00C85EA1">
      <w:r>
        <w:instrText>Michigan State Univ, Dept Energy, Plant Res Lab, E Lansing, MI 48824 USA</w:instrText>
      </w:r>
    </w:p>
    <w:p w14:paraId="56E56C22" w14:textId="77777777" w:rsidR="00807999" w:rsidRDefault="00807999" w:rsidP="00C85EA1">
      <w:r>
        <w:instrText>Michigan State Univ, Dept Energy, Plant Res Lab, E Lansing, MI 48824 USA</w:instrText>
      </w:r>
    </w:p>
    <w:p w14:paraId="4D67F12C" w14:textId="77777777" w:rsidR="00807999" w:rsidRDefault="00807999" w:rsidP="00C85EA1">
      <w:r>
        <w:instrText>Michigan State Univ, Dept Energy, Plant Res Lab, E Lansing, MI 48824 USA</w:instrText>
      </w:r>
    </w:p>
    <w:p w14:paraId="3286ECCD" w14:textId="77777777" w:rsidR="00807999" w:rsidRDefault="00807999" w:rsidP="00C85EA1">
      <w:r>
        <w:instrText>Michigan State Univ, Dept Biochem &amp;amp; Mol Biol, E Lansing, MI 48824 USA&lt;/institution&gt;&lt;startpage&gt;559&lt;/startpage&gt;&lt;title&gt;Cell-wall carbohydrates and their modification as a resource for biofuels&lt;/title&gt;&lt;uuid&gt;09CB0D5A-6DCE-490A-8FB6-94E67C914D6F&lt;/uuid&gt;&lt;subtype&gt;400&lt;/subtype&gt;&lt;endpage&gt;568&lt;/endpage&gt;&lt;type&gt;400&lt;/type&gt;&lt;publication_date&gt;99200805001200000000220000&lt;/publication_date&gt;&lt;bundle&gt;&lt;publication&gt;&lt;title&gt;Plant Journal&lt;/title&gt;&lt;type&gt;-100&lt;/type&gt;&lt;subtype&gt;-100&lt;/subtype&gt;&lt;uuid&gt;2F3A7548-422B-440E-B60D-942724219C51&lt;/uuid&gt;&lt;/publication&gt;&lt;/bundle&gt;&lt;authors&gt;&lt;author&gt;&lt;firstName&gt;M&lt;/firstName&gt;&lt;lastName&gt;Pauly&lt;/lastName&gt;&lt;/author&gt;&lt;author&gt;&lt;firstName&gt;K&lt;/firstName&gt;&lt;lastName&gt;Keegstra&lt;/lastName&gt;&lt;/author&gt;&lt;/authors&gt;&lt;/publication&gt;&lt;publication&gt;&lt;volume&gt;11&lt;/volume&gt;&lt;publication_date&gt;99200806001200000000220000&lt;/publication_date&gt;&lt;number&gt;3&lt;/number&gt;&lt;doi&gt;10.1016/j.pbi.2008.03.002&lt;/doi&gt;&lt;startpage&gt;301&lt;/startpage&gt;&lt;title&gt;Unique aspects of the grass cell wall&lt;/title&gt;&lt;uuid&gt;D2360471-92E9-46D1-8229-E921352A61C8&lt;/uuid&gt;&lt;subtype&gt;400&lt;/subtype&gt;&lt;endpage&gt;307&lt;/endpage&gt;&lt;type&gt;400&lt;/type&gt;&lt;url&gt;http://linkinghub.elsevier.com/retrieve/pii/S1369526608000423&lt;/url&gt;&lt;bundle&gt;&lt;publication&gt;&lt;title&gt;Current opinion in plant biology&lt;/title&gt;&lt;type&gt;-100&lt;/type&gt;&lt;subtype&gt;-100&lt;/subtype&gt;&lt;uuid&gt;7665784C-A931-44B1-B852-0ADB7240232D&lt;/uuid&gt;&lt;/publication&gt;&lt;/bundle&gt;&lt;authors&gt;&lt;author&gt;&lt;firstName&gt;J&lt;/firstName&gt;&lt;lastName&gt;Vogel&lt;/lastName&gt;&lt;/author&gt;&lt;/authors&gt;&lt;/publication&gt;&lt;publication&gt;&lt;volume&gt;39&lt;/volume&gt;&lt;startpage&gt;261&lt;/startpage&gt;&lt;doi&gt;10.1016/j.biombioe.2012.01.020&lt;/doi&gt;&lt;institution&gt;Xie, GH</w:instrText>
      </w:r>
    </w:p>
    <w:p w14:paraId="7757AA32" w14:textId="77777777" w:rsidR="00807999" w:rsidRDefault="00807999" w:rsidP="00C85EA1">
      <w:r>
        <w:instrText>China Agr Univ, Coll Agron &amp;amp; Biotechnol, Beijing 100193, Peoples R China</w:instrText>
      </w:r>
    </w:p>
    <w:p w14:paraId="3F913CB8" w14:textId="77777777" w:rsidR="00807999" w:rsidRDefault="00807999" w:rsidP="00C85EA1">
      <w:r>
        <w:instrText>China Agr Univ, Coll Agron &amp;amp; Biotechnol, Beijing 100193, Peoples R China</w:instrText>
      </w:r>
    </w:p>
    <w:p w14:paraId="5F3DE2BA" w14:textId="77777777" w:rsidR="00807999" w:rsidRDefault="00807999" w:rsidP="00C85EA1">
      <w:r>
        <w:instrText>China Agr Univ, Coll Agron &amp;amp; Biotechnol, Beijing 100193, Peoples R China</w:instrText>
      </w:r>
    </w:p>
    <w:p w14:paraId="1D044FD5" w14:textId="77777777" w:rsidR="00807999" w:rsidRDefault="00807999" w:rsidP="00C85EA1">
      <w:r>
        <w:instrText>Henan Agr Univ, Agron Coll, Zhengzhou 450002, Peoples R China</w:instrText>
      </w:r>
    </w:p>
    <w:p w14:paraId="0ABFC1F5" w14:textId="77777777" w:rsidR="00807999" w:rsidRDefault="00807999" w:rsidP="00C85EA1">
      <w:r>
        <w:instrText>China Agr Univ, Natl Energy R&amp;amp;D Ctr Biomass, Beijing 100193, Peoples R China</w:instrText>
      </w:r>
    </w:p>
    <w:p w14:paraId="6249D42D" w14:textId="77777777" w:rsidR="00807999" w:rsidRDefault="00807999" w:rsidP="00C85EA1">
      <w:r>
        <w:instrText>Bar Ilan Univ, Mina &amp;amp; Everard Goodman Fac Life Sci, IL-52900 Ramat Gan, Israel&lt;/institution&gt;&lt;title&gt;Changes in stem composition and harvested produce of sweet sorghum during the period from maturity to a sequence of delayed harvest dates&lt;/title&gt;&lt;uuid&gt;BF8534F8-1AFB-47DC-950E-A394AD27AE57&lt;/uuid&gt;&lt;subtype&gt;400&lt;/subtype&gt;&lt;endpage&gt;273&lt;/endpage&gt;&lt;type&gt;400&lt;/type&gt;&lt;publication_date&gt;99201204001200000000220000&lt;/publication_date&gt;&lt;bundle&gt;&lt;publication&gt;&lt;publisher&gt;Elsevier Ltd&lt;/publisher&gt;&lt;title&gt;Biomass and bioenergy&lt;/title&gt;&lt;type&gt;-100&lt;/type&gt;&lt;subtype&gt;-100&lt;/subtype&gt;&lt;uuid&gt;061A0FBA-C147-4B37-8BD5-0E9D81EA124C&lt;/uuid&gt;&lt;/publication&gt;&lt;/bundle&gt;&lt;authors&gt;&lt;author&gt;&lt;firstName&gt;Y&lt;/firstName&gt;&lt;middleNames&gt;L&lt;/middleNames&gt;&lt;lastName&gt;Zhao&lt;/lastName&gt;&lt;/author&gt;&lt;author&gt;&lt;firstName&gt;Y&lt;/firstName&gt;&lt;lastName&gt;Steinberger&lt;/lastName&gt;&lt;/author&gt;&lt;author&gt;&lt;firstName&gt;M&lt;/firstName&gt;&lt;lastName&gt;Shi&lt;/lastName&gt;&lt;/author&gt;&lt;author&gt;&lt;lastName&gt;Han, L. P.&lt;/lastName&gt;&lt;/author&gt;&lt;author&gt;&lt;firstName&gt;G&lt;/firstName&gt;&lt;middleNames&gt;H&lt;/middleNames&gt;&lt;lastName&gt;Xie&lt;/lastName&gt;&lt;/author&gt;&lt;/authors&gt;&lt;/publication&gt;&lt;/publications&gt;&lt;cites&gt;&lt;/cites&gt;&lt;/citation&gt;</w:instrText>
      </w:r>
      <w:r w:rsidR="0057053C">
        <w:fldChar w:fldCharType="separate"/>
      </w:r>
      <w:r w:rsidR="001C1AAC">
        <w:t>(</w:t>
      </w:r>
      <w:r w:rsidR="001C1AAC">
        <w:rPr>
          <w:i/>
          <w:iCs/>
        </w:rPr>
        <w:t>39</w:t>
      </w:r>
      <w:r w:rsidR="001C1AAC">
        <w:t xml:space="preserve">, </w:t>
      </w:r>
      <w:r w:rsidR="001C1AAC">
        <w:rPr>
          <w:i/>
          <w:iCs/>
        </w:rPr>
        <w:t>40</w:t>
      </w:r>
      <w:r w:rsidR="001C1AAC">
        <w:t xml:space="preserve">, </w:t>
      </w:r>
      <w:r w:rsidR="001C1AAC">
        <w:rPr>
          <w:i/>
          <w:iCs/>
        </w:rPr>
        <w:t>43</w:t>
      </w:r>
      <w:r w:rsidR="001C1AAC">
        <w:t>)</w:t>
      </w:r>
      <w:r w:rsidR="0057053C">
        <w:fldChar w:fldCharType="end"/>
      </w:r>
      <w:r w:rsidR="0057053C">
        <w:t xml:space="preserve">. </w:t>
      </w:r>
      <w:r w:rsidR="00C85EA1">
        <w:t xml:space="preserve">Cellulose is an unbranched homopolymer of &gt;500 β-(1,4)-linked glucose units. In plant cell walls, cellulose is primarily in the form of crystalline microfibrils consisting of approximately 36 hydrogen-bonded cellulose chains, but also has amorphous regions </w:t>
      </w:r>
      <w:r w:rsidR="00E6359E">
        <w:fldChar w:fldCharType="begin"/>
      </w:r>
      <w:r>
        <w:instrText xml:space="preserve"> ADDIN PAPERS2_CITATIONS &lt;citation&gt;&lt;uuid&gt;7B458E3F-BD77-4EE6-BCF0-CBAAE4B94536&lt;/uuid&gt;&lt;priority&gt;0&lt;/priority&gt;&lt;publications&gt;&lt;publication&gt;&lt;volume&gt;22&lt;/volume&gt;&lt;publication_date&gt;99200611001200000000220000&lt;/publication_date&gt;&lt;number&gt;1&lt;/number&gt;&lt;doi&gt;10.1146/annurev.cellbio.22.022206.160206&lt;/doi&gt;&lt;startpage&gt;53&lt;/startpage&gt;&lt;title&gt;Cellulose Synthesis in Higher Plants&lt;/title&gt;&lt;uuid&gt;9DFB8BAF-4E21-4CF7-96BC-910EB78BF3E1&lt;/uuid&gt;&lt;subtype&gt;400&lt;/subtype&gt;&lt;endpage&gt;78&lt;/endpage&gt;&lt;type&gt;400&lt;/type&gt;&lt;url&gt;http://www.annualreviews.org/doi/abs/10.1146/annurev.cellbio.22.022206.160206&lt;/url&gt;&lt;bundle&gt;&lt;publication&gt;&lt;title&gt;Annual Review of Cell and Developmental Biology&lt;/title&gt;&lt;type&gt;-100&lt;/type&gt;&lt;subtype&gt;-100&lt;/subtype&gt;&lt;uuid&gt;44C57099-5C28-4081-B4D5-2DBCECB5F7AF&lt;/uuid&gt;&lt;/publication&gt;&lt;/bundle&gt;&lt;authors&gt;&lt;author&gt;&lt;firstName&gt;Chris&lt;/firstName&gt;&lt;lastName&gt;Somerville&lt;/lastName&gt;&lt;/author&gt;&lt;/authors&gt;&lt;/publication&gt;&lt;publication&gt;&lt;volume&gt;163&lt;/volume&gt;&lt;number&gt;4&lt;/number&gt;&lt;doi&gt;10.1104/pp.113.228262&lt;/doi&gt;&lt;institution&gt;Newman, RH</w:instrText>
      </w:r>
    </w:p>
    <w:p w14:paraId="37739E9D" w14:textId="77777777" w:rsidR="00807999" w:rsidRDefault="00807999" w:rsidP="00C85EA1">
      <w:r>
        <w:instrText>Scion, Private Bag 3020, Rotorua 3046, New Zealand</w:instrText>
      </w:r>
    </w:p>
    <w:p w14:paraId="3F339D42" w14:textId="77777777" w:rsidR="00807999" w:rsidRDefault="00807999" w:rsidP="00C85EA1">
      <w:r>
        <w:instrText>Scion, Private Bag 3020, Rotorua 3046, New Zealand</w:instrText>
      </w:r>
    </w:p>
    <w:p w14:paraId="3133C2DB" w14:textId="77777777" w:rsidR="00807999" w:rsidRDefault="00807999" w:rsidP="00C85EA1">
      <w:r>
        <w:instrText>Scion, Rotorua 3046, New Zealand</w:instrText>
      </w:r>
    </w:p>
    <w:p w14:paraId="22A4C1BB" w14:textId="60C6D443" w:rsidR="000B45E4" w:rsidRDefault="00807999" w:rsidP="00C85EA1">
      <w:r>
        <w:instrText>Univ Auckland, Sch Biol Sci, Auckland 1142, New Zealand&lt;/institution&gt;&lt;startpage&gt;1558&lt;/startpage&gt;&lt;title&gt;Wide-Angle X-Ray Scattering and Solid-State Nuclear Magnetic Resonance Data Combined to Test Models for Cellulose Microfibrils in Mung Bean Cell Walls&lt;/title&gt;&lt;uuid&gt;B8921BC3-63BD-4D43-9F58-3EEEBBFE5818&lt;/uuid&gt;&lt;subtype&gt;400&lt;/subtype&gt;&lt;endpage&gt;1567&lt;/endpage&gt;&lt;type&gt;400&lt;/type&gt;&lt;publication_date&gt;99201312001200000000220000&lt;/publication_date&gt;&lt;bundle&gt;&lt;publication&gt;&lt;publisher&gt;American Society of Plant Physiologists&lt;/publisher&gt;&lt;title&gt;Plant physiology&lt;/title&gt;&lt;type&gt;-100&lt;/type&gt;&lt;subtype&gt;-100&lt;/subtype&gt;&lt;uuid&gt;B97DA55A-D50B-4A35-A621-F9088F5658CB&lt;/uuid&gt;&lt;/publication&gt;&lt;/bundle&gt;&lt;authors&gt;&lt;author&gt;&lt;firstName&gt;R&lt;/firstName&gt;&lt;middleNames&gt;H&lt;/middleNames&gt;&lt;lastName&gt;Newman&lt;/lastName&gt;&lt;/author&gt;&lt;author&gt;&lt;firstName&gt;Stefan&lt;/firstName&gt;&lt;middleNames&gt;J&lt;/middleNames&gt;&lt;lastName&gt;Hill&lt;/lastName&gt;&lt;/author&gt;&lt;author&gt;&lt;firstName&gt;P&lt;/firstName&gt;&lt;middleNames&gt;J&lt;/middleNames&gt;&lt;lastName&gt;Harris&lt;/lastName&gt;&lt;/author&gt;&lt;/authors&gt;&lt;/publication&gt;&lt;/publications&gt;&lt;cites&gt;&lt;/cites&gt;&lt;/citation&gt;</w:instrText>
      </w:r>
      <w:r w:rsidR="00E6359E">
        <w:fldChar w:fldCharType="separate"/>
      </w:r>
      <w:r w:rsidR="001C1AAC">
        <w:t>(</w:t>
      </w:r>
      <w:r w:rsidR="001C1AAC">
        <w:rPr>
          <w:i/>
          <w:iCs/>
        </w:rPr>
        <w:t>45</w:t>
      </w:r>
      <w:r w:rsidR="001C1AAC">
        <w:t xml:space="preserve">, </w:t>
      </w:r>
      <w:r w:rsidR="001C1AAC">
        <w:rPr>
          <w:i/>
          <w:iCs/>
        </w:rPr>
        <w:t>46</w:t>
      </w:r>
      <w:r w:rsidR="001C1AAC">
        <w:t>)</w:t>
      </w:r>
      <w:r w:rsidR="00E6359E">
        <w:fldChar w:fldCharType="end"/>
      </w:r>
      <w:r w:rsidR="00E6359E">
        <w:t>.</w:t>
      </w:r>
    </w:p>
    <w:p w14:paraId="22D2D5C0" w14:textId="77777777" w:rsidR="00807999" w:rsidRDefault="00C85EA1" w:rsidP="00C85EA1">
      <w:r>
        <w:t xml:space="preserve">Hemicelluloses are typically branched polysaccharides substituted with various sugars and acyl groups. As discussed further in </w:t>
      </w:r>
      <w:r w:rsidR="00B146E0" w:rsidRPr="00B146E0">
        <w:t>section 2.3</w:t>
      </w:r>
      <w:r>
        <w:t xml:space="preserve">, the different sugar composition and linkages of hemicelluloses influence thermal products </w:t>
      </w:r>
      <w:r w:rsidR="00E6359E">
        <w:fldChar w:fldCharType="begin"/>
      </w:r>
      <w:r w:rsidR="00807999">
        <w:instrText xml:space="preserve"> ADDIN PAPERS2_CITATIONS &lt;citation&gt;&lt;uuid&gt;186FD8AF-4245-4218-8D73-0EBB1CAE08A2&lt;/uuid&gt;&lt;priority&gt;0&lt;/priority&gt;&lt;publications&gt;&lt;publication&gt;&lt;uuid&gt;1B122CE6-4B7F-4099-875D-23E128953AA8&lt;/uuid&gt;&lt;volume&gt;25&lt;/volume&gt;&lt;doi&gt;10.1016/S0008-6215(00)82742-1&lt;/doi&gt;&lt;startpage&gt;23&lt;/startpage&gt;&lt;publication_date&gt;99197200001200000000200000&lt;/publication_date&gt;&lt;url&gt;http://linkinghub.elsevier.com/retrieve/pii/S0008621500827421&lt;/url&gt;&lt;citekey&gt;Shafizadeh:1972ju&lt;/citekey&gt;&lt;type&gt;400&lt;/type&gt;&lt;title&gt;Thermal degradation of xylan and related model compounds&lt;/title&gt;&lt;number&gt;1&lt;/number&gt;&lt;subtype&gt;400&lt;/subtype&gt;&lt;endpage&gt;33&lt;/endpage&gt;&lt;bundle&gt;&lt;publication&gt;&lt;title&gt;Carbohydrate Research&lt;/title&gt;&lt;type&gt;-100&lt;/type&gt;&lt;subtype&gt;-100&lt;/subtype&gt;&lt;uuid&gt;BE27CC05-2234-4BA6-9D53-46C42A7F4DE7&lt;/uuid&gt;&lt;/publication&gt;&lt;/bundle&gt;&lt;authors&gt;&lt;author&gt;&lt;firstName&gt;F&lt;/firstName&gt;&lt;lastName&gt;Shafizadeh&lt;/lastName&gt;&lt;/author&gt;&lt;author&gt;&lt;firstName&gt;G&lt;/firstName&gt;&lt;middleNames&gt;D&lt;/middleNames&gt;&lt;lastName&gt;McGinnis&lt;/lastName&gt;&lt;/author&gt;&lt;author&gt;&lt;firstName&gt;C&lt;/firstName&gt;&lt;middleNames&gt;W&lt;/middleNames&gt;&lt;lastName&gt;Philpot&lt;/lastName&gt;&lt;/author&gt;&lt;/authors&gt;&lt;/publication&gt;&lt;publication&gt;&lt;volume&gt;108&lt;/volume&gt;&lt;publication_date&gt;99201407001200000000220000&lt;/publication_date&gt;&lt;doi&gt;10.1016/j.jaap.2014.05.016&lt;/doi&gt;&lt;startpage&gt;56&lt;/startpage&gt;&lt;title&gt;A comprehensive study on relating cell-wall components of lignocellulosic biomass to oxygenated species formed during pyrolysis&lt;/title&gt;&lt;uuid&gt;7FED9759-6353-4731-8DD7-7EE86258EDA2&lt;/uuid&gt;&lt;subtype&gt;400&lt;/subtype&gt;&lt;endpage&gt;67&lt;/endpage&gt;&lt;type&gt;400&lt;/type&gt;&lt;citekey&gt;Mante:2014eu&lt;/citekey&gt;&lt;url&gt;http://linkinghub.elsevier.com/retrieve/pii/S0165237014001223&lt;/url&gt;&lt;bundle&gt;&lt;publication&gt;&lt;publisher&gt;Elsevier B.V.&lt;/publisher&gt;&lt;title&gt;Journal of Analytical and Applied Pyrolysis&lt;/title&gt;&lt;type&gt;-100&lt;/type&gt;&lt;subtype&gt;-100&lt;/subtype&gt;&lt;uuid&gt;D2B451F2-ABD5-4B2D-92A4-9DB1FFA0C21E&lt;/uuid&gt;&lt;/publication&gt;&lt;/bundle&gt;&lt;authors&gt;&lt;author&gt;&lt;firstName&gt;Ofei&lt;/firstName&gt;&lt;middleNames&gt;D&lt;/middleNames&gt;&lt;lastName&gt;Mante&lt;/lastName&gt;&lt;/author&gt;&lt;author&gt;&lt;firstName&gt;Suresh&lt;/firstName&gt;&lt;middleNames&gt;P&lt;/middleNames&gt;&lt;lastName&gt;Babu&lt;/lastName&gt;&lt;/author&gt;&lt;author&gt;&lt;firstName&gt;Thomas&lt;/firstName&gt;&lt;middleNames&gt;E&lt;/middleNames&gt;&lt;lastName&gt;Amidon&lt;/lastName&gt;&lt;/author&gt;&lt;/authors&gt;&lt;/publication&gt;&lt;/publications&gt;&lt;cites&gt;&lt;/cites&gt;&lt;/citation&gt;</w:instrText>
      </w:r>
      <w:r w:rsidR="00E6359E">
        <w:fldChar w:fldCharType="separate"/>
      </w:r>
      <w:r w:rsidR="001C1AAC">
        <w:t>(</w:t>
      </w:r>
      <w:r w:rsidR="001C1AAC">
        <w:rPr>
          <w:i/>
          <w:iCs/>
        </w:rPr>
        <w:t>47</w:t>
      </w:r>
      <w:r w:rsidR="001C1AAC">
        <w:t xml:space="preserve">, </w:t>
      </w:r>
      <w:r w:rsidR="001C1AAC">
        <w:rPr>
          <w:i/>
          <w:iCs/>
        </w:rPr>
        <w:t>48</w:t>
      </w:r>
      <w:r w:rsidR="001C1AAC">
        <w:t>)</w:t>
      </w:r>
      <w:r w:rsidR="00E6359E">
        <w:fldChar w:fldCharType="end"/>
      </w:r>
      <w:r>
        <w:t xml:space="preserve">. The structure and composition of hemicellulosic polysaccharides differ depending on plant species classification, i.e., taxonomy. Major taxonomic divisions with the relevance to bioenergy production are grasses, such as switchgrass and wheat; woody dicots, i.e., hardwoods, such as poplar; and woody gymnosperms, i.e., softwoods, such as pine. The most abundant grass hemicelluloses are mixed-linkage glucan (MLG) and glucuronoarabinoxylan (GAX) </w:t>
      </w:r>
      <w:r w:rsidR="00516F97">
        <w:fldChar w:fldCharType="begin"/>
      </w:r>
      <w:r w:rsidR="00807999">
        <w:instrText xml:space="preserve"> ADDIN PAPERS2_CITATIONS &lt;citation&gt;&lt;uuid&gt;2A90C21A-AA59-44A6-8768-003C6660025E&lt;/uuid&gt;&lt;priority&gt;0&lt;/priority&gt;&lt;publications&gt;&lt;publication&gt;&lt;volume&gt;61&lt;/volume&gt;&lt;publication_date&gt;99201000001200000000200000&lt;/publication_date&gt;&lt;number&gt;1&lt;/number&gt;&lt;doi&gt;10.1146/annurev-arplant-042809-112315&lt;/doi&gt;&lt;startpage&gt;263&lt;/startpage&gt;&lt;title&gt;Hemicelluloses&lt;/title&gt;&lt;uuid&gt;3197DB28-417C-4088-8849-5A6795896816&lt;/uuid&gt;&lt;subtype&gt;400&lt;/subtype&gt;&lt;endpage&gt;289&lt;/endpage&gt;&lt;type&gt;400&lt;/type&gt;&lt;url&gt;http://www.annualreviews.org/doi/abs/10.1146/annurev-arplant-042809-112315&lt;/url&gt;&lt;bundle&gt;&lt;publication&gt;&lt;title&gt;Annual review of plant biology&lt;/title&gt;&lt;type&gt;-100&lt;/type&gt;&lt;subtype&gt;-100&lt;/subtype&gt;&lt;uuid&gt;4CDB0732-FE75-4F56-9627-A14F8E94872D&lt;/uuid&gt;&lt;/publication&gt;&lt;/bundle&gt;&lt;authors&gt;&lt;author&gt;&lt;firstName&gt;Henrik&lt;/firstName&gt;&lt;middleNames&gt;Vibe&lt;/middleNames&gt;&lt;lastName&gt;Scheller&lt;/lastName&gt;&lt;/author&gt;&lt;author&gt;&lt;firstName&gt;Peter&lt;/firstName&gt;&lt;lastName&gt;Ulvskov&lt;/lastName&gt;&lt;/author&gt;&lt;/authors&gt;&lt;/publication&gt;&lt;publication&gt;&lt;uuid&gt;5D8E6428-EB5A-445F-8EA2-D2849385C40D&lt;/uuid&gt;&lt;volume&gt;8&lt;/volume&gt;&lt;doi&gt;10.4161/psb.23143&lt;/doi&gt;&lt;version&gt;2013/01/10&lt;/version&gt;&lt;startpage&gt;e23143&lt;/startpage&gt;&lt;publication_date&gt;99201302001200000000220000&lt;/publication_date&gt;&lt;url&gt;http://www.ncbi.nlm.nih.gov/pubmed/23299432&lt;/url&gt;&lt;type&gt;400&lt;/type&gt;&lt;title&gt;Abundance of mixed linkage glucan in mature tissues and secondary cell walls of grasses&lt;/title&gt;&lt;institution&gt;Joint BioEnergy Institute and Physical Biosciences Division; Lawrence Berkeley National Laboratory; Berkeley, CA USA.</w:instrText>
      </w:r>
    </w:p>
    <w:p w14:paraId="62FB353E" w14:textId="77777777" w:rsidR="00807999" w:rsidRDefault="00807999" w:rsidP="00C85EA1">
      <w:r>
        <w:instrText>Joint BioEnergy Institute and Physical Biosciences Division; Lawrence Berkeley National Laboratory; Berkeley, CA USA; Department of Plant Pathology and the Genome Center; University of California; Davis, CA USA.&lt;/institution&gt;&lt;number&gt;2&lt;/number&gt;&lt;subtype&gt;400&lt;/subtype&gt;&lt;bundle&gt;&lt;publication&gt;&lt;title&gt;Plant Signal Behav&lt;/title&gt;&lt;type&gt;-100&lt;/type&gt;&lt;subtype&gt;-100&lt;/subtype&gt;&lt;uuid&gt;7EF2EBF1-8C82-4209-A558-A60BAEA06B4F&lt;/uuid&gt;&lt;/publication&gt;&lt;/bundle&gt;&lt;authors&gt;&lt;author&gt;&lt;firstName&gt;Miguel&lt;/firstName&gt;&lt;middleNames&gt;E&lt;/middleNames&gt;&lt;lastName&gt;Vega-Sánchez&lt;/lastName&gt;&lt;/author&gt;&lt;author&gt;&lt;firstName&gt;Y&lt;/firstName&gt;&lt;lastName&gt;Verhertbruggen&lt;/lastName&gt;&lt;/author&gt;&lt;author&gt;&lt;firstName&gt;H&lt;/firstName&gt;&lt;middleNames&gt;V&lt;/middleNames&gt;&lt;lastName&gt;Scheller&lt;/lastName&gt;&lt;/author&gt;&lt;author&gt;&lt;firstName&gt;Pamela&lt;/firstName&gt;&lt;middleNames&gt;C&lt;/middleNames&gt;&lt;lastName&gt;Ronald&lt;/lastName&gt;&lt;/author&gt;&lt;/authors&gt;&lt;/publication&gt;&lt;/publications&gt;&lt;cites&gt;&lt;/cites&gt;&lt;/citation&gt;</w:instrText>
      </w:r>
      <w:r w:rsidR="00516F97">
        <w:fldChar w:fldCharType="separate"/>
      </w:r>
      <w:r w:rsidR="001C1AAC">
        <w:t>(</w:t>
      </w:r>
      <w:r w:rsidR="001C1AAC">
        <w:rPr>
          <w:i/>
          <w:iCs/>
        </w:rPr>
        <w:t>41</w:t>
      </w:r>
      <w:r w:rsidR="001C1AAC">
        <w:t xml:space="preserve">, </w:t>
      </w:r>
      <w:r w:rsidR="001C1AAC">
        <w:rPr>
          <w:i/>
          <w:iCs/>
        </w:rPr>
        <w:t>49</w:t>
      </w:r>
      <w:r w:rsidR="001C1AAC">
        <w:t>)</w:t>
      </w:r>
      <w:r w:rsidR="00516F97">
        <w:fldChar w:fldCharType="end"/>
      </w:r>
      <w:r w:rsidR="00516F97">
        <w:t>;</w:t>
      </w:r>
      <w:r w:rsidR="00C85EA1">
        <w:t xml:space="preserve"> the hemicelluloses of hardwood are primarily composed of glucuronoxylans (GX) but also contain a small amount of galactomannans (GM) </w:t>
      </w:r>
      <w:r w:rsidR="00516F97">
        <w:fldChar w:fldCharType="begin"/>
      </w:r>
      <w:r>
        <w:instrText xml:space="preserve"> ADDIN PAPERS2_CITATIONS &lt;citation&gt;&lt;uuid&gt;A78B823D-D14E-46A8-A13F-77145F804997&lt;/uuid&gt;&lt;priority&gt;0&lt;/priority&gt;&lt;publications&gt;&lt;publication&gt;&lt;volume&gt;54&lt;/volume&gt;&lt;number&gt;4&lt;/number&gt;&lt;doi&gt;10.1111/j.1365-313X.2008.03463.x&lt;/doi&gt;&lt;institution&gt;Pauly, M</w:instrText>
      </w:r>
    </w:p>
    <w:p w14:paraId="36F61B05" w14:textId="77777777" w:rsidR="00807999" w:rsidRDefault="00807999" w:rsidP="00C85EA1">
      <w:r>
        <w:instrText>Michigan State Univ, Dept Energy, Plant Res Lab, E Lansing, MI 48824 USA</w:instrText>
      </w:r>
    </w:p>
    <w:p w14:paraId="70AF1572" w14:textId="77777777" w:rsidR="00807999" w:rsidRDefault="00807999" w:rsidP="00C85EA1">
      <w:r>
        <w:instrText>Michigan State Univ, Dept Energy, Plant Res Lab, E Lansing, MI 48824 USA</w:instrText>
      </w:r>
    </w:p>
    <w:p w14:paraId="4EC1CFD7" w14:textId="77777777" w:rsidR="00807999" w:rsidRDefault="00807999" w:rsidP="00C85EA1">
      <w:r>
        <w:instrText>Michigan State Univ, Dept Energy, Plant Res Lab, E Lansing, MI 48824 USA</w:instrText>
      </w:r>
    </w:p>
    <w:p w14:paraId="389CCA23" w14:textId="77777777" w:rsidR="00807999" w:rsidRDefault="00807999" w:rsidP="00C85EA1">
      <w:r>
        <w:instrText>Michigan State Univ, Dept Biochem &amp;amp; Mol Biol, E Lansing, MI 48824 USA&lt;/institution&gt;&lt;startpage&gt;559&lt;/startpage&gt;&lt;title&gt;Cell-wall carbohydrates and their modification as a resource for biofuels&lt;/title&gt;&lt;uuid&gt;09CB0D5A-6DCE-490A-8FB6-94E67C914D6F&lt;/uuid&gt;&lt;subtype&gt;400&lt;/subtype&gt;&lt;endpage&gt;568&lt;/endpage&gt;&lt;type&gt;400&lt;/type&gt;&lt;publication_date&gt;99200805001200000000220000&lt;/publication_date&gt;&lt;bundle&gt;&lt;publication&gt;&lt;title&gt;Plant Journal&lt;/title&gt;&lt;type&gt;-100&lt;/type&gt;&lt;subtype&gt;-100&lt;/subtype&gt;&lt;uuid&gt;2F3A7548-422B-440E-B60D-942724219C51&lt;/uuid&gt;&lt;/publication&gt;&lt;/bundle&gt;&lt;authors&gt;&lt;author&gt;&lt;firstName&gt;M&lt;/firstName&gt;&lt;lastName&gt;Pauly&lt;/lastName&gt;&lt;/author&gt;&lt;author&gt;&lt;firstName&gt;K&lt;/firstName&gt;&lt;lastName&gt;Keegstra&lt;/lastName&gt;&lt;/author&gt;&lt;/authors&gt;&lt;/publication&gt;&lt;/publications&gt;&lt;cites&gt;&lt;/cites&gt;&lt;/citation&gt;</w:instrText>
      </w:r>
      <w:r w:rsidR="00516F97">
        <w:fldChar w:fldCharType="separate"/>
      </w:r>
      <w:r w:rsidR="001C1AAC">
        <w:t>(</w:t>
      </w:r>
      <w:r w:rsidR="001C1AAC">
        <w:rPr>
          <w:i/>
          <w:iCs/>
        </w:rPr>
        <w:t>40</w:t>
      </w:r>
      <w:r w:rsidR="001C1AAC">
        <w:t>)</w:t>
      </w:r>
      <w:r w:rsidR="00516F97">
        <w:fldChar w:fldCharType="end"/>
      </w:r>
      <w:r w:rsidR="00516F97">
        <w:t xml:space="preserve">; </w:t>
      </w:r>
      <w:r w:rsidR="00C85EA1">
        <w:t>and softwood hemicelluloses are largely gal</w:t>
      </w:r>
      <w:r w:rsidR="00516F97">
        <w:t xml:space="preserve">actoglucomannan (GGM) and GAXs </w:t>
      </w:r>
      <w:r w:rsidR="00516F97">
        <w:fldChar w:fldCharType="begin"/>
      </w:r>
      <w:r>
        <w:instrText xml:space="preserve"> ADDIN PAPERS2_CITATIONS &lt;citation&gt;&lt;uuid&gt;DF01BAAD-0892-4840-8E26-E10389B5E700&lt;/uuid&gt;&lt;priority&gt;0&lt;/priority&gt;&lt;publications&gt;&lt;publication&gt;&lt;volume&gt;61&lt;/volume&gt;&lt;publication_date&gt;99201000001200000000200000&lt;/publication_date&gt;&lt;number&gt;1&lt;/number&gt;&lt;doi&gt;10.1146/annurev-arplant-042809-112315&lt;/doi&gt;&lt;startpage&gt;263&lt;/startpage&gt;&lt;title&gt;Hemicelluloses&lt;/title&gt;&lt;uuid&gt;3197DB28-417C-4088-8849-5A6795896816&lt;/uuid&gt;&lt;subtype&gt;400&lt;/subtype&gt;&lt;endpage&gt;289&lt;/endpage&gt;&lt;type&gt;400&lt;/type&gt;&lt;url&gt;http://www.annualreviews.org/doi/abs/10.1146/annurev-arplant-042809-112315&lt;/url&gt;&lt;bundle&gt;&lt;publication&gt;&lt;title&gt;Annual review of plant biology&lt;/title&gt;&lt;type&gt;-100&lt;/type&gt;&lt;subtype&gt;-100&lt;/subtype&gt;&lt;uuid&gt;4CDB0732-FE75-4F56-9627-A14F8E94872D&lt;/uuid&gt;&lt;/publication&gt;&lt;/bundle&gt;&lt;authors&gt;&lt;author&gt;&lt;firstName&gt;Henrik&lt;/firstName&gt;&lt;middleNames&gt;Vibe&lt;/middleNames&gt;&lt;lastName&gt;Scheller&lt;/lastName&gt;&lt;/author&gt;&lt;author&gt;&lt;firstName&gt;Peter&lt;/firstName&gt;&lt;lastName&gt;Ulvskov&lt;/lastName&gt;&lt;/author&gt;&lt;/authors&gt;&lt;/publication&gt;&lt;/publications&gt;&lt;cites&gt;&lt;/cites&gt;&lt;/citation&gt;</w:instrText>
      </w:r>
      <w:r w:rsidR="00516F97">
        <w:fldChar w:fldCharType="separate"/>
      </w:r>
      <w:r w:rsidR="001C1AAC">
        <w:t>(</w:t>
      </w:r>
      <w:r w:rsidR="001C1AAC">
        <w:rPr>
          <w:i/>
          <w:iCs/>
        </w:rPr>
        <w:t>41</w:t>
      </w:r>
      <w:r w:rsidR="001C1AAC">
        <w:t>)</w:t>
      </w:r>
      <w:r w:rsidR="00516F97">
        <w:fldChar w:fldCharType="end"/>
      </w:r>
      <w:r w:rsidR="00C85EA1">
        <w:t>. MLG is an unbranched glucose polymer similar to cellulose but containing both β-(1-3)- and β-(1-4)-linkages</w:t>
      </w:r>
      <w:r w:rsidR="00D045E9">
        <w:t xml:space="preserve"> </w:t>
      </w:r>
      <w:r w:rsidR="00516F97">
        <w:fldChar w:fldCharType="begin"/>
      </w:r>
      <w:r>
        <w:instrText xml:space="preserve"> ADDIN PAPERS2_CITATIONS &lt;citation&gt;&lt;uuid&gt;071C47D3-BDD2-4368-B850-03C858AA020A&lt;/uuid&gt;&lt;priority&gt;0&lt;/priority&gt;&lt;publications&gt;&lt;publication&gt;&lt;volume&gt;159&lt;/volume&gt;&lt;number&gt;1&lt;/number&gt;&lt;doi&gt;10.1104/pp.112.195495&lt;/doi&gt;&lt;institution&gt;Ronald, PC</w:instrText>
      </w:r>
    </w:p>
    <w:p w14:paraId="2259F3C4" w14:textId="77777777" w:rsidR="00807999" w:rsidRDefault="00807999" w:rsidP="00C85EA1">
      <w:r>
        <w:instrText>Joint BioEnergy Inst, Emeryville, CA 94608 USA</w:instrText>
      </w:r>
    </w:p>
    <w:p w14:paraId="65FCDB90" w14:textId="77777777" w:rsidR="00807999" w:rsidRDefault="00807999" w:rsidP="00C85EA1">
      <w:r>
        <w:instrText>Joint BioEnergy Inst, Emeryville, CA 94608 USA</w:instrText>
      </w:r>
    </w:p>
    <w:p w14:paraId="3B58B93C" w14:textId="77777777" w:rsidR="00807999" w:rsidRDefault="00807999" w:rsidP="00C85EA1">
      <w:r>
        <w:instrText>Joint BioEnergy Inst, Emeryville, CA 94608 USA</w:instrText>
      </w:r>
    </w:p>
    <w:p w14:paraId="4E9EAD82" w14:textId="77777777" w:rsidR="00807999" w:rsidRDefault="00807999" w:rsidP="00C85EA1">
      <w:r>
        <w:instrText>Univ Calif Berkeley, Lawrence Berkeley Natl Lab, Div Phys Biosci, Berkeley, CA 94720 USA</w:instrText>
      </w:r>
    </w:p>
    <w:p w14:paraId="31520FA3" w14:textId="77777777" w:rsidR="00807999" w:rsidRDefault="00807999" w:rsidP="00C85EA1">
      <w:r>
        <w:instrText>Univ Calif Berkeley, Lawrence Berkeley Natl Lab, Div Life Sci, Berkeley, CA 94720 USA</w:instrText>
      </w:r>
    </w:p>
    <w:p w14:paraId="7F8A9DEB" w14:textId="77777777" w:rsidR="00807999" w:rsidRDefault="00807999" w:rsidP="00C85EA1">
      <w:r>
        <w:instrText>Black Mt Labs, Commonwealth Sci &amp;amp; Ind Res Org Food Futures Flags, Black Mt, ACT 2601, Australia</w:instrText>
      </w:r>
    </w:p>
    <w:p w14:paraId="404CFC0D" w14:textId="77777777" w:rsidR="00807999" w:rsidRDefault="00807999" w:rsidP="00C85EA1">
      <w:r>
        <w:instrText>Black Mt Labs, Commonwealth Sci &amp;amp; Ind Res Org Plant Ind, Black Mt, ACT 2601, Australia</w:instrText>
      </w:r>
    </w:p>
    <w:p w14:paraId="3919D239" w14:textId="77777777" w:rsidR="00807999" w:rsidRDefault="00807999" w:rsidP="00C85EA1">
      <w:r>
        <w:instrText>Univ Calif Davis, Dept Plant Pathol, Davis, CA 95616 USA</w:instrText>
      </w:r>
    </w:p>
    <w:p w14:paraId="3203830D" w14:textId="77777777" w:rsidR="00807999" w:rsidRDefault="00807999" w:rsidP="00C85EA1">
      <w:r>
        <w:instrText>Univ Calif Davis, Genome Ctr, Davis, CA 95616 USA</w:instrText>
      </w:r>
    </w:p>
    <w:p w14:paraId="37EAC386" w14:textId="77777777" w:rsidR="00807999" w:rsidRDefault="00807999" w:rsidP="00C85EA1">
      <w:r>
        <w:instrText>Sandia Natl Labs, Biomass Sci &amp;amp; Convers Technol Dept, Livermore, CA 94551 USA</w:instrText>
      </w:r>
    </w:p>
    <w:p w14:paraId="0FB550FE" w14:textId="77777777" w:rsidR="00807999" w:rsidRDefault="00807999" w:rsidP="00C85EA1">
      <w:r>
        <w:instrText>Kyung Hee Univ, Dept Plant Mol Syst Biotechnol, Yongin 446701, South Korea</w:instrText>
      </w:r>
    </w:p>
    <w:p w14:paraId="3CE6084A" w14:textId="77777777" w:rsidR="00807999" w:rsidRDefault="00807999" w:rsidP="00C85EA1">
      <w:r>
        <w:instrText>Kyung Hee Univ, Crop Biotech Inst, Yongin 446701, South Korea&lt;/institution&gt;&lt;startpage&gt;56&lt;/startpage&gt;&lt;title&gt;Loss of Cellulose Synthase-Like F6 Function Affects Mixed-Linkage Glucan Deposition, Cell Wall Mechanical Properties, and Defense Responses in Vegetative Tissues of Rice&lt;/title&gt;&lt;uuid&gt;D92CC9B1-CE4D-45A4-AB16-A96501322A5C&lt;/uuid&gt;&lt;subtype&gt;400&lt;/subtype&gt;&lt;endpage&gt;69&lt;/endpage&gt;&lt;type&gt;400&lt;/type&gt;&lt;publication_date&gt;99201205001200000000220000&lt;/publication_date&gt;&lt;bundle&gt;&lt;publication&gt;&lt;publisher&gt;American Society of Plant Physiologists&lt;/publisher&gt;&lt;title&gt;Plant physiology&lt;/title&gt;&lt;type&gt;-100&lt;/type&gt;&lt;subtype&gt;-100&lt;/subtype&gt;&lt;uuid&gt;B97DA55A-D50B-4A35-A621-F9088F5658CB&lt;/uuid&gt;&lt;/publication&gt;&lt;/bundle&gt;&lt;authors&gt;&lt;author&gt;&lt;firstName&gt;Miguel&lt;/firstName&gt;&lt;middleNames&gt;E&lt;/middleNames&gt;&lt;lastName&gt;Vega-Sánchez&lt;/lastName&gt;&lt;/author&gt;&lt;author&gt;&lt;firstName&gt;Y&lt;/firstName&gt;&lt;lastName&gt;Verhertbruggen&lt;/lastName&gt;&lt;/author&gt;&lt;author&gt;&lt;firstName&gt;U&lt;/firstName&gt;&lt;lastName&gt;Christensen&lt;/lastName&gt;&lt;/author&gt;&lt;author&gt;&lt;firstName&gt;X&lt;/firstName&gt;&lt;middleNames&gt;W&lt;/middleNames&gt;&lt;lastName&gt;Chen&lt;/lastName&gt;&lt;/author&gt;&lt;author&gt;&lt;firstName&gt;V&lt;/firstName&gt;&lt;lastName&gt;Sharma&lt;/lastName&gt;&lt;/author&gt;&lt;author&gt;&lt;firstName&gt;P&lt;/firstName&gt;&lt;lastName&gt;Varanasi&lt;/lastName&gt;&lt;/author&gt;&lt;author&gt;&lt;firstName&gt;S&lt;/firstName&gt;&lt;middleNames&gt;A&lt;/middleNames&gt;&lt;lastName&gt;Jobling&lt;/lastName&gt;&lt;/author&gt;&lt;author&gt;&lt;firstName&gt;M&lt;/firstName&gt;&lt;lastName&gt;Talbot&lt;/lastName&gt;&lt;/author&gt;&lt;author&gt;&lt;firstName&gt;R&lt;/firstName&gt;&lt;middleNames&gt;G&lt;/middleNames&gt;&lt;lastName&gt;White&lt;/lastName&gt;&lt;/author&gt;&lt;author&gt;&lt;firstName&gt;M&lt;/firstName&gt;&lt;lastName&gt;Joo&lt;/lastName&gt;&lt;/author&gt;&lt;author&gt;&lt;firstName&gt;S&lt;/firstName&gt;&lt;lastName&gt;Singh&lt;/lastName&gt;&lt;/author&gt;&lt;author&gt;&lt;firstName&gt;M&lt;/firstName&gt;&lt;lastName&gt;Auer&lt;/lastName&gt;&lt;/author&gt;&lt;author&gt;&lt;firstName&gt;H&lt;/firstName&gt;&lt;middleNames&gt;V&lt;/middleNames&gt;&lt;lastName&gt;Scheller&lt;/lastName&gt;&lt;/author&gt;&lt;author&gt;&lt;firstName&gt;Pamela&lt;/firstName&gt;&lt;middleNames&gt;C&lt;/middleNames&gt;&lt;lastName&gt;Ronald&lt;/lastName&gt;&lt;/author&gt;&lt;/authors&gt;&lt;/publication&gt;&lt;/publications&gt;&lt;cites&gt;&lt;/cites&gt;&lt;/citation&gt;</w:instrText>
      </w:r>
      <w:r w:rsidR="00516F97">
        <w:fldChar w:fldCharType="separate"/>
      </w:r>
      <w:r w:rsidR="001C1AAC">
        <w:t>(</w:t>
      </w:r>
      <w:r w:rsidR="001C1AAC">
        <w:rPr>
          <w:i/>
          <w:iCs/>
        </w:rPr>
        <w:t>42</w:t>
      </w:r>
      <w:r w:rsidR="001C1AAC">
        <w:t>)</w:t>
      </w:r>
      <w:r w:rsidR="00516F97">
        <w:fldChar w:fldCharType="end"/>
      </w:r>
      <w:r w:rsidR="00C85EA1">
        <w:t>. MLG is nearly unique to the order Poales, which includes the grasses, but has also been found in horsetail (</w:t>
      </w:r>
      <w:r w:rsidR="00C85EA1" w:rsidRPr="00B146E0">
        <w:rPr>
          <w:i/>
        </w:rPr>
        <w:t>Equisetum</w:t>
      </w:r>
      <w:r w:rsidR="00C85EA1">
        <w:t>). Its abundance in mature tissues and secondary cell walls has recently been recognized</w:t>
      </w:r>
      <w:r w:rsidR="00516F97">
        <w:fldChar w:fldCharType="begin"/>
      </w:r>
      <w:r>
        <w:instrText xml:space="preserve"> ADDIN PAPERS2_CITATIONS &lt;citation&gt;&lt;uuid&gt;668286FB-80FB-4DF3-93EC-8FA53D517DF7&lt;/uuid&gt;&lt;priority&gt;0&lt;/priority&gt;&lt;publications&gt;&lt;publication&gt;&lt;uuid&gt;5D8E6428-EB5A-445F-8EA2-D2849385C40D&lt;/uuid&gt;&lt;volume&gt;8&lt;/volume&gt;&lt;doi&gt;10.4161/psb.23143&lt;/doi&gt;&lt;version&gt;2013/01/10&lt;/version&gt;&lt;startpage&gt;e23143&lt;/startpage&gt;&lt;publication_date&gt;99201302001200000000220000&lt;/publication_date&gt;&lt;url&gt;http://www.ncbi.nlm.nih.gov/pubmed/23299432&lt;/url&gt;&lt;type&gt;400&lt;/type&gt;&lt;title&gt;Abundance of mixed linkage glucan in mature tissues and secondary cell walls of grasses&lt;/title&gt;&lt;institution&gt;Joint BioEnergy Institute and Physical Biosciences Division; Lawrence Berkeley National Laboratory; Berkeley, CA USA.</w:instrText>
      </w:r>
    </w:p>
    <w:p w14:paraId="43E8C49A" w14:textId="77777777" w:rsidR="00807999" w:rsidRDefault="00807999" w:rsidP="00C85EA1">
      <w:r>
        <w:instrText>Joint BioEnergy Institute and Physical Biosciences Division; Lawrence Berkeley National Laboratory; Berkeley, CA USA; Department of Plant Pathology and the Genome Center; University of California; Davis, CA USA.&lt;/institution&gt;&lt;number&gt;2&lt;/number&gt;&lt;subtype&gt;400&lt;/subtype&gt;&lt;bundle&gt;&lt;publication&gt;&lt;title&gt;Plant Signal Behav&lt;/title&gt;&lt;type&gt;-100&lt;/type&gt;&lt;subtype&gt;-100&lt;/subtype&gt;&lt;uuid&gt;7EF2EBF1-8C82-4209-A558-A60BAEA06B4F&lt;/uuid&gt;&lt;/publication&gt;&lt;/bundle&gt;&lt;authors&gt;&lt;author&gt;&lt;firstName&gt;Miguel&lt;/firstName&gt;&lt;middleNames&gt;E&lt;/middleNames&gt;&lt;lastName&gt;Vega-Sánchez&lt;/lastName&gt;&lt;/author&gt;&lt;author&gt;&lt;firstName&gt;Y&lt;/firstName&gt;&lt;lastName&gt;Verhertbruggen&lt;/lastName&gt;&lt;/author&gt;&lt;author&gt;&lt;firstName&gt;H&lt;/firstName&gt;&lt;middleNames&gt;V&lt;/middleNames&gt;&lt;lastName&gt;Scheller&lt;/lastName&gt;&lt;/author&gt;&lt;author&gt;&lt;firstName&gt;Pamela&lt;/firstName&gt;&lt;middleNames&gt;C&lt;/middleNames&gt;&lt;lastName&gt;Ronald&lt;/lastName&gt;&lt;/author&gt;&lt;/authors&gt;&lt;/publication&gt;&lt;/publications&gt;&lt;cites&gt;&lt;/cites&gt;&lt;/citation&gt;</w:instrText>
      </w:r>
      <w:r w:rsidR="00516F97">
        <w:fldChar w:fldCharType="separate"/>
      </w:r>
      <w:r w:rsidR="001C1AAC">
        <w:t>(</w:t>
      </w:r>
      <w:r w:rsidR="001C1AAC">
        <w:rPr>
          <w:i/>
          <w:iCs/>
        </w:rPr>
        <w:t>49</w:t>
      </w:r>
      <w:r w:rsidR="001C1AAC">
        <w:t>)</w:t>
      </w:r>
      <w:r w:rsidR="00516F97">
        <w:fldChar w:fldCharType="end"/>
      </w:r>
      <w:r w:rsidR="00C85EA1">
        <w:t xml:space="preserve">. Xylans consist of a β-(1-4)-linked xylose backbone with various substitutions. GXs are xylans substituted mostly by glucuronic acid and 4-O-methyl glucuronic acid through α-(1-2)-linkages. GAXs are not only substituted by glucuronic acid, but also substituted </w:t>
      </w:r>
      <w:r w:rsidR="00C85EA1">
        <w:lastRenderedPageBreak/>
        <w:t xml:space="preserve">by arabinofuranoses at the O-3, which can be further substituted by the phenylpropanoid acids, to form feruloyl- and p-coumaryl esters linked at the O-5 </w:t>
      </w:r>
      <w:r w:rsidR="00516F97">
        <w:fldChar w:fldCharType="begin"/>
      </w:r>
      <w:r>
        <w:instrText xml:space="preserve"> ADDIN PAPERS2_CITATIONS &lt;citation&gt;&lt;uuid&gt;307E7459-0B95-4C41-827E-0DA2FCD5E3E8&lt;/uuid&gt;&lt;priority&gt;0&lt;/priority&gt;&lt;publications&gt;&lt;publication&gt;&lt;volume&gt;61&lt;/volume&gt;&lt;publication_date&gt;99201000001200000000200000&lt;/publication_date&gt;&lt;number&gt;1&lt;/number&gt;&lt;doi&gt;10.1146/annurev-arplant-042809-112315&lt;/doi&gt;&lt;startpage&gt;263&lt;/startpage&gt;&lt;title&gt;Hemicelluloses&lt;/title&gt;&lt;uuid&gt;3197DB28-417C-4088-8849-5A6795896816&lt;/uuid&gt;&lt;subtype&gt;400&lt;/subtype&gt;&lt;endpage&gt;289&lt;/endpage&gt;&lt;type&gt;400&lt;/type&gt;&lt;url&gt;http://www.annualreviews.org/doi/abs/10.1146/annurev-arplant-042809-112315&lt;/url&gt;&lt;bundle&gt;&lt;publication&gt;&lt;title&gt;Annual review of plant biology&lt;/title&gt;&lt;type&gt;-100&lt;/type&gt;&lt;subtype&gt;-100&lt;/subtype&gt;&lt;uuid&gt;4CDB0732-FE75-4F56-9627-A14F8E94872D&lt;/uuid&gt;&lt;/publication&gt;&lt;/bundle&gt;&lt;authors&gt;&lt;author&gt;&lt;firstName&gt;Henrik&lt;/firstName&gt;&lt;middleNames&gt;Vibe&lt;/middleNames&gt;&lt;lastName&gt;Scheller&lt;/lastName&gt;&lt;/author&gt;&lt;author&gt;&lt;firstName&gt;Peter&lt;/firstName&gt;&lt;lastName&gt;Ulvskov&lt;/lastName&gt;&lt;/author&gt;&lt;/authors&gt;&lt;/publication&gt;&lt;/publications&gt;&lt;cites&gt;&lt;/cites&gt;&lt;/citation&gt;</w:instrText>
      </w:r>
      <w:r w:rsidR="00516F97">
        <w:fldChar w:fldCharType="separate"/>
      </w:r>
      <w:r w:rsidR="001C1AAC">
        <w:t>(</w:t>
      </w:r>
      <w:r w:rsidR="001C1AAC">
        <w:rPr>
          <w:i/>
          <w:iCs/>
        </w:rPr>
        <w:t>41</w:t>
      </w:r>
      <w:r w:rsidR="001C1AAC">
        <w:t>)</w:t>
      </w:r>
      <w:r w:rsidR="00516F97">
        <w:fldChar w:fldCharType="end"/>
      </w:r>
      <w:r w:rsidR="00C85EA1">
        <w:t xml:space="preserve">. Acetyl groups are often attached to the O-3 of backbone xyloses but also attach to the O-2. Unlike xylans, which mainly consist of pentoses, mannans consist of hexoses like mannose, glucose and galactose. GM and GGM have a β-(1-4)-linked backbone with mannose or a combination of glucose and mannose, respectively. Both GM and GGM can be acetylated and substituted by α-(1-6)-linked galactoses </w:t>
      </w:r>
      <w:r w:rsidR="00516F97">
        <w:fldChar w:fldCharType="begin"/>
      </w:r>
      <w:r>
        <w:instrText xml:space="preserve"> ADDIN PAPERS2_CITATIONS &lt;citation&gt;&lt;uuid&gt;122180AE-16E1-4609-A3DE-3027D377EA80&lt;/uuid&gt;&lt;priority&gt;0&lt;/priority&gt;&lt;publications&gt;&lt;publication&gt;&lt;volume&gt;61&lt;/volume&gt;&lt;publication_date&gt;99201000001200000000200000&lt;/publication_date&gt;&lt;number&gt;1&lt;/number&gt;&lt;doi&gt;10.1146/annurev-arplant-042809-112315&lt;/doi&gt;&lt;startpage&gt;263&lt;/startpage&gt;&lt;title&gt;Hemicelluloses&lt;/title&gt;&lt;uuid&gt;3197DB28-417C-4088-8849-5A6795896816&lt;/uuid&gt;&lt;subtype&gt;400&lt;/subtype&gt;&lt;endpage&gt;289&lt;/endpage&gt;&lt;type&gt;400&lt;/type&gt;&lt;url&gt;http://www.annualreviews.org/doi/abs/10.1146/annurev-arplant-042809-112315&lt;/url&gt;&lt;bundle&gt;&lt;publication&gt;&lt;title&gt;Annual review of plant biology&lt;/title&gt;&lt;type&gt;-100&lt;/type&gt;&lt;subtype&gt;-100&lt;/subtype&gt;&lt;uuid&gt;4CDB0732-FE75-4F56-9627-A14F8E94872D&lt;/uuid&gt;&lt;/publication&gt;&lt;/bundle&gt;&lt;authors&gt;&lt;author&gt;&lt;firstName&gt;Henrik&lt;/firstName&gt;&lt;middleNames&gt;Vibe&lt;/middleNames&gt;&lt;lastName&gt;Scheller&lt;/lastName&gt;&lt;/author&gt;&lt;author&gt;&lt;firstName&gt;Peter&lt;/firstName&gt;&lt;lastName&gt;Ulvskov&lt;/lastName&gt;&lt;/author&gt;&lt;/authors&gt;&lt;/publication&gt;&lt;publication&gt;&lt;volume&gt;63&lt;/volume&gt;&lt;number&gt;11&lt;/number&gt;&lt;doi&gt;10.1093/Jxb/Ers096&lt;/doi&gt;&lt;institution&gt;Matilla, AJ</w:instrText>
      </w:r>
    </w:p>
    <w:p w14:paraId="309FE76E" w14:textId="77777777" w:rsidR="00807999" w:rsidRDefault="00807999" w:rsidP="00C85EA1">
      <w:r>
        <w:instrText>Univ Santiago de Compostela, Dept Plant Physiol, Fac Pharm, Santiago De Compostela 15782, Spain</w:instrText>
      </w:r>
    </w:p>
    <w:p w14:paraId="5FE2942C" w14:textId="77777777" w:rsidR="00807999" w:rsidRDefault="00807999" w:rsidP="00C85EA1">
      <w:r>
        <w:instrText>Univ Santiago de Compostela, Dept Plant Physiol, Fac Pharm, Santiago De Compostela 15782, Spain</w:instrText>
      </w:r>
    </w:p>
    <w:p w14:paraId="74201259" w14:textId="77777777" w:rsidR="00807999" w:rsidRDefault="00807999" w:rsidP="00C85EA1">
      <w:r>
        <w:instrText>Univ Santiago de Compostela, Dept Plant Physiol, Fac Pharm, Santiago De Compostela 15782, Spain</w:instrText>
      </w:r>
    </w:p>
    <w:p w14:paraId="7D459F27" w14:textId="2752DC92" w:rsidR="00C85EA1" w:rsidRDefault="00807999" w:rsidP="00C85EA1">
      <w:r>
        <w:instrText>Univ Politecn Madrid, Ctr Biotecnol &amp;amp; Genom Plantas UPM INIA, Escuela Tecn Super Ingenieros Agronomos, Madrid 28223, Spain&lt;/institution&gt;&lt;startpage&gt;3975&lt;/startpage&gt;&lt;title&gt;Softening-up mannan-rich cell walls&lt;/title&gt;&lt;uuid&gt;0673C666-3652-4AD8-9D16-AF95A6312C44&lt;/uuid&gt;&lt;subtype&gt;400&lt;/subtype&gt;&lt;endpage&gt;3988&lt;/endpage&gt;&lt;type&gt;400&lt;/type&gt;&lt;publication_date&gt;99201206001200000000220000&lt;/publication_date&gt;&lt;bundle&gt;&lt;publication&gt;&lt;title&gt;Journal of Experimental Botany&lt;/title&gt;&lt;type&gt;-100&lt;/type&gt;&lt;subtype&gt;-100&lt;/subtype&gt;&lt;uuid&gt;AA7C4D9B-B956-481C-9213-F4FF2863E7B8&lt;/uuid&gt;&lt;/publication&gt;&lt;/bundle&gt;&lt;authors&gt;&lt;author&gt;&lt;firstName&gt;M&lt;/firstName&gt;&lt;middleNames&gt;D C&lt;/middleNames&gt;&lt;lastName&gt;Rodriguez-Gacio&lt;/lastName&gt;&lt;/author&gt;&lt;author&gt;&lt;firstName&gt;R&lt;/firstName&gt;&lt;lastName&gt;Iglesias-Fernandez&lt;/lastName&gt;&lt;/author&gt;&lt;author&gt;&lt;firstName&gt;P&lt;/firstName&gt;&lt;lastName&gt;Carbonero&lt;/lastName&gt;&lt;/author&gt;&lt;author&gt;&lt;firstName&gt;A&lt;/firstName&gt;&lt;middleNames&gt;J&lt;/middleNames&gt;&lt;lastName&gt;Matilla&lt;/lastName&gt;&lt;/author&gt;&lt;/authors&gt;&lt;/publication&gt;&lt;publication&gt;&lt;uuid&gt;37B3DE72-4DEE-430D-BC11-7BE9CAE7ACDC&lt;/uuid&gt;&lt;volume&gt;238&lt;/volume&gt;&lt;doi&gt;10.1007/s00425-013-1921-1&lt;/doi&gt;&lt;startpage&gt;627&lt;/startpage&gt;&lt;publication_date&gt;99201300001200000000200000&lt;/publication_date&gt;&lt;url&gt;http://link.springer.com.ezproxy.lib.ou.edu/article/10.1007/s00425-013-1921-1/fulltext.html&lt;/url&gt;&lt;type&gt;400&lt;/type&gt;&lt;title&gt;Hemicellulose biosynthesis&lt;/title&gt;&lt;publisher&gt;Springer Berlin Heidelberg&lt;/publisher&gt;&lt;number&gt;4&lt;/number&gt;&lt;subtype&gt;400&lt;/subtype&gt;&lt;endpage&gt;642&lt;/endpage&gt;&lt;bundle&gt;&lt;publication&gt;&lt;title&gt;Planta&lt;/title&gt;&lt;type&gt;-100&lt;/type&gt;&lt;subtype&gt;-100&lt;/subtype&gt;&lt;uuid&gt;73D013A8-46B6-4E8C-A80A-E48EDF6129BA&lt;/uuid&gt;&lt;/publication&gt;&lt;/bundle&gt;&lt;authors&gt;&lt;author&gt;&lt;firstName&gt;Markus&lt;/firstName&gt;&lt;lastName&gt;Pauly&lt;/lastName&gt;&lt;/author&gt;&lt;author&gt;&lt;firstName&gt;Sascha&lt;/firstName&gt;&lt;lastName&gt;Gille&lt;/lastName&gt;&lt;/author&gt;&lt;author&gt;&lt;firstName&gt;Lifeng&lt;/firstName&gt;&lt;lastName&gt;Liu&lt;/lastName&gt;&lt;/author&gt;&lt;author&gt;&lt;firstName&gt;Nasim&lt;/firstName&gt;&lt;lastName&gt;Mansoori&lt;/lastName&gt;&lt;/author&gt;&lt;author&gt;&lt;nonDroppingParticle&gt;de&lt;/nonDroppingParticle&gt;&lt;firstName&gt;Amancio&lt;/firstName&gt;&lt;lastName&gt;Souza&lt;/lastName&gt;&lt;/author&gt;&lt;author&gt;&lt;firstName&gt;Alex&lt;/firstName&gt;&lt;lastName&gt;Schultink&lt;/lastName&gt;&lt;/author&gt;&lt;author&gt;&lt;firstName&gt;Guangyan&lt;/firstName&gt;&lt;lastName&gt;Xiong&lt;/lastName&gt;&lt;/author&gt;&lt;/authors&gt;&lt;/publication&gt;&lt;/publications&gt;&lt;cites&gt;&lt;/cites&gt;&lt;/citation&gt;</w:instrText>
      </w:r>
      <w:r w:rsidR="00516F97">
        <w:fldChar w:fldCharType="separate"/>
      </w:r>
      <w:r w:rsidR="001C1AAC">
        <w:t>(</w:t>
      </w:r>
      <w:r w:rsidR="001C1AAC">
        <w:rPr>
          <w:i/>
          <w:iCs/>
        </w:rPr>
        <w:t>41</w:t>
      </w:r>
      <w:r w:rsidR="001C1AAC">
        <w:t xml:space="preserve">, </w:t>
      </w:r>
      <w:r w:rsidR="001C1AAC">
        <w:rPr>
          <w:i/>
          <w:iCs/>
        </w:rPr>
        <w:t>50</w:t>
      </w:r>
      <w:r w:rsidR="001C1AAC">
        <w:t xml:space="preserve">, </w:t>
      </w:r>
      <w:r w:rsidR="001C1AAC">
        <w:rPr>
          <w:i/>
          <w:iCs/>
        </w:rPr>
        <w:t>51</w:t>
      </w:r>
      <w:r w:rsidR="001C1AAC">
        <w:t>)</w:t>
      </w:r>
      <w:r w:rsidR="00516F97">
        <w:fldChar w:fldCharType="end"/>
      </w:r>
      <w:r w:rsidR="00C85EA1">
        <w:t xml:space="preserve">. Relatively depleted in secondary walls, but rich in growing primary walls of dicot species, xyloglucan and pectins are two other polysaccharides in cell walls. Xyloglucan consists of β-(1-4)-linked glucose residues, modified by xylose and other sugar residues; and pectin is another branched or unbranched polymer that is rich in galacturonic acid, rhamnose, galactose, and several other monosaccharide residues </w:t>
      </w:r>
      <w:r w:rsidR="00516F97">
        <w:fldChar w:fldCharType="begin"/>
      </w:r>
      <w:r>
        <w:instrText xml:space="preserve"> ADDIN PAPERS2_CITATIONS &lt;citation&gt;&lt;uuid&gt;69700F03-583F-4D65-9A51-1DBC63B138EB&lt;/uuid&gt;&lt;priority&gt;0&lt;/priority&gt;&lt;publications&gt;&lt;publication&gt;&lt;uuid&gt;99988D06-85AC-4303-A02A-EA8693CCB021&lt;/uuid&gt;&lt;volume&gt;306&lt;/volume&gt;&lt;doi&gt;10.1126/science.1102765&lt;/doi&gt;&lt;startpage&gt;2206&lt;/startpage&gt;&lt;publication_date&gt;99200412241200000000222000&lt;/publication_date&gt;&lt;url&gt;http://science.sciencemag.org.ezproxy.lib.ou.edu/content/306/5705/2206.abstract&lt;/url&gt;&lt;type&gt;400&lt;/type&gt;&lt;title&gt;Toward a Systems Approach to Understanding Plant Cell Walls&lt;/title&gt;&lt;publisher&gt;American Association for the Advancement of Science&lt;/publisher&gt;&lt;number&gt;5705&lt;/number&gt;&lt;subtype&gt;400&lt;/subtype&gt;&lt;endpage&gt;2211&lt;/endpage&gt;&lt;bundle&gt;&lt;publication&gt;&lt;publisher&gt;American Association for the Advancement of Science&lt;/publisher&gt;&lt;url&gt;http://www.sciencemag.org&lt;/url&gt;&lt;title&gt;Science&lt;/title&gt;&lt;type&gt;-100&lt;/type&gt;&lt;subtype&gt;-100&lt;/subtype&gt;&lt;uuid&gt;8A2388A5-D0B3-43B8-ABF7-138853707B1F&lt;/uuid&gt;&lt;/publication&gt;&lt;/bundle&gt;&lt;authors&gt;&lt;author&gt;&lt;firstName&gt;Chris&lt;/firstName&gt;&lt;lastName&gt;Somerville&lt;/lastName&gt;&lt;/author&gt;&lt;author&gt;&lt;firstName&gt;Stefan&lt;/firstName&gt;&lt;lastName&gt;Bauer&lt;/lastName&gt;&lt;/author&gt;&lt;author&gt;&lt;firstName&gt;Ginger&lt;/firstName&gt;&lt;lastName&gt;Brininstool&lt;/lastName&gt;&lt;/author&gt;&lt;author&gt;&lt;firstName&gt;Michelle&lt;/firstName&gt;&lt;lastName&gt;Facette&lt;/lastName&gt;&lt;/author&gt;&lt;author&gt;&lt;firstName&gt;Thorsten&lt;/firstName&gt;&lt;lastName&gt;Hamann&lt;/lastName&gt;&lt;/author&gt;&lt;author&gt;&lt;firstName&gt;Jennifer&lt;/firstName&gt;&lt;lastName&gt;Milne&lt;/lastName&gt;&lt;/author&gt;&lt;author&gt;&lt;firstName&gt;Erin&lt;/firstName&gt;&lt;lastName&gt;Osborne&lt;/lastName&gt;&lt;/author&gt;&lt;author&gt;&lt;firstName&gt;Alex&lt;/firstName&gt;&lt;lastName&gt;Paredez&lt;/lastName&gt;&lt;/author&gt;&lt;author&gt;&lt;firstName&gt;Staffan&lt;/firstName&gt;&lt;lastName&gt;Persson&lt;/lastName&gt;&lt;/author&gt;&lt;author&gt;&lt;firstName&gt;Ted&lt;/firstName&gt;&lt;lastName&gt;Raab&lt;/lastName&gt;&lt;/author&gt;&lt;author&gt;&lt;firstName&gt;Sonja&lt;/firstName&gt;&lt;lastName&gt;Vorwerk&lt;/lastName&gt;&lt;/author&gt;&lt;author&gt;&lt;firstName&gt;Heather&lt;/firstName&gt;&lt;lastName&gt;Youngs&lt;/lastName&gt;&lt;/author&gt;&lt;/authors&gt;&lt;/publication&gt;&lt;publication&gt;&lt;volume&gt;61&lt;/volume&gt;&lt;publication_date&gt;99201000001200000000200000&lt;/publication_date&gt;&lt;number&gt;1&lt;/number&gt;&lt;doi&gt;10.1146/annurev-arplant-042809-112315&lt;/doi&gt;&lt;startpage&gt;263&lt;/startpage&gt;&lt;title&gt;Hemicelluloses&lt;/title&gt;&lt;uuid&gt;3197DB28-417C-4088-8849-5A6795896816&lt;/uuid&gt;&lt;subtype&gt;400&lt;/subtype&gt;&lt;endpage&gt;289&lt;/endpage&gt;&lt;type&gt;400&lt;/type&gt;&lt;url&gt;http://www.annualreviews.org/doi/abs/10.1146/annurev-arplant-042809-112315&lt;/url&gt;&lt;bundle&gt;&lt;publication&gt;&lt;title&gt;Annual review of plant biology&lt;/title&gt;&lt;type&gt;-100&lt;/type&gt;&lt;subtype&gt;-100&lt;/subtype&gt;&lt;uuid&gt;4CDB0732-FE75-4F56-9627-A14F8E94872D&lt;/uuid&gt;&lt;/publication&gt;&lt;/bundle&gt;&lt;authors&gt;&lt;author&gt;&lt;firstName&gt;Henrik&lt;/firstName&gt;&lt;middleNames&gt;Vibe&lt;/middleNames&gt;&lt;lastName&gt;Scheller&lt;/lastName&gt;&lt;/author&gt;&lt;author&gt;&lt;firstName&gt;Peter&lt;/firstName&gt;&lt;lastName&gt;Ulvskov&lt;/lastName&gt;&lt;/author&gt;&lt;/authors&gt;&lt;/publication&gt;&lt;/publications&gt;&lt;cites&gt;&lt;/cites&gt;&lt;/citation&gt;</w:instrText>
      </w:r>
      <w:r w:rsidR="00516F97">
        <w:fldChar w:fldCharType="separate"/>
      </w:r>
      <w:r w:rsidR="001C1AAC">
        <w:t>(</w:t>
      </w:r>
      <w:r w:rsidR="001C1AAC">
        <w:rPr>
          <w:i/>
          <w:iCs/>
        </w:rPr>
        <w:t>5</w:t>
      </w:r>
      <w:r w:rsidR="001C1AAC">
        <w:t xml:space="preserve">, </w:t>
      </w:r>
      <w:r w:rsidR="001C1AAC">
        <w:rPr>
          <w:i/>
          <w:iCs/>
        </w:rPr>
        <w:t>41</w:t>
      </w:r>
      <w:r w:rsidR="001C1AAC">
        <w:t>)</w:t>
      </w:r>
      <w:r w:rsidR="00516F97">
        <w:fldChar w:fldCharType="end"/>
      </w:r>
      <w:r w:rsidR="00516F97">
        <w:t>.</w:t>
      </w:r>
    </w:p>
    <w:p w14:paraId="3FFB8235" w14:textId="77777777" w:rsidR="00807999" w:rsidRDefault="00C85EA1" w:rsidP="00C85EA1">
      <w:r>
        <w:t>Lignin is a crosslinked, heteropolyphenol mainly assembled from three monolignols—sinapyl (</w:t>
      </w:r>
      <w:r w:rsidRPr="00D64A2C">
        <w:rPr>
          <w:b/>
          <w:i/>
        </w:rPr>
        <w:t>S</w:t>
      </w:r>
      <w:r>
        <w:t>), coniferyl (</w:t>
      </w:r>
      <w:r w:rsidRPr="00633D77">
        <w:rPr>
          <w:b/>
          <w:i/>
        </w:rPr>
        <w:t>G</w:t>
      </w:r>
      <w:r>
        <w:t>), and p-coumaryl (</w:t>
      </w:r>
      <w:r w:rsidRPr="00633D77">
        <w:rPr>
          <w:b/>
          <w:i/>
        </w:rPr>
        <w:t>H</w:t>
      </w:r>
      <w:r>
        <w:t xml:space="preserve">) alcohols. As waste products are often selected as biofuel feedstocks, it is also relevant to note that lignin derived from other monolignols such as caffeyl alcohol and 5-hydroxyconiferyl have been found in the seedcoat of both monocots and dicots </w:t>
      </w:r>
      <w:r w:rsidR="004B3618">
        <w:fldChar w:fldCharType="begin"/>
      </w:r>
      <w:r w:rsidR="00807999">
        <w:instrText xml:space="preserve"> ADDIN PAPERS2_CITATIONS &lt;citation&gt;&lt;uuid&gt;FE5D9EB0-6F0A-4D19-804B-CD0DE0047236&lt;/uuid&gt;&lt;priority&gt;0&lt;/priority&gt;&lt;publications&gt;&lt;publication&gt;&lt;uuid&gt;A61066B5-1DD2-4B94-B38C-E662133EA35F&lt;/uuid&gt;&lt;volume&gt;109&lt;/volume&gt;&lt;doi&gt;10.1073/pnas.1120992109&lt;/doi&gt;&lt;startpage&gt;1772&lt;/startpage&gt;&lt;publication_date&gt;99201201311200000000222000&lt;/publication_date&gt;&lt;url&gt;http://www.pnas.org/content/109/5/1772.full&lt;/url&gt;&lt;type&gt;400&lt;/type&gt;&lt;title&gt;A polymer of caffeyl alcohol in plant seeds.&lt;/title&gt;&lt;publisher&gt;National Acad Sciences&lt;/publisher&gt;&lt;institution&gt;Plant Biology Division, Samuel Roberts Noble Foundation, Ardmore, OK 73401, USA.&lt;/institution&gt;&lt;number&gt;5&lt;/number&gt;&lt;subtype&gt;400&lt;/subtype&gt;&lt;endpage&gt;1777&lt;/endpage&gt;&lt;bundle&gt;&lt;publication&gt;&lt;title&gt;Proceedings of the National Academy of Sciences of the United States of America&lt;/title&gt;&lt;type&gt;-100&lt;/type&gt;&lt;subtype&gt;-100&lt;/subtype&gt;&lt;uuid&gt;E2F9B54C-754E-42B4-B9E0-FC5FA065819C&lt;/uuid&gt;&lt;/publication&gt;&lt;/bundle&gt;&lt;authors&gt;&lt;author&gt;&lt;firstName&gt;Fang&lt;/firstName&gt;&lt;lastName&gt;Chen&lt;/lastName&gt;&lt;/author&gt;&lt;author&gt;&lt;firstName&gt;Yuki&lt;/firstName&gt;&lt;lastName&gt;Tobimatsu&lt;/lastName&gt;&lt;/author&gt;&lt;author&gt;&lt;firstName&gt;Daphna&lt;/firstName&gt;&lt;lastName&gt;Havkin-Frenkel&lt;/lastName&gt;&lt;/author&gt;&lt;author&gt;&lt;firstName&gt;Richard&lt;/firstName&gt;&lt;middleNames&gt;A&lt;/middleNames&gt;&lt;lastName&gt;Dixon&lt;/lastName&gt;&lt;/author&gt;&lt;author&gt;&lt;firstName&gt;John&lt;/firstName&gt;&lt;lastName&gt;Ralph&lt;/lastName&gt;&lt;/author&gt;&lt;/authors&gt;&lt;/publication&gt;&lt;publication&gt;&lt;volume&gt;73&lt;/volume&gt;&lt;publication_date&gt;99201301011200000000222000&lt;/publication_date&gt;&lt;number&gt;2&lt;/number&gt;&lt;doi&gt;10.1111/tpj.12012&lt;/doi&gt;&lt;startpage&gt;201&lt;/startpage&gt;&lt;title&gt;Novel seed coat lignins in the Cactaceae: structure, distribution and implications for the evolution of lignin diversity&lt;/title&gt;&lt;uuid&gt;E654ACBB-404E-49AC-B6AA-4DA9B7D63EFF&lt;/uuid&gt;&lt;subtype&gt;400&lt;/subtype&gt;&lt;endpage&gt;211&lt;/endpage&gt;&lt;type&gt;400&lt;/type&gt;&lt;url&gt;http://onlinelibrary.wiley.com.ezproxy.lib.ou.edu/doi/10.1111/tpj.12012/full&lt;/url&gt;&lt;bundle&gt;&lt;publication&gt;&lt;title&gt;The Plant Journal&lt;/title&gt;&lt;type&gt;-100&lt;/type&gt;&lt;subtype&gt;-100&lt;/subtype&gt;&lt;uuid&gt;E9B5CEA6-B7B0-4524-A218-C4E539B51C88&lt;/uuid&gt;&lt;/publication&gt;&lt;/bundle&gt;&lt;authors&gt;&lt;author&gt;&lt;firstName&gt;Fang&lt;/firstName&gt;&lt;lastName&gt;Chen&lt;/lastName&gt;&lt;/author&gt;&lt;author&gt;&lt;firstName&gt;Yuki&lt;/firstName&gt;&lt;lastName&gt;Tobimatsu&lt;/lastName&gt;&lt;/author&gt;&lt;author&gt;&lt;firstName&gt;Lisa&lt;/firstName&gt;&lt;lastName&gt;Jackson&lt;/lastName&gt;&lt;/author&gt;&lt;author&gt;&lt;firstName&gt;Jin&lt;/firstName&gt;&lt;lastName&gt;Nakashima&lt;/lastName&gt;&lt;/author&gt;&lt;author&gt;&lt;firstName&gt;John&lt;/firstName&gt;&lt;lastName&gt;Ralph&lt;/lastName&gt;&lt;/author&gt;&lt;author&gt;&lt;firstName&gt;Richard&lt;/firstName&gt;&lt;middleNames&gt;A&lt;/middleNames&gt;&lt;lastName&gt;Dixon&lt;/lastName&gt;&lt;/author&gt;&lt;/authors&gt;&lt;/publication&gt;&lt;/publications&gt;&lt;cites&gt;&lt;/cites&gt;&lt;/citation&gt;</w:instrText>
      </w:r>
      <w:r w:rsidR="004B3618">
        <w:fldChar w:fldCharType="separate"/>
      </w:r>
      <w:r w:rsidR="001C1AAC">
        <w:t>(</w:t>
      </w:r>
      <w:r w:rsidR="001C1AAC">
        <w:rPr>
          <w:i/>
          <w:iCs/>
        </w:rPr>
        <w:t>52</w:t>
      </w:r>
      <w:r w:rsidR="001C1AAC">
        <w:t xml:space="preserve">, </w:t>
      </w:r>
      <w:r w:rsidR="001C1AAC">
        <w:rPr>
          <w:i/>
          <w:iCs/>
        </w:rPr>
        <w:t>53</w:t>
      </w:r>
      <w:r w:rsidR="001C1AAC">
        <w:t>)</w:t>
      </w:r>
      <w:r w:rsidR="004B3618">
        <w:fldChar w:fldCharType="end"/>
      </w:r>
      <w:r>
        <w:t xml:space="preserve">. Lignin structural heterogeneity and various types of incorporated groups can lead to a variety of different depolymerization reactions during pyrolysis </w:t>
      </w:r>
      <w:r w:rsidR="004B3618">
        <w:fldChar w:fldCharType="begin"/>
      </w:r>
      <w:r w:rsidR="00807999">
        <w:instrText xml:space="preserve"> ADDIN PAPERS2_CITATIONS &lt;citation&gt;&lt;uuid&gt;A3462382-49DA-4209-A8A1-06F221E47FAD&lt;/uuid&gt;&lt;priority&gt;0&lt;/priority&gt;&lt;publications&gt;&lt;publication&gt;&lt;volume&gt;53&lt;/volume&gt;&lt;number&gt;2&lt;/number&gt;&lt;doi&gt;10.1007/s10086-006-0834-z&lt;/doi&gt;&lt;institution&gt;Kawamoto, H</w:instrText>
      </w:r>
    </w:p>
    <w:p w14:paraId="45695875" w14:textId="77777777" w:rsidR="00807999" w:rsidRDefault="00807999" w:rsidP="00C85EA1">
      <w:r>
        <w:instrText>Kyoto Univ, Grad Sch Energy Sci, Dept Socioenvironm Energy Sci, Sakyo Ku, Kyoto 6068501, Japan</w:instrText>
      </w:r>
    </w:p>
    <w:p w14:paraId="67409DE9" w14:textId="77777777" w:rsidR="00807999" w:rsidRDefault="00807999" w:rsidP="00C85EA1">
      <w:r>
        <w:instrText>Kyoto Univ, Grad Sch Energy Sci, Dept Socioenvironm Energy Sci, Sakyo Ku, Kyoto 6068501, Japan</w:instrText>
      </w:r>
    </w:p>
    <w:p w14:paraId="7481CD03" w14:textId="77777777" w:rsidR="00807999" w:rsidRDefault="00807999" w:rsidP="00C85EA1">
      <w:r>
        <w:instrText>Kyoto Univ, Grad Sch Energy Sci, Dept Socioenvironm Energy Sci, Sakyo Ku, Kyoto 6068501, Japan&lt;/institution&gt;&lt;startpage&gt;168&lt;/startpage&gt;&lt;title&gt;Pyrolysis reactions of various lignin model dimers&lt;/title&gt;&lt;uuid&gt;1D3C40C6-45E0-4E79-863F-D0C86FAD1124&lt;/uuid&gt;&lt;subtype&gt;400&lt;/subtype&gt;&lt;endpage&gt;174&lt;/endpage&gt;&lt;type&gt;400&lt;/type&gt;&lt;publication_date&gt;99200704001200000000220000&lt;/publication_date&gt;&lt;bundle&gt;&lt;publication&gt;&lt;title&gt;Journal of wood science&lt;/title&gt;&lt;type&gt;-100&lt;/type&gt;&lt;subtype&gt;-100&lt;/subtype&gt;&lt;uuid&gt;9126EEBD-2DB0-4FFE-BC98-3C7419DFD8C1&lt;/uuid&gt;&lt;/publication&gt;&lt;/bundle&gt;&lt;authors&gt;&lt;author&gt;&lt;firstName&gt;Haruo&lt;/firstName&gt;&lt;lastName&gt;Kawamoto&lt;/lastName&gt;&lt;/author&gt;&lt;author&gt;&lt;firstName&gt;S&lt;/firstName&gt;&lt;lastName&gt;Horigoshi&lt;/lastName&gt;&lt;/author&gt;&lt;author&gt;&lt;firstName&gt;Shiro&lt;/firstName&gt;&lt;lastName&gt;Saka&lt;/lastName&gt;&lt;/author&gt;&lt;/authors&gt;&lt;/publication&gt;&lt;/publications&gt;&lt;cites&gt;&lt;/cites&gt;&lt;/citation&gt;</w:instrText>
      </w:r>
      <w:r w:rsidR="004B3618">
        <w:fldChar w:fldCharType="separate"/>
      </w:r>
      <w:r w:rsidR="001C1AAC">
        <w:t>(</w:t>
      </w:r>
      <w:r w:rsidR="001C1AAC">
        <w:rPr>
          <w:i/>
          <w:iCs/>
        </w:rPr>
        <w:t>54</w:t>
      </w:r>
      <w:r w:rsidR="001C1AAC">
        <w:t>)</w:t>
      </w:r>
      <w:r w:rsidR="004B3618">
        <w:fldChar w:fldCharType="end"/>
      </w:r>
      <w:r w:rsidR="00C85EA1">
        <w:t xml:space="preserve">. Often traceable to the corresponding bio-oil components, the three major lignin units differ in the degree of methoxylation of their carbon ring. </w:t>
      </w:r>
      <w:r w:rsidR="00C85EA1" w:rsidRPr="00633D77">
        <w:rPr>
          <w:b/>
          <w:i/>
        </w:rPr>
        <w:t>S</w:t>
      </w:r>
      <w:r w:rsidR="00C85EA1">
        <w:t xml:space="preserve">-units are methoxylated at both O-3 and O-5 ring positions; </w:t>
      </w:r>
      <w:r w:rsidR="00C85EA1" w:rsidRPr="00633D77">
        <w:rPr>
          <w:b/>
          <w:i/>
        </w:rPr>
        <w:t>G</w:t>
      </w:r>
      <w:r w:rsidR="00C85EA1">
        <w:t>-unit</w:t>
      </w:r>
      <w:r w:rsidR="00633D77">
        <w:t>s</w:t>
      </w:r>
      <w:r w:rsidR="00C85EA1">
        <w:t xml:space="preserve"> have one methoxy group at the O-3 position; and </w:t>
      </w:r>
      <w:r w:rsidR="00C85EA1" w:rsidRPr="00633D77">
        <w:rPr>
          <w:b/>
          <w:i/>
        </w:rPr>
        <w:t>H</w:t>
      </w:r>
      <w:r w:rsidR="00C85EA1">
        <w:t xml:space="preserve">-units lack ring methoxy groups </w:t>
      </w:r>
      <w:r w:rsidR="00C85EA1" w:rsidRPr="00B146E0">
        <w:t xml:space="preserve">(3, </w:t>
      </w:r>
      <w:r w:rsidR="0090515B" w:rsidRPr="00B146E0">
        <w:t xml:space="preserve">Figure </w:t>
      </w:r>
      <w:r w:rsidR="00B146E0" w:rsidRPr="00B146E0">
        <w:t>2</w:t>
      </w:r>
      <w:r w:rsidR="0090515B" w:rsidRPr="00B146E0">
        <w:t>.1</w:t>
      </w:r>
      <w:r w:rsidR="00C85EA1" w:rsidRPr="00B146E0">
        <w:t>)</w:t>
      </w:r>
      <w:r w:rsidR="00D045E9">
        <w:t xml:space="preserve"> </w:t>
      </w:r>
      <w:r w:rsidR="004B3618">
        <w:fldChar w:fldCharType="begin"/>
      </w:r>
      <w:r>
        <w:instrText xml:space="preserve"> ADDIN PAPERS2_CITATIONS &lt;citation&gt;&lt;uuid&gt;A7E1D2C3-6ACD-4AFB-BF5D-CD3D607794B0&lt;/uuid&gt;&lt;priority&gt;0&lt;/priority&gt;&lt;publications&gt;&lt;publication&gt;&lt;uuid&gt;0BBB86C2-AEA9-44B5-B628-5035F5735D51&lt;/uuid&gt;&lt;volume&gt;54&lt;/volume&gt;&lt;doi&gt;10.1146/annurev.arplant.54.031902.134938&lt;/doi&gt;&lt;startpage&gt;519&lt;/startpage&gt;&lt;publication_date&gt;99200300001200000000200000&lt;/publication_date&gt;&lt;url&gt;http://www.annualreviews.org/doi/abs/10.1146/annurev.arplant.54.031902.134938&lt;/url&gt;&lt;citekey&gt;Boerjan:2003hk&lt;/citekey&gt;&lt;type&gt;400&lt;/type&gt;&lt;title&gt;Lignin biosynthesis&lt;/title&gt;&lt;institution&gt;Boerjan, W</w:instrText>
      </w:r>
    </w:p>
    <w:p w14:paraId="2D056560" w14:textId="77777777" w:rsidR="00807999" w:rsidRDefault="00807999" w:rsidP="00C85EA1">
      <w:r>
        <w:instrText>State Univ Ghent VIB, Dept Plant Syst Biol, K L Ledeganckstr 35, B-9000 Ghent, Belgium</w:instrText>
      </w:r>
    </w:p>
    <w:p w14:paraId="2F3DF198" w14:textId="77777777" w:rsidR="00807999" w:rsidRDefault="00807999" w:rsidP="00C85EA1">
      <w:r>
        <w:instrText>State Univ Ghent VIB, Dept Plant Syst Biol, K L Ledeganckstr 35, B-9000 Ghent, Belgium</w:instrText>
      </w:r>
    </w:p>
    <w:p w14:paraId="388D2F0B" w14:textId="77777777" w:rsidR="00807999" w:rsidRDefault="00807999" w:rsidP="00C85EA1">
      <w:r>
        <w:instrText>State Univ Ghent VIB, Dept Plant Syst Biol, B-9000 Ghent, Belgium</w:instrText>
      </w:r>
    </w:p>
    <w:p w14:paraId="48429FA6" w14:textId="77777777" w:rsidR="00807999" w:rsidRDefault="00807999" w:rsidP="00C85EA1">
      <w:r>
        <w:instrText>USDA ARS, US Dairy Forage Res Ctr, Madison, WI 53706 USA</w:instrText>
      </w:r>
    </w:p>
    <w:p w14:paraId="62445814" w14:textId="77777777" w:rsidR="00807999" w:rsidRDefault="00807999" w:rsidP="00C85EA1">
      <w:r>
        <w:instrText>Free Univ Brussels, Lab Biotechnol Vegetale, B-1160 Brussels, Belgium&lt;/institution&gt;&lt;subtype&gt;400&lt;/subtype&gt;&lt;endpage&gt;546&lt;/endpage&gt;&lt;bundle&gt;&lt;publication&gt;&lt;title&gt;Annual review of plant biology&lt;/title&gt;&lt;type&gt;-100&lt;/type&gt;&lt;subtype&gt;-100&lt;/subtype&gt;&lt;uuid&gt;4CDB0732-FE75-4F56-9627-A14F8E94872D&lt;/uuid&gt;&lt;/publication&gt;&lt;/bundle&gt;&lt;authors&gt;&lt;author&gt;&lt;firstName&gt;Wout&lt;/firstName&gt;&lt;lastName&gt;Boerjan&lt;/lastName&gt;&lt;/author&gt;&lt;author&gt;&lt;firstName&gt;John&lt;/firstName&gt;&lt;lastName&gt;Ralph&lt;/lastName&gt;&lt;/author&gt;&lt;author&gt;&lt;firstName&gt;Marie&lt;/firstName&gt;&lt;lastName&gt;Baucher&lt;/lastName&gt;&lt;/author&gt;&lt;/authors&gt;&lt;/publication&gt;&lt;/publications&gt;&lt;cites&gt;&lt;/cites&gt;&lt;/citation&gt;</w:instrText>
      </w:r>
      <w:r w:rsidR="004B3618">
        <w:fldChar w:fldCharType="separate"/>
      </w:r>
      <w:r w:rsidR="001C1AAC">
        <w:t>(</w:t>
      </w:r>
      <w:r w:rsidR="001C1AAC">
        <w:rPr>
          <w:i/>
          <w:iCs/>
        </w:rPr>
        <w:t>55</w:t>
      </w:r>
      <w:r w:rsidR="001C1AAC">
        <w:t>)</w:t>
      </w:r>
      <w:r w:rsidR="004B3618">
        <w:fldChar w:fldCharType="end"/>
      </w:r>
      <w:r w:rsidR="00C85EA1">
        <w:t xml:space="preserve">.  Lignin units undergo oxidative coupling in the cell wall to form many </w:t>
      </w:r>
      <w:r w:rsidR="00C85EA1">
        <w:lastRenderedPageBreak/>
        <w:t>types of dimers, including β–O–4, β–5, β–β, 5–5, 5–O–4, and β–1, leaving other atoms free to further polymerize, which significantly increases the structural heterogeneity of lignin. Lignin units can also be esterified with p-coumaryl, p-hydroxybenzoyl, and acetyl groups, primarily at the γ position of terminal units</w:t>
      </w:r>
      <w:r w:rsidR="004B3618">
        <w:t xml:space="preserve"> </w:t>
      </w:r>
      <w:r w:rsidR="004B3618">
        <w:fldChar w:fldCharType="begin"/>
      </w:r>
      <w:r>
        <w:instrText xml:space="preserve"> ADDIN PAPERS2_CITATIONS &lt;citation&gt;&lt;uuid&gt;4257897D-971C-45EF-81E5-9964332788E7&lt;/uuid&gt;&lt;priority&gt;0&lt;/priority&gt;&lt;publications&gt;&lt;publication&gt;&lt;uuid&gt;5CF25438-1A38-4177-9E83-7DFE0EDA4938&lt;/uuid&gt;&lt;volume&gt;77&lt;/volume&gt;&lt;doi&gt;10.1111/Tpj.12420&lt;/doi&gt;&lt;startpage&gt;713&lt;/startpage&gt;&lt;publication_date&gt;99201403001200000000220000&lt;/publication_date&gt;&lt;url&gt;http://onlinelibrary.wiley.com/doi/10.1111/tpj.12420/abstract&lt;/url&gt;&lt;type&gt;400&lt;/type&gt;&lt;title&gt;p-Coumaroyl-CoA:monolignol transferase (PMT) acts specifically in the lignin biosynthetic pathway in Brachypodium distachyon&lt;/title&gt;&lt;institution&gt;Sedbrook, JC</w:instrText>
      </w:r>
    </w:p>
    <w:p w14:paraId="12783EA4" w14:textId="77777777" w:rsidR="00807999" w:rsidRDefault="00807999" w:rsidP="00C85EA1">
      <w:r>
        <w:instrText>Illinois State Univ, Sch Biol Sci, Normal, IL 61790 USA</w:instrText>
      </w:r>
    </w:p>
    <w:p w14:paraId="0B9F7DBD" w14:textId="77777777" w:rsidR="00807999" w:rsidRDefault="00807999" w:rsidP="00C85EA1">
      <w:r>
        <w:instrText>Illinois State Univ, Sch Biol Sci, Normal, IL 61790 USA</w:instrText>
      </w:r>
    </w:p>
    <w:p w14:paraId="34B5487D" w14:textId="77777777" w:rsidR="00807999" w:rsidRDefault="00807999" w:rsidP="00C85EA1">
      <w:r>
        <w:instrText>Illinois State Univ, Sch Biol Sci, Normal, IL 61790 USA</w:instrText>
      </w:r>
    </w:p>
    <w:p w14:paraId="2905582C" w14:textId="77777777" w:rsidR="00807999" w:rsidRDefault="00807999" w:rsidP="00C85EA1">
      <w:r>
        <w:instrText>Great Lakes Bioenergy Res Ctr, Dept Energy, Madison, WI 53706 USA</w:instrText>
      </w:r>
    </w:p>
    <w:p w14:paraId="22C689EB" w14:textId="77777777" w:rsidR="00807999" w:rsidRDefault="00807999" w:rsidP="00C85EA1">
      <w:r>
        <w:instrText>Univ Wisconsin, Wisconsin Energy Inst, Great Lakes Bioenergy Res Ctr, Dept Biochem,Dept Energy, Madison, WI 53726 USA</w:instrText>
      </w:r>
    </w:p>
    <w:p w14:paraId="32157576" w14:textId="77777777" w:rsidR="00807999" w:rsidRDefault="00807999" w:rsidP="00C85EA1">
      <w:r>
        <w:instrText>INRA, IJPB, UMR1318, F-78000 Versailles, France</w:instrText>
      </w:r>
    </w:p>
    <w:p w14:paraId="595B9420" w14:textId="77777777" w:rsidR="00807999" w:rsidRDefault="00807999" w:rsidP="00C85EA1">
      <w:r>
        <w:instrText>AgroParisTech, IJPB, Saclay Plant Sci, UMR1318, F-78000 Versailles, France</w:instrText>
      </w:r>
    </w:p>
    <w:p w14:paraId="43782624" w14:textId="77777777" w:rsidR="00807999" w:rsidRDefault="00807999" w:rsidP="00C85EA1">
      <w:r>
        <w:instrText>Michigan State Univ, Great Lakes Bioenergy Res Ctr, Dept Energy, E Lansing, MI 48824 USA</w:instrText>
      </w:r>
    </w:p>
    <w:p w14:paraId="3B6DB49F" w14:textId="77777777" w:rsidR="00807999" w:rsidRDefault="00807999" w:rsidP="00C85EA1">
      <w:r>
        <w:instrText>Michigan State Univ, Great Lakes Bioenergy Res Ctr, Dept Biochem &amp;amp; Mol Biol, Dept Plant Biol,Dept Energy, E Lansing, MI 48824 USA&lt;/institution&gt;&lt;number&gt;5&lt;/number&gt;&lt;subtype&gt;400&lt;/subtype&gt;&lt;endpage&gt;726&lt;/endpage&gt;&lt;bundle&gt;&lt;publication&gt;&lt;title&gt;Plant Journal&lt;/title&gt;&lt;type&gt;-100&lt;/type&gt;&lt;subtype&gt;-100&lt;/subtype&gt;&lt;uuid&gt;2F3A7548-422B-440E-B60D-942724219C51&lt;/uuid&gt;&lt;/publication&gt;&lt;/bundle&gt;&lt;authors&gt;&lt;author&gt;&lt;firstName&gt;D&lt;/firstName&gt;&lt;middleNames&gt;L&lt;/middleNames&gt;&lt;lastName&gt;Petrik&lt;/lastName&gt;&lt;/author&gt;&lt;author&gt;&lt;firstName&gt;S&lt;/firstName&gt;&lt;middleNames&gt;D&lt;/middleNames&gt;&lt;lastName&gt;Karlen&lt;/lastName&gt;&lt;/author&gt;&lt;author&gt;&lt;firstName&gt;C&lt;/firstName&gt;&lt;middleNames&gt;L&lt;/middleNames&gt;&lt;lastName&gt;Cass&lt;/lastName&gt;&lt;/author&gt;&lt;author&gt;&lt;firstName&gt;D&lt;/firstName&gt;&lt;lastName&gt;Padmakshan&lt;/lastName&gt;&lt;/author&gt;&lt;author&gt;&lt;firstName&gt;F&lt;/firstName&gt;&lt;middleNames&gt;C&lt;/middleNames&gt;&lt;lastName&gt;Lu&lt;/lastName&gt;&lt;/author&gt;&lt;author&gt;&lt;firstName&gt;S&lt;/firstName&gt;&lt;lastName&gt;Liu&lt;/lastName&gt;&lt;/author&gt;&lt;author&gt;&lt;nonDroppingParticle&gt;Le&lt;/nonDroppingParticle&gt;&lt;firstName&gt;P&lt;/firstName&gt;&lt;lastName&gt;Bris&lt;/lastName&gt;&lt;/author&gt;&lt;author&gt;&lt;firstName&gt;S&lt;/firstName&gt;&lt;lastName&gt;Antelme&lt;/lastName&gt;&lt;/author&gt;&lt;author&gt;&lt;firstName&gt;N&lt;/firstName&gt;&lt;lastName&gt;Santoro&lt;/lastName&gt;&lt;/author&gt;&lt;author&gt;&lt;firstName&gt;C&lt;/firstName&gt;&lt;middleNames&gt;G&lt;/middleNames&gt;&lt;lastName&gt;Wilkerson&lt;/lastName&gt;&lt;/author&gt;&lt;author&gt;&lt;firstName&gt;R&lt;/firstName&gt;&lt;lastName&gt;SIBOUT&lt;/lastName&gt;&lt;/author&gt;&lt;author&gt;&lt;firstName&gt;Catherine&lt;/firstName&gt;&lt;lastName&gt;Lapierre&lt;/lastName&gt;&lt;/author&gt;&lt;author&gt;&lt;firstName&gt;John&lt;/firstName&gt;&lt;lastName&gt;Ralph&lt;/lastName&gt;&lt;/author&gt;&lt;author&gt;&lt;firstName&gt;J&lt;/firstName&gt;&lt;middleNames&gt;C&lt;/middleNames&gt;&lt;lastName&gt;Sedbrook&lt;/lastName&gt;&lt;/author&gt;&lt;/authors&gt;&lt;/publication&gt;&lt;publication&gt;&lt;publication_date&gt;992015000012000000002100002015/02/27&lt;/publication_date&gt;&lt;startpage&gt;1&lt;/startpage&gt;&lt;doi&gt;10.1007/s12155-015-9583-4&lt;/doi&gt;&lt;title&gt;Naturally p-Hydroxybenzoylated Lignins in Palms&lt;/title&gt;&lt;uuid&gt;770C62F8-0458-4415-A69C-E3072EBF35DB&lt;/uuid&gt;&lt;subtype&gt;400&lt;/subtype&gt;&lt;publisher&gt;Springer US&lt;/publisher&gt;&lt;type&gt;400&lt;/type&gt;&lt;endpage&gt;19&lt;/endpage&gt;&lt;url&gt;http://dx.doi.org/10.1007/s12155-015-9583-4&lt;/url&gt;&lt;bundle&gt;&lt;publication&gt;&lt;publisher&gt;Springer US&lt;/publisher&gt;&lt;title&gt;BioEnergy Research&lt;/title&gt;&lt;type&gt;-100&lt;/type&gt;&lt;subtype&gt;-100&lt;/subtype&gt;&lt;uuid&gt;10F75356-9E4C-4774-98A2-0C658827ED32&lt;/uuid&gt;&lt;/publication&gt;&lt;/bundle&gt;&lt;authors&gt;&lt;author&gt;&lt;firstName&gt;Fachuang&lt;/firstName&gt;&lt;lastName&gt;Lu&lt;/lastName&gt;&lt;/author&gt;&lt;author&gt;&lt;firstName&gt;StevenD&lt;/firstName&gt;&lt;lastName&gt;Karlen&lt;/lastName&gt;&lt;/author&gt;&lt;author&gt;&lt;firstName&gt;Matt&lt;/firstName&gt;&lt;lastName&gt;Regner&lt;/lastName&gt;&lt;/author&gt;&lt;author&gt;&lt;firstName&gt;Hoon&lt;/firstName&gt;&lt;lastName&gt;Kim&lt;/lastName&gt;&lt;/author&gt;&lt;author&gt;&lt;firstName&gt;SallyA&lt;/firstName&gt;&lt;lastName&gt;Ralph&lt;/lastName&gt;&lt;/author&gt;&lt;author&gt;&lt;firstName&gt;Run-Cang&lt;/firstName&gt;&lt;lastName&gt;Sun&lt;/lastName&gt;&lt;/author&gt;&lt;author&gt;&lt;firstName&gt;Ken-ichi&lt;/firstName&gt;&lt;lastName&gt;Kuroda&lt;/lastName&gt;&lt;/author&gt;&lt;author&gt;&lt;firstName&gt;MaryAnn&lt;/firstName&gt;&lt;lastName&gt;Augustin&lt;/lastName&gt;&lt;/author&gt;&lt;author&gt;&lt;firstName&gt;Raymond&lt;/firstName&gt;&lt;lastName&gt;Mawson&lt;/lastName&gt;&lt;/author&gt;&lt;author&gt;&lt;firstName&gt;Henry&lt;/firstName&gt;&lt;lastName&gt;Sabarez&lt;/lastName&gt;&lt;/author&gt;&lt;author&gt;&lt;firstName&gt;Tanoj&lt;/firstName&gt;&lt;lastName&gt;Singh&lt;/lastName&gt;&lt;/author&gt;&lt;author&gt;&lt;firstName&gt;Gerardo&lt;/firstName&gt;&lt;lastName&gt;Jimenez-Monteon&lt;/lastName&gt;&lt;/author&gt;&lt;author&gt;&lt;firstName&gt;Sarani&lt;/firstName&gt;&lt;lastName&gt;Zakaria&lt;/lastName&gt;&lt;/author&gt;&lt;author&gt;&lt;firstName&gt;Stefan&lt;/firstName&gt;&lt;lastName&gt;Hill&lt;/lastName&gt;&lt;/author&gt;&lt;author&gt;&lt;firstName&gt;PhilipJ&lt;/firstName&gt;&lt;lastName&gt;Harris&lt;/lastName&gt;&lt;/author&gt;&lt;author&gt;&lt;firstName&gt;Wout&lt;/firstName&gt;&lt;lastName&gt;Boerjan&lt;/lastName&gt;&lt;/author&gt;&lt;author&gt;&lt;firstName&gt;CurtisG&lt;/firstName&gt;&lt;lastName&gt;Wilkerson&lt;/lastName&gt;&lt;/author&gt;&lt;author&gt;&lt;firstName&gt;ShawnD&lt;/firstName&gt;&lt;lastName&gt;Mansfield&lt;/lastName&gt;&lt;/author&gt;&lt;author&gt;&lt;firstName&gt;John&lt;/firstName&gt;&lt;lastName&gt;Ralph&lt;/lastName&gt;&lt;/author&gt;&lt;/authors&gt;&lt;/publication&gt;&lt;/publications&gt;&lt;cites&gt;&lt;/cites&gt;&lt;/citation&gt;</w:instrText>
      </w:r>
      <w:r w:rsidR="004B3618">
        <w:fldChar w:fldCharType="separate"/>
      </w:r>
      <w:r w:rsidR="001C1AAC">
        <w:t>(</w:t>
      </w:r>
      <w:r w:rsidR="001C1AAC">
        <w:rPr>
          <w:i/>
          <w:iCs/>
        </w:rPr>
        <w:t>56</w:t>
      </w:r>
      <w:r w:rsidR="001C1AAC">
        <w:t xml:space="preserve">, </w:t>
      </w:r>
      <w:r w:rsidR="001C1AAC">
        <w:rPr>
          <w:i/>
          <w:iCs/>
        </w:rPr>
        <w:t>57</w:t>
      </w:r>
      <w:r w:rsidR="001C1AAC">
        <w:t>)</w:t>
      </w:r>
      <w:r w:rsidR="004B3618">
        <w:fldChar w:fldCharType="end"/>
      </w:r>
      <w:r w:rsidR="00C85EA1">
        <w:t>. Lignin compositions and the acylation groups vary among plant clades</w:t>
      </w:r>
      <w:r w:rsidR="00D045E9">
        <w:t xml:space="preserve"> </w:t>
      </w:r>
      <w:r w:rsidR="004B3618">
        <w:fldChar w:fldCharType="begin"/>
      </w:r>
      <w:r>
        <w:instrText xml:space="preserve"> ADDIN PAPERS2_CITATIONS &lt;citation&gt;&lt;uuid&gt;AFEB7485-B15F-4D82-AF73-EA01C9AD13F8&lt;/uuid&gt;&lt;priority&gt;0&lt;/priority&gt;&lt;publications&gt;&lt;publication&gt;&lt;uuid&gt;0BBB86C2-AEA9-44B5-B628-5035F5735D51&lt;/uuid&gt;&lt;volume&gt;54&lt;/volume&gt;&lt;doi&gt;10.1146/annurev.arplant.54.031902.134938&lt;/doi&gt;&lt;startpage&gt;519&lt;/startpage&gt;&lt;publication_date&gt;99200300001200000000200000&lt;/publication_date&gt;&lt;url&gt;http://www.annualreviews.org/doi/abs/10.1146/annurev.arplant.54.031902.134938&lt;/url&gt;&lt;citekey&gt;Boerjan:2003hk&lt;/citekey&gt;&lt;type&gt;400&lt;/type&gt;&lt;title&gt;Lignin biosynthesis&lt;/title&gt;&lt;institution&gt;Boerjan, W</w:instrText>
      </w:r>
    </w:p>
    <w:p w14:paraId="5D6D0422" w14:textId="77777777" w:rsidR="00807999" w:rsidRDefault="00807999" w:rsidP="00C85EA1">
      <w:r>
        <w:instrText>State Univ Ghent VIB, Dept Plant Syst Biol, K L Ledeganckstr 35, B-9000 Ghent, Belgium</w:instrText>
      </w:r>
    </w:p>
    <w:p w14:paraId="6CD7BA0F" w14:textId="77777777" w:rsidR="00807999" w:rsidRDefault="00807999" w:rsidP="00C85EA1">
      <w:r>
        <w:instrText>State Univ Ghent VIB, Dept Plant Syst Biol, K L Ledeganckstr 35, B-9000 Ghent, Belgium</w:instrText>
      </w:r>
    </w:p>
    <w:p w14:paraId="295B8032" w14:textId="77777777" w:rsidR="00807999" w:rsidRDefault="00807999" w:rsidP="00C85EA1">
      <w:r>
        <w:instrText>State Univ Ghent VIB, Dept Plant Syst Biol, B-9000 Ghent, Belgium</w:instrText>
      </w:r>
    </w:p>
    <w:p w14:paraId="78AB2024" w14:textId="77777777" w:rsidR="00807999" w:rsidRDefault="00807999" w:rsidP="00C85EA1">
      <w:r>
        <w:instrText>USDA ARS, US Dairy Forage Res Ctr, Madison, WI 53706 USA</w:instrText>
      </w:r>
    </w:p>
    <w:p w14:paraId="2F0F6B6B" w14:textId="77777777" w:rsidR="00807999" w:rsidRDefault="00807999" w:rsidP="00C85EA1">
      <w:r>
        <w:instrText>Free Univ Brussels, Lab Biotechnol Vegetale, B-1160 Brussels, Belgium&lt;/institution&gt;&lt;subtype&gt;400&lt;/subtype&gt;&lt;endpage&gt;546&lt;/endpage&gt;&lt;bundle&gt;&lt;publication&gt;&lt;title&gt;Annual review of plant biology&lt;/title&gt;&lt;type&gt;-100&lt;/type&gt;&lt;subtype&gt;-100&lt;/subtype&gt;&lt;uuid&gt;4CDB0732-FE75-4F56-9627-A14F8E94872D&lt;/uuid&gt;&lt;/publication&gt;&lt;/bundle&gt;&lt;authors&gt;&lt;author&gt;&lt;firstName&gt;Wout&lt;/firstName&gt;&lt;lastName&gt;Boerjan&lt;/lastName&gt;&lt;/author&gt;&lt;author&gt;&lt;firstName&gt;John&lt;/firstName&gt;&lt;lastName&gt;Ralph&lt;/lastName&gt;&lt;/author&gt;&lt;author&gt;&lt;firstName&gt;Marie&lt;/firstName&gt;&lt;lastName&gt;Baucher&lt;/lastName&gt;&lt;/author&gt;&lt;/authors&gt;&lt;/publication&gt;&lt;/publications&gt;&lt;cites&gt;&lt;/cites&gt;&lt;/citation&gt;</w:instrText>
      </w:r>
      <w:r w:rsidR="004B3618">
        <w:fldChar w:fldCharType="separate"/>
      </w:r>
      <w:r w:rsidR="001C1AAC">
        <w:t>(</w:t>
      </w:r>
      <w:r w:rsidR="001C1AAC">
        <w:rPr>
          <w:i/>
          <w:iCs/>
        </w:rPr>
        <w:t>55</w:t>
      </w:r>
      <w:r w:rsidR="001C1AAC">
        <w:t>)</w:t>
      </w:r>
      <w:r w:rsidR="004B3618">
        <w:fldChar w:fldCharType="end"/>
      </w:r>
      <w:r w:rsidR="00C85EA1">
        <w:t xml:space="preserve">. Woody dicot lignins have </w:t>
      </w:r>
      <w:r w:rsidR="00C85EA1" w:rsidRPr="00633D77">
        <w:rPr>
          <w:b/>
          <w:i/>
        </w:rPr>
        <w:t>G</w:t>
      </w:r>
      <w:r w:rsidR="00C85EA1">
        <w:t xml:space="preserve">- and </w:t>
      </w:r>
      <w:r w:rsidR="00C85EA1" w:rsidRPr="00633D77">
        <w:rPr>
          <w:b/>
          <w:i/>
        </w:rPr>
        <w:t>S</w:t>
      </w:r>
      <w:r w:rsidR="00C85EA1">
        <w:t xml:space="preserve">-units, and trace amount of </w:t>
      </w:r>
      <w:r w:rsidR="00C85EA1" w:rsidRPr="00633D77">
        <w:rPr>
          <w:b/>
          <w:i/>
        </w:rPr>
        <w:t>H</w:t>
      </w:r>
      <w:r w:rsidR="00C85EA1">
        <w:t xml:space="preserve">-units. Poplar wood, for example has a </w:t>
      </w:r>
      <w:r w:rsidR="00C85EA1" w:rsidRPr="00633D77">
        <w:rPr>
          <w:b/>
          <w:i/>
        </w:rPr>
        <w:t>G:S:H</w:t>
      </w:r>
      <w:r w:rsidR="00C85EA1">
        <w:t xml:space="preserve"> ratio of 55:45:1</w:t>
      </w:r>
      <w:r w:rsidR="004B3618">
        <w:t xml:space="preserve"> </w:t>
      </w:r>
      <w:r w:rsidR="004B3618">
        <w:fldChar w:fldCharType="begin"/>
      </w:r>
      <w:r>
        <w:instrText xml:space="preserve"> ADDIN PAPERS2_CITATIONS &lt;citation&gt;&lt;uuid&gt;84F193FD-6894-4160-82C6-5CD036889D04&lt;/uuid&gt;&lt;priority&gt;0&lt;/priority&gt;&lt;publications&gt;&lt;publication&gt;&lt;volume&gt;198&lt;/volume&gt;&lt;publication_date&gt;99201305011200000000222000&lt;/publication_date&gt;&lt;number&gt;3&lt;/number&gt;&lt;doi&gt;10.1111/nph.12179&lt;/doi&gt;&lt;startpage&gt;765&lt;/startpage&gt;&lt;title&gt;Breeding with rare defective alleles (BRDA): a natural Populus nigra HCT mutant with modified lignin as a case study&lt;/title&gt;&lt;uuid&gt;5D36464E-79C1-4A82-8794-B400945ACCC2&lt;/uuid&gt;&lt;subtype&gt;400&lt;/subtype&gt;&lt;endpage&gt;776&lt;/endpage&gt;&lt;type&gt;400&lt;/type&gt;&lt;url&gt;http://onlinelibrary.wiley.com.ezproxy.lib.ou.edu/doi/10.1111/nph.12179/full&lt;/url&gt;&lt;bundle&gt;&lt;publication&gt;&lt;publisher&gt;Blackwell Publishing Ltd&lt;/publisher&gt;&lt;title&gt;New Phytologist&lt;/title&gt;&lt;type&gt;-100&lt;/type&gt;&lt;subtype&gt;-100&lt;/subtype&gt;&lt;uuid&gt;AC057AF6-4AD4-44EA-9945-DDA9F953B259&lt;/uuid&gt;&lt;/publication&gt;&lt;/bundle&gt;&lt;authors&gt;&lt;author&gt;&lt;firstName&gt;Bartel&lt;/firstName&gt;&lt;lastName&gt;Vanholme&lt;/lastName&gt;&lt;/author&gt;&lt;author&gt;&lt;firstName&gt;Igor&lt;/firstName&gt;&lt;lastName&gt;Cesarino&lt;/lastName&gt;&lt;/author&gt;&lt;author&gt;&lt;firstName&gt;Geert&lt;/firstName&gt;&lt;lastName&gt;Goeminne&lt;/lastName&gt;&lt;/author&gt;&lt;author&gt;&lt;firstName&gt;Hoon&lt;/firstName&gt;&lt;lastName&gt;Kim&lt;/lastName&gt;&lt;/author&gt;&lt;author&gt;&lt;firstName&gt;Fabio&lt;/firstName&gt;&lt;lastName&gt;Marroni&lt;/lastName&gt;&lt;/author&gt;&lt;author&gt;&lt;firstName&gt;Rebecca&lt;/firstName&gt;&lt;lastName&gt;Acker&lt;/lastName&gt;&lt;/author&gt;&lt;author&gt;&lt;firstName&gt;Ruben&lt;/firstName&gt;&lt;lastName&gt;Vanholme&lt;/lastName&gt;&lt;/author&gt;&lt;author&gt;&lt;firstName&gt;Kris&lt;/firstName&gt;&lt;lastName&gt;Morreel&lt;/lastName&gt;&lt;/author&gt;&lt;author&gt;&lt;firstName&gt;Bart&lt;/firstName&gt;&lt;lastName&gt;Ivens&lt;/lastName&gt;&lt;/author&gt;&lt;author&gt;&lt;firstName&gt;Sara&lt;/firstName&gt;&lt;lastName&gt;Pinosio&lt;/lastName&gt;&lt;/author&gt;&lt;author&gt;&lt;firstName&gt;Michele&lt;/firstName&gt;&lt;lastName&gt;Morgante&lt;/lastName&gt;&lt;/author&gt;&lt;author&gt;&lt;firstName&gt;John&lt;/firstName&gt;&lt;lastName&gt;Ralph&lt;/lastName&gt;&lt;/author&gt;&lt;author&gt;&lt;firstName&gt;Catherine&lt;/firstName&gt;&lt;lastName&gt;Bastien&lt;/lastName&gt;&lt;/author&gt;&lt;author&gt;&lt;firstName&gt;Wout&lt;/firstName&gt;&lt;lastName&gt;Boerjan&lt;/lastName&gt;&lt;/author&gt;&lt;/authors&gt;&lt;/publication&gt;&lt;/publications&gt;&lt;cites&gt;&lt;/cites&gt;&lt;/citation&gt;</w:instrText>
      </w:r>
      <w:r w:rsidR="004B3618">
        <w:fldChar w:fldCharType="separate"/>
      </w:r>
      <w:r w:rsidR="001C1AAC">
        <w:t>(</w:t>
      </w:r>
      <w:r w:rsidR="001C1AAC">
        <w:rPr>
          <w:i/>
          <w:iCs/>
        </w:rPr>
        <w:t>58</w:t>
      </w:r>
      <w:r w:rsidR="001C1AAC">
        <w:t>)</w:t>
      </w:r>
      <w:r w:rsidR="004B3618">
        <w:fldChar w:fldCharType="end"/>
      </w:r>
      <w:r w:rsidR="00C85EA1">
        <w:t xml:space="preserve">. The lignin of many hardwoods is </w:t>
      </w:r>
      <w:r w:rsidR="004B3618">
        <w:t xml:space="preserve">acylated by p-hydroxybenzoates </w:t>
      </w:r>
      <w:r w:rsidR="004B3618">
        <w:fldChar w:fldCharType="begin"/>
      </w:r>
      <w:r>
        <w:instrText xml:space="preserve"> ADDIN PAPERS2_CITATIONS &lt;citation&gt;&lt;uuid&gt;4D2B06D7-FBCB-4142-8D84-7FE1E154F698&lt;/uuid&gt;&lt;priority&gt;0&lt;/priority&gt;&lt;publications&gt;&lt;publication&gt;&lt;publication_date&gt;992015000012000000002100002015/02/27&lt;/publication_date&gt;&lt;startpage&gt;1&lt;/startpage&gt;&lt;doi&gt;10.1007/s12155-015-9583-4&lt;/doi&gt;&lt;title&gt;Naturally p-Hydroxybenzoylated Lignins in Palms&lt;/title&gt;&lt;uuid&gt;770C62F8-0458-4415-A69C-E3072EBF35DB&lt;/uuid&gt;&lt;subtype&gt;400&lt;/subtype&gt;&lt;publisher&gt;Springer US&lt;/publisher&gt;&lt;type&gt;400&lt;/type&gt;&lt;endpage&gt;19&lt;/endpage&gt;&lt;url&gt;http://dx.doi.org/10.1007/s12155-015-9583-4&lt;/url&gt;&lt;bundle&gt;&lt;publication&gt;&lt;publisher&gt;Springer US&lt;/publisher&gt;&lt;title&gt;BioEnergy Research&lt;/title&gt;&lt;type&gt;-100&lt;/type&gt;&lt;subtype&gt;-100&lt;/subtype&gt;&lt;uuid&gt;10F75356-9E4C-4774-98A2-0C658827ED32&lt;/uuid&gt;&lt;/publication&gt;&lt;/bundle&gt;&lt;authors&gt;&lt;author&gt;&lt;firstName&gt;Fachuang&lt;/firstName&gt;&lt;lastName&gt;Lu&lt;/lastName&gt;&lt;/author&gt;&lt;author&gt;&lt;firstName&gt;StevenD&lt;/firstName&gt;&lt;lastName&gt;Karlen&lt;/lastName&gt;&lt;/author&gt;&lt;author&gt;&lt;firstName&gt;Matt&lt;/firstName&gt;&lt;lastName&gt;Regner&lt;/lastName&gt;&lt;/author&gt;&lt;author&gt;&lt;firstName&gt;Hoon&lt;/firstName&gt;&lt;lastName&gt;Kim&lt;/lastName&gt;&lt;/author&gt;&lt;author&gt;&lt;firstName&gt;SallyA&lt;/firstName&gt;&lt;lastName&gt;Ralph&lt;/lastName&gt;&lt;/author&gt;&lt;author&gt;&lt;firstName&gt;Run-Cang&lt;/firstName&gt;&lt;lastName&gt;Sun&lt;/lastName&gt;&lt;/author&gt;&lt;author&gt;&lt;firstName&gt;Ken-ichi&lt;/firstName&gt;&lt;lastName&gt;Kuroda&lt;/lastName&gt;&lt;/author&gt;&lt;author&gt;&lt;firstName&gt;MaryAnn&lt;/firstName&gt;&lt;lastName&gt;Augustin&lt;/lastName&gt;&lt;/author&gt;&lt;author&gt;&lt;firstName&gt;Raymond&lt;/firstName&gt;&lt;lastName&gt;Mawson&lt;/lastName&gt;&lt;/author&gt;&lt;author&gt;&lt;firstName&gt;Henry&lt;/firstName&gt;&lt;lastName&gt;Sabarez&lt;/lastName&gt;&lt;/author&gt;&lt;author&gt;&lt;firstName&gt;Tanoj&lt;/firstName&gt;&lt;lastName&gt;Singh&lt;/lastName&gt;&lt;/author&gt;&lt;author&gt;&lt;firstName&gt;Gerardo&lt;/firstName&gt;&lt;lastName&gt;Jimenez-Monteon&lt;/lastName&gt;&lt;/author&gt;&lt;author&gt;&lt;firstName&gt;Sarani&lt;/firstName&gt;&lt;lastName&gt;Zakaria&lt;/lastName&gt;&lt;/author&gt;&lt;author&gt;&lt;firstName&gt;Stefan&lt;/firstName&gt;&lt;lastName&gt;Hill&lt;/lastName&gt;&lt;/author&gt;&lt;author&gt;&lt;firstName&gt;PhilipJ&lt;/firstName&gt;&lt;lastName&gt;Harris&lt;/lastName&gt;&lt;/author&gt;&lt;author&gt;&lt;firstName&gt;Wout&lt;/firstName&gt;&lt;lastName&gt;Boerjan&lt;/lastName&gt;&lt;/author&gt;&lt;author&gt;&lt;firstName&gt;CurtisG&lt;/firstName&gt;&lt;lastName&gt;Wilkerson&lt;/lastName&gt;&lt;/author&gt;&lt;author&gt;&lt;firstName&gt;ShawnD&lt;/firstName&gt;&lt;lastName&gt;Mansfield&lt;/lastName&gt;&lt;/author&gt;&lt;author&gt;&lt;firstName&gt;John&lt;/firstName&gt;&lt;lastName&gt;Ralph&lt;/lastName&gt;&lt;/author&gt;&lt;/authors&gt;&lt;/publication&gt;&lt;/publications&gt;&lt;cites&gt;&lt;/cites&gt;&lt;/citation&gt;</w:instrText>
      </w:r>
      <w:r w:rsidR="004B3618">
        <w:fldChar w:fldCharType="separate"/>
      </w:r>
      <w:r w:rsidR="001C1AAC">
        <w:t>(</w:t>
      </w:r>
      <w:r w:rsidR="001C1AAC">
        <w:rPr>
          <w:i/>
          <w:iCs/>
        </w:rPr>
        <w:t>57</w:t>
      </w:r>
      <w:r w:rsidR="001C1AAC">
        <w:t>)</w:t>
      </w:r>
      <w:r w:rsidR="004B3618">
        <w:fldChar w:fldCharType="end"/>
      </w:r>
      <w:r w:rsidR="00C85EA1">
        <w:t xml:space="preserve"> and acetyl groups in low amounts</w:t>
      </w:r>
      <w:r w:rsidR="004B3618">
        <w:t xml:space="preserve"> </w:t>
      </w:r>
      <w:r w:rsidR="004B3618">
        <w:fldChar w:fldCharType="begin"/>
      </w:r>
      <w:r>
        <w:instrText xml:space="preserve"> ADDIN PAPERS2_CITATIONS &lt;citation&gt;&lt;uuid&gt;56D00AA5-6F37-4033-BAED-9AE2090C580C&lt;/uuid&gt;&lt;priority&gt;0&lt;/priority&gt;&lt;publications&gt;&lt;publication&gt;&lt;volume&gt;50&lt;/volume&gt;&lt;number&gt;12&lt;/number&gt;&lt;startpage&gt;587&lt;/startpage&gt;&lt;title&gt;Species Variation in Lignins .3. Hardwood Lignins&lt;/title&gt;&lt;uuid&gt;E379F059-3A3F-436F-9E3A-7FF6B9915E3D&lt;/uuid&gt;&lt;subtype&gt;400&lt;/subtype&gt;&lt;endpage&gt;&amp;amp;&lt;/endpage&gt;&lt;type&gt;400&lt;/type&gt;&lt;publication_date&gt;99196700001200000000200000&lt;/publication_date&gt;&lt;bundle&gt;&lt;publication&gt;&lt;title&gt;Tappi&lt;/title&gt;&lt;type&gt;-100&lt;/type&gt;&lt;subtype&gt;-100&lt;/subtype&gt;&lt;uuid&gt;B66ED78E-545A-4606-B034-70024A3A662A&lt;/uuid&gt;&lt;/publication&gt;&lt;/bundle&gt;&lt;authors&gt;&lt;author&gt;&lt;firstName&gt;K&lt;/firstName&gt;&lt;middleNames&gt;V&lt;/middleNames&gt;&lt;lastName&gt;Sarkanen&lt;/lastName&gt;&lt;/author&gt;&lt;author&gt;&lt;firstName&gt;H&lt;/firstName&gt;&lt;lastName&gt;Chang&lt;/lastName&gt;&lt;/author&gt;&lt;author&gt;&lt;firstName&gt;G&lt;/firstName&gt;&lt;middleNames&gt;G&lt;/middleNames&gt;&lt;lastName&gt;Allan&lt;/lastName&gt;&lt;/author&gt;&lt;/authors&gt;&lt;/publication&gt;&lt;/publications&gt;&lt;cites&gt;&lt;/cites&gt;&lt;/citation&gt;</w:instrText>
      </w:r>
      <w:r w:rsidR="004B3618">
        <w:fldChar w:fldCharType="separate"/>
      </w:r>
      <w:r w:rsidR="001C1AAC">
        <w:t>(</w:t>
      </w:r>
      <w:r w:rsidR="001C1AAC">
        <w:rPr>
          <w:i/>
          <w:iCs/>
        </w:rPr>
        <w:t>59</w:t>
      </w:r>
      <w:r w:rsidR="001C1AAC">
        <w:t>)</w:t>
      </w:r>
      <w:r w:rsidR="004B3618">
        <w:fldChar w:fldCharType="end"/>
      </w:r>
      <w:r w:rsidR="00C85EA1">
        <w:t>. Biomass from other species, like palms and kenaf, possess a high degree of lignin acetylation</w:t>
      </w:r>
      <w:r w:rsidR="004B3618">
        <w:t xml:space="preserve"> </w:t>
      </w:r>
      <w:r w:rsidR="004B3618">
        <w:fldChar w:fldCharType="begin"/>
      </w:r>
      <w:r>
        <w:instrText xml:space="preserve"> ADDIN PAPERS2_CITATIONS &lt;citation&gt;&lt;uuid&gt;AE5AD411-3095-492D-993F-1C49DA998519&lt;/uuid&gt;&lt;priority&gt;0&lt;/priority&gt;&lt;publications&gt;&lt;publication&gt;&lt;publication_date&gt;99200200001200000000200000&lt;/publication_date&gt;&lt;number&gt;1&lt;/number&gt;&lt;doi&gt;10.1039/b109876d&lt;/doi&gt;&lt;startpage&gt;90&lt;/startpage&gt;&lt;title&gt;Preliminary evidence for sinapyl acetate as a lignin monomer in kenaf&lt;/title&gt;&lt;uuid&gt;2B8895D7-C6D2-4FAF-B62A-539E8959E072&lt;/uuid&gt;&lt;subtype&gt;400&lt;/subtype&gt;&lt;publisher&gt;The Royal Society of Chemistry&lt;/publisher&gt;&lt;type&gt;400&lt;/type&gt;&lt;endpage&gt;91&lt;/endpage&gt;&lt;url&gt;http://dx.doi.org/10.1039/B109876D&lt;/url&gt;&lt;bundle&gt;&lt;publication&gt;&lt;publisher&gt;The Royal Society of Chemistry&lt;/publisher&gt;&lt;title&gt;Chemical Communications&lt;/title&gt;&lt;type&gt;-100&lt;/type&gt;&lt;subtype&gt;-100&lt;/subtype&gt;&lt;uuid&gt;DCC2E478-E2D8-4216-AC65-6D7865BF5C6D&lt;/uuid&gt;&lt;/publication&gt;&lt;/bundle&gt;&lt;authors&gt;&lt;author&gt;&lt;firstName&gt;Fachuang&lt;/firstName&gt;&lt;lastName&gt;Lu&lt;/lastName&gt;&lt;/author&gt;&lt;author&gt;&lt;firstName&gt;John&lt;/firstName&gt;&lt;lastName&gt;Ralph&lt;/lastName&gt;&lt;/author&gt;&lt;/authors&gt;&lt;/publication&gt;&lt;/publications&gt;&lt;cites&gt;&lt;/cites&gt;&lt;/citation&gt;</w:instrText>
      </w:r>
      <w:r w:rsidR="004B3618">
        <w:fldChar w:fldCharType="separate"/>
      </w:r>
      <w:r w:rsidR="001C1AAC">
        <w:t>(</w:t>
      </w:r>
      <w:r w:rsidR="001C1AAC">
        <w:rPr>
          <w:i/>
          <w:iCs/>
        </w:rPr>
        <w:t>60</w:t>
      </w:r>
      <w:r w:rsidR="001C1AAC">
        <w:t>)</w:t>
      </w:r>
      <w:r w:rsidR="004B3618">
        <w:fldChar w:fldCharType="end"/>
      </w:r>
      <w:r w:rsidR="00C85EA1">
        <w:t xml:space="preserve">. Grass lignins also contain </w:t>
      </w:r>
      <w:r w:rsidR="00C85EA1" w:rsidRPr="00214FDF">
        <w:rPr>
          <w:b/>
          <w:i/>
        </w:rPr>
        <w:t>G</w:t>
      </w:r>
      <w:r w:rsidR="00C85EA1">
        <w:t xml:space="preserve">- and </w:t>
      </w:r>
      <w:r w:rsidR="00C85EA1" w:rsidRPr="00214FDF">
        <w:rPr>
          <w:b/>
          <w:i/>
        </w:rPr>
        <w:t>S</w:t>
      </w:r>
      <w:r w:rsidR="00C85EA1">
        <w:t xml:space="preserve">-units with slightly higher amount of </w:t>
      </w:r>
      <w:r w:rsidR="00C85EA1" w:rsidRPr="00214FDF">
        <w:rPr>
          <w:b/>
          <w:i/>
        </w:rPr>
        <w:t>H</w:t>
      </w:r>
      <w:r w:rsidR="00C85EA1">
        <w:t xml:space="preserve">-units than woody dicots. Wheat straw, for example, has a </w:t>
      </w:r>
      <w:r w:rsidR="00C85EA1" w:rsidRPr="00214FDF">
        <w:rPr>
          <w:b/>
          <w:i/>
        </w:rPr>
        <w:t>G:S:H</w:t>
      </w:r>
      <w:r w:rsidR="00C85EA1">
        <w:t xml:space="preserve"> ratio of 64:30:6 </w:t>
      </w:r>
      <w:r w:rsidR="004B3618">
        <w:fldChar w:fldCharType="begin"/>
      </w:r>
      <w:r>
        <w:instrText xml:space="preserve"> ADDIN PAPERS2_CITATIONS &lt;citation&gt;&lt;uuid&gt;72CDD053-C13E-431B-A866-A17E9BF1E3BA&lt;/uuid&gt;&lt;priority&gt;0&lt;/priority&gt;&lt;publications&gt;&lt;publication&gt;&lt;volume&gt;61&lt;/volume&gt;&lt;publication_date&gt;99201304241200000000222000&lt;/publication_date&gt;&lt;number&gt;16&lt;/number&gt;&lt;doi&gt;10.1021/jf4001988&lt;/doi&gt;&lt;startpage&gt;3916&lt;/startpage&gt;&lt;title&gt;Structural Modification of Lignin and Characterization of Pretreated Wheat Straw by Ozonation&lt;/title&gt;&lt;uuid&gt;0A55E69A-83B4-437F-A9FA-AD4F9773B3D5&lt;/uuid&gt;&lt;subtype&gt;400&lt;/subtype&gt;&lt;endpage&gt;3925&lt;/endpage&gt;&lt;type&gt;400&lt;/type&gt;&lt;url&gt;http://pubs.acs.org/doi/abs/10.1021/jf4001988&lt;/url&gt;&lt;bundle&gt;&lt;publication&gt;&lt;title&gt;Journal of agricultural and food chemistry&lt;/title&gt;&lt;type&gt;-100&lt;/type&gt;&lt;subtype&gt;-100&lt;/subtype&gt;&lt;uuid&gt;79D9744C-A749-4DAD-BBCF-DFFD654CDEDA&lt;/uuid&gt;&lt;/publication&gt;&lt;/bundle&gt;&lt;authors&gt;&lt;author&gt;&lt;firstName&gt;Mahesh&lt;/firstName&gt;&lt;middleNames&gt;V&lt;/middleNames&gt;&lt;lastName&gt;Bule&lt;/lastName&gt;&lt;/author&gt;&lt;author&gt;&lt;firstName&gt;Allan&lt;/firstName&gt;&lt;middleNames&gt;H&lt;/middleNames&gt;&lt;lastName&gt;Gao&lt;/lastName&gt;&lt;/author&gt;&lt;author&gt;&lt;firstName&gt;Bill&lt;/firstName&gt;&lt;lastName&gt;Hiscox&lt;/lastName&gt;&lt;/author&gt;&lt;author&gt;&lt;firstName&gt;Shulin&lt;/firstName&gt;&lt;lastName&gt;Chen&lt;/lastName&gt;&lt;/author&gt;&lt;/authors&gt;&lt;/publication&gt;&lt;/publications&gt;&lt;cites&gt;&lt;/cites&gt;&lt;/citation&gt;</w:instrText>
      </w:r>
      <w:r w:rsidR="004B3618">
        <w:fldChar w:fldCharType="separate"/>
      </w:r>
      <w:r w:rsidR="001C1AAC">
        <w:t>(</w:t>
      </w:r>
      <w:r w:rsidR="001C1AAC">
        <w:rPr>
          <w:i/>
          <w:iCs/>
        </w:rPr>
        <w:t>61</w:t>
      </w:r>
      <w:r w:rsidR="001C1AAC">
        <w:t>)</w:t>
      </w:r>
      <w:r w:rsidR="004B3618">
        <w:fldChar w:fldCharType="end"/>
      </w:r>
      <w:r w:rsidR="004B3618">
        <w:t>.</w:t>
      </w:r>
      <w:r w:rsidR="00C85EA1">
        <w:t xml:space="preserve"> Grass lignin possesses hi</w:t>
      </w:r>
      <w:r w:rsidR="004B2743">
        <w:t>gh levels of p-coumarate esters</w:t>
      </w:r>
      <w:r w:rsidR="004B3618">
        <w:t xml:space="preserve"> </w:t>
      </w:r>
      <w:r w:rsidR="004B3618">
        <w:fldChar w:fldCharType="begin"/>
      </w:r>
      <w:r>
        <w:instrText xml:space="preserve"> ADDIN PAPERS2_CITATIONS &lt;citation&gt;&lt;uuid&gt;2BD89E5A-7867-41CA-BECA-23226875C635&lt;/uuid&gt;&lt;priority&gt;0&lt;/priority&gt;&lt;publications&gt;&lt;publication&gt;&lt;uuid&gt;75B1A19E-2DE9-4C95-8DF0-F8948B45E0D7&lt;/uuid&gt;&lt;volume&gt;88&lt;/volume&gt;&lt;doi&gt;10.1002/Jsfa.3376&lt;/doi&gt;&lt;startpage&gt;2529&lt;/startpage&gt;&lt;publication_date&gt;99200811001200000000220000&lt;/publication_date&gt;&lt;url&gt;http://onlinelibrary.wiley.com/doi/10.1002/jsfa.3376/abstract;jsessionid=83060EB9DC22DB19AE56471F797B8157.f04t02&lt;/url&gt;&lt;type&gt;400&lt;/type&gt;&lt;title&gt;Characterization of p-coumarate accumulation, p-coumaroyl transferase, and cell wall changes during the development of corn stems&lt;/title&gt;&lt;institution&gt;Hatfield, RD</w:instrText>
      </w:r>
    </w:p>
    <w:p w14:paraId="68A830A6" w14:textId="77777777" w:rsidR="00807999" w:rsidRDefault="00807999" w:rsidP="00C85EA1">
      <w:r>
        <w:instrText>USDA ARS, US Dairy Forage Res Ctr, 1925 Linden Dr, Madison, WI 53706 USA</w:instrText>
      </w:r>
    </w:p>
    <w:p w14:paraId="72626DDF" w14:textId="77777777" w:rsidR="00807999" w:rsidRDefault="00807999" w:rsidP="00C85EA1">
      <w:r>
        <w:instrText>USDA ARS, US Dairy Forage Res Ctr, 1925 Linden Dr, Madison, WI 53706 USA</w:instrText>
      </w:r>
    </w:p>
    <w:p w14:paraId="155F6C48" w14:textId="77777777" w:rsidR="00807999" w:rsidRDefault="00807999" w:rsidP="00C85EA1">
      <w:r>
        <w:instrText>USDA ARS, US Dairy Forage Res Ctr, Madison, WI 53706 USA&lt;/institution&gt;&lt;number&gt;14&lt;/number&gt;&lt;subtype&gt;400&lt;/subtype&gt;&lt;endpage&gt;2537&lt;/endpage&gt;&lt;bundle&gt;&lt;publication&gt;&lt;title&gt;Journal of the Science of Food and Agriculture&lt;/title&gt;&lt;type&gt;-100&lt;/type&gt;&lt;subtype&gt;-100&lt;/subtype&gt;&lt;uuid&gt;F23F9854-F605-4BE0-8338-37D38352DCBD&lt;/uuid&gt;&lt;/publication&gt;&lt;/bundle&gt;&lt;authors&gt;&lt;author&gt;&lt;firstName&gt;Ronald&lt;/firstName&gt;&lt;middleNames&gt;D&lt;/middleNames&gt;&lt;lastName&gt;Hatfield&lt;/lastName&gt;&lt;/author&gt;&lt;author&gt;&lt;firstName&gt;J&lt;/firstName&gt;&lt;middleNames&gt;M&lt;/middleNames&gt;&lt;lastName&gt;Marita&lt;/lastName&gt;&lt;/author&gt;&lt;author&gt;&lt;firstName&gt;K&lt;/firstName&gt;&lt;lastName&gt;Frost&lt;/lastName&gt;&lt;/author&gt;&lt;/authors&gt;&lt;/publication&gt;&lt;/publications&gt;&lt;cites&gt;&lt;/cites&gt;&lt;/citation&gt;</w:instrText>
      </w:r>
      <w:r w:rsidR="004B3618">
        <w:fldChar w:fldCharType="separate"/>
      </w:r>
      <w:r w:rsidR="001C1AAC">
        <w:t>(</w:t>
      </w:r>
      <w:r w:rsidR="001C1AAC">
        <w:rPr>
          <w:i/>
          <w:iCs/>
        </w:rPr>
        <w:t>62</w:t>
      </w:r>
      <w:r w:rsidR="001C1AAC">
        <w:t>)</w:t>
      </w:r>
      <w:r w:rsidR="004B3618">
        <w:fldChar w:fldCharType="end"/>
      </w:r>
      <w:r w:rsidR="004B3618">
        <w:t xml:space="preserve"> </w:t>
      </w:r>
      <w:r w:rsidR="00C85EA1">
        <w:t>and can also be etherified by tricin and ferulic acid</w:t>
      </w:r>
      <w:r w:rsidR="004B3618">
        <w:t xml:space="preserve"> </w:t>
      </w:r>
      <w:r w:rsidR="004B3618">
        <w:fldChar w:fldCharType="begin"/>
      </w:r>
      <w:r>
        <w:instrText xml:space="preserve"> ADDIN PAPERS2_CITATIONS &lt;citation&gt;&lt;uuid&gt;BBF93E50-6869-41BD-88DF-67E9235A0D4A&lt;/uuid&gt;&lt;priority&gt;0&lt;/priority&gt;&lt;publications&gt;&lt;publication&gt;&lt;volume&gt;275&lt;/volume&gt;&lt;number&gt;1&lt;/number&gt;&lt;doi&gt;10.1016/0008-6215(95)00237-N&lt;/doi&gt;&lt;institution&gt;Ralph, J</w:instrText>
      </w:r>
    </w:p>
    <w:p w14:paraId="0F418FCE" w14:textId="77777777" w:rsidR="00807999" w:rsidRDefault="00807999" w:rsidP="00C85EA1">
      <w:r>
        <w:instrText>Usda Ars,Us Dairy Forage Res Ctr,1925 Linden Dr W,Madison,Wi 53706, USA</w:instrText>
      </w:r>
    </w:p>
    <w:p w14:paraId="064001BC" w14:textId="77777777" w:rsidR="00807999" w:rsidRDefault="00807999" w:rsidP="00C85EA1">
      <w:r>
        <w:instrText>Usda Ars,Us Dairy Forage Res Ctr,1925 Linden Dr W,Madison,Wi 53706, USA</w:instrText>
      </w:r>
    </w:p>
    <w:p w14:paraId="4855C699" w14:textId="77777777" w:rsidR="00807999" w:rsidRDefault="00807999" w:rsidP="00C85EA1">
      <w:r>
        <w:instrText>Univ Wisconsin,Dept Forestry,Madison,Wi 53706&lt;/institution&gt;&lt;startpage&gt;167&lt;/startpage&gt;&lt;title&gt;Lignin-Ferulate Cross-Links in Grasses - Active Incorporation of Ferulate Polysaccharide Esters into Ryegrass Lignins&lt;/title&gt;&lt;uuid&gt;8610BEA1-DB19-492D-A5DC-375BC6DC3DE8&lt;/uuid&gt;&lt;subtype&gt;400&lt;/subtype&gt;&lt;endpage&gt;178&lt;/endpage&gt;&lt;type&gt;400&lt;/type&gt;&lt;publication_date&gt;99199509151200000000222000&lt;/publication_date&gt;&lt;bundle&gt;&lt;publication&gt;&lt;title&gt;Carbohydrate Research&lt;/title&gt;&lt;type&gt;-100&lt;/type&gt;&lt;subtype&gt;-100&lt;/subtype&gt;&lt;uuid&gt;BE27CC05-2234-4BA6-9D53-46C42A7F4DE7&lt;/uuid&gt;&lt;/publication&gt;&lt;/bundle&gt;&lt;authors&gt;&lt;author&gt;&lt;firstName&gt;John&lt;/firstName&gt;&lt;lastName&gt;Ralph&lt;/lastName&gt;&lt;/author&gt;&lt;author&gt;&lt;firstName&gt;John&lt;/firstName&gt;&lt;middleNames&gt;H&lt;/middleNames&gt;&lt;lastName&gt;Grabber&lt;/lastName&gt;&lt;/author&gt;&lt;author&gt;&lt;firstName&gt;Ronald&lt;/firstName&gt;&lt;middleNames&gt;D&lt;/middleNames&gt;&lt;lastName&gt;Hatfield&lt;/lastName&gt;&lt;/author&gt;&lt;/authors&gt;&lt;/publication&gt;&lt;publication&gt;&lt;volume&gt;167&lt;/volume&gt;&lt;publication_date&gt;99201503271200000000222000&lt;/publication_date&gt;&lt;number&gt;4&lt;/number&gt;&lt;doi&gt;10.1104/pp.114.253757&lt;/doi&gt;&lt;startpage&gt;1284&lt;/startpage&gt;&lt;title&gt;Tricin, a Flavonoid Monomer in Monocot Lignification&lt;/title&gt;&lt;uuid&gt;A831555D-C19C-4EE5-886A-5F27BC6B26EA&lt;/uuid&gt;&lt;subtype&gt;400&lt;/subtype&gt;&lt;endpage&gt;1295&lt;/endpage&gt;&lt;type&gt;400&lt;/type&gt;&lt;url&gt;http://www.plantphysiol.org/lookup/doi/10.1104/pp.114.253757&lt;/url&gt;&lt;bundle&gt;&lt;publication&gt;&lt;publisher&gt;American Society of Plant Physiologists&lt;/publisher&gt;&lt;title&gt;Plant physiology&lt;/title&gt;&lt;type&gt;-100&lt;/type&gt;&lt;subtype&gt;-100&lt;/subtype&gt;&lt;uuid&gt;B97DA55A-D50B-4A35-A621-F9088F5658CB&lt;/uuid&gt;&lt;/publication&gt;&lt;/bundle&gt;&lt;authors&gt;&lt;author&gt;&lt;firstName&gt;Wu&lt;/firstName&gt;&lt;lastName&gt;Lan&lt;/lastName&gt;&lt;/author&gt;&lt;author&gt;&lt;firstName&gt;Fachuang&lt;/firstName&gt;&lt;lastName&gt;Lu&lt;/lastName&gt;&lt;/author&gt;&lt;author&gt;&lt;firstName&gt;Matthew&lt;/firstName&gt;&lt;lastName&gt;Regner&lt;/lastName&gt;&lt;/author&gt;&lt;author&gt;&lt;firstName&gt;Yimin&lt;/firstName&gt;&lt;lastName&gt;Zhu&lt;/lastName&gt;&lt;/author&gt;&lt;author&gt;&lt;firstName&gt;Jorge&lt;/firstName&gt;&lt;lastName&gt;Rencoret&lt;/lastName&gt;&lt;/author&gt;&lt;author&gt;&lt;firstName&gt;Sally&lt;/firstName&gt;&lt;middleNames&gt;A&lt;/middleNames&gt;&lt;lastName&gt;Ralph&lt;/lastName&gt;&lt;/author&gt;&lt;author&gt;&lt;firstName&gt;Uzma&lt;/firstName&gt;&lt;middleNames&gt;I&lt;/middleNames&gt;&lt;lastName&gt;Zakai&lt;/lastName&gt;&lt;/author&gt;&lt;author&gt;&lt;firstName&gt;Kris&lt;/firstName&gt;&lt;lastName&gt;Morreel&lt;/lastName&gt;&lt;/author&gt;&lt;author&gt;&lt;firstName&gt;Wout&lt;/firstName&gt;&lt;lastName&gt;Boerjan&lt;/lastName&gt;&lt;/author&gt;&lt;author&gt;&lt;firstName&gt;John&lt;/firstName&gt;&lt;lastName&gt;Ralph&lt;/lastName&gt;&lt;/author&gt;&lt;/authors&gt;&lt;/publication&gt;&lt;/publications&gt;&lt;cites&gt;&lt;/cites&gt;&lt;/citation&gt;</w:instrText>
      </w:r>
      <w:r w:rsidR="004B3618">
        <w:fldChar w:fldCharType="separate"/>
      </w:r>
      <w:r w:rsidR="001C1AAC">
        <w:t>(</w:t>
      </w:r>
      <w:r w:rsidR="001C1AAC">
        <w:rPr>
          <w:i/>
          <w:iCs/>
        </w:rPr>
        <w:t>63</w:t>
      </w:r>
      <w:r w:rsidR="001C1AAC">
        <w:t xml:space="preserve">, </w:t>
      </w:r>
      <w:r w:rsidR="001C1AAC">
        <w:rPr>
          <w:i/>
          <w:iCs/>
        </w:rPr>
        <w:t>64</w:t>
      </w:r>
      <w:r w:rsidR="001C1AAC">
        <w:t>)</w:t>
      </w:r>
      <w:r w:rsidR="004B3618">
        <w:fldChar w:fldCharType="end"/>
      </w:r>
      <w:r w:rsidR="00C85EA1">
        <w:t xml:space="preserve">, as discussed further below. Woody gymnosperm lignins are different from angiosperm lignins, being primarily composed of </w:t>
      </w:r>
      <w:r w:rsidR="00C85EA1" w:rsidRPr="004B2743">
        <w:rPr>
          <w:b/>
          <w:i/>
        </w:rPr>
        <w:t>G</w:t>
      </w:r>
      <w:r w:rsidR="00C85EA1">
        <w:t xml:space="preserve">-units and a lower amounts of </w:t>
      </w:r>
      <w:r w:rsidR="00C85EA1" w:rsidRPr="004B2743">
        <w:rPr>
          <w:b/>
          <w:i/>
        </w:rPr>
        <w:t>H</w:t>
      </w:r>
      <w:r w:rsidR="004B3618">
        <w:t xml:space="preserve">-units </w:t>
      </w:r>
      <w:r w:rsidR="004B3618">
        <w:fldChar w:fldCharType="begin"/>
      </w:r>
      <w:r>
        <w:instrText xml:space="preserve"> ADDIN PAPERS2_CITATIONS &lt;citation&gt;&lt;uuid&gt;6406ED36-0EFB-4286-BEAD-8E56EC1802B3&lt;/uuid&gt;&lt;priority&gt;0&lt;/priority&gt;&lt;publications&gt;&lt;publication&gt;&lt;uuid&gt;0BBB86C2-AEA9-44B5-B628-5035F5735D51&lt;/uuid&gt;&lt;volume&gt;54&lt;/volume&gt;&lt;doi&gt;10.1146/annurev.arplant.54.031902.134938&lt;/doi&gt;&lt;startpage&gt;519&lt;/startpage&gt;&lt;publication_date&gt;99200300001200000000200000&lt;/publication_date&gt;&lt;url&gt;http://www.annualreviews.org/doi/abs/10.1146/annurev.arplant.54.031902.134938&lt;/url&gt;&lt;citekey&gt;Boerjan:2003hk&lt;/citekey&gt;&lt;type&gt;400&lt;/type&gt;&lt;title&gt;Lignin biosynthesis&lt;/title&gt;&lt;institution&gt;Boerjan, W</w:instrText>
      </w:r>
    </w:p>
    <w:p w14:paraId="223A9EBB" w14:textId="77777777" w:rsidR="00807999" w:rsidRDefault="00807999" w:rsidP="00C85EA1">
      <w:r>
        <w:instrText>State Univ Ghent VIB, Dept Plant Syst Biol, K L Ledeganckstr 35, B-9000 Ghent, Belgium</w:instrText>
      </w:r>
    </w:p>
    <w:p w14:paraId="11765DDD" w14:textId="77777777" w:rsidR="00807999" w:rsidRDefault="00807999" w:rsidP="00C85EA1">
      <w:r>
        <w:instrText>State Univ Ghent VIB, Dept Plant Syst Biol, K L Ledeganckstr 35, B-9000 Ghent, Belgium</w:instrText>
      </w:r>
    </w:p>
    <w:p w14:paraId="3CA4A9CE" w14:textId="77777777" w:rsidR="00807999" w:rsidRDefault="00807999" w:rsidP="00C85EA1">
      <w:r>
        <w:instrText>State Univ Ghent VIB, Dept Plant Syst Biol, B-9000 Ghent, Belgium</w:instrText>
      </w:r>
    </w:p>
    <w:p w14:paraId="3C80265B" w14:textId="77777777" w:rsidR="00807999" w:rsidRDefault="00807999" w:rsidP="00C85EA1">
      <w:r>
        <w:instrText>USDA ARS, US Dairy Forage Res Ctr, Madison, WI 53706 USA</w:instrText>
      </w:r>
    </w:p>
    <w:p w14:paraId="72F7A017" w14:textId="34A7B642" w:rsidR="00C85EA1" w:rsidRDefault="00807999" w:rsidP="00C85EA1">
      <w:r>
        <w:instrText>Free Univ Brussels, Lab Biotechnol Vegetale, B-1160 Brussels, Belgium&lt;/institution&gt;&lt;subtype&gt;400&lt;/subtype&gt;&lt;endpage&gt;546&lt;/endpage&gt;&lt;bundle&gt;&lt;publication&gt;&lt;title&gt;Annual review of plant biology&lt;/title&gt;&lt;type&gt;-100&lt;/type&gt;&lt;subtype&gt;-100&lt;/subtype&gt;&lt;uuid&gt;4CDB0732-FE75-4F56-9627-A14F8E94872D&lt;/uuid&gt;&lt;/publication&gt;&lt;/bundle&gt;&lt;authors&gt;&lt;author&gt;&lt;firstName&gt;Wout&lt;/firstName&gt;&lt;lastName&gt;Boerjan&lt;/lastName&gt;&lt;/author&gt;&lt;author&gt;&lt;firstName&gt;John&lt;/firstName&gt;&lt;lastName&gt;Ralph&lt;/lastName&gt;&lt;/author&gt;&lt;author&gt;&lt;firstName&gt;Marie&lt;/firstName&gt;&lt;lastName&gt;Baucher&lt;/lastName&gt;&lt;/author&gt;&lt;/authors&gt;&lt;/publication&gt;&lt;/publications&gt;&lt;cites&gt;&lt;/cites&gt;&lt;/citation&gt;</w:instrText>
      </w:r>
      <w:r w:rsidR="004B3618">
        <w:fldChar w:fldCharType="separate"/>
      </w:r>
      <w:r w:rsidR="001C1AAC">
        <w:t>(</w:t>
      </w:r>
      <w:r w:rsidR="001C1AAC">
        <w:rPr>
          <w:i/>
          <w:iCs/>
        </w:rPr>
        <w:t>55</w:t>
      </w:r>
      <w:r w:rsidR="001C1AAC">
        <w:t>)</w:t>
      </w:r>
      <w:r w:rsidR="004B3618">
        <w:fldChar w:fldCharType="end"/>
      </w:r>
      <w:r w:rsidR="00C85EA1">
        <w:t xml:space="preserve">. </w:t>
      </w:r>
    </w:p>
    <w:p w14:paraId="0BCB283E" w14:textId="77777777" w:rsidR="00807999" w:rsidRDefault="00C85EA1" w:rsidP="00C85EA1">
      <w:r>
        <w:t xml:space="preserve">Biomass also contains </w:t>
      </w:r>
      <w:r w:rsidR="004B2743">
        <w:t>inorganic elements including Ca</w:t>
      </w:r>
      <w:r>
        <w:t xml:space="preserve">, K, Si, Mg, Al, S, Fe, P, Cl,  Na and some trace elements (&lt;0.1%) such as Mn and Ti,  according to ash analysis, formed by oxidation of biomass at 575°C </w:t>
      </w:r>
      <w:r w:rsidR="004B3618">
        <w:fldChar w:fldCharType="begin"/>
      </w:r>
      <w:r w:rsidR="00807999">
        <w:instrText xml:space="preserve"> ADDIN PAPERS2_CITATIONS &lt;citation&gt;&lt;uuid&gt;B62D161C-8A9A-4944-B7FB-15658F430052&lt;/uuid&gt;&lt;priority&gt;0&lt;/priority&gt;&lt;publications&gt;&lt;publication&gt;&lt;volume&gt;88&lt;/volume&gt;&lt;publication_date&gt;99200712001200000000220000&lt;/publication_date&gt;&lt;number&gt;11-12&lt;/number&gt;&lt;doi&gt;10.1016/j.fuproc.2007.06.011&lt;/doi&gt;&lt;startpage&gt;1071&lt;/startpage&gt;&lt;title&gt;Characterising ash of biomass and waste&lt;/title&gt;&lt;uuid&gt;EA0965B6-1D0D-4B15-AB53-471DE9ADA85A&lt;/uuid&gt;&lt;subtype&gt;400&lt;/subtype&gt;&lt;endpage&gt;1081&lt;/endpage&gt;&lt;type&gt;400&lt;/type&gt;&lt;url&gt;http://linkinghub.elsevier.com/retrieve/pii/S0378382007001476&lt;/url&gt;&lt;bundle&gt;&lt;publication&gt;&lt;publisher&gt;Elsevier B.V.&lt;/publisher&gt;&lt;title&gt;Fuel Processing Technology&lt;/title&gt;&lt;type&gt;-100&lt;/type&gt;&lt;subtype&gt;-100&lt;/subtype&gt;&lt;uuid&gt;6044786F-8102-4C37-A3E2-8121AC18A87A&lt;/uuid&gt;&lt;/publication&gt;&lt;/bundle&gt;&lt;authors&gt;&lt;author&gt;&lt;firstName&gt;A&lt;/firstName&gt;&lt;middleNames&gt;A&lt;/middleNames&gt;&lt;lastName&gt;Tortosa Masiá&lt;/lastName&gt;&lt;/author&gt;&lt;author&gt;&lt;firstName&gt;B&lt;/firstName&gt;&lt;middleNames&gt;J P&lt;/middleNames&gt;&lt;lastName&gt;Buhre&lt;/lastName&gt;&lt;/author&gt;&lt;author&gt;&lt;firstName&gt;R&lt;/firstName&gt;&lt;middleNames&gt;P&lt;/middleNames&gt;&lt;lastName&gt;Gupta&lt;/lastName&gt;&lt;/author&gt;&lt;author&gt;&lt;firstName&gt;T&lt;/firstName&gt;&lt;middleNames&gt;F&lt;/middleNames&gt;&lt;lastName&gt;Wall&lt;/lastName&gt;&lt;/author&gt;&lt;/authors&gt;&lt;/publication&gt;&lt;publication&gt;&lt;volume&gt;89&lt;/volume&gt;&lt;number&gt;5&lt;/number&gt;&lt;doi&gt;10.1016/j.fuel.2009.10.022&lt;/doi&gt;&lt;institution&gt;Vassilev, SV</w:instrText>
      </w:r>
    </w:p>
    <w:p w14:paraId="4F57E22F" w14:textId="77777777" w:rsidR="00807999" w:rsidRDefault="00807999" w:rsidP="00C85EA1">
      <w:r>
        <w:instrText>Bulgarian Acad Sci, Cent Lab Mineral &amp;amp; Crystallog, Acad G Bonchev St,Block 107, BU-1113 Sofia, Bulgaria</w:instrText>
      </w:r>
    </w:p>
    <w:p w14:paraId="33F647D5" w14:textId="77777777" w:rsidR="00807999" w:rsidRDefault="00807999" w:rsidP="00C85EA1">
      <w:r>
        <w:instrText>Bulgarian Acad Sci, Cent Lab Mineral &amp;amp; Crystallog, Acad G Bonchev St,Block 107, BU-1113 Sofia, Bulgaria</w:instrText>
      </w:r>
    </w:p>
    <w:p w14:paraId="6CD64176" w14:textId="77777777" w:rsidR="00807999" w:rsidRDefault="00807999" w:rsidP="00C85EA1">
      <w:r>
        <w:instrText>Bulgarian Acad Sci, Cent Lab Mineral &amp;amp; Crystallog, BU-1113 Sofia, Bulgaria</w:instrText>
      </w:r>
    </w:p>
    <w:p w14:paraId="56144D8A" w14:textId="77777777" w:rsidR="00807999" w:rsidRDefault="00807999" w:rsidP="00C85EA1">
      <w:r>
        <w:instrText>European Commiss, Inst Energy, Joint Res Ctr, NL-1755 ZG Petten, Netherlands&lt;/institution&gt;&lt;startpage&gt;913&lt;/startpage&gt;&lt;title&gt;An overview of the chemical composition of biomass&lt;/title&gt;&lt;uuid&gt;9EB9819E-197F-4873-82DC-474D6F02F7B9&lt;/uuid&gt;&lt;subtype&gt;400&lt;/subtype&gt;&lt;endpage&gt;933&lt;/endpage&gt;&lt;type&gt;400&lt;/type&gt;&lt;publication_date&gt;99201005001200000000220000&lt;/publication_date&gt;&lt;bundle&gt;&lt;publication&gt;&lt;publisher&gt;Elsevier Ltd&lt;/publisher&gt;&lt;title&gt;Fuel&lt;/title&gt;&lt;type&gt;-100&lt;/type&gt;&lt;subtype&gt;-100&lt;/subtype&gt;&lt;uuid&gt;E286CABA-D6F1-4A09-A385-6AFE55FAD8F4&lt;/uuid&gt;&lt;/publication&gt;&lt;/bundle&gt;&lt;authors&gt;&lt;author&gt;&lt;firstName&gt;S&lt;/firstName&gt;&lt;middleNames&gt;V&lt;/middleNames&gt;&lt;lastName&gt;Vassilev&lt;/lastName&gt;&lt;/author&gt;&lt;author&gt;&lt;firstName&gt;D&lt;/firstName&gt;&lt;lastName&gt;Baxter&lt;/lastName&gt;&lt;/author&gt;&lt;author&gt;&lt;firstName&gt;L&lt;/firstName&gt;&lt;middleNames&gt;K&lt;/middleNames&gt;&lt;lastName&gt;Andersen&lt;/lastName&gt;&lt;/author&gt;&lt;author&gt;&lt;firstName&gt;C&lt;/firstName&gt;&lt;middleNames&gt;G&lt;/middleNames&gt;&lt;lastName&gt;Vassileva&lt;/lastName&gt;&lt;/author&gt;&lt;/authors&gt;&lt;/publication&gt;&lt;/publications&gt;&lt;cites&gt;&lt;/cites&gt;&lt;/citation&gt;</w:instrText>
      </w:r>
      <w:r w:rsidR="004B3618">
        <w:fldChar w:fldCharType="separate"/>
      </w:r>
      <w:r w:rsidR="001C1AAC">
        <w:t>(</w:t>
      </w:r>
      <w:r w:rsidR="001C1AAC">
        <w:rPr>
          <w:i/>
          <w:iCs/>
        </w:rPr>
        <w:t>65</w:t>
      </w:r>
      <w:r w:rsidR="001C1AAC">
        <w:t xml:space="preserve">, </w:t>
      </w:r>
      <w:r w:rsidR="001C1AAC">
        <w:rPr>
          <w:i/>
          <w:iCs/>
        </w:rPr>
        <w:t>66</w:t>
      </w:r>
      <w:r w:rsidR="001C1AAC">
        <w:t>)</w:t>
      </w:r>
      <w:r w:rsidR="004B3618">
        <w:fldChar w:fldCharType="end"/>
      </w:r>
      <w:r w:rsidR="00C85EA1">
        <w:t xml:space="preserve">. As with other biomass components, the abundance of mineral elements varies among species. In general, compared with grass biomass, woody biomasses contain less ash, Cl, K, N, S, and Si, but more Ca </w:t>
      </w:r>
      <w:r w:rsidR="004B3618">
        <w:fldChar w:fldCharType="begin"/>
      </w:r>
      <w:r>
        <w:instrText xml:space="preserve"> ADDIN PAPERS2_CITATIONS &lt;citation&gt;&lt;uuid&gt;54DAE0E8-EC3B-4307-986F-6DE5A5BA96A4&lt;/uuid&gt;&lt;priority&gt;0&lt;/priority&gt;&lt;publications&gt;&lt;publication&gt;&lt;volume&gt;89&lt;/volume&gt;&lt;number&gt;5&lt;/number&gt;&lt;doi&gt;10.1016/j.fuel.2009.10.022&lt;/doi&gt;&lt;institution&gt;Vassilev, SV</w:instrText>
      </w:r>
    </w:p>
    <w:p w14:paraId="0E6076D2" w14:textId="77777777" w:rsidR="00807999" w:rsidRDefault="00807999" w:rsidP="00C85EA1">
      <w:r>
        <w:instrText>Bulgarian Acad Sci, Cent Lab Mineral &amp;amp; Crystallog, Acad G Bonchev St,Block 107, BU-1113 Sofia, Bulgaria</w:instrText>
      </w:r>
    </w:p>
    <w:p w14:paraId="151622FF" w14:textId="77777777" w:rsidR="00807999" w:rsidRDefault="00807999" w:rsidP="00C85EA1">
      <w:r>
        <w:instrText>Bulgarian Acad Sci, Cent Lab Mineral &amp;amp; Crystallog, Acad G Bonchev St,Block 107, BU-1113 Sofia, Bulgaria</w:instrText>
      </w:r>
    </w:p>
    <w:p w14:paraId="712FF796" w14:textId="77777777" w:rsidR="00807999" w:rsidRDefault="00807999" w:rsidP="00C85EA1">
      <w:r>
        <w:instrText>Bulgarian Acad Sci, Cent Lab Mineral &amp;amp; Crystallog, BU-1113 Sofia, Bulgaria</w:instrText>
      </w:r>
    </w:p>
    <w:p w14:paraId="20C57530" w14:textId="7F08572B" w:rsidR="00C85EA1" w:rsidRDefault="00807999" w:rsidP="00C85EA1">
      <w:r>
        <w:instrText>European Commiss, Inst Energy, Joint Res Ctr, NL-1755 ZG Petten, Netherlands&lt;/institution&gt;&lt;startpage&gt;913&lt;/startpage&gt;&lt;title&gt;An overview of the chemical composition of biomass&lt;/title&gt;&lt;uuid&gt;9EB9819E-197F-4873-82DC-474D6F02F7B9&lt;/uuid&gt;&lt;subtype&gt;400&lt;/subtype&gt;&lt;endpage&gt;933&lt;/endpage&gt;&lt;type&gt;400&lt;/type&gt;&lt;publication_date&gt;99201005001200000000220000&lt;/publication_date&gt;&lt;bundle&gt;&lt;publication&gt;&lt;publisher&gt;Elsevier Ltd&lt;/publisher&gt;&lt;title&gt;Fuel&lt;/title&gt;&lt;type&gt;-100&lt;/type&gt;&lt;subtype&gt;-100&lt;/subtype&gt;&lt;uuid&gt;E286CABA-D6F1-4A09-A385-6AFE55FAD8F4&lt;/uuid&gt;&lt;/publication&gt;&lt;/bundle&gt;&lt;authors&gt;&lt;author&gt;&lt;firstName&gt;S&lt;/firstName&gt;&lt;middleNames&gt;V&lt;/middleNames&gt;&lt;lastName&gt;Vassilev&lt;/lastName&gt;&lt;/author&gt;&lt;author&gt;&lt;firstName&gt;D&lt;/firstName&gt;&lt;lastName&gt;Baxter&lt;/lastName&gt;&lt;/author&gt;&lt;author&gt;&lt;firstName&gt;L&lt;/firstName&gt;&lt;middleNames&gt;K&lt;/middleNames&gt;&lt;lastName&gt;Andersen&lt;/lastName&gt;&lt;/author&gt;&lt;author&gt;&lt;firstName&gt;C&lt;/firstName&gt;&lt;middleNames&gt;G&lt;/middleNames&gt;&lt;lastName&gt;Vassileva&lt;/lastName&gt;&lt;/author&gt;&lt;/authors&gt;&lt;/publication&gt;&lt;/publications&gt;&lt;cites&gt;&lt;/cites&gt;&lt;/citation&gt;</w:instrText>
      </w:r>
      <w:r w:rsidR="004B3618">
        <w:fldChar w:fldCharType="separate"/>
      </w:r>
      <w:r w:rsidR="001C1AAC">
        <w:t>(</w:t>
      </w:r>
      <w:r w:rsidR="001C1AAC">
        <w:rPr>
          <w:i/>
          <w:iCs/>
        </w:rPr>
        <w:t>66</w:t>
      </w:r>
      <w:r w:rsidR="001C1AAC">
        <w:t>)</w:t>
      </w:r>
      <w:r w:rsidR="004B3618">
        <w:fldChar w:fldCharType="end"/>
      </w:r>
      <w:r w:rsidR="004B3618">
        <w:t>.</w:t>
      </w:r>
    </w:p>
    <w:p w14:paraId="57BC3E1E" w14:textId="77777777" w:rsidR="00807999" w:rsidRDefault="00C85EA1" w:rsidP="00C85EA1">
      <w:r>
        <w:t xml:space="preserve">Plant biomass components do not accumulate independently of each other, though their relationships are still an active area of research </w:t>
      </w:r>
      <w:r w:rsidR="004B3618">
        <w:fldChar w:fldCharType="begin"/>
      </w:r>
      <w:r w:rsidR="00807999">
        <w:instrText xml:space="preserve"> ADDIN PAPERS2_CITATIONS &lt;citation&gt;&lt;uuid&gt;E309D840-43E0-4D0B-9AF9-749BC468CADE&lt;/uuid&gt;&lt;priority&gt;0&lt;/priority&gt;&lt;publications&gt;&lt;publication&gt;&lt;volume&gt;50&lt;/volume&gt;&lt;publication_date&gt;99201102151200000000222000&lt;/publication_date&gt;&lt;number&gt;6&lt;/number&gt;&lt;doi&gt;10.1021/bi101795q&lt;/doi&gt;&lt;startpage&gt;989&lt;/startpage&gt;&lt;title&gt;Structure and Interactions of Plant Cell-Wall Polysaccharides by Two- and Three-Dimensional Magic-Angle-Spinning Solid-State NMR&lt;/title&gt;&lt;uuid&gt;1684907C-7EFF-40ED-A502-DC92C5D64309&lt;/uuid&gt;&lt;subtype&gt;400&lt;/subtype&gt;&lt;endpage&gt;1000&lt;/endpage&gt;&lt;type&gt;400&lt;/type&gt;&lt;url&gt;http://pubs.acs.org/doi/abs/10.1021/bi101795q&lt;/url&gt;&lt;bundle&gt;&lt;publication&gt;&lt;title&gt;Biochemistry&lt;/title&gt;&lt;type&gt;-100&lt;/type&gt;&lt;subtype&gt;-100&lt;/subtype&gt;&lt;uuid&gt;072FF822-322A-4D91-BB37-87653ED65C11&lt;/uuid&gt;&lt;/publication&gt;&lt;/bundle&gt;&lt;authors&gt;&lt;author&gt;&lt;firstName&gt;Marilú&lt;/firstName&gt;&lt;lastName&gt;Dick-Pérez&lt;/lastName&gt;&lt;/author&gt;&lt;author&gt;&lt;firstName&gt;Yuan&lt;/firstName&gt;&lt;lastName&gt;Zhang&lt;/lastName&gt;&lt;/author&gt;&lt;author&gt;&lt;firstName&gt;Jennifer&lt;/firstName&gt;&lt;lastName&gt;Hayes&lt;/lastName&gt;&lt;/author&gt;&lt;author&gt;&lt;firstName&gt;Andre&lt;/firstName&gt;&lt;lastName&gt;Salazar&lt;/lastName&gt;&lt;/author&gt;&lt;author&gt;&lt;firstName&gt;Olga&lt;/firstName&gt;&lt;middleNames&gt;A&lt;/middleNames&gt;&lt;lastName&gt;Zabotina&lt;/lastName&gt;&lt;/author&gt;&lt;author&gt;&lt;firstName&gt;Mei&lt;/firstName&gt;&lt;lastName&gt;Hong&lt;/lastName&gt;&lt;/author&gt;&lt;/authors&gt;&lt;/publication&gt;&lt;publication&gt;&lt;volume&gt;25&lt;/volume&gt;&lt;publication_date&gt;99201300001200000000200000&lt;/publication_date&gt;&lt;number&gt;1&lt;/number&gt;&lt;doi&gt;10.1105/tpc.112.107334&lt;/doi&gt;&lt;startpage&gt;270&lt;/startpage&gt;&lt;title&gt; An Arabidopsis Cell Wall Proteoglycan Consists of Pectin and Arabinoxylan Covalently Linked to an Arabinogalactan Protein &lt;/title&gt;&lt;uuid&gt;4E53C357-75C9-4FBB-B1BB-828F95BA8A8F&lt;/uuid&gt;&lt;subtype&gt;400&lt;/subtype&gt;&lt;endpage&gt;287&lt;/endpage&gt;&lt;type&gt;400&lt;/type&gt;&lt;url&gt;http://www.plantcell.org/lookup/doi/10.1105/tpc.112.107334&lt;/url&gt;&lt;bundle&gt;&lt;publication&gt;&lt;title&gt;The Plant Cell&lt;/title&gt;&lt;type&gt;-100&lt;/type&gt;&lt;subtype&gt;-100&lt;/subtype&gt;&lt;uuid&gt;0CF28101-D9D8-46AB-8A3F-ECA530935615&lt;/uuid&gt;&lt;/publication&gt;&lt;/bundle&gt;&lt;authors&gt;&lt;author&gt;&lt;firstName&gt;Li&lt;/firstName&gt;&lt;lastName&gt;Tan&lt;/lastName&gt;&lt;/author&gt;&lt;author&gt;&lt;firstName&gt;Stefan&lt;/firstName&gt;&lt;lastName&gt;Eberhard&lt;/lastName&gt;&lt;/author&gt;&lt;author&gt;&lt;firstName&gt;Sivakumar&lt;/firstName&gt;&lt;lastName&gt;Pattathil&lt;/lastName&gt;&lt;/author&gt;&lt;author&gt;&lt;firstName&gt;Clayton&lt;/firstName&gt;&lt;lastName&gt;Warder&lt;/lastName&gt;&lt;/author&gt;&lt;author&gt;&lt;firstName&gt;John&lt;/firstName&gt;&lt;lastName&gt;Glushka&lt;/lastName&gt;&lt;/author&gt;&lt;author&gt;&lt;firstName&gt;Chunhua&lt;/firstName&gt;&lt;lastName&gt;Yuan&lt;/lastName&gt;&lt;/author&gt;&lt;author&gt;&lt;firstName&gt;Zhangying&lt;/firstName&gt;&lt;lastName&gt;Hao&lt;/lastName&gt;&lt;/author&gt;&lt;author&gt;&lt;firstName&gt;Xiang&lt;/firstName&gt;&lt;lastName&gt;Zhu&lt;/lastName&gt;&lt;/author&gt;&lt;author&gt;&lt;firstName&gt;Utku&lt;/firstName&gt;&lt;lastName&gt;Avci&lt;/lastName&gt;&lt;/author&gt;&lt;author&gt;&lt;firstName&gt;Jeffrey&lt;/firstName&gt;&lt;middleNames&gt;S&lt;/middleNames&gt;&lt;lastName&gt;Miller&lt;/lastName&gt;&lt;/author&gt;&lt;author&gt;&lt;firstName&gt;David&lt;/firstName&gt;&lt;lastName&gt;Baldwin&lt;/lastName&gt;&lt;/author&gt;&lt;author&gt;&lt;firstName&gt;Charles&lt;/firstName&gt;&lt;lastName&gt;Pham&lt;/lastName&gt;&lt;/author&gt;&lt;author&gt;&lt;firstName&gt;Ronald&lt;/firstName&gt;&lt;lastName&gt;Orlando&lt;/lastName&gt;&lt;/author&gt;&lt;author&gt;&lt;firstName&gt;Alan&lt;/firstName&gt;&lt;lastName&gt;Darvill&lt;/lastName&gt;&lt;/author&gt;&lt;author&gt;&lt;firstName&gt;Michael&lt;/firstName&gt;&lt;middleNames&gt;G&lt;/middleNames&gt;&lt;lastName&gt;Hahn&lt;/lastName&gt;&lt;/author&gt;&lt;author&gt;&lt;firstName&gt;Marcia&lt;/firstName&gt;&lt;middleNames&gt;J&lt;/middleNames&gt;&lt;lastName&gt;Kieliszewski&lt;/lastName&gt;&lt;/author&gt;&lt;author&gt;&lt;firstName&gt;Debra&lt;/firstName&gt;&lt;lastName&gt;Mohnen&lt;/lastName&gt;&lt;/author&gt;&lt;/authors&gt;&lt;/publication&gt;&lt;publication&gt;&lt;uuid&gt;C3F51559-441B-4038-9EB1-5523E93CEF5C&lt;/uuid&gt;&lt;volume&gt;16&lt;/volume&gt;&lt;doi&gt;10.1021/acs.biomac.5b00009&lt;/doi&gt;&lt;startpage&gt;1232&lt;/startpage&gt;&lt;publication_date&gt;99201503201200000000222000&lt;/publication_date&gt;&lt;url&gt;http://pubs.acs.org/doi/abs/10.1021/acs.biomac.5b00009&lt;/url&gt;&lt;type&gt;400&lt;/type&gt;&lt;title&gt;Interactions of Arabinoxylan and (1,3)(1,4)-β-Glucan with Cellulose Networks&lt;/title&gt;&lt;publisher&gt;American Chemical Society&lt;/publisher&gt;&lt;number&gt;4&lt;/number&gt;&lt;subtype&gt;400&lt;/subtype&gt;&lt;endpage&gt;1239&lt;/endpage&gt;&lt;bundle&gt;&lt;publication&gt;&lt;title&gt;Biomacromolecules&lt;/title&gt;&lt;type&gt;-100&lt;/type&gt;&lt;subtype&gt;-100&lt;/subtype&gt;&lt;uuid&gt;2D52BE3E-CB4A-441F-BB44-381A69019C7D&lt;/uuid&gt;&lt;/publication&gt;&lt;/bundle&gt;&lt;authors&gt;&lt;author&gt;&lt;firstName&gt;Deirdre&lt;/firstName&gt;&lt;lastName&gt;Mikkelsen&lt;/lastName&gt;&lt;/author&gt;&lt;author&gt;&lt;firstName&gt;Bernadine&lt;/firstName&gt;&lt;middleNames&gt;M&lt;/middleNames&gt;&lt;lastName&gt;Flanagan&lt;/lastName&gt;&lt;/author&gt;&lt;author&gt;&lt;firstName&gt;Sarah&lt;/firstName&gt;&lt;middleNames&gt;M&lt;/middleNames&gt;&lt;lastName&gt;Wilson&lt;/lastName&gt;&lt;/author&gt;&lt;author&gt;&lt;firstName&gt;Antony&lt;/firstName&gt;&lt;lastName&gt;Bacic&lt;/lastName&gt;&lt;/author&gt;&lt;author&gt;&lt;firstName&gt;Michael&lt;/firstName&gt;&lt;middleNames&gt;J&lt;/middleNames&gt;&lt;lastName&gt;Gidley&lt;/lastName&gt;&lt;/author&gt;&lt;/authors&gt;&lt;/publication&gt;&lt;/publications&gt;&lt;cites&gt;&lt;/cites&gt;&lt;/citation&gt;</w:instrText>
      </w:r>
      <w:r w:rsidR="004B3618">
        <w:fldChar w:fldCharType="separate"/>
      </w:r>
      <w:r w:rsidR="001C1AAC">
        <w:t>(</w:t>
      </w:r>
      <w:r w:rsidR="001C1AAC">
        <w:rPr>
          <w:i/>
          <w:iCs/>
        </w:rPr>
        <w:t>67</w:t>
      </w:r>
      <w:r w:rsidR="001C1AAC">
        <w:t>-</w:t>
      </w:r>
      <w:r w:rsidR="001C1AAC">
        <w:rPr>
          <w:i/>
          <w:iCs/>
        </w:rPr>
        <w:t>69</w:t>
      </w:r>
      <w:r w:rsidR="001C1AAC">
        <w:t>)</w:t>
      </w:r>
      <w:r w:rsidR="004B3618">
        <w:fldChar w:fldCharType="end"/>
      </w:r>
      <w:r>
        <w:t xml:space="preserve">. Biomass components can correlate with each other because they are physically bound to each other through covalent and non-covalent interactions or because they accumulate in the same plant </w:t>
      </w:r>
      <w:r>
        <w:lastRenderedPageBreak/>
        <w:t>organ or stage of plant development, though a physical interaction may not exist. Because the abundance of some biomass components is correlated, the thermal products from one biomass component may also correlate with other components. For example, the abundance of cellulose correlates with the abundance of lignin in five different biomass sources (Pearson’s Correlation Coefficient = 0.83) and lignin-derived thermal products correlate with cellulosic glucose</w:t>
      </w:r>
      <w:r w:rsidR="00D045E9">
        <w:t xml:space="preserve"> </w:t>
      </w:r>
      <w:r w:rsidR="004B3618">
        <w:fldChar w:fldCharType="begin"/>
      </w:r>
      <w:r w:rsidR="00807999">
        <w:instrText xml:space="preserve"> ADDIN PAPERS2_CITATIONS &lt;citation&gt;&lt;uuid&gt;0115E740-248B-4A3C-9B75-1402B3B055E2&lt;/uuid&gt;&lt;priority&gt;0&lt;/priority&gt;&lt;publications&gt;&lt;publication&gt;&lt;volume&gt;108&lt;/volume&gt;&lt;publication_date&gt;99201407001200000000220000&lt;/publication_date&gt;&lt;doi&gt;10.1016/j.jaap.2014.05.016&lt;/doi&gt;&lt;startpage&gt;56&lt;/startpage&gt;&lt;title&gt;A comprehensive study on relating cell-wall components of lignocellulosic biomass to oxygenated species formed during pyrolysis&lt;/title&gt;&lt;uuid&gt;7FED9759-6353-4731-8DD7-7EE86258EDA2&lt;/uuid&gt;&lt;subtype&gt;400&lt;/subtype&gt;&lt;endpage&gt;67&lt;/endpage&gt;&lt;type&gt;400&lt;/type&gt;&lt;citekey&gt;Mante:2014eu&lt;/citekey&gt;&lt;url&gt;http://linkinghub.elsevier.com/retrieve/pii/S0165237014001223&lt;/url&gt;&lt;bundle&gt;&lt;publication&gt;&lt;publisher&gt;Elsevier B.V.&lt;/publisher&gt;&lt;title&gt;Journal of Analytical and Applied Pyrolysis&lt;/title&gt;&lt;type&gt;-100&lt;/type&gt;&lt;subtype&gt;-100&lt;/subtype&gt;&lt;uuid&gt;D2B451F2-ABD5-4B2D-92A4-9DB1FFA0C21E&lt;/uuid&gt;&lt;/publication&gt;&lt;/bundle&gt;&lt;authors&gt;&lt;author&gt;&lt;firstName&gt;Ofei&lt;/firstName&gt;&lt;middleNames&gt;D&lt;/middleNames&gt;&lt;lastName&gt;Mante&lt;/lastName&gt;&lt;/author&gt;&lt;author&gt;&lt;firstName&gt;Suresh&lt;/firstName&gt;&lt;middleNames&gt;P&lt;/middleNames&gt;&lt;lastName&gt;Babu&lt;/lastName&gt;&lt;/author&gt;&lt;author&gt;&lt;firstName&gt;Thomas&lt;/firstName&gt;&lt;middleNames&gt;E&lt;/middleNames&gt;&lt;lastName&gt;Amidon&lt;/lastName&gt;&lt;/author&gt;&lt;/authors&gt;&lt;/publication&gt;&lt;/publications&gt;&lt;cites&gt;&lt;/cites&gt;&lt;/citation&gt;</w:instrText>
      </w:r>
      <w:r w:rsidR="004B3618">
        <w:fldChar w:fldCharType="separate"/>
      </w:r>
      <w:r w:rsidR="001C1AAC">
        <w:t>(</w:t>
      </w:r>
      <w:r w:rsidR="001C1AAC">
        <w:rPr>
          <w:i/>
          <w:iCs/>
        </w:rPr>
        <w:t>48</w:t>
      </w:r>
      <w:r w:rsidR="001C1AAC">
        <w:t>)</w:t>
      </w:r>
      <w:r w:rsidR="004B3618">
        <w:fldChar w:fldCharType="end"/>
      </w:r>
      <w:r>
        <w:t>.  Many mineral elements are also correlated with each other, for example, N, S, and Cl; Si, Al, Fe, Na, and Ti; Ca, Mg, and Mn; K, P, S, and Cl</w:t>
      </w:r>
      <w:r w:rsidR="004B3618">
        <w:t xml:space="preserve"> </w:t>
      </w:r>
      <w:r w:rsidR="004B3618">
        <w:fldChar w:fldCharType="begin"/>
      </w:r>
      <w:r w:rsidR="00807999">
        <w:instrText xml:space="preserve"> ADDIN PAPERS2_CITATIONS &lt;citation&gt;&lt;uuid&gt;7E65978E-08C0-47CD-95F2-B3A3427D3755&lt;/uuid&gt;&lt;priority&gt;0&lt;/priority&gt;&lt;publications&gt;&lt;publication&gt;&lt;volume&gt;89&lt;/volume&gt;&lt;number&gt;5&lt;/number&gt;&lt;doi&gt;10.1016/j.fuel.2009.10.022&lt;/doi&gt;&lt;institution&gt;Vassilev, SV</w:instrText>
      </w:r>
    </w:p>
    <w:p w14:paraId="33744E50" w14:textId="77777777" w:rsidR="00807999" w:rsidRDefault="00807999" w:rsidP="00C85EA1">
      <w:r>
        <w:instrText>Bulgarian Acad Sci, Cent Lab Mineral &amp;amp; Crystallog, Acad G Bonchev St,Block 107, BU-1113 Sofia, Bulgaria</w:instrText>
      </w:r>
    </w:p>
    <w:p w14:paraId="1545B51B" w14:textId="77777777" w:rsidR="00807999" w:rsidRDefault="00807999" w:rsidP="00C85EA1">
      <w:r>
        <w:instrText>Bulgarian Acad Sci, Cent Lab Mineral &amp;amp; Crystallog, Acad G Bonchev St,Block 107, BU-1113 Sofia, Bulgaria</w:instrText>
      </w:r>
    </w:p>
    <w:p w14:paraId="76B8DAD6" w14:textId="77777777" w:rsidR="00807999" w:rsidRDefault="00807999" w:rsidP="00C85EA1">
      <w:r>
        <w:instrText>Bulgarian Acad Sci, Cent Lab Mineral &amp;amp; Crystallog, BU-1113 Sofia, Bulgaria</w:instrText>
      </w:r>
    </w:p>
    <w:p w14:paraId="6A193EAF" w14:textId="77777777" w:rsidR="00807999" w:rsidRDefault="00807999" w:rsidP="00C85EA1">
      <w:r>
        <w:instrText>European Commiss, Inst Energy, Joint Res Ctr, NL-1755 ZG Petten, Netherlands&lt;/institution&gt;&lt;startpage&gt;913&lt;/startpage&gt;&lt;title&gt;An overview of the chemical composition of biomass&lt;/title&gt;&lt;uuid&gt;9EB9819E-197F-4873-82DC-474D6F02F7B9&lt;/uuid&gt;&lt;subtype&gt;400&lt;/subtype&gt;&lt;endpage&gt;933&lt;/endpage&gt;&lt;type&gt;400&lt;/type&gt;&lt;publication_date&gt;99201005001200000000220000&lt;/publication_date&gt;&lt;bundle&gt;&lt;publication&gt;&lt;publisher&gt;Elsevier Ltd&lt;/publisher&gt;&lt;title&gt;Fuel&lt;/title&gt;&lt;type&gt;-100&lt;/type&gt;&lt;subtype&gt;-100&lt;/subtype&gt;&lt;uuid&gt;E286CABA-D6F1-4A09-A385-6AFE55FAD8F4&lt;/uuid&gt;&lt;/publication&gt;&lt;/bundle&gt;&lt;authors&gt;&lt;author&gt;&lt;firstName&gt;S&lt;/firstName&gt;&lt;middleNames&gt;V&lt;/middleNames&gt;&lt;lastName&gt;Vassilev&lt;/lastName&gt;&lt;/author&gt;&lt;author&gt;&lt;firstName&gt;D&lt;/firstName&gt;&lt;lastName&gt;Baxter&lt;/lastName&gt;&lt;/author&gt;&lt;author&gt;&lt;firstName&gt;L&lt;/firstName&gt;&lt;middleNames&gt;K&lt;/middleNames&gt;&lt;lastName&gt;Andersen&lt;/lastName&gt;&lt;/author&gt;&lt;author&gt;&lt;firstName&gt;C&lt;/firstName&gt;&lt;middleNames&gt;G&lt;/middleNames&gt;&lt;lastName&gt;Vassileva&lt;/lastName&gt;&lt;/author&gt;&lt;/authors&gt;&lt;/publication&gt;&lt;/publications&gt;&lt;cites&gt;&lt;/cites&gt;&lt;/citation&gt;</w:instrText>
      </w:r>
      <w:r w:rsidR="004B3618">
        <w:fldChar w:fldCharType="separate"/>
      </w:r>
      <w:r w:rsidR="001C1AAC">
        <w:t>(</w:t>
      </w:r>
      <w:r w:rsidR="001C1AAC">
        <w:rPr>
          <w:i/>
          <w:iCs/>
        </w:rPr>
        <w:t>66</w:t>
      </w:r>
      <w:r w:rsidR="001C1AAC">
        <w:t>)</w:t>
      </w:r>
      <w:r w:rsidR="004B3618">
        <w:fldChar w:fldCharType="end"/>
      </w:r>
      <w:r w:rsidR="00C85EA1">
        <w:t xml:space="preserve">. Numerous interactions between lignins and hemicelluloses and among hemicelluloses have been observed. Among the best-studied examples, GAXs of grasses and other recently evolved monocot species covalently link to lignin through ether bonds with ferulate esters on arabinose moieties of arabinoxylan </w:t>
      </w:r>
      <w:r w:rsidR="002D0928">
        <w:fldChar w:fldCharType="begin"/>
      </w:r>
      <w:r>
        <w:instrText xml:space="preserve"> ADDIN PAPERS2_CITATIONS &lt;citation&gt;&lt;uuid&gt;BCD9F6CF-1E67-4ED3-B228-C8AA056AB7C3&lt;/uuid&gt;&lt;priority&gt;0&lt;/priority&gt;&lt;publications&gt;&lt;publication&gt;&lt;uuid&gt;4106BBC6-7A0E-49DE-AAC3-6E141E84C1FA&lt;/uuid&gt;&lt;volume&gt;52&lt;/volume&gt;&lt;doi&gt;10.1021/jf040204p&lt;/doi&gt;&lt;startpage&gt;6496&lt;/startpage&gt;&lt;publication_date&gt;99200409181200000000222000&lt;/publication_date&gt;&lt;url&gt;http://pubs.acs.org/doi/abs/10.1021/jf040204p&lt;/url&gt;&lt;type&gt;400&lt;/type&gt;&lt;title&gt;Lignins and Ferulate−Coniferyl Alcohol Cross-Coupling Products in Cereal Grains&lt;/title&gt;&lt;publisher&gt;American Chemical Society&lt;/publisher&gt;&lt;number&gt;21&lt;/number&gt;&lt;subtype&gt;400&lt;/subtype&gt;&lt;endpage&gt;6502&lt;/endpage&gt;&lt;bundle&gt;&lt;publication&gt;&lt;title&gt;Journal of agricultural and food chemistry&lt;/title&gt;&lt;type&gt;-100&lt;/type&gt;&lt;subtype&gt;-100&lt;/subtype&gt;&lt;uuid&gt;79D9744C-A749-4DAD-BBCF-DFFD654CDEDA&lt;/uuid&gt;&lt;/publication&gt;&lt;/bundle&gt;&lt;authors&gt;&lt;author&gt;&lt;lastName&gt;Mirko Bunzel&lt;/lastName&gt;&lt;/author&gt;&lt;author&gt;&lt;lastName&gt;John Ralph&lt;/lastName&gt;&lt;/author&gt;&lt;author&gt;&lt;lastName&gt;Fachuang Lu&lt;/lastName&gt;&lt;/author&gt;&lt;author&gt;&lt;firstName&gt;and&lt;/firstName&gt;&lt;lastName&gt;Ronald D Hatfield&lt;/lastName&gt;&lt;/author&gt;&lt;author&gt;&lt;firstName&gt;Hans&lt;/firstName&gt;&lt;lastName&gt;Steinhart&lt;/lastName&gt;&lt;/author&gt;&lt;/authors&gt;&lt;/publication&gt;&lt;/publications&gt;&lt;cites&gt;&lt;/cites&gt;&lt;/citation&gt;</w:instrText>
      </w:r>
      <w:r w:rsidR="002D0928">
        <w:fldChar w:fldCharType="separate"/>
      </w:r>
      <w:r w:rsidR="001C1AAC">
        <w:t>(</w:t>
      </w:r>
      <w:r w:rsidR="001C1AAC">
        <w:rPr>
          <w:i/>
          <w:iCs/>
        </w:rPr>
        <w:t>70</w:t>
      </w:r>
      <w:r w:rsidR="001C1AAC">
        <w:t>)</w:t>
      </w:r>
      <w:r w:rsidR="002D0928">
        <w:fldChar w:fldCharType="end"/>
      </w:r>
      <w:r w:rsidR="00C85EA1">
        <w:t>. In poplar and spruce wood, NMR results indicate that lignin and carbohydrates are directly bonded through several types of ether linkages</w:t>
      </w:r>
      <w:r w:rsidR="002D0928">
        <w:t xml:space="preserve"> </w:t>
      </w:r>
      <w:r w:rsidR="002D0928">
        <w:fldChar w:fldCharType="begin"/>
      </w:r>
      <w:r>
        <w:instrText xml:space="preserve"> ADDIN PAPERS2_CITATIONS &lt;citation&gt;&lt;uuid&gt;19659613-4EC6-4BD0-95AF-53C2AC7E89DB&lt;/uuid&gt;&lt;priority&gt;0&lt;/priority&gt;&lt;publications&gt;&lt;publication&gt;&lt;uuid&gt;39A99C10-858D-4DC2-A7E1-B8A282D13187&lt;/uuid&gt;&lt;volume&gt;59&lt;/volume&gt;&lt;doi&gt;10.1021/jf2031549&lt;/doi&gt;&lt;startpage&gt;10604&lt;/startpage&gt;&lt;publication_date&gt;99201110121200000000222000&lt;/publication_date&gt;&lt;url&gt;http://eutils.ncbi.nlm.nih.gov/entrez/eutils/elink.fcgi?dbfrom=pubmed&amp;amp;id=21879769&amp;amp;retmode=ref&amp;amp;cmd=prlinks&lt;/url&gt;&lt;type&gt;400&lt;/type&gt;&lt;title&gt;Characterization of lignin structures and lignin-carbohydrate complex (LCC) linkages by quantitative 13C and 2D HSQC NMR spectroscopy.&lt;/title&gt;&lt;institution&gt;Institute of Biomass Chemistry and Technology, Beijing Forestry University , Beijing, China.&lt;/institution&gt;&lt;number&gt;19&lt;/number&gt;&lt;subtype&gt;400&lt;/subtype&gt;&lt;endpage&gt;10614&lt;/endpage&gt;&lt;bundle&gt;&lt;publication&gt;&lt;title&gt;Journal of agricultural and food chemistry&lt;/title&gt;&lt;type&gt;-100&lt;/type&gt;&lt;subtype&gt;-100&lt;/subtype&gt;&lt;uuid&gt;79D9744C-A749-4DAD-BBCF-DFFD654CDEDA&lt;/uuid&gt;&lt;/publication&gt;&lt;/bundle&gt;&lt;authors&gt;&lt;author&gt;&lt;firstName&gt;Tong-Qi&lt;/firstName&gt;&lt;lastName&gt;Yuan&lt;/lastName&gt;&lt;/author&gt;&lt;author&gt;&lt;firstName&gt;Shao-Ni&lt;/firstName&gt;&lt;lastName&gt;Sun&lt;/lastName&gt;&lt;/author&gt;&lt;author&gt;&lt;firstName&gt;Feng&lt;/firstName&gt;&lt;lastName&gt;Xu&lt;/lastName&gt;&lt;/author&gt;&lt;author&gt;&lt;firstName&gt;Run-Cang&lt;/firstName&gt;&lt;lastName&gt;Sun&lt;/lastName&gt;&lt;/author&gt;&lt;/authors&gt;&lt;/publication&gt;&lt;publication&gt;&lt;uuid&gt;51C35A66-F0F0-4766-A584-0E02C4311BF8&lt;/uuid&gt;&lt;volume&gt;239&lt;/volume&gt;&lt;accepted_date&gt;99201401271200000000222000&lt;/accepted_date&gt;&lt;doi&gt;10.1007/s00425-014-2037-y&lt;/doi&gt;&lt;startpage&gt;1079&lt;/startpage&gt;&lt;publication_date&gt;99201405001200000000220000&lt;/publication_date&gt;&lt;url&gt;http://eutils.ncbi.nlm.nih.gov/entrez/eutils/elink.fcgi?dbfrom=pubmed&amp;amp;id=24531838&amp;amp;retmode=ref&amp;amp;cmd=prlinks&lt;/url&gt;&lt;citekey&gt;Du:2014fi&lt;/citekey&gt;&lt;type&gt;400&lt;/type&gt;&lt;title&gt;Analysis of lignin-carbohydrate and lignin-lignin linkages after hydrolase treatment of xylan-lignin, glucomannan-lignin and glucan-lignin complexes from spruce wood.&lt;/title&gt;&lt;submission_date&gt;99201311181200000000222000&lt;/submission_date&gt;&lt;number&gt;5&lt;/number&gt;&lt;institution&gt;Department of Fibre and Polymer Technology, Royal Institute of Technology, KTH, Teknikringen 56-58, 10044, Stockholm, Sweden.&lt;/institution&gt;&lt;subtype&gt;400&lt;/subtype&gt;&lt;endpage&gt;1090&lt;/endpage&gt;&lt;bundle&gt;&lt;publication&gt;&lt;title&gt;Planta&lt;/title&gt;&lt;type&gt;-100&lt;/type&gt;&lt;subtype&gt;-100&lt;/subtype&gt;&lt;uuid&gt;73D013A8-46B6-4E8C-A80A-E48EDF6129BA&lt;/uuid&gt;&lt;/publication&gt;&lt;/bundle&gt;&lt;authors&gt;&lt;author&gt;&lt;firstName&gt;Xueyu&lt;/firstName&gt;&lt;lastName&gt;Du&lt;/lastName&gt;&lt;/author&gt;&lt;author&gt;&lt;firstName&gt;Marta&lt;/firstName&gt;&lt;lastName&gt;Pérez-Boada&lt;/lastName&gt;&lt;/author&gt;&lt;author&gt;&lt;firstName&gt;Carmen&lt;/firstName&gt;&lt;lastName&gt;Fernández&lt;/lastName&gt;&lt;/author&gt;&lt;author&gt;&lt;firstName&gt;Jorge&lt;/firstName&gt;&lt;lastName&gt;Rencoret&lt;/lastName&gt;&lt;/author&gt;&lt;author&gt;&lt;lastName&gt;Río&lt;/lastName&gt;&lt;nonDroppingParticle&gt;del&lt;/nonDroppingParticle&gt;&lt;firstName&gt;José&lt;/firstName&gt;&lt;middleNames&gt;C&lt;/middleNames&gt;&lt;/author&gt;&lt;author&gt;&lt;firstName&gt;Jesús&lt;/firstName&gt;&lt;lastName&gt;Jiménez-Barbero&lt;/lastName&gt;&lt;/author&gt;&lt;author&gt;&lt;firstName&gt;Jiebing&lt;/firstName&gt;&lt;lastName&gt;Li&lt;/lastName&gt;&lt;/author&gt;&lt;author&gt;&lt;firstName&gt;Ana&lt;/firstName&gt;&lt;lastName&gt;Gutiérrez&lt;/lastName&gt;&lt;/author&gt;&lt;author&gt;&lt;firstName&gt;Angel&lt;/firstName&gt;&lt;middleNames&gt;T&lt;/middleNames&gt;&lt;lastName&gt;Martínez&lt;/lastName&gt;&lt;/author&gt;&lt;/authors&gt;&lt;/publication&gt;&lt;/publications&gt;&lt;cites&gt;&lt;/cites&gt;&lt;/citation&gt;</w:instrText>
      </w:r>
      <w:r w:rsidR="002D0928">
        <w:fldChar w:fldCharType="separate"/>
      </w:r>
      <w:r w:rsidR="001C1AAC">
        <w:t>(</w:t>
      </w:r>
      <w:r w:rsidR="001C1AAC">
        <w:rPr>
          <w:i/>
          <w:iCs/>
        </w:rPr>
        <w:t>71</w:t>
      </w:r>
      <w:r w:rsidR="001C1AAC">
        <w:t xml:space="preserve">, </w:t>
      </w:r>
      <w:r w:rsidR="001C1AAC">
        <w:rPr>
          <w:i/>
          <w:iCs/>
        </w:rPr>
        <w:t>72</w:t>
      </w:r>
      <w:r w:rsidR="001C1AAC">
        <w:t>)</w:t>
      </w:r>
      <w:r w:rsidR="002D0928">
        <w:fldChar w:fldCharType="end"/>
      </w:r>
      <w:r w:rsidR="00C85EA1">
        <w:t>. The data provide evidence for ether bonds between lignin and C</w:t>
      </w:r>
      <w:r w:rsidR="00C85EA1" w:rsidRPr="006C0AB6">
        <w:rPr>
          <w:vertAlign w:val="subscript"/>
        </w:rPr>
        <w:t>1</w:t>
      </w:r>
      <w:r w:rsidR="00C85EA1">
        <w:t>, C</w:t>
      </w:r>
      <w:r w:rsidR="00C85EA1" w:rsidRPr="006C0AB6">
        <w:rPr>
          <w:vertAlign w:val="subscript"/>
        </w:rPr>
        <w:t>5</w:t>
      </w:r>
      <w:r w:rsidR="00C85EA1">
        <w:t>, and C</w:t>
      </w:r>
      <w:r w:rsidR="00C85EA1" w:rsidRPr="006C0AB6">
        <w:rPr>
          <w:vertAlign w:val="subscript"/>
        </w:rPr>
        <w:t>6</w:t>
      </w:r>
      <w:r w:rsidR="002D0928">
        <w:t xml:space="preserve"> atoms of pentoses and hexoses</w:t>
      </w:r>
      <w:r w:rsidR="00C85EA1">
        <w:t xml:space="preserve">. Generally, xylan is the most closely associated polysaccharide to lignin, and NMR studies have also clearly identified lignin-glucuronic acid ester bonds </w:t>
      </w:r>
      <w:r w:rsidR="002D0928">
        <w:fldChar w:fldCharType="begin"/>
      </w:r>
      <w:r>
        <w:instrText xml:space="preserve"> ADDIN PAPERS2_CITATIONS &lt;citation&gt;&lt;uuid&gt;3AB5F776-B6B7-4B62-9A2B-57AA55862426&lt;/uuid&gt;&lt;priority&gt;0&lt;/priority&gt;&lt;publications&gt;&lt;publication&gt;&lt;uuid&gt;39A99C10-858D-4DC2-A7E1-B8A282D13187&lt;/uuid&gt;&lt;volume&gt;59&lt;/volume&gt;&lt;doi&gt;10.1021/jf2031549&lt;/doi&gt;&lt;startpage&gt;10604&lt;/startpage&gt;&lt;publication_date&gt;99201110121200000000222000&lt;/publication_date&gt;&lt;url&gt;http://eutils.ncbi.nlm.nih.gov/entrez/eutils/elink.fcgi?dbfrom=pubmed&amp;amp;id=21879769&amp;amp;retmode=ref&amp;amp;cmd=prlinks&lt;/url&gt;&lt;type&gt;400&lt;/type&gt;&lt;title&gt;Characterization of lignin structures and lignin-carbohydrate complex (LCC) linkages by quantitative 13C and 2D HSQC NMR spectroscopy.&lt;/title&gt;&lt;institution&gt;Institute of Biomass Chemistry and Technology, Beijing Forestry University , Beijing, China.&lt;/institution&gt;&lt;number&gt;19&lt;/number&gt;&lt;subtype&gt;400&lt;/subtype&gt;&lt;endpage&gt;10614&lt;/endpage&gt;&lt;bundle&gt;&lt;publication&gt;&lt;title&gt;Journal of agricultural and food chemistry&lt;/title&gt;&lt;type&gt;-100&lt;/type&gt;&lt;subtype&gt;-100&lt;/subtype&gt;&lt;uuid&gt;79D9744C-A749-4DAD-BBCF-DFFD654CDEDA&lt;/uuid&gt;&lt;/publication&gt;&lt;/bundle&gt;&lt;authors&gt;&lt;author&gt;&lt;firstName&gt;Tong-Qi&lt;/firstName&gt;&lt;lastName&gt;Yuan&lt;/lastName&gt;&lt;/author&gt;&lt;author&gt;&lt;firstName&gt;Shao-Ni&lt;/firstName&gt;&lt;lastName&gt;Sun&lt;/lastName&gt;&lt;/author&gt;&lt;author&gt;&lt;firstName&gt;Feng&lt;/firstName&gt;&lt;lastName&gt;Xu&lt;/lastName&gt;&lt;/author&gt;&lt;author&gt;&lt;firstName&gt;Run-Cang&lt;/firstName&gt;&lt;lastName&gt;Sun&lt;/lastName&gt;&lt;/author&gt;&lt;/authors&gt;&lt;/publication&gt;&lt;/publications&gt;&lt;cites&gt;&lt;/cites&gt;&lt;/citation&gt;</w:instrText>
      </w:r>
      <w:r w:rsidR="002D0928">
        <w:fldChar w:fldCharType="separate"/>
      </w:r>
      <w:r w:rsidR="001C1AAC">
        <w:t>(</w:t>
      </w:r>
      <w:r w:rsidR="001C1AAC">
        <w:rPr>
          <w:i/>
          <w:iCs/>
        </w:rPr>
        <w:t>71</w:t>
      </w:r>
      <w:r w:rsidR="001C1AAC">
        <w:t>)</w:t>
      </w:r>
      <w:r w:rsidR="002D0928">
        <w:fldChar w:fldCharType="end"/>
      </w:r>
      <w:r w:rsidR="00C85EA1">
        <w:t xml:space="preserve">. Also, MLGs closely coat low-substituted xylan regions, likely via non-covalent interactions </w:t>
      </w:r>
      <w:r w:rsidR="002D0928">
        <w:fldChar w:fldCharType="begin"/>
      </w:r>
      <w:r>
        <w:instrText xml:space="preserve"> ADDIN PAPERS2_CITATIONS &lt;citation&gt;&lt;uuid&gt;6FC21B22-3B94-4F15-958E-C4FD05958415&lt;/uuid&gt;&lt;priority&gt;0&lt;/priority&gt;&lt;publications&gt;&lt;publication&gt;&lt;volume&gt;127&lt;/volume&gt;&lt;publication_date&gt;99200100001200000000200000&lt;/publication_date&gt;&lt;number&gt;2&lt;/number&gt;&lt;startpage&gt;551&lt;/startpage&gt;&lt;title&gt;Cell Wall Architecture of the Elongating Maize Coleoptile&lt;/title&gt;&lt;uuid&gt;25F4CA38-135D-46BE-B534-4AFA549AFF0D&lt;/uuid&gt;&lt;subtype&gt;400&lt;/subtype&gt;&lt;publisher&gt;American Society of Plant Physiologists&lt;/publisher&gt;&lt;type&gt;400&lt;/type&gt;&lt;endpage&gt;565&lt;/endpage&gt;&lt;url&gt;http://www.ncbi.nlm.nih.gov/pmc/articles/PMC125090/&lt;/url&gt;&lt;bundle&gt;&lt;publication&gt;&lt;publisher&gt;American Society of Plant Physiologists&lt;/publisher&gt;&lt;title&gt;Plant physiology&lt;/title&gt;&lt;type&gt;-100&lt;/type&gt;&lt;subtype&gt;-100&lt;/subtype&gt;&lt;uuid&gt;B97DA55A-D50B-4A35-A621-F9088F5658CB&lt;/uuid&gt;&lt;/publication&gt;&lt;/bundle&gt;&lt;authors&gt;&lt;author&gt;&lt;firstName&gt;Nicholas&lt;/firstName&gt;&lt;middleNames&gt;C&lt;/middleNames&gt;&lt;lastName&gt;Carpita&lt;/lastName&gt;&lt;/author&gt;&lt;author&gt;&lt;firstName&gt;Marianne&lt;/firstName&gt;&lt;lastName&gt;Defernez&lt;/lastName&gt;&lt;/author&gt;&lt;author&gt;&lt;firstName&gt;Kim&lt;/firstName&gt;&lt;lastName&gt;Findlay&lt;/lastName&gt;&lt;/author&gt;&lt;author&gt;&lt;firstName&gt;Brian&lt;/firstName&gt;&lt;lastName&gt;Wells&lt;/lastName&gt;&lt;/author&gt;&lt;author&gt;&lt;firstName&gt;Douglas&lt;/firstName&gt;&lt;middleNames&gt;A&lt;/middleNames&gt;&lt;lastName&gt;Shoue&lt;/lastName&gt;&lt;/author&gt;&lt;author&gt;&lt;firstName&gt;Gareth&lt;/firstName&gt;&lt;lastName&gt;Catchpole&lt;/lastName&gt;&lt;/author&gt;&lt;author&gt;&lt;firstName&gt;Reginald&lt;/firstName&gt;&lt;middleNames&gt;H&lt;/middleNames&gt;&lt;lastName&gt;Wilson&lt;/lastName&gt;&lt;/author&gt;&lt;author&gt;&lt;firstName&gt;Maureen&lt;/firstName&gt;&lt;middleNames&gt;C&lt;/middleNames&gt;&lt;lastName&gt;McCann&lt;/lastName&gt;&lt;/author&gt;&lt;/authors&gt;&lt;/publication&gt;&lt;publication&gt;&lt;uuid&gt;AB55FCF5-BF9A-4B86-8A0F-814D20B8FC2E&lt;/uuid&gt;&lt;volume&gt;114&lt;/volume&gt;&lt;doi&gt;10.1093/aob/mcu125&lt;/doi&gt;&lt;version&gt;2014/08/05&lt;/version&gt;&lt;startpage&gt;1135&lt;/startpage&gt;&lt;publication_date&gt;99201410001200000000220000&lt;/publication_date&gt;&lt;url&gt;http://www.ncbi.nlm.nih.gov/pubmed/25086589&lt;/url&gt;&lt;type&gt;400&lt;/type&gt;&lt;title&gt;Arrangement of mixed-linkage glucan and glucuronoarabinoxylan in the cell walls of growing maize roots&lt;/title&gt;&lt;institution&gt;Kazan Institute of Biochemistry and Biophysics, Kazan Scientific Center, Russian Academy of Science, Kazan, Lobachevskij str., 2/31, 420111, Russia bbinb@bk.ru.</w:instrText>
      </w:r>
    </w:p>
    <w:p w14:paraId="4FE416A1" w14:textId="77777777" w:rsidR="00807999" w:rsidRDefault="00807999" w:rsidP="00C85EA1">
      <w:r>
        <w:instrText>Kazan Institute of Biochemistry and Biophysics, Kazan Scientific Center, Russian Academy of Science, Kazan, Lobachevskij str., 2/31, 420111, Russia.&lt;/institution&gt;&lt;number&gt;6&lt;/number&gt;&lt;subtype&gt;400&lt;/subtype&gt;&lt;endpage&gt;1145&lt;/endpage&gt;&lt;bundle&gt;&lt;publication&gt;&lt;title&gt;Ann Bot&lt;/title&gt;&lt;type&gt;-100&lt;/type&gt;&lt;subtype&gt;-100&lt;/subtype&gt;&lt;uuid&gt;4BA0EEDB-1979-4A38-86A9-3BCB054D2669&lt;/uuid&gt;&lt;/publication&gt;&lt;/bundle&gt;&lt;authors&gt;&lt;author&gt;&lt;firstName&gt;L&lt;/firstName&gt;&lt;middleNames&gt;V&lt;/middleNames&gt;&lt;lastName&gt;Kozlova&lt;/lastName&gt;&lt;/author&gt;&lt;author&gt;&lt;firstName&gt;M&lt;/firstName&gt;&lt;middleNames&gt;V&lt;/middleNames&gt;&lt;lastName&gt;Ageeva&lt;/lastName&gt;&lt;/author&gt;&lt;author&gt;&lt;firstName&gt;N&lt;/firstName&gt;&lt;middleNames&gt;N&lt;/middleNames&gt;&lt;lastName&gt;Ibragimova&lt;/lastName&gt;&lt;/author&gt;&lt;author&gt;&lt;firstName&gt;T&lt;/firstName&gt;&lt;middleNames&gt;A&lt;/middleNames&gt;&lt;lastName&gt;Gorshkova&lt;/lastName&gt;&lt;/author&gt;&lt;/authors&gt;&lt;/publication&gt;&lt;/publications&gt;&lt;cites&gt;&lt;/cites&gt;&lt;/citation&gt;</w:instrText>
      </w:r>
      <w:r w:rsidR="002D0928">
        <w:fldChar w:fldCharType="separate"/>
      </w:r>
      <w:r w:rsidR="001C1AAC">
        <w:t>(</w:t>
      </w:r>
      <w:r w:rsidR="001C1AAC">
        <w:rPr>
          <w:i/>
          <w:iCs/>
        </w:rPr>
        <w:t>73</w:t>
      </w:r>
      <w:r w:rsidR="001C1AAC">
        <w:t xml:space="preserve">, </w:t>
      </w:r>
      <w:r w:rsidR="001C1AAC">
        <w:rPr>
          <w:i/>
          <w:iCs/>
        </w:rPr>
        <w:t>74</w:t>
      </w:r>
      <w:r w:rsidR="001C1AAC">
        <w:t>)</w:t>
      </w:r>
      <w:r w:rsidR="002D0928">
        <w:fldChar w:fldCharType="end"/>
      </w:r>
      <w:r w:rsidR="00C85EA1">
        <w:t xml:space="preserve">. Furthermore, some components can also affect the distribution of other components. For example, rice plants that overexpress an enzyme that cleaves MLG exhibit reduced MLG and have an altered distribution profile of Si though maintain the same total amount of Si </w:t>
      </w:r>
      <w:r w:rsidR="002D0928">
        <w:fldChar w:fldCharType="begin"/>
      </w:r>
      <w:r>
        <w:instrText xml:space="preserve"> ADDIN PAPERS2_CITATIONS &lt;citation&gt;&lt;uuid&gt;66F52D8A-ADC6-48FB-8215-E963442350E0&lt;/uuid&gt;&lt;priority&gt;0&lt;/priority&gt;&lt;publications&gt;&lt;publication&gt;&lt;uuid&gt;85A26B4A-9EF3-4944-A45D-D3DF7710059A&lt;/uuid&gt;&lt;volume&gt;56&lt;/volume&gt;&lt;doi&gt;10.1093/pcp/pcu162&lt;/doi&gt;&lt;version&gt;2014/11/14&lt;/version&gt;&lt;startpage&gt;268&lt;/startpage&gt;&lt;publication_date&gt;99201502001200000000220000&lt;/publication_date&gt;&lt;url&gt;http://www.ncbi.nlm.nih.gov/pubmed/25392067&lt;/url&gt;&lt;type&gt;400&lt;/type&gt;&lt;title&gt;The matrix polysaccharide (1;3,1;4)-beta-D-glucan is involved in silicon-dependent strengthening of rice cell wall&lt;/title&gt;&lt;institution&gt;Department of Developmental Biology and Neurosciences, Graduate School of Life Sciences, Tohoku University, Sendai, 980-8578 Japan.</w:instrText>
      </w:r>
    </w:p>
    <w:p w14:paraId="2FB465AD" w14:textId="77777777" w:rsidR="00807999" w:rsidRDefault="00807999" w:rsidP="00C85EA1">
      <w:r>
        <w:instrText>Faculty of Life and Environmental Sciences, University of Tsukuba, Tennodai 1-1-1, Tsukuba, Ibaraki, 305-8572 Japan.</w:instrText>
      </w:r>
    </w:p>
    <w:p w14:paraId="3609ECE2" w14:textId="363EB0C9" w:rsidR="00C85EA1" w:rsidRDefault="00807999" w:rsidP="00C85EA1">
      <w:r>
        <w:instrText>Department of Developmental Biology and Neurosciences, Graduate School of Life Sciences, Tohoku University, Sendai, 980-8578 Japan nishitan@m.tohoku.ac.jp.&lt;/institution&gt;&lt;number&gt;2&lt;/number&gt;&lt;subtype&gt;400&lt;/subtype&gt;&lt;endpage&gt;276&lt;/endpage&gt;&lt;bundle&gt;&lt;publication&gt;&lt;title&gt;Plant Cell Physiol&lt;/title&gt;&lt;type&gt;-100&lt;/type&gt;&lt;subtype&gt;-100&lt;/subtype&gt;&lt;uuid&gt;84D1328F-A38E-444F-B0F6-5D4BC951CFBD&lt;/uuid&gt;&lt;/publication&gt;&lt;/bundle&gt;&lt;authors&gt;&lt;author&gt;&lt;firstName&gt;N&lt;/firstName&gt;&lt;lastName&gt;Kido&lt;/lastName&gt;&lt;/author&gt;&lt;author&gt;&lt;firstName&gt;R&lt;/firstName&gt;&lt;lastName&gt;Yokoyama&lt;/lastName&gt;&lt;/author&gt;&lt;author&gt;&lt;firstName&gt;T&lt;/firstName&gt;&lt;lastName&gt;Yamamoto&lt;/lastName&gt;&lt;/author&gt;&lt;author&gt;&lt;firstName&gt;J&lt;/firstName&gt;&lt;lastName&gt;Furukawa&lt;/lastName&gt;&lt;/author&gt;&lt;author&gt;&lt;firstName&gt;H&lt;/firstName&gt;&lt;lastName&gt;Iwai&lt;/lastName&gt;&lt;/author&gt;&lt;author&gt;&lt;firstName&gt;S&lt;/firstName&gt;&lt;lastName&gt;Satoh&lt;/lastName&gt;&lt;/author&gt;&lt;author&gt;&lt;firstName&gt;K&lt;/firstName&gt;&lt;lastName&gt;Nishitani&lt;/lastName&gt;&lt;/author&gt;&lt;/authors&gt;&lt;/publication&gt;&lt;/publications&gt;&lt;cites&gt;&lt;/cites&gt;&lt;/citation&gt;</w:instrText>
      </w:r>
      <w:r w:rsidR="002D0928">
        <w:fldChar w:fldCharType="separate"/>
      </w:r>
      <w:r w:rsidR="001C1AAC">
        <w:t>(</w:t>
      </w:r>
      <w:r w:rsidR="001C1AAC">
        <w:rPr>
          <w:i/>
          <w:iCs/>
        </w:rPr>
        <w:t>75</w:t>
      </w:r>
      <w:r w:rsidR="001C1AAC">
        <w:t>)</w:t>
      </w:r>
      <w:r w:rsidR="002D0928">
        <w:fldChar w:fldCharType="end"/>
      </w:r>
      <w:r w:rsidR="00C85EA1">
        <w:t xml:space="preserve">. In sum, mounting evidence supports covalent and noncovalent interactions among cell wall polymers and components, however these </w:t>
      </w:r>
      <w:r w:rsidR="00C85EA1">
        <w:lastRenderedPageBreak/>
        <w:t>connections have been difficult to study with questions persisting related to how different cell wall preparations and manipulation may alter observations.</w:t>
      </w:r>
    </w:p>
    <w:p w14:paraId="35D16ACD" w14:textId="661EC931" w:rsidR="00C85EA1" w:rsidRDefault="00C85EA1" w:rsidP="005C7E19">
      <w:pPr>
        <w:pStyle w:val="Heading2"/>
      </w:pPr>
      <w:bookmarkStart w:id="22" w:name="_Toc449964832"/>
      <w:r>
        <w:t>Models for relationships between biomass components and bio-oil product composition</w:t>
      </w:r>
      <w:bookmarkEnd w:id="22"/>
    </w:p>
    <w:p w14:paraId="09F1CB0E" w14:textId="7FA347A4" w:rsidR="0090515B" w:rsidRDefault="00C85EA1" w:rsidP="00C85EA1">
      <w:r>
        <w:t xml:space="preserve">Reaction pathways of individual biomass components to formation of thermal products have been described </w:t>
      </w:r>
      <w:r w:rsidR="002D0928">
        <w:fldChar w:fldCharType="begin"/>
      </w:r>
      <w:r w:rsidR="00807999">
        <w:instrText xml:space="preserve"> ADDIN PAPERS2_CITATIONS &lt;citation&gt;&lt;uuid&gt;6DD3EF99-A378-4B0C-83E9-C8C2E0B8010C&lt;/uuid&gt;&lt;priority&gt;0&lt;/priority&gt;&lt;publications&gt;&lt;publication&gt;&lt;volume&gt;38&lt;/volume&gt;&lt;publication_date&gt;99201410001200000000220000&lt;/publication_date&gt;&lt;doi&gt;10.1016/j.rser.2014.06.013&lt;/doi&gt;&lt;startpage&gt;594&lt;/startpage&gt;&lt;title&gt;A review on pyrolysis of biomass constituents: Mechanisms and composition of the products obtained from the conversion of cellulose, hemicelluloses and lignin&lt;/title&gt;&lt;uuid&gt;1AC5E164-223D-48F0-A536-4D8778C3BA23&lt;/uuid&gt;&lt;subtype&gt;400&lt;/subtype&gt;&lt;endpage&gt;608&lt;/endpage&gt;&lt;type&gt;400&lt;/type&gt;&lt;url&gt;http://linkinghub.elsevier.com/retrieve/pii/S136403211400450X&lt;/url&gt;&lt;bundle&gt;&lt;publication&gt;&lt;title&gt;Renewable and Sustainable Energy Reviews&lt;/title&gt;&lt;type&gt;-100&lt;/type&gt;&lt;subtype&gt;-100&lt;/subtype&gt;&lt;uuid&gt;5B93166D-5F60-43E0-8DF3-04CEF5F0792A&lt;/uuid&gt;&lt;/publication&gt;&lt;/bundle&gt;&lt;authors&gt;&lt;author&gt;&lt;firstName&gt;François-Xavier&lt;/firstName&gt;&lt;lastName&gt;Collard&lt;/lastName&gt;&lt;/author&gt;&lt;author&gt;&lt;firstName&gt;Joël&lt;/firstName&gt;&lt;lastName&gt;Blin&lt;/lastName&gt;&lt;/author&gt;&lt;/authors&gt;&lt;/publication&gt;&lt;/publications&gt;&lt;cites&gt;&lt;/cites&gt;&lt;/citation&gt;</w:instrText>
      </w:r>
      <w:r w:rsidR="002D0928">
        <w:fldChar w:fldCharType="separate"/>
      </w:r>
      <w:r w:rsidR="001C1AAC">
        <w:t>(</w:t>
      </w:r>
      <w:r w:rsidR="001C1AAC">
        <w:rPr>
          <w:i/>
          <w:iCs/>
        </w:rPr>
        <w:t>76</w:t>
      </w:r>
      <w:r w:rsidR="001C1AAC">
        <w:t>)</w:t>
      </w:r>
      <w:r w:rsidR="002D0928">
        <w:fldChar w:fldCharType="end"/>
      </w:r>
      <w:r>
        <w:t xml:space="preserve">. However, the pyrolysis literature suggests that biomass components tend to have more complex effects on bio-oil yield and product composition than simply their quantity. Here we introduce three possible “models” of how biomass components may influence the yield or composition of thermal products, and in </w:t>
      </w:r>
      <w:r w:rsidR="006C0AB6">
        <w:t>section 2.3</w:t>
      </w:r>
      <w:r>
        <w:t xml:space="preserve"> we discuss evidence supporting each of them. </w:t>
      </w:r>
      <w:r w:rsidR="006C0AB6" w:rsidRPr="006C0AB6">
        <w:t>Figure 2</w:t>
      </w:r>
      <w:r w:rsidR="00672657" w:rsidRPr="006C0AB6">
        <w:t>.2</w:t>
      </w:r>
      <w:r>
        <w:t xml:space="preserve"> provides schematic representations of the following models:</w:t>
      </w:r>
    </w:p>
    <w:p w14:paraId="1C078A24" w14:textId="101839E0" w:rsidR="0090515B" w:rsidRDefault="0090515B" w:rsidP="005B60FA">
      <w:pPr>
        <w:pStyle w:val="NoSpacing"/>
      </w:pPr>
      <w:r w:rsidRPr="0090515B">
        <w:rPr>
          <w:noProof/>
        </w:rPr>
        <w:lastRenderedPageBreak/>
        <w:drawing>
          <wp:inline distT="0" distB="0" distL="0" distR="0" wp14:anchorId="0C7110C8" wp14:editId="7B3A03D4">
            <wp:extent cx="4857488" cy="68580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857488" cy="6858000"/>
                    </a:xfrm>
                    <a:prstGeom prst="rect">
                      <a:avLst/>
                    </a:prstGeom>
                  </pic:spPr>
                </pic:pic>
              </a:graphicData>
            </a:graphic>
          </wp:inline>
        </w:drawing>
      </w:r>
    </w:p>
    <w:p w14:paraId="5E7F3F56" w14:textId="77777777" w:rsidR="0027763F" w:rsidRDefault="0090515B" w:rsidP="00672657">
      <w:pPr>
        <w:pStyle w:val="Caption"/>
        <w:rPr>
          <w:b w:val="0"/>
        </w:rPr>
      </w:pPr>
      <w:bookmarkStart w:id="23" w:name="_Toc449964954"/>
      <w:r>
        <w:t xml:space="preserve">Figure </w:t>
      </w:r>
      <w:fldSimple w:instr=" STYLEREF &quot;Chapter&quot; \s ">
        <w:r w:rsidR="00463F52">
          <w:rPr>
            <w:noProof/>
          </w:rPr>
          <w:t>2</w:t>
        </w:r>
      </w:fldSimple>
      <w:r>
        <w:t>.</w:t>
      </w:r>
      <w:fldSimple w:instr=" SEQ Figure \* ARABIC \s 1 ">
        <w:r w:rsidR="00463F52">
          <w:rPr>
            <w:noProof/>
          </w:rPr>
          <w:t>2</w:t>
        </w:r>
      </w:fldSimple>
      <w:r>
        <w:rPr>
          <w:noProof/>
        </w:rPr>
        <w:t xml:space="preserve">. </w:t>
      </w:r>
      <w:r w:rsidRPr="0090515B">
        <w:rPr>
          <w:b w:val="0"/>
        </w:rPr>
        <w:t>Three models of how biomass components and their interactions affect the</w:t>
      </w:r>
      <w:r w:rsidR="0027763F">
        <w:rPr>
          <w:b w:val="0"/>
        </w:rPr>
        <w:t xml:space="preserve"> formation of thermal products.</w:t>
      </w:r>
      <w:bookmarkEnd w:id="23"/>
    </w:p>
    <w:p w14:paraId="5622EAC8" w14:textId="77777777" w:rsidR="00807999" w:rsidRDefault="0090515B" w:rsidP="00672657">
      <w:pPr>
        <w:pStyle w:val="Caption"/>
        <w:rPr>
          <w:b w:val="0"/>
        </w:rPr>
      </w:pPr>
      <w:r w:rsidRPr="0090515B">
        <w:rPr>
          <w:b w:val="0"/>
        </w:rPr>
        <w:t>HA: Hydroxyacetone, HAA: Hydroxyacetaldehyde. (A) Direct conversion (B) Catalytic effect of minerals (C) Interactions among Polymers Indirectly Affect Conversion</w:t>
      </w:r>
      <w:r w:rsidR="00063137">
        <w:rPr>
          <w:b w:val="0"/>
        </w:rPr>
        <w:t xml:space="preserve">. </w:t>
      </w:r>
      <w:r w:rsidRPr="0090515B">
        <w:rPr>
          <w:b w:val="0"/>
        </w:rPr>
        <w:t xml:space="preserve">(A) and (C) are adapted and modified </w:t>
      </w:r>
      <w:r w:rsidRPr="00D045E9">
        <w:rPr>
          <w:b w:val="0"/>
        </w:rPr>
        <w:t xml:space="preserve">from </w:t>
      </w:r>
      <w:r w:rsidR="002D0928" w:rsidRPr="00D045E9">
        <w:rPr>
          <w:b w:val="0"/>
        </w:rPr>
        <w:fldChar w:fldCharType="begin"/>
      </w:r>
      <w:r w:rsidR="00807999">
        <w:rPr>
          <w:b w:val="0"/>
        </w:rPr>
        <w:instrText xml:space="preserve"> ADDIN PAPERS2_CITATIONS &lt;citation&gt;&lt;uuid&gt;47989E26-B89A-40B3-A136-F7CF60109DD3&lt;/uuid&gt;&lt;priority&gt;0&lt;/priority&gt;&lt;publications&gt;&lt;publication&gt;&lt;volume&gt;104&lt;/volume&gt;&lt;startpage&gt;19&lt;/startpage&gt;&lt;doi&gt;10.1016/j.jaap.2013.09.015&lt;/doi&gt;&lt;institution&gt;Zhang, XL</w:instrText>
      </w:r>
    </w:p>
    <w:p w14:paraId="28919991" w14:textId="77777777" w:rsidR="00807999" w:rsidRDefault="00807999" w:rsidP="00672657">
      <w:pPr>
        <w:pStyle w:val="Caption"/>
        <w:rPr>
          <w:b w:val="0"/>
        </w:rPr>
      </w:pPr>
      <w:r>
        <w:rPr>
          <w:b w:val="0"/>
        </w:rPr>
        <w:instrText>Royal Inst Technol, Dept Mat Sci &amp;amp; Engn, Div Energy &amp;amp; Furnace Technol, SE-10044 Stockholm, Sweden</w:instrText>
      </w:r>
    </w:p>
    <w:p w14:paraId="180E1D35" w14:textId="77777777" w:rsidR="00807999" w:rsidRDefault="00807999" w:rsidP="00672657">
      <w:pPr>
        <w:pStyle w:val="Caption"/>
        <w:rPr>
          <w:b w:val="0"/>
        </w:rPr>
      </w:pPr>
      <w:r>
        <w:rPr>
          <w:b w:val="0"/>
        </w:rPr>
        <w:instrText>Royal Inst Technol, Dept Mat Sci &amp;amp; Engn, Div Energy &amp;amp; Furnace Technol, SE-10044 Stockholm, Sweden</w:instrText>
      </w:r>
    </w:p>
    <w:p w14:paraId="1426FA6B" w14:textId="77777777" w:rsidR="00807999" w:rsidRDefault="00807999" w:rsidP="00672657">
      <w:pPr>
        <w:pStyle w:val="Caption"/>
        <w:rPr>
          <w:b w:val="0"/>
        </w:rPr>
      </w:pPr>
      <w:r>
        <w:rPr>
          <w:b w:val="0"/>
        </w:rPr>
        <w:instrText>Royal Inst Technol, Dept Mat Sci &amp;amp; Engn, Div Energy &amp;amp; Furnace Technol, SE-10044 Stockholm, Sweden</w:instrText>
      </w:r>
    </w:p>
    <w:p w14:paraId="47B43340" w14:textId="5C833F61" w:rsidR="0090515B" w:rsidRDefault="00807999" w:rsidP="00672657">
      <w:pPr>
        <w:pStyle w:val="Caption"/>
        <w:rPr>
          <w:b w:val="0"/>
        </w:rPr>
      </w:pPr>
      <w:r>
        <w:rPr>
          <w:b w:val="0"/>
        </w:rPr>
        <w:instrText>North China Elect Power Univ, Natl Engn Lab Biomass Power Generat Equipment, Beijing 102206, Peoples R China&lt;/institution&gt;&lt;title&gt;Levoglucosan formation mechanisms during cellulose pyrolysis&lt;/title&gt;&lt;uuid&gt;438CDA02-E273-40A8-87B2-38094DFF2517&lt;/uuid&gt;&lt;subtype&gt;400&lt;/subtype&gt;&lt;endpage&gt;27&lt;/endpage&gt;&lt;type&gt;400&lt;/type&gt;&lt;publication_date&gt;99201311001200000000220000&lt;/publication_date&gt;&lt;bundle&gt;&lt;publication&gt;&lt;publisher&gt;Elsevier B.V.&lt;/publisher&gt;&lt;title&gt;Journal of Analytical and Applied Pyrolysis&lt;/title&gt;&lt;type&gt;-100&lt;/type&gt;&lt;subtype&gt;-100&lt;/subtype&gt;&lt;uuid&gt;D2B451F2-ABD5-4B2D-92A4-9DB1FFA0C21E&lt;/uuid&gt;&lt;/publication&gt;&lt;/bundle&gt;&lt;authors&gt;&lt;author&gt;&lt;firstName&gt;X&lt;/firstName&gt;&lt;middleNames&gt;L&lt;/middleNames&gt;&lt;lastName&gt;Zhang&lt;/lastName&gt;&lt;/author&gt;&lt;author&gt;&lt;firstName&gt;W&lt;/firstName&gt;&lt;middleNames&gt;H&lt;/middleNames&gt;&lt;lastName&gt;Yang&lt;/lastName&gt;&lt;/author&gt;&lt;author&gt;&lt;firstName&gt;C&lt;/firstName&gt;&lt;middleNames&gt;Q&lt;/middleNames&gt;&lt;lastName&gt;Dong&lt;/lastName&gt;&lt;/author&gt;&lt;/authors&gt;&lt;/publication&gt;&lt;/publications&gt;&lt;cites&gt;&lt;/cites&gt;&lt;/citation&gt;</w:instrText>
      </w:r>
      <w:r w:rsidR="002D0928" w:rsidRPr="00D045E9">
        <w:rPr>
          <w:b w:val="0"/>
        </w:rPr>
        <w:fldChar w:fldCharType="separate"/>
      </w:r>
      <w:r w:rsidR="001C1AAC" w:rsidRPr="00D045E9">
        <w:rPr>
          <w:b w:val="0"/>
        </w:rPr>
        <w:t>(</w:t>
      </w:r>
      <w:r w:rsidR="001C1AAC" w:rsidRPr="00D045E9">
        <w:rPr>
          <w:b w:val="0"/>
          <w:i/>
          <w:iCs/>
        </w:rPr>
        <w:t>77</w:t>
      </w:r>
      <w:r w:rsidR="001C1AAC" w:rsidRPr="00D045E9">
        <w:rPr>
          <w:b w:val="0"/>
        </w:rPr>
        <w:t>)</w:t>
      </w:r>
      <w:r w:rsidR="002D0928" w:rsidRPr="00D045E9">
        <w:rPr>
          <w:b w:val="0"/>
        </w:rPr>
        <w:fldChar w:fldCharType="end"/>
      </w:r>
      <w:r w:rsidR="0090515B" w:rsidRPr="00D045E9">
        <w:rPr>
          <w:b w:val="0"/>
        </w:rPr>
        <w:t xml:space="preserve"> and </w:t>
      </w:r>
      <w:r w:rsidR="002D0928" w:rsidRPr="00D045E9">
        <w:rPr>
          <w:b w:val="0"/>
        </w:rPr>
        <w:fldChar w:fldCharType="begin"/>
      </w:r>
      <w:r>
        <w:rPr>
          <w:b w:val="0"/>
        </w:rPr>
        <w:instrText xml:space="preserve"> ADDIN PAPERS2_CITATIONS &lt;citation&gt;&lt;uuid&gt;D8C6F978-2ABF-4720-88E2-645E7FDA34D9&lt;/uuid&gt;&lt;priority&gt;0&lt;/priority&gt;&lt;publications&gt;&lt;publication&gt;&lt;volume&gt;28&lt;/volume&gt;&lt;publication_date&gt;99201011001200000000220000&lt;/publication_date&gt;&lt;number&gt;11&lt;/number&gt;&lt;doi&gt;10.1016/j.tibtech.2010.07.008&lt;/doi&gt;&lt;startpage&gt;543&lt;/startpage&gt;&lt;title&gt;Potential of Arabidopsis systems biology to advance the biofuel field&lt;/title&gt;&lt;uuid&gt;9A8F1218-92C6-4B91-8B10-62CF14855865&lt;/uuid&gt;&lt;subtype&gt;400&lt;/subtype&gt;&lt;endpage&gt;547&lt;/endpage&gt;&lt;type&gt;400&lt;/type&gt;&lt;url&gt;http://linkinghub.elsevier.com/retrieve/pii/S0167779910001241&lt;/url&gt;&lt;bundle&gt;&lt;publication&gt;&lt;title&gt;Trends in biotechnology&lt;/title&gt;&lt;type&gt;-100&lt;/type&gt;&lt;subtype&gt;-100&lt;/subtype&gt;&lt;uuid&gt;FB40F864-E5BF-4533-87A5-06E0A4F0D247&lt;/uuid&gt;&lt;/publication&gt;&lt;/bundle&gt;&lt;authors&gt;&lt;author&gt;&lt;firstName&gt;Ruben&lt;/firstName&gt;&lt;lastName&gt;Vanholme&lt;/lastName&gt;&lt;/author&gt;&lt;author&gt;&lt;nonDroppingParticle&gt;Van&lt;/nonDroppingParticle&gt;&lt;firstName&gt;Rebecca&lt;/firstName&gt;&lt;lastName&gt;Acker&lt;/lastName&gt;&lt;/author&gt;&lt;author&gt;&lt;firstName&gt;Wout&lt;/firstName&gt;&lt;lastName&gt;Boerjan&lt;/lastName&gt;&lt;/author&gt;&lt;/authors&gt;&lt;/publication&gt;&lt;/publications&gt;&lt;cites&gt;&lt;/cites&gt;&lt;/citation&gt;</w:instrText>
      </w:r>
      <w:r w:rsidR="002D0928" w:rsidRPr="00D045E9">
        <w:rPr>
          <w:b w:val="0"/>
        </w:rPr>
        <w:fldChar w:fldCharType="separate"/>
      </w:r>
      <w:r w:rsidR="001C1AAC" w:rsidRPr="00D045E9">
        <w:rPr>
          <w:b w:val="0"/>
        </w:rPr>
        <w:t>(</w:t>
      </w:r>
      <w:r w:rsidR="001C1AAC" w:rsidRPr="00D045E9">
        <w:rPr>
          <w:b w:val="0"/>
          <w:i/>
          <w:iCs/>
        </w:rPr>
        <w:t>78</w:t>
      </w:r>
      <w:r w:rsidR="001C1AAC" w:rsidRPr="00D045E9">
        <w:rPr>
          <w:b w:val="0"/>
        </w:rPr>
        <w:t>)</w:t>
      </w:r>
      <w:r w:rsidR="002D0928" w:rsidRPr="00D045E9">
        <w:rPr>
          <w:b w:val="0"/>
        </w:rPr>
        <w:fldChar w:fldCharType="end"/>
      </w:r>
      <w:r w:rsidR="0090515B" w:rsidRPr="0090515B">
        <w:rPr>
          <w:b w:val="0"/>
        </w:rPr>
        <w:t xml:space="preserve"> with permission.</w:t>
      </w:r>
    </w:p>
    <w:p w14:paraId="496DAE66" w14:textId="77777777" w:rsidR="002B2DFA" w:rsidRPr="002B2DFA" w:rsidRDefault="002B2DFA" w:rsidP="002B2DFA"/>
    <w:p w14:paraId="62220B6F" w14:textId="4A3E7ACA" w:rsidR="00C85EA1" w:rsidRDefault="00C85EA1" w:rsidP="00C85EA1">
      <w:r>
        <w:lastRenderedPageBreak/>
        <w:t>Model 1: Biomass components are the direct sources of thermal products. Components are converted to products through de-polymerization and secondary reactions such as cracking, i.e., splitting, and recombination (</w:t>
      </w:r>
      <w:r w:rsidR="00EA32E0" w:rsidRPr="00EA32E0">
        <w:t>Figure 2</w:t>
      </w:r>
      <w:r w:rsidR="00672657" w:rsidRPr="00EA32E0">
        <w:t>.2</w:t>
      </w:r>
      <w:r w:rsidRPr="00EA32E0">
        <w:t>A).</w:t>
      </w:r>
    </w:p>
    <w:p w14:paraId="4F1D8E92" w14:textId="52709E42" w:rsidR="00C85EA1" w:rsidRDefault="00C85EA1" w:rsidP="00C85EA1">
      <w:r>
        <w:t xml:space="preserve">Model 2: Components or their derived products act as catalysts that accelerate thermal reactions of other components, altering product yields and ratios </w:t>
      </w:r>
      <w:r w:rsidRPr="00EA32E0">
        <w:t>(</w:t>
      </w:r>
      <w:r w:rsidR="00672657" w:rsidRPr="00EA32E0">
        <w:t xml:space="preserve">Figure </w:t>
      </w:r>
      <w:r w:rsidR="00EA32E0" w:rsidRPr="00EA32E0">
        <w:t>2</w:t>
      </w:r>
      <w:r w:rsidR="00672657" w:rsidRPr="00EA32E0">
        <w:t>.2</w:t>
      </w:r>
      <w:r w:rsidRPr="00EA32E0">
        <w:t>B).</w:t>
      </w:r>
      <w:r>
        <w:t xml:space="preserve"> </w:t>
      </w:r>
    </w:p>
    <w:p w14:paraId="3BF34A6F" w14:textId="121EEB28" w:rsidR="00C85EA1" w:rsidRDefault="00C85EA1" w:rsidP="00C85EA1">
      <w:r>
        <w:t>Model 3: Chemical interactions or structural relationships among cell wall components alter bio-oil composition and/or yield (</w:t>
      </w:r>
      <w:r w:rsidR="00EA32E0" w:rsidRPr="00EA32E0">
        <w:t>Figure 2</w:t>
      </w:r>
      <w:r w:rsidR="00672657" w:rsidRPr="00EA32E0">
        <w:t>.2</w:t>
      </w:r>
      <w:r w:rsidRPr="00EA32E0">
        <w:t>C).</w:t>
      </w:r>
      <w:r>
        <w:t xml:space="preserve"> This “indirect” model applies when variation in a biomass component alters the yield of a chemically unrelated product in a manner not easily explained by a catalytic effect. Chemical interactions that alter products may either be covalent or non-covalent chemical bonds between cell wall components. Structural relationships refer to correlations between components, often minor ones, and physical features of the biomass. For example, the abundance of a cell wall component may be indicative of the structure of the plant material, such as biomass bulk density differences caused by different leaf to stem ratios, but do not reflect chemical bonding between components. As of the preparation of this review, very little evidence addresses how biological correlations effect bio-oil products, so the discussion focuses on potential chemical interactions.</w:t>
      </w:r>
    </w:p>
    <w:p w14:paraId="32EDA6A2" w14:textId="5D2C8F7B" w:rsidR="00C85EA1" w:rsidRDefault="00C85EA1" w:rsidP="005C7E19">
      <w:pPr>
        <w:pStyle w:val="Heading2"/>
      </w:pPr>
      <w:bookmarkStart w:id="24" w:name="_Toc449964833"/>
      <w:r>
        <w:t>Evidence relating biomass content and bio-oil composition</w:t>
      </w:r>
      <w:bookmarkEnd w:id="24"/>
    </w:p>
    <w:p w14:paraId="621E6386" w14:textId="1D57F703" w:rsidR="00293799" w:rsidRDefault="00C85EA1" w:rsidP="00C85EA1">
      <w:r>
        <w:t xml:space="preserve">Evidence in the literature for the three models described above is presented in </w:t>
      </w:r>
      <w:r w:rsidR="009555CA">
        <w:t>t</w:t>
      </w:r>
      <w:r w:rsidR="009555CA" w:rsidRPr="009555CA">
        <w:t>able 2.2</w:t>
      </w:r>
      <w:r>
        <w:t xml:space="preserve"> and discussed below. In the reviewed experiments, relationships between biomass components and pyrolysis products have been identified by varying the starting biomass, either through experimentation on purified components, via naturally occurring variation among different biomass sources, or via pretreatment of the </w:t>
      </w:r>
      <w:r>
        <w:lastRenderedPageBreak/>
        <w:t xml:space="preserve">biomass. Most studies included in this discussion report the chemical products derived from pyrolysis of biomass or biomass components. Studies that only reported weight losses or elemental balances were not considered. The two dominant techniques present in this corpus of literature are either pyrolysis-gas chromatography/mass spectroscopy where pyrolysis vapors from microgram- to milligram-scale samples are directly transported to a GC for analysis, or pyrolysis in a gram- to kilogram- scale reactor system followed by condensation of the vapors and subsequent chromatographic analysis of the liquid. </w:t>
      </w:r>
    </w:p>
    <w:p w14:paraId="5A82C72C" w14:textId="77777777" w:rsidR="00293799" w:rsidRDefault="00293799">
      <w:r>
        <w:br w:type="page"/>
      </w:r>
    </w:p>
    <w:tbl>
      <w:tblPr>
        <w:tblW w:w="8496" w:type="dxa"/>
        <w:tblCellMar>
          <w:top w:w="115" w:type="dxa"/>
          <w:left w:w="0" w:type="dxa"/>
          <w:bottom w:w="115" w:type="dxa"/>
          <w:right w:w="0" w:type="dxa"/>
        </w:tblCellMar>
        <w:tblLook w:val="04A0" w:firstRow="1" w:lastRow="0" w:firstColumn="1" w:lastColumn="0" w:noHBand="0" w:noVBand="1"/>
      </w:tblPr>
      <w:tblGrid>
        <w:gridCol w:w="726"/>
        <w:gridCol w:w="1890"/>
        <w:gridCol w:w="1080"/>
        <w:gridCol w:w="2700"/>
        <w:gridCol w:w="2100"/>
      </w:tblGrid>
      <w:tr w:rsidR="00293799" w:rsidRPr="00293799" w14:paraId="0159E490" w14:textId="77777777" w:rsidTr="00293799">
        <w:trPr>
          <w:trHeight w:val="947"/>
        </w:trPr>
        <w:tc>
          <w:tcPr>
            <w:tcW w:w="726" w:type="dxa"/>
            <w:tcBorders>
              <w:top w:val="nil"/>
              <w:left w:val="nil"/>
              <w:bottom w:val="nil"/>
              <w:right w:val="nil"/>
            </w:tcBorders>
            <w:shd w:val="clear" w:color="auto" w:fill="auto"/>
            <w:textDirection w:val="btLr"/>
            <w:hideMark/>
          </w:tcPr>
          <w:p w14:paraId="6AA68F77" w14:textId="77777777" w:rsidR="00293799" w:rsidRPr="00026AA8" w:rsidRDefault="00293799" w:rsidP="00293799">
            <w:pPr>
              <w:pStyle w:val="Tables"/>
              <w:rPr>
                <w:b/>
                <w:sz w:val="20"/>
                <w:szCs w:val="20"/>
              </w:rPr>
            </w:pPr>
            <w:r w:rsidRPr="00026AA8">
              <w:rPr>
                <w:b/>
                <w:sz w:val="20"/>
                <w:szCs w:val="20"/>
              </w:rPr>
              <w:lastRenderedPageBreak/>
              <w:t>Reference</w:t>
            </w:r>
          </w:p>
        </w:tc>
        <w:tc>
          <w:tcPr>
            <w:tcW w:w="1890" w:type="dxa"/>
            <w:tcBorders>
              <w:top w:val="nil"/>
              <w:left w:val="nil"/>
              <w:bottom w:val="nil"/>
              <w:right w:val="nil"/>
            </w:tcBorders>
            <w:shd w:val="clear" w:color="auto" w:fill="auto"/>
            <w:textDirection w:val="btLr"/>
            <w:hideMark/>
          </w:tcPr>
          <w:p w14:paraId="12DAC06B" w14:textId="477DA2B3" w:rsidR="00293799" w:rsidRPr="00293799" w:rsidRDefault="006276BA" w:rsidP="006276BA">
            <w:pPr>
              <w:pStyle w:val="Tables"/>
              <w:rPr>
                <w:sz w:val="20"/>
                <w:szCs w:val="20"/>
              </w:rPr>
            </w:pPr>
            <w:r>
              <w:rPr>
                <w:sz w:val="20"/>
                <w:szCs w:val="20"/>
              </w:rPr>
              <w:fldChar w:fldCharType="begin"/>
            </w:r>
            <w:r w:rsidR="00807999">
              <w:rPr>
                <w:sz w:val="20"/>
                <w:szCs w:val="20"/>
              </w:rPr>
              <w:instrText xml:space="preserve"> ADDIN PAPERS2_CITATIONS &lt;citation&gt;&lt;uuid&gt;761D7F79-93F6-4689-B158-84FC8C0EEDCB&lt;/uuid&gt;&lt;priority&gt;0&lt;/priority&gt;&lt;publications&gt;&lt;publication&gt;&lt;volume&gt;72&lt;/volume&gt;&lt;publication_date&gt;99200300001200000000200000&lt;/publication_date&gt;&lt;doi&gt;10.1023/10973.2003.72.issue-2;subPage:string:Access&lt;/doi&gt;&lt;startpage&gt;481&lt;/startpage&gt;&lt;title&gt;Formation of the main degradation compounds from arabinose, xylose, mannose and arabinitol during pyrolysis&lt;/title&gt;&lt;uuid&gt;195923C8-8795-4914-9233-336BA05E4473&lt;/uuid&gt;&lt;subtype&gt;400&lt;/subtype&gt;&lt;endpage&gt;488&lt;/endpage&gt;&lt;type&gt;400&lt;/type&gt;&lt;url&gt;http://www.akademiai.com/doi/pdf/10.1023/A%3A1024557011975&lt;/url&gt;&lt;bundle&gt;&lt;publication&gt;&lt;title&gt;Journal of Thermal Analysis and Calorimetry&lt;/title&gt;&lt;type&gt;-100&lt;/type&gt;&lt;subtype&gt;-100&lt;/subtype&gt;&lt;uuid&gt;769C714C-3CB1-4C5C-B0F3-2E1D4D5FD7D7&lt;/uuid&gt;&lt;/publication&gt;&lt;/bundle&gt;&lt;authors&gt;&lt;author&gt;&lt;firstName&gt;U&lt;/firstName&gt;&lt;lastName&gt;Räisänen&lt;/lastName&gt;&lt;/author&gt;&lt;author&gt;&lt;firstName&gt;I&lt;/firstName&gt;&lt;lastName&gt;Pitkänen&lt;/lastName&gt;&lt;/author&gt;&lt;author&gt;&lt;firstName&gt;H&lt;/firstName&gt;&lt;lastName&gt;Halttunen&lt;/lastName&gt;&lt;/author&gt;&lt;/authors&gt;&lt;/publication&gt;&lt;/publications&gt;&lt;cites&gt;&lt;/cites&gt;&lt;/citation&gt;</w:instrText>
            </w:r>
            <w:r>
              <w:rPr>
                <w:sz w:val="20"/>
                <w:szCs w:val="20"/>
              </w:rPr>
              <w:fldChar w:fldCharType="separate"/>
            </w:r>
            <w:r w:rsidR="001C1AAC">
              <w:rPr>
                <w:sz w:val="20"/>
                <w:szCs w:val="20"/>
              </w:rPr>
              <w:t>(</w:t>
            </w:r>
            <w:r w:rsidR="001C1AAC">
              <w:rPr>
                <w:i/>
                <w:iCs/>
                <w:sz w:val="20"/>
                <w:szCs w:val="20"/>
              </w:rPr>
              <w:t>79</w:t>
            </w:r>
            <w:r w:rsidR="001C1AAC">
              <w:rPr>
                <w:sz w:val="20"/>
                <w:szCs w:val="20"/>
              </w:rPr>
              <w:t>)</w:t>
            </w:r>
            <w:r>
              <w:rPr>
                <w:sz w:val="20"/>
                <w:szCs w:val="20"/>
              </w:rPr>
              <w:fldChar w:fldCharType="end"/>
            </w:r>
          </w:p>
        </w:tc>
        <w:tc>
          <w:tcPr>
            <w:tcW w:w="1080" w:type="dxa"/>
            <w:tcBorders>
              <w:top w:val="nil"/>
              <w:left w:val="nil"/>
              <w:bottom w:val="nil"/>
              <w:right w:val="nil"/>
            </w:tcBorders>
            <w:shd w:val="clear" w:color="auto" w:fill="auto"/>
            <w:textDirection w:val="btLr"/>
            <w:hideMark/>
          </w:tcPr>
          <w:p w14:paraId="6D1489D5" w14:textId="4282BD52" w:rsidR="00293799" w:rsidRPr="00293799" w:rsidRDefault="006276BA" w:rsidP="00293799">
            <w:pPr>
              <w:pStyle w:val="Tables"/>
              <w:rPr>
                <w:sz w:val="20"/>
                <w:szCs w:val="20"/>
              </w:rPr>
            </w:pPr>
            <w:r>
              <w:rPr>
                <w:sz w:val="20"/>
                <w:szCs w:val="20"/>
              </w:rPr>
              <w:fldChar w:fldCharType="begin"/>
            </w:r>
            <w:r w:rsidR="00807999">
              <w:rPr>
                <w:sz w:val="20"/>
                <w:szCs w:val="20"/>
              </w:rPr>
              <w:instrText xml:space="preserve"> ADDIN PAPERS2_CITATIONS &lt;citation&gt;&lt;uuid&gt;A8D5B4A8-A29A-4977-A7C1-DF38CCB38F39&lt;/uuid&gt;&lt;priority&gt;0&lt;/priority&gt;&lt;publications&gt;&lt;publication&gt;&lt;uuid&gt;AC1FF02B-D084-49C2-9A84-B4BAFA7907BD&lt;/uuid&gt;&lt;volume&gt;24&lt;/volume&gt;&lt;doi&gt;10.1021/ef900912s&lt;/doi&gt;&lt;startpage&gt;699&lt;/startpage&gt;&lt;publication_date&gt;99201000001200000000200000&lt;/publication_date&gt;&lt;url&gt;http://pubs.acs.org/doi/abs/10.1021/ef900912s&lt;/url&gt;&lt;citekey&gt;Mullen2010&lt;/citekey&gt;&lt;type&gt;400&lt;/type&gt;&lt;title&gt;Analysis and Comparison of Bio-Oil Produced by Fast Pyrolysis from Three Barley Biomass/Byproduct Streams&lt;/title&gt;&lt;number&gt;1&lt;/number&gt;&lt;subtype&gt;400&lt;/subtype&gt;&lt;endpage&gt;706&lt;/endpage&gt;&lt;bundle&gt;&lt;publication&gt;&lt;publisher&gt;American Chemical Society&lt;/publisher&gt;&lt;title&gt;Energy &amp;amp; Fuels&lt;/title&gt;&lt;type&gt;-100&lt;/type&gt;&lt;subtype&gt;-100&lt;/subtype&gt;&lt;uuid&gt;DCD2A25C-F261-4333-B749-6E6DAB1F820E&lt;/uuid&gt;&lt;/publication&gt;&lt;/bundle&gt;&lt;authors&gt;&lt;author&gt;&lt;firstName&gt;Charles&lt;/firstName&gt;&lt;middleNames&gt;a&lt;/middleNames&gt;&lt;lastName&gt;Mullen&lt;/lastName&gt;&lt;/author&gt;&lt;author&gt;&lt;firstName&gt;A&lt;/firstName&gt;&lt;middleNames&gt;A&lt;/middleNames&gt;&lt;lastName&gt;Boateng&lt;/lastName&gt;&lt;/author&gt;&lt;author&gt;&lt;firstName&gt;Kevin&lt;/firstName&gt;&lt;middleNames&gt;B&lt;/middleNames&gt;&lt;lastName&gt;Hicks&lt;/lastName&gt;&lt;/author&gt;&lt;author&gt;&lt;firstName&gt;Neil&lt;/firstName&gt;&lt;middleNames&gt;M&lt;/middleNames&gt;&lt;lastName&gt;Goldberg&lt;/lastName&gt;&lt;/author&gt;&lt;author&gt;&lt;firstName&gt;Robert&lt;/firstName&gt;&lt;middleNames&gt;a&lt;/middleNames&gt;&lt;lastName&gt;Moreau&lt;/lastName&gt;&lt;/author&gt;&lt;/authors&gt;&lt;/publication&gt;&lt;/publications&gt;&lt;cites&gt;&lt;/cites&gt;&lt;/citation&gt;</w:instrText>
            </w:r>
            <w:r>
              <w:rPr>
                <w:sz w:val="20"/>
                <w:szCs w:val="20"/>
              </w:rPr>
              <w:fldChar w:fldCharType="separate"/>
            </w:r>
            <w:r w:rsidR="001C1AAC">
              <w:rPr>
                <w:sz w:val="20"/>
                <w:szCs w:val="20"/>
              </w:rPr>
              <w:t>(</w:t>
            </w:r>
            <w:r w:rsidR="001C1AAC">
              <w:rPr>
                <w:i/>
                <w:iCs/>
                <w:sz w:val="20"/>
                <w:szCs w:val="20"/>
              </w:rPr>
              <w:t>80</w:t>
            </w:r>
            <w:r w:rsidR="001C1AAC">
              <w:rPr>
                <w:sz w:val="20"/>
                <w:szCs w:val="20"/>
              </w:rPr>
              <w:t>)</w:t>
            </w:r>
            <w:r>
              <w:rPr>
                <w:sz w:val="20"/>
                <w:szCs w:val="20"/>
              </w:rPr>
              <w:fldChar w:fldCharType="end"/>
            </w:r>
          </w:p>
        </w:tc>
        <w:tc>
          <w:tcPr>
            <w:tcW w:w="2700" w:type="dxa"/>
            <w:tcBorders>
              <w:top w:val="nil"/>
              <w:left w:val="nil"/>
              <w:bottom w:val="nil"/>
              <w:right w:val="nil"/>
            </w:tcBorders>
            <w:shd w:val="clear" w:color="auto" w:fill="auto"/>
            <w:textDirection w:val="btLr"/>
            <w:hideMark/>
          </w:tcPr>
          <w:p w14:paraId="47F89CBA" w14:textId="1225DC02" w:rsidR="00293799" w:rsidRPr="00293799" w:rsidRDefault="006276BA" w:rsidP="00293799">
            <w:pPr>
              <w:pStyle w:val="Tables"/>
              <w:rPr>
                <w:sz w:val="20"/>
                <w:szCs w:val="20"/>
              </w:rPr>
            </w:pPr>
            <w:r>
              <w:rPr>
                <w:sz w:val="20"/>
                <w:szCs w:val="20"/>
              </w:rPr>
              <w:fldChar w:fldCharType="begin"/>
            </w:r>
            <w:r w:rsidR="00807999">
              <w:rPr>
                <w:sz w:val="20"/>
                <w:szCs w:val="20"/>
              </w:rPr>
              <w:instrText xml:space="preserve"> ADDIN PAPERS2_CITATIONS &lt;citation&gt;&lt;uuid&gt;FE423666-3A0B-449F-9D51-71A81D919689&lt;/uuid&gt;&lt;priority&gt;0&lt;/priority&gt;&lt;publications&gt;&lt;publication&gt;&lt;publication_date&gt;99198600001200000000200000&lt;/publication_date&gt;&lt;title&gt;Lignin pyrolysis products: their structures and their significance as biomarkers&lt;/title&gt;&lt;uuid&gt;5E97A469-4544-4EAF-9CB4-0CC7E571F833&lt;/uuid&gt;&lt;subtype&gt;400&lt;/subtype&gt;&lt;type&gt;400&lt;/type&gt;&lt;citekey&gt;SaizJimenez:1986uh&lt;/citekey&gt;&lt;url&gt;http://ac.els-cdn.com/S0146638086800249/1-s2.0-S0146638086800249-main.pdf?_tid=1da48da4-5972-11e4-9e05-00000aab0f02&amp;amp;acdnat=1413930918_8ceff5bf246d55ba5e03886623103b50&lt;/url&gt;&lt;bundle&gt;&lt;publication&gt;&lt;title&gt;Organic Geochemistry&lt;/title&gt;&lt;type&gt;-100&lt;/type&gt;&lt;subtype&gt;-100&lt;/subtype&gt;&lt;uuid&gt;8C55C28C-D8BE-4B5E-984A-EBE053458B9B&lt;/uuid&gt;&lt;/publication&gt;&lt;/bundle&gt;&lt;authors&gt;&lt;author&gt;&lt;firstName&gt;C&lt;/firstName&gt;&lt;lastName&gt;Sáiz-Jiménez&lt;/lastName&gt;&lt;/author&gt;&lt;author&gt;&lt;lastName&gt;Leeuw&lt;/lastName&gt;&lt;nonDroppingParticle&gt;De&lt;/nonDroppingParticle&gt;&lt;firstName&gt;J&lt;/firstName&gt;&lt;middleNames&gt;W&lt;/middleNames&gt;&lt;/author&gt;&lt;/authors&gt;&lt;/publication&gt;&lt;/publications&gt;&lt;cites&gt;&lt;/cites&gt;&lt;/citation&gt;</w:instrText>
            </w:r>
            <w:r>
              <w:rPr>
                <w:sz w:val="20"/>
                <w:szCs w:val="20"/>
              </w:rPr>
              <w:fldChar w:fldCharType="separate"/>
            </w:r>
            <w:r w:rsidR="001C1AAC">
              <w:rPr>
                <w:sz w:val="20"/>
                <w:szCs w:val="20"/>
              </w:rPr>
              <w:t>(</w:t>
            </w:r>
            <w:r w:rsidR="001C1AAC">
              <w:rPr>
                <w:i/>
                <w:iCs/>
                <w:sz w:val="20"/>
                <w:szCs w:val="20"/>
              </w:rPr>
              <w:t>81</w:t>
            </w:r>
            <w:r w:rsidR="001C1AAC">
              <w:rPr>
                <w:sz w:val="20"/>
                <w:szCs w:val="20"/>
              </w:rPr>
              <w:t>)</w:t>
            </w:r>
            <w:r>
              <w:rPr>
                <w:sz w:val="20"/>
                <w:szCs w:val="20"/>
              </w:rPr>
              <w:fldChar w:fldCharType="end"/>
            </w:r>
          </w:p>
        </w:tc>
        <w:tc>
          <w:tcPr>
            <w:tcW w:w="2100" w:type="dxa"/>
            <w:tcBorders>
              <w:top w:val="nil"/>
              <w:left w:val="nil"/>
              <w:bottom w:val="nil"/>
              <w:right w:val="nil"/>
            </w:tcBorders>
            <w:shd w:val="clear" w:color="auto" w:fill="auto"/>
            <w:textDirection w:val="btLr"/>
            <w:hideMark/>
          </w:tcPr>
          <w:p w14:paraId="27A15839" w14:textId="7692FBA5" w:rsidR="00293799" w:rsidRPr="00293799" w:rsidRDefault="006276BA" w:rsidP="006276BA">
            <w:pPr>
              <w:pStyle w:val="Tables"/>
              <w:rPr>
                <w:sz w:val="20"/>
                <w:szCs w:val="20"/>
              </w:rPr>
            </w:pPr>
            <w:r>
              <w:rPr>
                <w:sz w:val="20"/>
                <w:szCs w:val="20"/>
              </w:rPr>
              <w:fldChar w:fldCharType="begin"/>
            </w:r>
            <w:r w:rsidR="00807999">
              <w:rPr>
                <w:sz w:val="20"/>
                <w:szCs w:val="20"/>
              </w:rPr>
              <w:instrText xml:space="preserve"> ADDIN PAPERS2_CITATIONS &lt;citation&gt;&lt;uuid&gt;5AFC5B8A-573C-4837-A14E-2DABE41CBD9E&lt;/uuid&gt;&lt;priority&gt;0&lt;/priority&gt;&lt;publications&gt;&lt;publication&gt;&lt;volume&gt;5&lt;/volume&gt;&lt;publication_date&gt;99201200001200000000200000&lt;/publication_date&gt;&lt;number&gt;1&lt;/number&gt;&lt;doi&gt;10.1186/1754-6834-5-38&lt;/doi&gt;&lt;startpage&gt;38&lt;/startpage&gt;&lt;title&gt;Structural characterization of alkaline hydrogen peroxide pretreated grasses exhibiting diverse lignin phenotypes&lt;/title&gt;&lt;uuid&gt;1A13E481-AEBA-4007-B58A-744B6390298E&lt;/uuid&gt;&lt;subtype&gt;400&lt;/subtype&gt;&lt;type&gt;400&lt;/type&gt;&lt;url&gt;http://www.biotechnologyforbiofuels.com/content/5/1/38&lt;/url&gt;&lt;bundle&gt;&lt;publication&gt;&lt;publisher&gt;BioMed Central&lt;/publisher&gt;&lt;title&gt;Biotechnol Biofuels&lt;/title&gt;&lt;type&gt;-100&lt;/type&gt;&lt;subtype&gt;-100&lt;/subtype&gt;&lt;uuid&gt;F04F2FEB-1196-4B46-8D0A-F0F7C7492742&lt;/uuid&gt;&lt;/publication&gt;&lt;/bundle&gt;&lt;authors&gt;&lt;author&gt;&lt;firstName&gt;Muyang&lt;/firstName&gt;&lt;lastName&gt;Li&lt;/lastName&gt;&lt;/author&gt;&lt;author&gt;&lt;firstName&gt;Cliff&lt;/firstName&gt;&lt;lastName&gt;Foster&lt;/lastName&gt;&lt;/author&gt;&lt;author&gt;&lt;firstName&gt;Shantanu&lt;/firstName&gt;&lt;lastName&gt;Kelkar&lt;/lastName&gt;&lt;/author&gt;&lt;author&gt;&lt;firstName&gt;Yunqiao&lt;/firstName&gt;&lt;lastName&gt;Pu&lt;/lastName&gt;&lt;/author&gt;&lt;author&gt;&lt;firstName&gt;Daniel&lt;/firstName&gt;&lt;lastName&gt;Holmes&lt;/lastName&gt;&lt;/author&gt;&lt;author&gt;&lt;firstName&gt;Arthur&lt;/firstName&gt;&lt;lastName&gt;Ragauskas&lt;/lastName&gt;&lt;/author&gt;&lt;author&gt;&lt;firstName&gt;Christopher&lt;/firstName&gt;&lt;middleNames&gt;M&lt;/middleNames&gt;&lt;lastName&gt;Saffron&lt;/lastName&gt;&lt;/author&gt;&lt;author&gt;&lt;firstName&gt;David&lt;/firstName&gt;&lt;middleNames&gt;B&lt;/middleNames&gt;&lt;lastName&gt;Hodge&lt;/lastName&gt;&lt;/author&gt;&lt;/authors&gt;&lt;/publication&gt;&lt;/publications&gt;&lt;cites&gt;&lt;/cites&gt;&lt;/citation&gt;</w:instrText>
            </w:r>
            <w:r>
              <w:rPr>
                <w:sz w:val="20"/>
                <w:szCs w:val="20"/>
              </w:rPr>
              <w:fldChar w:fldCharType="separate"/>
            </w:r>
            <w:r w:rsidR="001C1AAC">
              <w:rPr>
                <w:sz w:val="20"/>
                <w:szCs w:val="20"/>
              </w:rPr>
              <w:t>(</w:t>
            </w:r>
            <w:r w:rsidR="001C1AAC">
              <w:rPr>
                <w:i/>
                <w:iCs/>
                <w:sz w:val="20"/>
                <w:szCs w:val="20"/>
              </w:rPr>
              <w:t>82</w:t>
            </w:r>
            <w:r w:rsidR="001C1AAC">
              <w:rPr>
                <w:sz w:val="20"/>
                <w:szCs w:val="20"/>
              </w:rPr>
              <w:t>)</w:t>
            </w:r>
            <w:r>
              <w:rPr>
                <w:sz w:val="20"/>
                <w:szCs w:val="20"/>
              </w:rPr>
              <w:fldChar w:fldCharType="end"/>
            </w:r>
          </w:p>
        </w:tc>
      </w:tr>
      <w:tr w:rsidR="00293799" w:rsidRPr="00293799" w14:paraId="7822CC1F" w14:textId="77777777" w:rsidTr="00293799">
        <w:trPr>
          <w:trHeight w:val="956"/>
        </w:trPr>
        <w:tc>
          <w:tcPr>
            <w:tcW w:w="726" w:type="dxa"/>
            <w:tcBorders>
              <w:top w:val="nil"/>
              <w:left w:val="nil"/>
              <w:bottom w:val="nil"/>
              <w:right w:val="nil"/>
            </w:tcBorders>
            <w:shd w:val="clear" w:color="auto" w:fill="auto"/>
            <w:textDirection w:val="btLr"/>
            <w:hideMark/>
          </w:tcPr>
          <w:p w14:paraId="70A21B09" w14:textId="77777777" w:rsidR="00293799" w:rsidRPr="00026AA8" w:rsidRDefault="00293799" w:rsidP="00293799">
            <w:pPr>
              <w:pStyle w:val="Tables"/>
              <w:rPr>
                <w:b/>
                <w:sz w:val="20"/>
                <w:szCs w:val="20"/>
              </w:rPr>
            </w:pPr>
            <w:r w:rsidRPr="00026AA8">
              <w:rPr>
                <w:b/>
                <w:sz w:val="20"/>
                <w:szCs w:val="20"/>
              </w:rPr>
              <w:t>Thermal conversion condition</w:t>
            </w:r>
          </w:p>
        </w:tc>
        <w:tc>
          <w:tcPr>
            <w:tcW w:w="1890" w:type="dxa"/>
            <w:tcBorders>
              <w:top w:val="nil"/>
              <w:left w:val="nil"/>
              <w:bottom w:val="nil"/>
              <w:right w:val="nil"/>
            </w:tcBorders>
            <w:shd w:val="clear" w:color="auto" w:fill="auto"/>
            <w:textDirection w:val="btLr"/>
            <w:hideMark/>
          </w:tcPr>
          <w:p w14:paraId="15F4275A" w14:textId="77777777" w:rsidR="00293799" w:rsidRPr="00293799" w:rsidRDefault="00293799" w:rsidP="00293799">
            <w:pPr>
              <w:pStyle w:val="Tables"/>
              <w:rPr>
                <w:sz w:val="20"/>
                <w:szCs w:val="20"/>
              </w:rPr>
            </w:pPr>
            <w:r w:rsidRPr="00293799">
              <w:rPr>
                <w:sz w:val="20"/>
                <w:szCs w:val="20"/>
              </w:rPr>
              <w:t>500°C and 550°C, 10 s</w:t>
            </w:r>
          </w:p>
        </w:tc>
        <w:tc>
          <w:tcPr>
            <w:tcW w:w="1080" w:type="dxa"/>
            <w:tcBorders>
              <w:top w:val="nil"/>
              <w:left w:val="nil"/>
              <w:bottom w:val="nil"/>
              <w:right w:val="nil"/>
            </w:tcBorders>
            <w:shd w:val="clear" w:color="auto" w:fill="auto"/>
            <w:textDirection w:val="btLr"/>
            <w:hideMark/>
          </w:tcPr>
          <w:p w14:paraId="5296691B" w14:textId="77777777" w:rsidR="00293799" w:rsidRPr="00293799" w:rsidRDefault="00293799" w:rsidP="00293799">
            <w:pPr>
              <w:pStyle w:val="Tables"/>
              <w:rPr>
                <w:sz w:val="20"/>
                <w:szCs w:val="20"/>
              </w:rPr>
            </w:pPr>
            <w:r w:rsidRPr="00293799">
              <w:rPr>
                <w:sz w:val="20"/>
                <w:szCs w:val="20"/>
              </w:rPr>
              <w:t>Fluidized bed , 500°C</w:t>
            </w:r>
          </w:p>
        </w:tc>
        <w:tc>
          <w:tcPr>
            <w:tcW w:w="2700" w:type="dxa"/>
            <w:tcBorders>
              <w:top w:val="nil"/>
              <w:left w:val="nil"/>
              <w:bottom w:val="nil"/>
              <w:right w:val="nil"/>
            </w:tcBorders>
            <w:shd w:val="clear" w:color="auto" w:fill="auto"/>
            <w:textDirection w:val="btLr"/>
            <w:hideMark/>
          </w:tcPr>
          <w:p w14:paraId="6F4B2099" w14:textId="77777777" w:rsidR="00293799" w:rsidRPr="00293799" w:rsidRDefault="00293799" w:rsidP="00293799">
            <w:pPr>
              <w:pStyle w:val="Tables"/>
              <w:rPr>
                <w:sz w:val="20"/>
                <w:szCs w:val="20"/>
              </w:rPr>
            </w:pPr>
            <w:r w:rsidRPr="00293799">
              <w:rPr>
                <w:sz w:val="20"/>
                <w:szCs w:val="20"/>
              </w:rPr>
              <w:t>510°C, 10 s</w:t>
            </w:r>
          </w:p>
        </w:tc>
        <w:tc>
          <w:tcPr>
            <w:tcW w:w="2100" w:type="dxa"/>
            <w:tcBorders>
              <w:top w:val="nil"/>
              <w:left w:val="nil"/>
              <w:bottom w:val="nil"/>
              <w:right w:val="nil"/>
            </w:tcBorders>
            <w:shd w:val="clear" w:color="auto" w:fill="auto"/>
            <w:textDirection w:val="btLr"/>
            <w:hideMark/>
          </w:tcPr>
          <w:p w14:paraId="302E8E16" w14:textId="77777777" w:rsidR="00293799" w:rsidRPr="00293799" w:rsidRDefault="00293799" w:rsidP="00293799">
            <w:pPr>
              <w:pStyle w:val="Tables"/>
              <w:rPr>
                <w:sz w:val="20"/>
                <w:szCs w:val="20"/>
              </w:rPr>
            </w:pPr>
            <w:r w:rsidRPr="00293799">
              <w:rPr>
                <w:sz w:val="20"/>
                <w:szCs w:val="20"/>
              </w:rPr>
              <w:t>650°C , 20 s</w:t>
            </w:r>
          </w:p>
        </w:tc>
      </w:tr>
      <w:tr w:rsidR="00293799" w:rsidRPr="00293799" w14:paraId="789E4280" w14:textId="77777777" w:rsidTr="00EF1F10">
        <w:trPr>
          <w:cantSplit/>
          <w:trHeight w:val="1334"/>
        </w:trPr>
        <w:tc>
          <w:tcPr>
            <w:tcW w:w="726" w:type="dxa"/>
            <w:tcBorders>
              <w:top w:val="nil"/>
              <w:left w:val="nil"/>
              <w:bottom w:val="nil"/>
              <w:right w:val="nil"/>
            </w:tcBorders>
            <w:shd w:val="clear" w:color="auto" w:fill="auto"/>
            <w:textDirection w:val="btLr"/>
            <w:hideMark/>
          </w:tcPr>
          <w:p w14:paraId="69FDB33A" w14:textId="77777777" w:rsidR="00293799" w:rsidRPr="00026AA8" w:rsidRDefault="00293799" w:rsidP="00293799">
            <w:pPr>
              <w:pStyle w:val="Tables"/>
              <w:rPr>
                <w:b/>
                <w:sz w:val="20"/>
                <w:szCs w:val="20"/>
              </w:rPr>
            </w:pPr>
            <w:r w:rsidRPr="00026AA8">
              <w:rPr>
                <w:b/>
                <w:sz w:val="20"/>
                <w:szCs w:val="20"/>
              </w:rPr>
              <w:t>Sample type</w:t>
            </w:r>
          </w:p>
        </w:tc>
        <w:tc>
          <w:tcPr>
            <w:tcW w:w="1890" w:type="dxa"/>
            <w:tcBorders>
              <w:top w:val="nil"/>
              <w:left w:val="nil"/>
              <w:bottom w:val="nil"/>
              <w:right w:val="nil"/>
            </w:tcBorders>
            <w:shd w:val="clear" w:color="auto" w:fill="auto"/>
            <w:textDirection w:val="btLr"/>
            <w:hideMark/>
          </w:tcPr>
          <w:p w14:paraId="44D19C8D" w14:textId="6410BCE5" w:rsidR="00293799" w:rsidRPr="00293799" w:rsidRDefault="00293799" w:rsidP="00293799">
            <w:pPr>
              <w:pStyle w:val="Tables"/>
              <w:rPr>
                <w:sz w:val="20"/>
                <w:szCs w:val="20"/>
              </w:rPr>
            </w:pPr>
            <w:r w:rsidRPr="00293799">
              <w:rPr>
                <w:sz w:val="20"/>
                <w:szCs w:val="20"/>
              </w:rPr>
              <w:t>Powdered high purity mono</w:t>
            </w:r>
            <w:r w:rsidR="00EF1F10">
              <w:rPr>
                <w:sz w:val="20"/>
                <w:szCs w:val="20"/>
              </w:rPr>
              <w:t>-</w:t>
            </w:r>
            <w:r w:rsidRPr="00293799">
              <w:rPr>
                <w:sz w:val="20"/>
                <w:szCs w:val="20"/>
              </w:rPr>
              <w:t>saccharides (&gt;99%)</w:t>
            </w:r>
          </w:p>
        </w:tc>
        <w:tc>
          <w:tcPr>
            <w:tcW w:w="1080" w:type="dxa"/>
            <w:tcBorders>
              <w:top w:val="nil"/>
              <w:left w:val="nil"/>
              <w:bottom w:val="nil"/>
              <w:right w:val="nil"/>
            </w:tcBorders>
            <w:shd w:val="clear" w:color="auto" w:fill="auto"/>
            <w:textDirection w:val="btLr"/>
            <w:hideMark/>
          </w:tcPr>
          <w:p w14:paraId="386F96F4" w14:textId="77777777" w:rsidR="00293799" w:rsidRPr="00293799" w:rsidRDefault="00293799" w:rsidP="00293799">
            <w:pPr>
              <w:pStyle w:val="Tables"/>
              <w:rPr>
                <w:sz w:val="20"/>
                <w:szCs w:val="20"/>
              </w:rPr>
            </w:pPr>
            <w:r w:rsidRPr="00293799">
              <w:rPr>
                <w:sz w:val="20"/>
                <w:szCs w:val="20"/>
              </w:rPr>
              <w:t>Barley Straw, hull and yeast-fermentated grain</w:t>
            </w:r>
          </w:p>
        </w:tc>
        <w:tc>
          <w:tcPr>
            <w:tcW w:w="2700" w:type="dxa"/>
            <w:tcBorders>
              <w:top w:val="nil"/>
              <w:left w:val="nil"/>
              <w:bottom w:val="nil"/>
              <w:right w:val="nil"/>
            </w:tcBorders>
            <w:shd w:val="clear" w:color="auto" w:fill="auto"/>
            <w:textDirection w:val="btLr"/>
            <w:hideMark/>
          </w:tcPr>
          <w:p w14:paraId="2BFEDE4A" w14:textId="77777777" w:rsidR="00293799" w:rsidRPr="00293799" w:rsidRDefault="00293799" w:rsidP="00293799">
            <w:pPr>
              <w:pStyle w:val="Tables"/>
              <w:rPr>
                <w:sz w:val="20"/>
                <w:szCs w:val="20"/>
              </w:rPr>
            </w:pPr>
            <w:r w:rsidRPr="00293799">
              <w:rPr>
                <w:sz w:val="20"/>
                <w:szCs w:val="20"/>
              </w:rPr>
              <w:t>Solvent extracted lignin from milled spruce, beech, aspen, and bamboo</w:t>
            </w:r>
          </w:p>
        </w:tc>
        <w:tc>
          <w:tcPr>
            <w:tcW w:w="2100" w:type="dxa"/>
            <w:tcBorders>
              <w:top w:val="nil"/>
              <w:left w:val="nil"/>
              <w:bottom w:val="nil"/>
              <w:right w:val="nil"/>
            </w:tcBorders>
            <w:shd w:val="clear" w:color="auto" w:fill="auto"/>
            <w:textDirection w:val="btLr"/>
            <w:hideMark/>
          </w:tcPr>
          <w:p w14:paraId="6BA299F1" w14:textId="77777777" w:rsidR="00293799" w:rsidRPr="00293799" w:rsidRDefault="00293799" w:rsidP="00293799">
            <w:pPr>
              <w:pStyle w:val="Tables"/>
              <w:rPr>
                <w:sz w:val="20"/>
                <w:szCs w:val="20"/>
              </w:rPr>
            </w:pPr>
            <w:r w:rsidRPr="00293799">
              <w:rPr>
                <w:sz w:val="20"/>
                <w:szCs w:val="20"/>
              </w:rPr>
              <w:t>Hybrid maize, bm1 mutant, bm3 mutant and switchgrass biomass treated by different [H2O2] to remove lignin</w:t>
            </w:r>
          </w:p>
        </w:tc>
      </w:tr>
      <w:tr w:rsidR="00293799" w:rsidRPr="00293799" w14:paraId="6875403A" w14:textId="77777777" w:rsidTr="00293799">
        <w:trPr>
          <w:cantSplit/>
          <w:trHeight w:val="2430"/>
        </w:trPr>
        <w:tc>
          <w:tcPr>
            <w:tcW w:w="726" w:type="dxa"/>
            <w:tcBorders>
              <w:top w:val="nil"/>
              <w:left w:val="nil"/>
              <w:bottom w:val="nil"/>
              <w:right w:val="nil"/>
            </w:tcBorders>
            <w:shd w:val="clear" w:color="auto" w:fill="auto"/>
            <w:textDirection w:val="btLr"/>
            <w:hideMark/>
          </w:tcPr>
          <w:p w14:paraId="6A6A0DCD" w14:textId="77777777" w:rsidR="00293799" w:rsidRPr="00026AA8" w:rsidRDefault="00293799" w:rsidP="00293799">
            <w:pPr>
              <w:pStyle w:val="Tables"/>
              <w:rPr>
                <w:b/>
                <w:sz w:val="20"/>
                <w:szCs w:val="20"/>
              </w:rPr>
            </w:pPr>
            <w:r w:rsidRPr="00026AA8">
              <w:rPr>
                <w:b/>
                <w:sz w:val="20"/>
                <w:szCs w:val="20"/>
              </w:rPr>
              <w:t>Effect on products (Dependent variable)</w:t>
            </w:r>
          </w:p>
        </w:tc>
        <w:tc>
          <w:tcPr>
            <w:tcW w:w="1890" w:type="dxa"/>
            <w:tcBorders>
              <w:top w:val="nil"/>
              <w:left w:val="nil"/>
              <w:bottom w:val="nil"/>
              <w:right w:val="nil"/>
            </w:tcBorders>
            <w:shd w:val="clear" w:color="auto" w:fill="auto"/>
            <w:textDirection w:val="btLr"/>
            <w:hideMark/>
          </w:tcPr>
          <w:p w14:paraId="01A0617F" w14:textId="77777777" w:rsidR="00293799" w:rsidRPr="00293799" w:rsidRDefault="00293799" w:rsidP="00293799">
            <w:pPr>
              <w:pStyle w:val="Tables"/>
              <w:rPr>
                <w:sz w:val="20"/>
                <w:szCs w:val="20"/>
              </w:rPr>
            </w:pPr>
            <w:r w:rsidRPr="00293799">
              <w:rPr>
                <w:sz w:val="20"/>
                <w:szCs w:val="20"/>
              </w:rPr>
              <w:t xml:space="preserve">Arabinose and xylose produce similar products but slightly different yields and product ratios. Mannose gives more decomposition products than arabinose and xylose and a unique product, 5-hydroxymethyl-furfural. </w:t>
            </w:r>
          </w:p>
        </w:tc>
        <w:tc>
          <w:tcPr>
            <w:tcW w:w="1080" w:type="dxa"/>
            <w:tcBorders>
              <w:top w:val="nil"/>
              <w:left w:val="nil"/>
              <w:bottom w:val="nil"/>
              <w:right w:val="nil"/>
            </w:tcBorders>
            <w:shd w:val="clear" w:color="auto" w:fill="auto"/>
            <w:textDirection w:val="btLr"/>
            <w:hideMark/>
          </w:tcPr>
          <w:p w14:paraId="00C8E775" w14:textId="77777777" w:rsidR="00293799" w:rsidRPr="00293799" w:rsidRDefault="00293799" w:rsidP="00293799">
            <w:pPr>
              <w:pStyle w:val="Tables"/>
              <w:rPr>
                <w:sz w:val="20"/>
                <w:szCs w:val="20"/>
              </w:rPr>
            </w:pPr>
            <w:r w:rsidRPr="00293799">
              <w:rPr>
                <w:sz w:val="20"/>
                <w:szCs w:val="20"/>
              </w:rPr>
              <w:t>Fermentated grain samples produce less acetic acid, furfural, and acetone than hull and straw.</w:t>
            </w:r>
          </w:p>
        </w:tc>
        <w:tc>
          <w:tcPr>
            <w:tcW w:w="2700" w:type="dxa"/>
            <w:tcBorders>
              <w:top w:val="nil"/>
              <w:left w:val="nil"/>
              <w:bottom w:val="nil"/>
              <w:right w:val="nil"/>
            </w:tcBorders>
            <w:shd w:val="clear" w:color="auto" w:fill="auto"/>
            <w:textDirection w:val="btLr"/>
            <w:hideMark/>
          </w:tcPr>
          <w:p w14:paraId="36642E53" w14:textId="77777777" w:rsidR="00293799" w:rsidRPr="00293799" w:rsidRDefault="00293799" w:rsidP="00293799">
            <w:pPr>
              <w:pStyle w:val="Tables"/>
              <w:rPr>
                <w:sz w:val="20"/>
                <w:szCs w:val="20"/>
              </w:rPr>
            </w:pPr>
            <w:r w:rsidRPr="00293799">
              <w:rPr>
                <w:sz w:val="20"/>
                <w:szCs w:val="20"/>
              </w:rPr>
              <w:t>Hardwood lignin produces guaiacyl and syringyl derivatives. Softwood lignin produces mostly guiaicyl derivatives but no hydroxyphenyl or syringyl compounds.  Grass lignin uniquely produces vinylphenol, propenyl-phenols, and p-hydroxybenzaldehyde.</w:t>
            </w:r>
          </w:p>
        </w:tc>
        <w:tc>
          <w:tcPr>
            <w:tcW w:w="2100" w:type="dxa"/>
            <w:tcBorders>
              <w:top w:val="nil"/>
              <w:left w:val="nil"/>
              <w:bottom w:val="nil"/>
              <w:right w:val="nil"/>
            </w:tcBorders>
            <w:shd w:val="clear" w:color="auto" w:fill="auto"/>
            <w:textDirection w:val="btLr"/>
            <w:hideMark/>
          </w:tcPr>
          <w:p w14:paraId="3C51FBAE" w14:textId="77777777" w:rsidR="00293799" w:rsidRPr="00293799" w:rsidRDefault="00293799" w:rsidP="00293799">
            <w:pPr>
              <w:pStyle w:val="Tables"/>
              <w:rPr>
                <w:sz w:val="20"/>
                <w:szCs w:val="20"/>
              </w:rPr>
            </w:pPr>
            <w:r w:rsidRPr="00293799">
              <w:rPr>
                <w:sz w:val="20"/>
                <w:szCs w:val="20"/>
              </w:rPr>
              <w:t xml:space="preserve">Samples with high Klason lignin produce more 4-vinylguaiacol. Klason lignin positively correlate with 4-vinylguaiacol. </w:t>
            </w:r>
          </w:p>
        </w:tc>
      </w:tr>
      <w:tr w:rsidR="00293799" w:rsidRPr="00293799" w14:paraId="6F66BCE6" w14:textId="77777777" w:rsidTr="00514288">
        <w:trPr>
          <w:cantSplit/>
          <w:trHeight w:val="1622"/>
        </w:trPr>
        <w:tc>
          <w:tcPr>
            <w:tcW w:w="726" w:type="dxa"/>
            <w:tcBorders>
              <w:top w:val="nil"/>
              <w:left w:val="nil"/>
              <w:bottom w:val="nil"/>
              <w:right w:val="nil"/>
            </w:tcBorders>
            <w:shd w:val="clear" w:color="auto" w:fill="auto"/>
            <w:textDirection w:val="btLr"/>
            <w:hideMark/>
          </w:tcPr>
          <w:p w14:paraId="752DE069" w14:textId="15AE80B3" w:rsidR="00293799" w:rsidRPr="00026AA8" w:rsidRDefault="00293799" w:rsidP="00293799">
            <w:pPr>
              <w:pStyle w:val="Tables"/>
              <w:rPr>
                <w:b/>
                <w:sz w:val="20"/>
                <w:szCs w:val="20"/>
              </w:rPr>
            </w:pPr>
            <w:r w:rsidRPr="00026AA8">
              <w:rPr>
                <w:b/>
                <w:sz w:val="20"/>
                <w:szCs w:val="20"/>
              </w:rPr>
              <w:t>Independent variable</w:t>
            </w:r>
          </w:p>
        </w:tc>
        <w:tc>
          <w:tcPr>
            <w:tcW w:w="1890" w:type="dxa"/>
            <w:tcBorders>
              <w:top w:val="nil"/>
              <w:left w:val="nil"/>
              <w:bottom w:val="nil"/>
              <w:right w:val="nil"/>
            </w:tcBorders>
            <w:shd w:val="clear" w:color="auto" w:fill="auto"/>
            <w:textDirection w:val="btLr"/>
            <w:hideMark/>
          </w:tcPr>
          <w:p w14:paraId="7C071932" w14:textId="77777777" w:rsidR="00293799" w:rsidRPr="00293799" w:rsidRDefault="00293799" w:rsidP="00293799">
            <w:pPr>
              <w:pStyle w:val="Tables"/>
              <w:rPr>
                <w:sz w:val="20"/>
                <w:szCs w:val="20"/>
              </w:rPr>
            </w:pPr>
            <w:r w:rsidRPr="00293799">
              <w:rPr>
                <w:sz w:val="20"/>
                <w:szCs w:val="20"/>
              </w:rPr>
              <w:t>Arabinose, xylose, mannose, arabinitol</w:t>
            </w:r>
          </w:p>
        </w:tc>
        <w:tc>
          <w:tcPr>
            <w:tcW w:w="1080" w:type="dxa"/>
            <w:tcBorders>
              <w:top w:val="nil"/>
              <w:left w:val="nil"/>
              <w:bottom w:val="nil"/>
              <w:right w:val="nil"/>
            </w:tcBorders>
            <w:shd w:val="clear" w:color="auto" w:fill="auto"/>
            <w:textDirection w:val="btLr"/>
            <w:hideMark/>
          </w:tcPr>
          <w:p w14:paraId="375E9983" w14:textId="77777777" w:rsidR="00293799" w:rsidRPr="00293799" w:rsidRDefault="00293799" w:rsidP="00293799">
            <w:pPr>
              <w:pStyle w:val="Tables"/>
              <w:rPr>
                <w:sz w:val="20"/>
                <w:szCs w:val="20"/>
              </w:rPr>
            </w:pPr>
            <w:r w:rsidRPr="00293799">
              <w:rPr>
                <w:sz w:val="20"/>
                <w:szCs w:val="20"/>
              </w:rPr>
              <w:t>Variation in sugar composition</w:t>
            </w:r>
          </w:p>
        </w:tc>
        <w:tc>
          <w:tcPr>
            <w:tcW w:w="2700" w:type="dxa"/>
            <w:tcBorders>
              <w:top w:val="nil"/>
              <w:left w:val="nil"/>
              <w:bottom w:val="nil"/>
              <w:right w:val="nil"/>
            </w:tcBorders>
            <w:shd w:val="clear" w:color="auto" w:fill="auto"/>
            <w:textDirection w:val="btLr"/>
            <w:hideMark/>
          </w:tcPr>
          <w:p w14:paraId="4334044A" w14:textId="77777777" w:rsidR="00293799" w:rsidRPr="00293799" w:rsidRDefault="00293799" w:rsidP="00293799">
            <w:pPr>
              <w:pStyle w:val="Tables"/>
              <w:rPr>
                <w:sz w:val="20"/>
                <w:szCs w:val="20"/>
              </w:rPr>
            </w:pPr>
            <w:r w:rsidRPr="00293799">
              <w:rPr>
                <w:sz w:val="20"/>
                <w:szCs w:val="20"/>
              </w:rPr>
              <w:t xml:space="preserve">Lignin variation among hardwoods, softwoods, and grasses </w:t>
            </w:r>
          </w:p>
        </w:tc>
        <w:tc>
          <w:tcPr>
            <w:tcW w:w="2100" w:type="dxa"/>
            <w:tcBorders>
              <w:top w:val="nil"/>
              <w:left w:val="nil"/>
              <w:bottom w:val="nil"/>
              <w:right w:val="nil"/>
            </w:tcBorders>
            <w:shd w:val="clear" w:color="auto" w:fill="auto"/>
            <w:textDirection w:val="btLr"/>
            <w:hideMark/>
          </w:tcPr>
          <w:p w14:paraId="3D957296" w14:textId="77777777" w:rsidR="00293799" w:rsidRPr="00293799" w:rsidRDefault="00293799" w:rsidP="00293799">
            <w:pPr>
              <w:pStyle w:val="Tables"/>
              <w:rPr>
                <w:sz w:val="20"/>
                <w:szCs w:val="20"/>
              </w:rPr>
            </w:pPr>
            <w:r w:rsidRPr="00293799">
              <w:rPr>
                <w:sz w:val="20"/>
                <w:szCs w:val="20"/>
              </w:rPr>
              <w:t xml:space="preserve">Natural variation and variation by hydrogen peroxide treatment in Klason lignin </w:t>
            </w:r>
          </w:p>
        </w:tc>
      </w:tr>
      <w:tr w:rsidR="00293799" w:rsidRPr="00293799" w14:paraId="35CE61DE" w14:textId="77777777" w:rsidTr="00293799">
        <w:trPr>
          <w:cantSplit/>
          <w:trHeight w:val="1395"/>
        </w:trPr>
        <w:tc>
          <w:tcPr>
            <w:tcW w:w="726" w:type="dxa"/>
            <w:tcBorders>
              <w:top w:val="nil"/>
              <w:left w:val="nil"/>
              <w:bottom w:val="nil"/>
              <w:right w:val="nil"/>
            </w:tcBorders>
            <w:shd w:val="clear" w:color="auto" w:fill="auto"/>
            <w:textDirection w:val="btLr"/>
            <w:hideMark/>
          </w:tcPr>
          <w:p w14:paraId="5369B0B9" w14:textId="77777777" w:rsidR="00293799" w:rsidRPr="00026AA8" w:rsidRDefault="00293799" w:rsidP="00293799">
            <w:pPr>
              <w:pStyle w:val="Tables"/>
              <w:rPr>
                <w:b/>
                <w:sz w:val="20"/>
                <w:szCs w:val="20"/>
              </w:rPr>
            </w:pPr>
            <w:r w:rsidRPr="00026AA8">
              <w:rPr>
                <w:b/>
                <w:sz w:val="20"/>
                <w:szCs w:val="20"/>
              </w:rPr>
              <w:t>Biomass component</w:t>
            </w:r>
          </w:p>
        </w:tc>
        <w:tc>
          <w:tcPr>
            <w:tcW w:w="1890" w:type="dxa"/>
            <w:tcBorders>
              <w:top w:val="nil"/>
              <w:left w:val="nil"/>
              <w:bottom w:val="nil"/>
              <w:right w:val="nil"/>
            </w:tcBorders>
            <w:shd w:val="clear" w:color="auto" w:fill="auto"/>
            <w:textDirection w:val="btLr"/>
            <w:hideMark/>
          </w:tcPr>
          <w:p w14:paraId="18AD9C13" w14:textId="77777777" w:rsidR="00293799" w:rsidRPr="00293799" w:rsidRDefault="00293799" w:rsidP="00293799">
            <w:pPr>
              <w:pStyle w:val="Tables"/>
              <w:rPr>
                <w:sz w:val="20"/>
                <w:szCs w:val="20"/>
              </w:rPr>
            </w:pPr>
            <w:r w:rsidRPr="00293799">
              <w:rPr>
                <w:sz w:val="20"/>
                <w:szCs w:val="20"/>
              </w:rPr>
              <w:t>Hemicellulose</w:t>
            </w:r>
          </w:p>
        </w:tc>
        <w:tc>
          <w:tcPr>
            <w:tcW w:w="1080" w:type="dxa"/>
            <w:tcBorders>
              <w:top w:val="nil"/>
              <w:left w:val="nil"/>
              <w:bottom w:val="nil"/>
              <w:right w:val="nil"/>
            </w:tcBorders>
            <w:shd w:val="clear" w:color="auto" w:fill="auto"/>
            <w:textDirection w:val="btLr"/>
            <w:hideMark/>
          </w:tcPr>
          <w:p w14:paraId="574949D6" w14:textId="77777777" w:rsidR="00293799" w:rsidRPr="00293799" w:rsidRDefault="00293799" w:rsidP="00293799">
            <w:pPr>
              <w:pStyle w:val="Tables"/>
              <w:rPr>
                <w:sz w:val="20"/>
                <w:szCs w:val="20"/>
              </w:rPr>
            </w:pPr>
            <w:r w:rsidRPr="00293799">
              <w:rPr>
                <w:sz w:val="20"/>
                <w:szCs w:val="20"/>
              </w:rPr>
              <w:t>Hemicellulose  or nonstructural polysaccharides</w:t>
            </w:r>
          </w:p>
        </w:tc>
        <w:tc>
          <w:tcPr>
            <w:tcW w:w="2700" w:type="dxa"/>
            <w:tcBorders>
              <w:top w:val="nil"/>
              <w:left w:val="nil"/>
              <w:bottom w:val="nil"/>
              <w:right w:val="nil"/>
            </w:tcBorders>
            <w:shd w:val="clear" w:color="auto" w:fill="auto"/>
            <w:textDirection w:val="btLr"/>
            <w:hideMark/>
          </w:tcPr>
          <w:p w14:paraId="31A274C7" w14:textId="77777777" w:rsidR="00293799" w:rsidRPr="00293799" w:rsidRDefault="00293799" w:rsidP="00293799">
            <w:pPr>
              <w:pStyle w:val="Tables"/>
              <w:rPr>
                <w:sz w:val="20"/>
                <w:szCs w:val="20"/>
              </w:rPr>
            </w:pPr>
            <w:r w:rsidRPr="00293799">
              <w:rPr>
                <w:sz w:val="20"/>
                <w:szCs w:val="20"/>
              </w:rPr>
              <w:t>Lignin</w:t>
            </w:r>
          </w:p>
        </w:tc>
        <w:tc>
          <w:tcPr>
            <w:tcW w:w="2100" w:type="dxa"/>
            <w:tcBorders>
              <w:top w:val="nil"/>
              <w:left w:val="nil"/>
              <w:bottom w:val="nil"/>
              <w:right w:val="nil"/>
            </w:tcBorders>
            <w:shd w:val="clear" w:color="auto" w:fill="auto"/>
            <w:textDirection w:val="btLr"/>
            <w:hideMark/>
          </w:tcPr>
          <w:p w14:paraId="4066CE8F" w14:textId="77777777" w:rsidR="00293799" w:rsidRPr="00293799" w:rsidRDefault="00293799" w:rsidP="00293799">
            <w:pPr>
              <w:pStyle w:val="Tables"/>
              <w:rPr>
                <w:sz w:val="20"/>
                <w:szCs w:val="20"/>
              </w:rPr>
            </w:pPr>
            <w:r w:rsidRPr="00293799">
              <w:rPr>
                <w:sz w:val="20"/>
                <w:szCs w:val="20"/>
              </w:rPr>
              <w:t>Lignin</w:t>
            </w:r>
          </w:p>
        </w:tc>
      </w:tr>
      <w:tr w:rsidR="00EF1F10" w:rsidRPr="00293799" w14:paraId="57D45F4B" w14:textId="77777777" w:rsidTr="00EF1F10">
        <w:trPr>
          <w:cantSplit/>
          <w:trHeight w:val="767"/>
        </w:trPr>
        <w:tc>
          <w:tcPr>
            <w:tcW w:w="726" w:type="dxa"/>
            <w:tcBorders>
              <w:top w:val="nil"/>
              <w:left w:val="nil"/>
              <w:bottom w:val="nil"/>
              <w:right w:val="nil"/>
            </w:tcBorders>
            <w:shd w:val="clear" w:color="auto" w:fill="auto"/>
            <w:textDirection w:val="btLr"/>
            <w:hideMark/>
          </w:tcPr>
          <w:p w14:paraId="498D4801" w14:textId="77777777" w:rsidR="00293799" w:rsidRPr="00026AA8" w:rsidRDefault="00293799" w:rsidP="00293799">
            <w:pPr>
              <w:pStyle w:val="Tables"/>
              <w:rPr>
                <w:b/>
                <w:sz w:val="20"/>
                <w:szCs w:val="20"/>
              </w:rPr>
            </w:pPr>
            <w:r w:rsidRPr="00026AA8">
              <w:rPr>
                <w:b/>
                <w:sz w:val="20"/>
                <w:szCs w:val="20"/>
              </w:rPr>
              <w:t>Possible model</w:t>
            </w:r>
          </w:p>
        </w:tc>
        <w:tc>
          <w:tcPr>
            <w:tcW w:w="1890" w:type="dxa"/>
            <w:tcBorders>
              <w:top w:val="nil"/>
              <w:left w:val="nil"/>
              <w:bottom w:val="nil"/>
              <w:right w:val="nil"/>
            </w:tcBorders>
            <w:shd w:val="clear" w:color="auto" w:fill="auto"/>
            <w:textDirection w:val="btLr"/>
            <w:hideMark/>
          </w:tcPr>
          <w:p w14:paraId="4C103DB5" w14:textId="77777777" w:rsidR="00293799" w:rsidRPr="00293799" w:rsidRDefault="00293799" w:rsidP="00293799">
            <w:pPr>
              <w:pStyle w:val="Tables"/>
              <w:rPr>
                <w:sz w:val="20"/>
                <w:szCs w:val="20"/>
              </w:rPr>
            </w:pPr>
            <w:r w:rsidRPr="00293799">
              <w:rPr>
                <w:sz w:val="20"/>
                <w:szCs w:val="20"/>
              </w:rPr>
              <w:t>1</w:t>
            </w:r>
          </w:p>
        </w:tc>
        <w:tc>
          <w:tcPr>
            <w:tcW w:w="1080" w:type="dxa"/>
            <w:tcBorders>
              <w:top w:val="nil"/>
              <w:left w:val="nil"/>
              <w:bottom w:val="nil"/>
              <w:right w:val="nil"/>
            </w:tcBorders>
            <w:shd w:val="clear" w:color="auto" w:fill="auto"/>
            <w:textDirection w:val="btLr"/>
            <w:hideMark/>
          </w:tcPr>
          <w:p w14:paraId="261C1F73" w14:textId="77777777" w:rsidR="00293799" w:rsidRPr="00293799" w:rsidRDefault="00293799" w:rsidP="00293799">
            <w:pPr>
              <w:pStyle w:val="Tables"/>
              <w:rPr>
                <w:sz w:val="20"/>
                <w:szCs w:val="20"/>
              </w:rPr>
            </w:pPr>
            <w:r w:rsidRPr="00293799">
              <w:rPr>
                <w:sz w:val="20"/>
                <w:szCs w:val="20"/>
              </w:rPr>
              <w:t>1</w:t>
            </w:r>
          </w:p>
        </w:tc>
        <w:tc>
          <w:tcPr>
            <w:tcW w:w="2700" w:type="dxa"/>
            <w:tcBorders>
              <w:top w:val="nil"/>
              <w:left w:val="nil"/>
              <w:bottom w:val="nil"/>
              <w:right w:val="nil"/>
            </w:tcBorders>
            <w:shd w:val="clear" w:color="auto" w:fill="auto"/>
            <w:textDirection w:val="btLr"/>
            <w:hideMark/>
          </w:tcPr>
          <w:p w14:paraId="1FEF3853" w14:textId="77777777" w:rsidR="00293799" w:rsidRPr="00293799" w:rsidRDefault="00293799" w:rsidP="00293799">
            <w:pPr>
              <w:pStyle w:val="Tables"/>
              <w:rPr>
                <w:sz w:val="20"/>
                <w:szCs w:val="20"/>
              </w:rPr>
            </w:pPr>
            <w:r w:rsidRPr="00293799">
              <w:rPr>
                <w:sz w:val="20"/>
                <w:szCs w:val="20"/>
              </w:rPr>
              <w:t>1</w:t>
            </w:r>
          </w:p>
        </w:tc>
        <w:tc>
          <w:tcPr>
            <w:tcW w:w="2100" w:type="dxa"/>
            <w:tcBorders>
              <w:top w:val="nil"/>
              <w:left w:val="nil"/>
              <w:bottom w:val="nil"/>
              <w:right w:val="nil"/>
            </w:tcBorders>
            <w:shd w:val="clear" w:color="auto" w:fill="auto"/>
            <w:textDirection w:val="btLr"/>
            <w:hideMark/>
          </w:tcPr>
          <w:p w14:paraId="37508ED0" w14:textId="77777777" w:rsidR="00293799" w:rsidRPr="00293799" w:rsidRDefault="00293799" w:rsidP="00293799">
            <w:pPr>
              <w:pStyle w:val="Tables"/>
              <w:rPr>
                <w:sz w:val="20"/>
                <w:szCs w:val="20"/>
              </w:rPr>
            </w:pPr>
            <w:r w:rsidRPr="00293799">
              <w:rPr>
                <w:sz w:val="20"/>
                <w:szCs w:val="20"/>
              </w:rPr>
              <w:t>1</w:t>
            </w:r>
          </w:p>
        </w:tc>
      </w:tr>
    </w:tbl>
    <w:p w14:paraId="5771C670" w14:textId="7BA8514B" w:rsidR="00234F93" w:rsidRPr="00234F93" w:rsidRDefault="000F1CC6" w:rsidP="000F1CC6">
      <w:pPr>
        <w:pStyle w:val="Caption"/>
        <w:rPr>
          <w:b w:val="0"/>
        </w:rPr>
      </w:pPr>
      <w:bookmarkStart w:id="25" w:name="_Toc449964925"/>
      <w:r>
        <w:t xml:space="preserve">Table </w:t>
      </w:r>
      <w:fldSimple w:instr=" STYLEREF &quot;Chapter&quot; \s ">
        <w:r w:rsidR="00463F52">
          <w:rPr>
            <w:noProof/>
          </w:rPr>
          <w:t>2</w:t>
        </w:r>
      </w:fldSimple>
      <w:r>
        <w:t>.</w:t>
      </w:r>
      <w:fldSimple w:instr=" SEQ Table \* ARABIC \s 1 ">
        <w:r w:rsidR="00463F52">
          <w:rPr>
            <w:noProof/>
          </w:rPr>
          <w:t>2</w:t>
        </w:r>
      </w:fldSimple>
      <w:r>
        <w:t>.</w:t>
      </w:r>
      <w:r w:rsidRPr="008E2374">
        <w:t xml:space="preserve"> </w:t>
      </w:r>
      <w:r w:rsidR="00234F93" w:rsidRPr="00234F93">
        <w:rPr>
          <w:b w:val="0"/>
        </w:rPr>
        <w:t xml:space="preserve">Evidence in the literature for the three models described </w:t>
      </w:r>
      <w:r w:rsidR="00234F93">
        <w:rPr>
          <w:b w:val="0"/>
        </w:rPr>
        <w:t>in section 2.2</w:t>
      </w:r>
      <w:bookmarkEnd w:id="25"/>
    </w:p>
    <w:p w14:paraId="3C7BFEC9" w14:textId="42D69D31" w:rsidR="000F1CC6" w:rsidRDefault="000F1CC6" w:rsidP="000F1CC6">
      <w:pPr>
        <w:pStyle w:val="Caption"/>
        <w:rPr>
          <w:b w:val="0"/>
        </w:rPr>
      </w:pPr>
      <w:r>
        <w:rPr>
          <w:b w:val="0"/>
        </w:rPr>
        <w:t>CONTINUED ON FOLLOWING PAGES</w:t>
      </w:r>
    </w:p>
    <w:p w14:paraId="01DE9BCE" w14:textId="77777777" w:rsidR="000F1CC6" w:rsidRDefault="000F1CC6" w:rsidP="000B65FA">
      <w:r>
        <w:rPr>
          <w:b/>
        </w:rPr>
        <w:br w:type="page"/>
      </w:r>
    </w:p>
    <w:tbl>
      <w:tblPr>
        <w:tblW w:w="7907" w:type="dxa"/>
        <w:tblCellMar>
          <w:top w:w="115" w:type="dxa"/>
          <w:left w:w="0" w:type="dxa"/>
          <w:bottom w:w="115" w:type="dxa"/>
          <w:right w:w="0" w:type="dxa"/>
        </w:tblCellMar>
        <w:tblLook w:val="04A0" w:firstRow="1" w:lastRow="0" w:firstColumn="1" w:lastColumn="0" w:noHBand="0" w:noVBand="1"/>
      </w:tblPr>
      <w:tblGrid>
        <w:gridCol w:w="780"/>
        <w:gridCol w:w="1420"/>
        <w:gridCol w:w="3115"/>
        <w:gridCol w:w="1584"/>
        <w:gridCol w:w="1008"/>
      </w:tblGrid>
      <w:tr w:rsidR="00E43604" w:rsidRPr="000B65FA" w14:paraId="33F60109" w14:textId="77777777" w:rsidTr="00E43604">
        <w:trPr>
          <w:trHeight w:val="992"/>
        </w:trPr>
        <w:tc>
          <w:tcPr>
            <w:tcW w:w="780" w:type="dxa"/>
            <w:tcBorders>
              <w:top w:val="nil"/>
              <w:left w:val="nil"/>
              <w:bottom w:val="nil"/>
              <w:right w:val="nil"/>
            </w:tcBorders>
            <w:shd w:val="clear" w:color="auto" w:fill="auto"/>
            <w:textDirection w:val="btLr"/>
            <w:hideMark/>
          </w:tcPr>
          <w:p w14:paraId="027689DD" w14:textId="77777777" w:rsidR="00E43604" w:rsidRPr="00026AA8" w:rsidRDefault="00E43604" w:rsidP="000B65FA">
            <w:pPr>
              <w:pStyle w:val="Tables"/>
              <w:rPr>
                <w:b/>
                <w:sz w:val="20"/>
                <w:szCs w:val="20"/>
              </w:rPr>
            </w:pPr>
            <w:r w:rsidRPr="00026AA8">
              <w:rPr>
                <w:b/>
                <w:sz w:val="20"/>
                <w:szCs w:val="20"/>
              </w:rPr>
              <w:lastRenderedPageBreak/>
              <w:t>Reference</w:t>
            </w:r>
          </w:p>
        </w:tc>
        <w:tc>
          <w:tcPr>
            <w:tcW w:w="1420" w:type="dxa"/>
            <w:tcBorders>
              <w:top w:val="nil"/>
              <w:left w:val="nil"/>
              <w:bottom w:val="nil"/>
              <w:right w:val="nil"/>
            </w:tcBorders>
            <w:shd w:val="clear" w:color="auto" w:fill="auto"/>
            <w:textDirection w:val="btLr"/>
            <w:hideMark/>
          </w:tcPr>
          <w:p w14:paraId="0E62B902" w14:textId="77777777" w:rsidR="00807999" w:rsidRDefault="006276BA" w:rsidP="000B65FA">
            <w:pPr>
              <w:pStyle w:val="Tables"/>
              <w:rPr>
                <w:sz w:val="20"/>
                <w:szCs w:val="20"/>
              </w:rPr>
            </w:pPr>
            <w:r>
              <w:rPr>
                <w:sz w:val="20"/>
                <w:szCs w:val="20"/>
              </w:rPr>
              <w:fldChar w:fldCharType="begin"/>
            </w:r>
            <w:r w:rsidR="00807999">
              <w:rPr>
                <w:sz w:val="20"/>
                <w:szCs w:val="20"/>
              </w:rPr>
              <w:instrText xml:space="preserve"> ADDIN PAPERS2_CITATIONS &lt;citation&gt;&lt;uuid&gt;CAC30646-D8D0-446D-B1B0-7AA583AE4D49&lt;/uuid&gt;&lt;priority&gt;0&lt;/priority&gt;&lt;publications&gt;&lt;publication&gt;&lt;uuid&gt;3BCA1375-6C11-4511-BFDF-847A091DD3F2&lt;/uuid&gt;&lt;volume&gt;4&lt;/volume&gt;&lt;doi&gt;10.1186/1754-6834-4-43&lt;/doi&gt;&lt;startpage&gt;1&lt;/startpage&gt;&lt;publication_date&gt;99201110211200000000222000&lt;/publication_date&gt;&lt;url&gt;http://biotechnologyforbiofuels.biomedcentral.com/articles/10.1186/1754-6834-4-43&lt;/url&gt;&lt;type&gt;400&lt;/type&gt;&lt;title&gt;Identification and thermochemical analysis of high-lignin feedstocks for biofuel and biochemical production&lt;/title&gt;&lt;publisher&gt;BioMed Central&lt;/publisher&gt;&lt;institution&gt;DeBolt, S</w:instrText>
            </w:r>
          </w:p>
          <w:p w14:paraId="12E891ED" w14:textId="77777777" w:rsidR="00807999" w:rsidRDefault="00807999" w:rsidP="000B65FA">
            <w:pPr>
              <w:pStyle w:val="Tables"/>
              <w:rPr>
                <w:sz w:val="20"/>
                <w:szCs w:val="20"/>
              </w:rPr>
            </w:pPr>
            <w:r>
              <w:rPr>
                <w:sz w:val="20"/>
                <w:szCs w:val="20"/>
              </w:rPr>
              <w:instrText>Univ Kentucky, Dept Hort, 1100 Nicholasville Rd, Lexington, KY 40546 USA</w:instrText>
            </w:r>
          </w:p>
          <w:p w14:paraId="604F17DD" w14:textId="77777777" w:rsidR="00807999" w:rsidRDefault="00807999" w:rsidP="000B65FA">
            <w:pPr>
              <w:pStyle w:val="Tables"/>
              <w:rPr>
                <w:sz w:val="20"/>
                <w:szCs w:val="20"/>
              </w:rPr>
            </w:pPr>
            <w:r>
              <w:rPr>
                <w:sz w:val="20"/>
                <w:szCs w:val="20"/>
              </w:rPr>
              <w:instrText>Univ Kentucky, Dept Hort, 1100 Nicholasville Rd, Lexington, KY 40546 USA</w:instrText>
            </w:r>
          </w:p>
          <w:p w14:paraId="324EDC02" w14:textId="77777777" w:rsidR="00807999" w:rsidRDefault="00807999" w:rsidP="000B65FA">
            <w:pPr>
              <w:pStyle w:val="Tables"/>
              <w:rPr>
                <w:sz w:val="20"/>
                <w:szCs w:val="20"/>
              </w:rPr>
            </w:pPr>
            <w:r>
              <w:rPr>
                <w:sz w:val="20"/>
                <w:szCs w:val="20"/>
              </w:rPr>
              <w:instrText>Univ Kentucky, Dept Hort, Lexington, KY 40546 USA</w:instrText>
            </w:r>
          </w:p>
          <w:p w14:paraId="3C71728B" w14:textId="77777777" w:rsidR="00807999" w:rsidRDefault="00807999" w:rsidP="000B65FA">
            <w:pPr>
              <w:pStyle w:val="Tables"/>
              <w:rPr>
                <w:sz w:val="20"/>
                <w:szCs w:val="20"/>
              </w:rPr>
            </w:pPr>
            <w:r>
              <w:rPr>
                <w:sz w:val="20"/>
                <w:szCs w:val="20"/>
              </w:rPr>
              <w:instrText>Univ Kentucky, Ctr Appl Energy Res, Lexington, KY 40511 USA</w:instrText>
            </w:r>
          </w:p>
          <w:p w14:paraId="1893975D" w14:textId="3B7706BC" w:rsidR="00E43604" w:rsidRPr="000B65FA" w:rsidRDefault="00807999" w:rsidP="000B65FA">
            <w:pPr>
              <w:pStyle w:val="Tables"/>
              <w:rPr>
                <w:sz w:val="20"/>
                <w:szCs w:val="20"/>
              </w:rPr>
            </w:pPr>
            <w:r>
              <w:rPr>
                <w:sz w:val="20"/>
                <w:szCs w:val="20"/>
              </w:rPr>
              <w:instrText>Univ Massachusetts, Dept Chem Engn, Amherst, MA 01003 USA&lt;/institution&gt;&lt;number&gt;1&lt;/number&gt;&lt;subtype&gt;400&lt;/subtype&gt;&lt;bundle&gt;&lt;publication&gt;&lt;publisher&gt;BioMed Central&lt;/publisher&gt;&lt;title&gt;Biotechnol Biofuels&lt;/title&gt;&lt;type&gt;-100&lt;/type&gt;&lt;subtype&gt;-100&lt;/subtype&gt;&lt;uuid&gt;F04F2FEB-1196-4B46-8D0A-F0F7C7492742&lt;/uuid&gt;&lt;/publication&gt;&lt;/bundle&gt;&lt;authors&gt;&lt;author&gt;&lt;firstName&gt;V&lt;/firstName&gt;&lt;lastName&gt;Mendu&lt;/lastName&gt;&lt;/author&gt;&lt;author&gt;&lt;firstName&gt;A&lt;/firstName&gt;&lt;middleNames&gt;E&lt;/middleNames&gt;&lt;lastName&gt;Harman-Ware&lt;/lastName&gt;&lt;/author&gt;&lt;author&gt;&lt;firstName&gt;M&lt;/firstName&gt;&lt;lastName&gt;Crocker&lt;/lastName&gt;&lt;/author&gt;&lt;author&gt;&lt;firstName&gt;Jungho&lt;/firstName&gt;&lt;lastName&gt;Jae&lt;/lastName&gt;&lt;/author&gt;&lt;author&gt;&lt;firstName&gt;J&lt;/firstName&gt;&lt;lastName&gt;Stork&lt;/lastName&gt;&lt;/author&gt;&lt;author&gt;&lt;firstName&gt;S&lt;/firstName&gt;&lt;lastName&gt;Morton&lt;/lastName&gt;&lt;/author&gt;&lt;author&gt;&lt;firstName&gt;A&lt;/firstName&gt;&lt;lastName&gt;Placido&lt;/lastName&gt;&lt;/author&gt;&lt;author&gt;&lt;firstName&gt;G&lt;/firstName&gt;&lt;lastName&gt;HUBER&lt;/lastName&gt;&lt;/author&gt;&lt;author&gt;&lt;firstName&gt;S&lt;/firstName&gt;&lt;lastName&gt;DeBolt&lt;/lastName&gt;&lt;/author&gt;&lt;/authors&gt;&lt;/publication&gt;&lt;/publications&gt;&lt;cites&gt;&lt;/cites&gt;&lt;/citation&gt;</w:instrText>
            </w:r>
            <w:r w:rsidR="006276BA">
              <w:rPr>
                <w:sz w:val="20"/>
                <w:szCs w:val="20"/>
              </w:rPr>
              <w:fldChar w:fldCharType="separate"/>
            </w:r>
            <w:r w:rsidR="001C1AAC">
              <w:rPr>
                <w:sz w:val="20"/>
                <w:szCs w:val="20"/>
              </w:rPr>
              <w:t>(</w:t>
            </w:r>
            <w:r w:rsidR="001C1AAC">
              <w:rPr>
                <w:i/>
                <w:iCs/>
                <w:sz w:val="20"/>
                <w:szCs w:val="20"/>
              </w:rPr>
              <w:t>83</w:t>
            </w:r>
            <w:r w:rsidR="001C1AAC">
              <w:rPr>
                <w:sz w:val="20"/>
                <w:szCs w:val="20"/>
              </w:rPr>
              <w:t>)</w:t>
            </w:r>
            <w:r w:rsidR="006276BA">
              <w:rPr>
                <w:sz w:val="20"/>
                <w:szCs w:val="20"/>
              </w:rPr>
              <w:fldChar w:fldCharType="end"/>
            </w:r>
          </w:p>
        </w:tc>
        <w:tc>
          <w:tcPr>
            <w:tcW w:w="3115" w:type="dxa"/>
            <w:tcBorders>
              <w:top w:val="nil"/>
              <w:left w:val="nil"/>
              <w:bottom w:val="nil"/>
              <w:right w:val="nil"/>
            </w:tcBorders>
            <w:shd w:val="clear" w:color="auto" w:fill="auto"/>
            <w:textDirection w:val="btLr"/>
            <w:hideMark/>
          </w:tcPr>
          <w:p w14:paraId="66007624" w14:textId="77777777" w:rsidR="00807999" w:rsidRDefault="006276BA" w:rsidP="006276BA">
            <w:pPr>
              <w:pStyle w:val="Tables"/>
              <w:rPr>
                <w:sz w:val="20"/>
                <w:szCs w:val="20"/>
              </w:rPr>
            </w:pPr>
            <w:r>
              <w:rPr>
                <w:sz w:val="20"/>
                <w:szCs w:val="20"/>
              </w:rPr>
              <w:fldChar w:fldCharType="begin"/>
            </w:r>
            <w:r w:rsidR="00807999">
              <w:rPr>
                <w:sz w:val="20"/>
                <w:szCs w:val="20"/>
              </w:rPr>
              <w:instrText xml:space="preserve"> ADDIN PAPERS2_CITATIONS &lt;citation&gt;&lt;uuid&gt;EDD32B0B-78B5-469C-A663-01287735463C&lt;/uuid&gt;&lt;priority&gt;0&lt;/priority&gt;&lt;publications&gt;&lt;publication&gt;&lt;uuid&gt;3BCA1375-6C11-4511-BFDF-847A091DD3F2&lt;/uuid&gt;&lt;volume&gt;4&lt;/volume&gt;&lt;doi&gt;10.1186/1754-6834-4-43&lt;/doi&gt;&lt;startpage&gt;1&lt;/startpage&gt;&lt;publication_date&gt;99201110211200000000222000&lt;/publication_date&gt;&lt;url&gt;http://biotechnologyforbiofuels.biomedcentral.com/articles/10.1186/1754-6834-4-43&lt;/url&gt;&lt;type&gt;400&lt;/type&gt;&lt;title&gt;Identification and thermochemical analysis of high-lignin feedstocks for biofuel and biochemical production&lt;/title&gt;&lt;publisher&gt;BioMed Central&lt;/publisher&gt;&lt;institution&gt;DeBolt, S</w:instrText>
            </w:r>
          </w:p>
          <w:p w14:paraId="214AC955" w14:textId="77777777" w:rsidR="00807999" w:rsidRDefault="00807999" w:rsidP="006276BA">
            <w:pPr>
              <w:pStyle w:val="Tables"/>
              <w:rPr>
                <w:sz w:val="20"/>
                <w:szCs w:val="20"/>
              </w:rPr>
            </w:pPr>
            <w:r>
              <w:rPr>
                <w:sz w:val="20"/>
                <w:szCs w:val="20"/>
              </w:rPr>
              <w:instrText>Univ Kentucky, Dept Hort, 1100 Nicholasville Rd, Lexington, KY 40546 USA</w:instrText>
            </w:r>
          </w:p>
          <w:p w14:paraId="0EFD48BA" w14:textId="77777777" w:rsidR="00807999" w:rsidRDefault="00807999" w:rsidP="006276BA">
            <w:pPr>
              <w:pStyle w:val="Tables"/>
              <w:rPr>
                <w:sz w:val="20"/>
                <w:szCs w:val="20"/>
              </w:rPr>
            </w:pPr>
            <w:r>
              <w:rPr>
                <w:sz w:val="20"/>
                <w:szCs w:val="20"/>
              </w:rPr>
              <w:instrText>Univ Kentucky, Dept Hort, 1100 Nicholasville Rd, Lexington, KY 40546 USA</w:instrText>
            </w:r>
          </w:p>
          <w:p w14:paraId="1BAA7F67" w14:textId="77777777" w:rsidR="00807999" w:rsidRDefault="00807999" w:rsidP="006276BA">
            <w:pPr>
              <w:pStyle w:val="Tables"/>
              <w:rPr>
                <w:sz w:val="20"/>
                <w:szCs w:val="20"/>
              </w:rPr>
            </w:pPr>
            <w:r>
              <w:rPr>
                <w:sz w:val="20"/>
                <w:szCs w:val="20"/>
              </w:rPr>
              <w:instrText>Univ Kentucky, Dept Hort, Lexington, KY 40546 USA</w:instrText>
            </w:r>
          </w:p>
          <w:p w14:paraId="7F4183C0" w14:textId="77777777" w:rsidR="00807999" w:rsidRDefault="00807999" w:rsidP="006276BA">
            <w:pPr>
              <w:pStyle w:val="Tables"/>
              <w:rPr>
                <w:sz w:val="20"/>
                <w:szCs w:val="20"/>
              </w:rPr>
            </w:pPr>
            <w:r>
              <w:rPr>
                <w:sz w:val="20"/>
                <w:szCs w:val="20"/>
              </w:rPr>
              <w:instrText>Univ Kentucky, Ctr Appl Energy Res, Lexington, KY 40511 USA</w:instrText>
            </w:r>
          </w:p>
          <w:p w14:paraId="7122877A" w14:textId="17C82416" w:rsidR="00E43604" w:rsidRPr="000B65FA" w:rsidRDefault="00807999" w:rsidP="006276BA">
            <w:pPr>
              <w:pStyle w:val="Tables"/>
              <w:rPr>
                <w:sz w:val="20"/>
                <w:szCs w:val="20"/>
              </w:rPr>
            </w:pPr>
            <w:r>
              <w:rPr>
                <w:sz w:val="20"/>
                <w:szCs w:val="20"/>
              </w:rPr>
              <w:instrText>Univ Massachusetts, Dept Chem Engn, Amherst, MA 01003 USA&lt;/institution&gt;&lt;number&gt;1&lt;/number&gt;&lt;subtype&gt;400&lt;/subtype&gt;&lt;bundle&gt;&lt;publication&gt;&lt;publisher&gt;BioMed Central&lt;/publisher&gt;&lt;title&gt;Biotechnol Biofuels&lt;/title&gt;&lt;type&gt;-100&lt;/type&gt;&lt;subtype&gt;-100&lt;/subtype&gt;&lt;uuid&gt;F04F2FEB-1196-4B46-8D0A-F0F7C7492742&lt;/uuid&gt;&lt;/publication&gt;&lt;/bundle&gt;&lt;authors&gt;&lt;author&gt;&lt;firstName&gt;V&lt;/firstName&gt;&lt;lastName&gt;Mendu&lt;/lastName&gt;&lt;/author&gt;&lt;author&gt;&lt;firstName&gt;A&lt;/firstName&gt;&lt;middleNames&gt;E&lt;/middleNames&gt;&lt;lastName&gt;Harman-Ware&lt;/lastName&gt;&lt;/author&gt;&lt;author&gt;&lt;firstName&gt;M&lt;/firstName&gt;&lt;lastName&gt;Crocker&lt;/lastName&gt;&lt;/author&gt;&lt;author&gt;&lt;firstName&gt;Jungho&lt;/firstName&gt;&lt;lastName&gt;Jae&lt;/lastName&gt;&lt;/author&gt;&lt;author&gt;&lt;firstName&gt;J&lt;/firstName&gt;&lt;lastName&gt;Stork&lt;/lastName&gt;&lt;/author&gt;&lt;author&gt;&lt;firstName&gt;S&lt;/firstName&gt;&lt;lastName&gt;Morton&lt;/lastName&gt;&lt;/author&gt;&lt;author&gt;&lt;firstName&gt;A&lt;/firstName&gt;&lt;lastName&gt;Placido&lt;/lastName&gt;&lt;/author&gt;&lt;author&gt;&lt;firstName&gt;G&lt;/firstName&gt;&lt;lastName&gt;HUBER&lt;/lastName&gt;&lt;/author&gt;&lt;author&gt;&lt;firstName&gt;S&lt;/firstName&gt;&lt;lastName&gt;DeBolt&lt;/lastName&gt;&lt;/author&gt;&lt;/authors&gt;&lt;/publication&gt;&lt;/publications&gt;&lt;cites&gt;&lt;/cites&gt;&lt;/citation&gt;</w:instrText>
            </w:r>
            <w:r w:rsidR="006276BA">
              <w:rPr>
                <w:sz w:val="20"/>
                <w:szCs w:val="20"/>
              </w:rPr>
              <w:fldChar w:fldCharType="separate"/>
            </w:r>
            <w:r w:rsidR="001C1AAC">
              <w:rPr>
                <w:sz w:val="20"/>
                <w:szCs w:val="20"/>
              </w:rPr>
              <w:t>(</w:t>
            </w:r>
            <w:r w:rsidR="001C1AAC">
              <w:rPr>
                <w:i/>
                <w:iCs/>
                <w:sz w:val="20"/>
                <w:szCs w:val="20"/>
              </w:rPr>
              <w:t>83</w:t>
            </w:r>
            <w:r w:rsidR="001C1AAC">
              <w:rPr>
                <w:sz w:val="20"/>
                <w:szCs w:val="20"/>
              </w:rPr>
              <w:t>)</w:t>
            </w:r>
            <w:r w:rsidR="006276BA">
              <w:rPr>
                <w:sz w:val="20"/>
                <w:szCs w:val="20"/>
              </w:rPr>
              <w:fldChar w:fldCharType="end"/>
            </w:r>
          </w:p>
        </w:tc>
        <w:tc>
          <w:tcPr>
            <w:tcW w:w="1584" w:type="dxa"/>
            <w:tcBorders>
              <w:top w:val="nil"/>
              <w:left w:val="nil"/>
              <w:bottom w:val="nil"/>
              <w:right w:val="nil"/>
            </w:tcBorders>
            <w:shd w:val="clear" w:color="auto" w:fill="auto"/>
            <w:textDirection w:val="btLr"/>
            <w:hideMark/>
          </w:tcPr>
          <w:p w14:paraId="54B4491B" w14:textId="130C10FE" w:rsidR="00E43604" w:rsidRPr="000B65FA" w:rsidRDefault="006276BA" w:rsidP="000B65FA">
            <w:pPr>
              <w:pStyle w:val="Tables"/>
              <w:rPr>
                <w:sz w:val="20"/>
                <w:szCs w:val="20"/>
              </w:rPr>
            </w:pPr>
            <w:r>
              <w:rPr>
                <w:sz w:val="20"/>
                <w:szCs w:val="20"/>
              </w:rPr>
              <w:fldChar w:fldCharType="begin"/>
            </w:r>
            <w:r w:rsidR="00807999">
              <w:rPr>
                <w:sz w:val="20"/>
                <w:szCs w:val="20"/>
              </w:rPr>
              <w:instrText xml:space="preserve"> ADDIN PAPERS2_CITATIONS &lt;citation&gt;&lt;uuid&gt;E2AA2327-02AB-4972-8BF6-2AB7752A6A28&lt;/uuid&gt;&lt;priority&gt;0&lt;/priority&gt;&lt;publications&gt;&lt;publication&gt;&lt;uuid&gt;15D8458A-9F79-4A96-B32D-0D68DA5FB630&lt;/uuid&gt;&lt;volume&gt;102&lt;/volume&gt;&lt;doi&gt;10.1016/j.biortech.2010.10.056&lt;/doi&gt;&lt;startpage&gt;3437&lt;/startpage&gt;&lt;publication_date&gt;99201102011200000000222000&lt;/publication_date&gt;&lt;url&gt;http://dx.doi.org/10.1016/j.biortech.2010.10.056&lt;/url&gt;&lt;type&gt;400&lt;/type&gt;&lt;title&gt;Characterization of primary thermal degradation features of lignocellulosic biomass after removal of inorganic metals by diverse solvents&lt;/title&gt;&lt;publisher&gt;Elsevier Ltd&lt;/publisher&gt;&lt;number&gt;3&lt;/number&gt;&lt;subtype&gt;400&lt;/subtype&gt;&lt;endpage&gt;3444&lt;/endpage&gt;&lt;bundle&gt;&lt;publication&gt;&lt;publisher&gt;Elsevier Ltd&lt;/publisher&gt;&lt;title&gt;Bioresource technology&lt;/title&gt;&lt;type&gt;-100&lt;/type&gt;&lt;subtype&gt;-100&lt;/subtype&gt;&lt;uuid&gt;20FABC45-BAD7-4D11-A180-BCA66580D347&lt;/uuid&gt;&lt;/publication&gt;&lt;/bundle&gt;&lt;authors&gt;&lt;author&gt;&lt;firstName&gt;In-Yong&lt;/firstName&gt;&lt;lastName&gt;Eom&lt;/lastName&gt;&lt;/author&gt;&lt;author&gt;&lt;firstName&gt;Kwang&lt;/firstName&gt;&lt;middleNames&gt;Ho&lt;/middleNames&gt;&lt;lastName&gt;Kim&lt;/lastName&gt;&lt;/author&gt;&lt;author&gt;&lt;firstName&gt;Jae-Young&lt;/firstName&gt;&lt;lastName&gt;Kim&lt;/lastName&gt;&lt;/author&gt;&lt;author&gt;&lt;firstName&gt;Soo&lt;/firstName&gt;&lt;middleNames&gt;Min&lt;/middleNames&gt;&lt;lastName&gt;Lee&lt;/lastName&gt;&lt;/author&gt;&lt;author&gt;&lt;firstName&gt;Hwan-Myung&lt;/firstName&gt;&lt;lastName&gt;Yeo&lt;/lastName&gt;&lt;/author&gt;&lt;author&gt;&lt;firstName&gt;In-Gyu&lt;/firstName&gt;&lt;lastName&gt;Choi&lt;/lastName&gt;&lt;/author&gt;&lt;author&gt;&lt;firstName&gt;Joon-Weon&lt;/firstName&gt;&lt;lastName&gt;Choi&lt;/lastName&gt;&lt;/author&gt;&lt;/authors&gt;&lt;/publication&gt;&lt;/publications&gt;&lt;cites&gt;&lt;/cites&gt;&lt;/citation&gt;</w:instrText>
            </w:r>
            <w:r>
              <w:rPr>
                <w:sz w:val="20"/>
                <w:szCs w:val="20"/>
              </w:rPr>
              <w:fldChar w:fldCharType="separate"/>
            </w:r>
            <w:r w:rsidR="001C1AAC">
              <w:rPr>
                <w:sz w:val="20"/>
                <w:szCs w:val="20"/>
              </w:rPr>
              <w:t>(</w:t>
            </w:r>
            <w:r w:rsidR="001C1AAC">
              <w:rPr>
                <w:i/>
                <w:iCs/>
                <w:sz w:val="20"/>
                <w:szCs w:val="20"/>
              </w:rPr>
              <w:t>84</w:t>
            </w:r>
            <w:r w:rsidR="001C1AAC">
              <w:rPr>
                <w:sz w:val="20"/>
                <w:szCs w:val="20"/>
              </w:rPr>
              <w:t>)</w:t>
            </w:r>
            <w:r>
              <w:rPr>
                <w:sz w:val="20"/>
                <w:szCs w:val="20"/>
              </w:rPr>
              <w:fldChar w:fldCharType="end"/>
            </w:r>
          </w:p>
        </w:tc>
        <w:tc>
          <w:tcPr>
            <w:tcW w:w="1008" w:type="dxa"/>
            <w:tcBorders>
              <w:top w:val="nil"/>
              <w:left w:val="nil"/>
              <w:bottom w:val="nil"/>
              <w:right w:val="nil"/>
            </w:tcBorders>
            <w:shd w:val="clear" w:color="auto" w:fill="auto"/>
            <w:textDirection w:val="btLr"/>
            <w:hideMark/>
          </w:tcPr>
          <w:p w14:paraId="23657F54" w14:textId="2A8DDA6F" w:rsidR="00E43604" w:rsidRPr="000B65FA" w:rsidRDefault="006276BA" w:rsidP="000B65FA">
            <w:pPr>
              <w:pStyle w:val="Tables"/>
              <w:rPr>
                <w:sz w:val="20"/>
                <w:szCs w:val="20"/>
              </w:rPr>
            </w:pPr>
            <w:r>
              <w:rPr>
                <w:sz w:val="20"/>
                <w:szCs w:val="20"/>
              </w:rPr>
              <w:fldChar w:fldCharType="begin"/>
            </w:r>
            <w:r w:rsidR="00807999">
              <w:rPr>
                <w:sz w:val="20"/>
                <w:szCs w:val="20"/>
              </w:rPr>
              <w:instrText xml:space="preserve"> ADDIN PAPERS2_CITATIONS &lt;citation&gt;&lt;uuid&gt;6A3C359B-AE1B-4CDB-A1CA-A562667BD593&lt;/uuid&gt;&lt;priority&gt;0&lt;/priority&gt;&lt;publications&gt;&lt;publication&gt;&lt;type&gt;400&lt;/type&gt;&lt;publication_date&gt;99201300001200000000200000&lt;/publication_date&gt;&lt;title&gt;Factors Related to Minerals and Ingredients Influencing the Distribution of Pyrolysates Derived from Herbaceous Biomass&lt;/title&gt;&lt;url&gt;http://ojs.cnr.ncsu.edu/index.php/BioRes/article/view/1871Rui&lt;/url&gt;&lt;subtype&gt;400&lt;/subtype&gt;&lt;uuid&gt;B4A5A5D8-5ADD-4737-AC44-6F2747E329EB&lt;/uuid&gt;&lt;bundle&gt;&lt;publication&gt;&lt;title&gt;BioResources&lt;/title&gt;&lt;type&gt;-100&lt;/type&gt;&lt;subtype&gt;-100&lt;/subtype&gt;&lt;uuid&gt;04D078DA-C54D-4D61-9C6B-8C00482C7AB9&lt;/uuid&gt;&lt;/publication&gt;&lt;/bundle&gt;&lt;authors&gt;&lt;author&gt;&lt;firstName&gt;R&lt;/firstName&gt;&lt;lastName&gt;Lou&lt;/lastName&gt;&lt;/author&gt;&lt;author&gt;&lt;firstName&gt;S&lt;/firstName&gt;&lt;lastName&gt;Wu&lt;/lastName&gt;&lt;/author&gt;&lt;author&gt;&lt;firstName&gt;Gaojin&lt;/firstName&gt;&lt;lastName&gt;Lv&lt;/lastName&gt;&lt;/author&gt;&lt;author&gt;&lt;firstName&gt;A&lt;/firstName&gt;&lt;lastName&gt;Zhang&lt;/lastName&gt;&lt;/author&gt;&lt;/authors&gt;&lt;/publication&gt;&lt;/publications&gt;&lt;cites&gt;&lt;/cites&gt;&lt;/citation&gt;</w:instrText>
            </w:r>
            <w:r>
              <w:rPr>
                <w:sz w:val="20"/>
                <w:szCs w:val="20"/>
              </w:rPr>
              <w:fldChar w:fldCharType="separate"/>
            </w:r>
            <w:r w:rsidR="001C1AAC">
              <w:rPr>
                <w:sz w:val="20"/>
                <w:szCs w:val="20"/>
              </w:rPr>
              <w:t>(</w:t>
            </w:r>
            <w:r w:rsidR="001C1AAC">
              <w:rPr>
                <w:i/>
                <w:iCs/>
                <w:sz w:val="20"/>
                <w:szCs w:val="20"/>
              </w:rPr>
              <w:t>85</w:t>
            </w:r>
            <w:r w:rsidR="001C1AAC">
              <w:rPr>
                <w:sz w:val="20"/>
                <w:szCs w:val="20"/>
              </w:rPr>
              <w:t>)</w:t>
            </w:r>
            <w:r>
              <w:rPr>
                <w:sz w:val="20"/>
                <w:szCs w:val="20"/>
              </w:rPr>
              <w:fldChar w:fldCharType="end"/>
            </w:r>
          </w:p>
        </w:tc>
      </w:tr>
      <w:tr w:rsidR="00E43604" w:rsidRPr="000B65FA" w14:paraId="65314250" w14:textId="77777777" w:rsidTr="00E43604">
        <w:trPr>
          <w:trHeight w:val="1010"/>
        </w:trPr>
        <w:tc>
          <w:tcPr>
            <w:tcW w:w="780" w:type="dxa"/>
            <w:tcBorders>
              <w:top w:val="nil"/>
              <w:left w:val="nil"/>
              <w:bottom w:val="nil"/>
              <w:right w:val="nil"/>
            </w:tcBorders>
            <w:shd w:val="clear" w:color="auto" w:fill="auto"/>
            <w:textDirection w:val="btLr"/>
            <w:hideMark/>
          </w:tcPr>
          <w:p w14:paraId="7F9278CD" w14:textId="77777777" w:rsidR="00E43604" w:rsidRPr="00026AA8" w:rsidRDefault="00E43604" w:rsidP="000B65FA">
            <w:pPr>
              <w:pStyle w:val="Tables"/>
              <w:rPr>
                <w:b/>
                <w:sz w:val="20"/>
                <w:szCs w:val="20"/>
              </w:rPr>
            </w:pPr>
            <w:r w:rsidRPr="00026AA8">
              <w:rPr>
                <w:b/>
                <w:sz w:val="20"/>
                <w:szCs w:val="20"/>
              </w:rPr>
              <w:t>Thermal conversion condition</w:t>
            </w:r>
          </w:p>
        </w:tc>
        <w:tc>
          <w:tcPr>
            <w:tcW w:w="1420" w:type="dxa"/>
            <w:tcBorders>
              <w:top w:val="nil"/>
              <w:left w:val="nil"/>
              <w:bottom w:val="nil"/>
              <w:right w:val="nil"/>
            </w:tcBorders>
            <w:shd w:val="clear" w:color="auto" w:fill="auto"/>
            <w:textDirection w:val="btLr"/>
            <w:hideMark/>
          </w:tcPr>
          <w:p w14:paraId="31315C11" w14:textId="77777777" w:rsidR="00E43604" w:rsidRPr="000B65FA" w:rsidRDefault="00E43604" w:rsidP="000B65FA">
            <w:pPr>
              <w:pStyle w:val="Tables"/>
              <w:rPr>
                <w:sz w:val="20"/>
                <w:szCs w:val="20"/>
              </w:rPr>
            </w:pPr>
            <w:r w:rsidRPr="000B65FA">
              <w:rPr>
                <w:sz w:val="20"/>
                <w:szCs w:val="20"/>
              </w:rPr>
              <w:t>650°C , 20 s</w:t>
            </w:r>
          </w:p>
        </w:tc>
        <w:tc>
          <w:tcPr>
            <w:tcW w:w="3115" w:type="dxa"/>
            <w:tcBorders>
              <w:top w:val="nil"/>
              <w:left w:val="nil"/>
              <w:bottom w:val="nil"/>
              <w:right w:val="nil"/>
            </w:tcBorders>
            <w:shd w:val="clear" w:color="auto" w:fill="auto"/>
            <w:textDirection w:val="btLr"/>
            <w:hideMark/>
          </w:tcPr>
          <w:p w14:paraId="4DA5BAF0" w14:textId="77777777" w:rsidR="00E43604" w:rsidRPr="000B65FA" w:rsidRDefault="00E43604" w:rsidP="000B65FA">
            <w:pPr>
              <w:pStyle w:val="Tables"/>
              <w:rPr>
                <w:sz w:val="20"/>
                <w:szCs w:val="20"/>
              </w:rPr>
            </w:pPr>
            <w:r w:rsidRPr="000B65FA">
              <w:rPr>
                <w:sz w:val="20"/>
                <w:szCs w:val="20"/>
              </w:rPr>
              <w:t>650°C , 20 s</w:t>
            </w:r>
          </w:p>
        </w:tc>
        <w:tc>
          <w:tcPr>
            <w:tcW w:w="1584" w:type="dxa"/>
            <w:tcBorders>
              <w:top w:val="nil"/>
              <w:left w:val="nil"/>
              <w:bottom w:val="nil"/>
              <w:right w:val="nil"/>
            </w:tcBorders>
            <w:shd w:val="clear" w:color="auto" w:fill="auto"/>
            <w:textDirection w:val="btLr"/>
            <w:hideMark/>
          </w:tcPr>
          <w:p w14:paraId="6A015CF5" w14:textId="77777777" w:rsidR="00E43604" w:rsidRPr="000B65FA" w:rsidRDefault="00E43604" w:rsidP="000B65FA">
            <w:pPr>
              <w:pStyle w:val="Tables"/>
              <w:rPr>
                <w:sz w:val="20"/>
                <w:szCs w:val="20"/>
              </w:rPr>
            </w:pPr>
            <w:r w:rsidRPr="000B65FA">
              <w:rPr>
                <w:sz w:val="20"/>
                <w:szCs w:val="20"/>
              </w:rPr>
              <w:t>550°C, 10 s</w:t>
            </w:r>
          </w:p>
        </w:tc>
        <w:tc>
          <w:tcPr>
            <w:tcW w:w="1008" w:type="dxa"/>
            <w:tcBorders>
              <w:top w:val="nil"/>
              <w:left w:val="nil"/>
              <w:bottom w:val="nil"/>
              <w:right w:val="nil"/>
            </w:tcBorders>
            <w:shd w:val="clear" w:color="auto" w:fill="auto"/>
            <w:textDirection w:val="btLr"/>
            <w:hideMark/>
          </w:tcPr>
          <w:p w14:paraId="5157FFB1" w14:textId="77777777" w:rsidR="00E43604" w:rsidRPr="000B65FA" w:rsidRDefault="00E43604" w:rsidP="000B65FA">
            <w:pPr>
              <w:pStyle w:val="Tables"/>
              <w:rPr>
                <w:sz w:val="20"/>
                <w:szCs w:val="20"/>
              </w:rPr>
            </w:pPr>
            <w:r w:rsidRPr="000B65FA">
              <w:rPr>
                <w:sz w:val="20"/>
                <w:szCs w:val="20"/>
              </w:rPr>
              <w:t>400°C-900°C, 4 min</w:t>
            </w:r>
          </w:p>
        </w:tc>
      </w:tr>
      <w:tr w:rsidR="00E43604" w:rsidRPr="000B65FA" w14:paraId="0E1D6437" w14:textId="77777777" w:rsidTr="00E43604">
        <w:trPr>
          <w:cantSplit/>
          <w:trHeight w:val="1550"/>
        </w:trPr>
        <w:tc>
          <w:tcPr>
            <w:tcW w:w="780" w:type="dxa"/>
            <w:tcBorders>
              <w:top w:val="nil"/>
              <w:left w:val="nil"/>
              <w:bottom w:val="nil"/>
              <w:right w:val="nil"/>
            </w:tcBorders>
            <w:shd w:val="clear" w:color="auto" w:fill="auto"/>
            <w:textDirection w:val="btLr"/>
            <w:hideMark/>
          </w:tcPr>
          <w:p w14:paraId="2DC9D387" w14:textId="77777777" w:rsidR="00E43604" w:rsidRPr="00026AA8" w:rsidRDefault="00E43604" w:rsidP="000B65FA">
            <w:pPr>
              <w:pStyle w:val="Tables"/>
              <w:rPr>
                <w:b/>
                <w:sz w:val="20"/>
                <w:szCs w:val="20"/>
              </w:rPr>
            </w:pPr>
            <w:r w:rsidRPr="00026AA8">
              <w:rPr>
                <w:b/>
                <w:sz w:val="20"/>
                <w:szCs w:val="20"/>
              </w:rPr>
              <w:t>Sample type</w:t>
            </w:r>
          </w:p>
        </w:tc>
        <w:tc>
          <w:tcPr>
            <w:tcW w:w="1420" w:type="dxa"/>
            <w:tcBorders>
              <w:top w:val="nil"/>
              <w:left w:val="nil"/>
              <w:bottom w:val="nil"/>
              <w:right w:val="nil"/>
            </w:tcBorders>
            <w:shd w:val="clear" w:color="auto" w:fill="auto"/>
            <w:textDirection w:val="btLr"/>
            <w:hideMark/>
          </w:tcPr>
          <w:p w14:paraId="32C49B11" w14:textId="77777777" w:rsidR="00E43604" w:rsidRPr="000B65FA" w:rsidRDefault="00E43604" w:rsidP="000B65FA">
            <w:pPr>
              <w:pStyle w:val="Tables"/>
              <w:rPr>
                <w:sz w:val="20"/>
                <w:szCs w:val="20"/>
              </w:rPr>
            </w:pPr>
            <w:r w:rsidRPr="000B65FA">
              <w:rPr>
                <w:sz w:val="20"/>
                <w:szCs w:val="20"/>
              </w:rPr>
              <w:t>Walnut, olive, coconut husks, and peach drupe endocarp biomass and switchgrass biomass</w:t>
            </w:r>
          </w:p>
        </w:tc>
        <w:tc>
          <w:tcPr>
            <w:tcW w:w="3115" w:type="dxa"/>
            <w:tcBorders>
              <w:top w:val="nil"/>
              <w:left w:val="nil"/>
              <w:bottom w:val="nil"/>
              <w:right w:val="nil"/>
            </w:tcBorders>
            <w:shd w:val="clear" w:color="auto" w:fill="auto"/>
            <w:textDirection w:val="btLr"/>
            <w:hideMark/>
          </w:tcPr>
          <w:p w14:paraId="3B7D976B" w14:textId="77777777" w:rsidR="00E43604" w:rsidRPr="000B65FA" w:rsidRDefault="00E43604" w:rsidP="000B65FA">
            <w:pPr>
              <w:pStyle w:val="Tables"/>
              <w:rPr>
                <w:sz w:val="20"/>
                <w:szCs w:val="20"/>
              </w:rPr>
            </w:pPr>
            <w:r w:rsidRPr="000B65FA">
              <w:rPr>
                <w:sz w:val="20"/>
                <w:szCs w:val="20"/>
              </w:rPr>
              <w:t>Lignin extracted from various endocarps and switchgrass</w:t>
            </w:r>
          </w:p>
        </w:tc>
        <w:tc>
          <w:tcPr>
            <w:tcW w:w="1584" w:type="dxa"/>
            <w:tcBorders>
              <w:top w:val="nil"/>
              <w:left w:val="nil"/>
              <w:bottom w:val="nil"/>
              <w:right w:val="nil"/>
            </w:tcBorders>
            <w:shd w:val="clear" w:color="auto" w:fill="auto"/>
            <w:textDirection w:val="btLr"/>
            <w:hideMark/>
          </w:tcPr>
          <w:p w14:paraId="5C26BF35" w14:textId="77777777" w:rsidR="00E43604" w:rsidRPr="000B65FA" w:rsidRDefault="00E43604" w:rsidP="000B65FA">
            <w:pPr>
              <w:pStyle w:val="Tables"/>
              <w:rPr>
                <w:sz w:val="20"/>
                <w:szCs w:val="20"/>
              </w:rPr>
            </w:pPr>
            <w:r w:rsidRPr="000B65FA">
              <w:rPr>
                <w:sz w:val="20"/>
                <w:szCs w:val="20"/>
              </w:rPr>
              <w:t>Poplar wood powder demineralized with hydrofluoric acid and impregnated with KCl, MgCl2 and CaCl2</w:t>
            </w:r>
          </w:p>
        </w:tc>
        <w:tc>
          <w:tcPr>
            <w:tcW w:w="1008" w:type="dxa"/>
            <w:tcBorders>
              <w:top w:val="nil"/>
              <w:left w:val="nil"/>
              <w:bottom w:val="nil"/>
              <w:right w:val="nil"/>
            </w:tcBorders>
            <w:shd w:val="clear" w:color="auto" w:fill="auto"/>
            <w:textDirection w:val="btLr"/>
            <w:hideMark/>
          </w:tcPr>
          <w:p w14:paraId="55823E34" w14:textId="77777777" w:rsidR="00E43604" w:rsidRPr="000B65FA" w:rsidRDefault="00E43604" w:rsidP="000B65FA">
            <w:pPr>
              <w:pStyle w:val="Tables"/>
              <w:rPr>
                <w:sz w:val="20"/>
                <w:szCs w:val="20"/>
              </w:rPr>
            </w:pPr>
            <w:r w:rsidRPr="000B65FA">
              <w:rPr>
                <w:sz w:val="20"/>
                <w:szCs w:val="20"/>
              </w:rPr>
              <w:t>Rice straw and bamboo with NaCl</w:t>
            </w:r>
          </w:p>
        </w:tc>
      </w:tr>
      <w:tr w:rsidR="00E43604" w:rsidRPr="000B65FA" w14:paraId="6AF1670C" w14:textId="77777777" w:rsidTr="00E43604">
        <w:trPr>
          <w:cantSplit/>
          <w:trHeight w:val="4502"/>
        </w:trPr>
        <w:tc>
          <w:tcPr>
            <w:tcW w:w="780" w:type="dxa"/>
            <w:tcBorders>
              <w:top w:val="nil"/>
              <w:left w:val="nil"/>
              <w:bottom w:val="nil"/>
              <w:right w:val="nil"/>
            </w:tcBorders>
            <w:shd w:val="clear" w:color="auto" w:fill="auto"/>
            <w:textDirection w:val="btLr"/>
            <w:hideMark/>
          </w:tcPr>
          <w:p w14:paraId="189A3DAB" w14:textId="77777777" w:rsidR="00E43604" w:rsidRPr="00026AA8" w:rsidRDefault="00E43604" w:rsidP="000B65FA">
            <w:pPr>
              <w:pStyle w:val="Tables"/>
              <w:rPr>
                <w:b/>
                <w:sz w:val="20"/>
                <w:szCs w:val="20"/>
              </w:rPr>
            </w:pPr>
            <w:r w:rsidRPr="00026AA8">
              <w:rPr>
                <w:b/>
                <w:sz w:val="20"/>
                <w:szCs w:val="20"/>
              </w:rPr>
              <w:t>Effect on products (Dependent variable)</w:t>
            </w:r>
          </w:p>
        </w:tc>
        <w:tc>
          <w:tcPr>
            <w:tcW w:w="1420" w:type="dxa"/>
            <w:tcBorders>
              <w:top w:val="nil"/>
              <w:left w:val="nil"/>
              <w:bottom w:val="nil"/>
              <w:right w:val="nil"/>
            </w:tcBorders>
            <w:shd w:val="clear" w:color="auto" w:fill="auto"/>
            <w:textDirection w:val="btLr"/>
            <w:hideMark/>
          </w:tcPr>
          <w:p w14:paraId="703C8420" w14:textId="77777777" w:rsidR="00E43604" w:rsidRPr="000B65FA" w:rsidRDefault="00E43604" w:rsidP="000B65FA">
            <w:pPr>
              <w:pStyle w:val="Tables"/>
              <w:rPr>
                <w:sz w:val="20"/>
                <w:szCs w:val="20"/>
              </w:rPr>
            </w:pPr>
            <w:r w:rsidRPr="000B65FA">
              <w:rPr>
                <w:sz w:val="20"/>
                <w:szCs w:val="20"/>
              </w:rPr>
              <w:t>High-lignin endoscarp biomasses produces more phenolic compounds, like phenol, 2-methoxyphenol, 2-methylphenol, 2-methoxy-4-methylphenol and 4-ethyl-2-methoxyphenol, compared to switchgrass biomass.</w:t>
            </w:r>
          </w:p>
        </w:tc>
        <w:tc>
          <w:tcPr>
            <w:tcW w:w="3115" w:type="dxa"/>
            <w:tcBorders>
              <w:top w:val="nil"/>
              <w:left w:val="nil"/>
              <w:bottom w:val="nil"/>
              <w:right w:val="nil"/>
            </w:tcBorders>
            <w:shd w:val="clear" w:color="auto" w:fill="auto"/>
            <w:textDirection w:val="btLr"/>
            <w:hideMark/>
          </w:tcPr>
          <w:p w14:paraId="5CA5AE41" w14:textId="77777777" w:rsidR="00E43604" w:rsidRPr="000B65FA" w:rsidRDefault="00E43604" w:rsidP="000B65FA">
            <w:pPr>
              <w:pStyle w:val="Tables"/>
              <w:rPr>
                <w:sz w:val="20"/>
                <w:szCs w:val="20"/>
              </w:rPr>
            </w:pPr>
            <w:r w:rsidRPr="000B65FA">
              <w:rPr>
                <w:sz w:val="20"/>
                <w:szCs w:val="20"/>
              </w:rPr>
              <w:t>Compared with endocarp lignin, switchgrass lignin produces more acetic acid, toluene, furfural and 4-methylphenol, and lower or undetectable amounts of 4-ethyl-2-methoxyphenol, 2-methoxy-4-vinylphenol and 2-methoxy-4-(2-propenyl)-phenol.  Compared with walnut and olive endocarp lignin, coconut endocarp lignin produces strikingly more phenol and less 2-methoxy-4-methylphenol. Coconut shell lignin produces unique compounds among the analyzed feedstocks, such as 2,6-dimethoxyphenol, 2-methoxy-4-(2-propenyl)-phenol and vanillin, but less 2-methoxy-4-(1-propenyl)-phenol compared to walnut shell and olive lignin.</w:t>
            </w:r>
          </w:p>
        </w:tc>
        <w:tc>
          <w:tcPr>
            <w:tcW w:w="1584" w:type="dxa"/>
            <w:tcBorders>
              <w:top w:val="nil"/>
              <w:left w:val="nil"/>
              <w:bottom w:val="nil"/>
              <w:right w:val="nil"/>
            </w:tcBorders>
            <w:shd w:val="clear" w:color="auto" w:fill="auto"/>
            <w:textDirection w:val="btLr"/>
            <w:hideMark/>
          </w:tcPr>
          <w:p w14:paraId="5B1AE820" w14:textId="77777777" w:rsidR="00E43604" w:rsidRPr="000B65FA" w:rsidRDefault="00E43604" w:rsidP="000B65FA">
            <w:pPr>
              <w:pStyle w:val="Tables"/>
              <w:rPr>
                <w:sz w:val="20"/>
                <w:szCs w:val="20"/>
              </w:rPr>
            </w:pPr>
            <w:r w:rsidRPr="000B65FA">
              <w:rPr>
                <w:sz w:val="20"/>
                <w:szCs w:val="20"/>
              </w:rPr>
              <w:t>Samples with more K+ produce more glycolaldehyde, acetic acid, acetol, butanedial, guaiacol, syringol, and 4-vinylsyringol, but less levoglucosan, furans, and pyrans. Samples with more Mg2+ produce less glycolaldehyde, levoglucosan and 3-methoxycatechol. Samples with more Ca2+ produce more pyrans and cyclopentenes but less levoglucosan and 3-methoxycatechol.</w:t>
            </w:r>
          </w:p>
        </w:tc>
        <w:tc>
          <w:tcPr>
            <w:tcW w:w="1008" w:type="dxa"/>
            <w:tcBorders>
              <w:top w:val="nil"/>
              <w:left w:val="nil"/>
              <w:bottom w:val="nil"/>
              <w:right w:val="nil"/>
            </w:tcBorders>
            <w:shd w:val="clear" w:color="auto" w:fill="auto"/>
            <w:textDirection w:val="btLr"/>
            <w:hideMark/>
          </w:tcPr>
          <w:p w14:paraId="3247FEC6" w14:textId="77777777" w:rsidR="00E43604" w:rsidRPr="000B65FA" w:rsidRDefault="00E43604" w:rsidP="000B65FA">
            <w:pPr>
              <w:pStyle w:val="Tables"/>
              <w:rPr>
                <w:sz w:val="20"/>
                <w:szCs w:val="20"/>
              </w:rPr>
            </w:pPr>
            <w:r w:rsidRPr="000B65FA">
              <w:rPr>
                <w:sz w:val="20"/>
                <w:szCs w:val="20"/>
              </w:rPr>
              <w:t>Samples with more NaCl added produce more furans, acids, ketones, and phenols than the samples with no NaCl added.</w:t>
            </w:r>
          </w:p>
        </w:tc>
      </w:tr>
      <w:tr w:rsidR="00E43604" w:rsidRPr="000B65FA" w14:paraId="6054B482" w14:textId="77777777" w:rsidTr="00EF68A3">
        <w:trPr>
          <w:trHeight w:val="1217"/>
        </w:trPr>
        <w:tc>
          <w:tcPr>
            <w:tcW w:w="780" w:type="dxa"/>
            <w:tcBorders>
              <w:top w:val="nil"/>
              <w:left w:val="nil"/>
              <w:bottom w:val="nil"/>
              <w:right w:val="nil"/>
            </w:tcBorders>
            <w:shd w:val="clear" w:color="auto" w:fill="auto"/>
            <w:textDirection w:val="btLr"/>
            <w:hideMark/>
          </w:tcPr>
          <w:p w14:paraId="4A0B35C3" w14:textId="0B72907B" w:rsidR="00E43604" w:rsidRPr="00026AA8" w:rsidRDefault="00E43604" w:rsidP="000B65FA">
            <w:pPr>
              <w:pStyle w:val="Tables"/>
              <w:rPr>
                <w:b/>
                <w:sz w:val="20"/>
                <w:szCs w:val="20"/>
              </w:rPr>
            </w:pPr>
            <w:r w:rsidRPr="00026AA8">
              <w:rPr>
                <w:b/>
                <w:sz w:val="20"/>
                <w:szCs w:val="20"/>
              </w:rPr>
              <w:t>Independent variable</w:t>
            </w:r>
          </w:p>
        </w:tc>
        <w:tc>
          <w:tcPr>
            <w:tcW w:w="1420" w:type="dxa"/>
            <w:tcBorders>
              <w:top w:val="nil"/>
              <w:left w:val="nil"/>
              <w:bottom w:val="nil"/>
              <w:right w:val="nil"/>
            </w:tcBorders>
            <w:shd w:val="clear" w:color="auto" w:fill="auto"/>
            <w:textDirection w:val="btLr"/>
            <w:hideMark/>
          </w:tcPr>
          <w:p w14:paraId="2B1A642A" w14:textId="77777777" w:rsidR="00E43604" w:rsidRPr="000B65FA" w:rsidRDefault="00E43604" w:rsidP="000B65FA">
            <w:pPr>
              <w:pStyle w:val="Tables"/>
              <w:rPr>
                <w:sz w:val="20"/>
                <w:szCs w:val="20"/>
              </w:rPr>
            </w:pPr>
            <w:r w:rsidRPr="000B65FA">
              <w:rPr>
                <w:sz w:val="20"/>
                <w:szCs w:val="20"/>
              </w:rPr>
              <w:t>Natural variation in lignin abundance</w:t>
            </w:r>
          </w:p>
        </w:tc>
        <w:tc>
          <w:tcPr>
            <w:tcW w:w="3115" w:type="dxa"/>
            <w:tcBorders>
              <w:top w:val="nil"/>
              <w:left w:val="nil"/>
              <w:bottom w:val="nil"/>
              <w:right w:val="nil"/>
            </w:tcBorders>
            <w:shd w:val="clear" w:color="auto" w:fill="auto"/>
            <w:textDirection w:val="btLr"/>
            <w:hideMark/>
          </w:tcPr>
          <w:p w14:paraId="2E816F6F" w14:textId="77777777" w:rsidR="00E43604" w:rsidRPr="000B65FA" w:rsidRDefault="00E43604" w:rsidP="000B65FA">
            <w:pPr>
              <w:pStyle w:val="Tables"/>
              <w:rPr>
                <w:sz w:val="20"/>
                <w:szCs w:val="20"/>
              </w:rPr>
            </w:pPr>
            <w:r w:rsidRPr="000B65FA">
              <w:rPr>
                <w:sz w:val="20"/>
                <w:szCs w:val="20"/>
              </w:rPr>
              <w:t>Natural variation in lignin composition or structure</w:t>
            </w:r>
          </w:p>
        </w:tc>
        <w:tc>
          <w:tcPr>
            <w:tcW w:w="1584" w:type="dxa"/>
            <w:tcBorders>
              <w:top w:val="nil"/>
              <w:left w:val="nil"/>
              <w:bottom w:val="nil"/>
              <w:right w:val="nil"/>
            </w:tcBorders>
            <w:shd w:val="clear" w:color="auto" w:fill="auto"/>
            <w:textDirection w:val="btLr"/>
            <w:hideMark/>
          </w:tcPr>
          <w:p w14:paraId="369CB670" w14:textId="7862BD61" w:rsidR="00E43604" w:rsidRPr="000B65FA" w:rsidRDefault="00E43604" w:rsidP="000B65FA">
            <w:pPr>
              <w:pStyle w:val="Tables"/>
              <w:rPr>
                <w:sz w:val="20"/>
                <w:szCs w:val="20"/>
              </w:rPr>
            </w:pPr>
            <w:r w:rsidRPr="000B65FA">
              <w:rPr>
                <w:sz w:val="20"/>
                <w:szCs w:val="20"/>
              </w:rPr>
              <w:t>Variation of K+, Mg2+, and Ca2+ by demineral</w:t>
            </w:r>
            <w:r w:rsidR="00EF68A3">
              <w:rPr>
                <w:sz w:val="20"/>
                <w:szCs w:val="20"/>
              </w:rPr>
              <w:t>-</w:t>
            </w:r>
            <w:r w:rsidRPr="000B65FA">
              <w:rPr>
                <w:sz w:val="20"/>
                <w:szCs w:val="20"/>
              </w:rPr>
              <w:t>ization and impregnation</w:t>
            </w:r>
          </w:p>
        </w:tc>
        <w:tc>
          <w:tcPr>
            <w:tcW w:w="1008" w:type="dxa"/>
            <w:tcBorders>
              <w:top w:val="nil"/>
              <w:left w:val="nil"/>
              <w:bottom w:val="nil"/>
              <w:right w:val="nil"/>
            </w:tcBorders>
            <w:shd w:val="clear" w:color="auto" w:fill="auto"/>
            <w:textDirection w:val="btLr"/>
            <w:hideMark/>
          </w:tcPr>
          <w:p w14:paraId="350FBA9C" w14:textId="77777777" w:rsidR="00E43604" w:rsidRPr="000B65FA" w:rsidRDefault="00E43604" w:rsidP="000B65FA">
            <w:pPr>
              <w:pStyle w:val="Tables"/>
              <w:rPr>
                <w:sz w:val="20"/>
                <w:szCs w:val="20"/>
              </w:rPr>
            </w:pPr>
            <w:r w:rsidRPr="000B65FA">
              <w:rPr>
                <w:sz w:val="20"/>
                <w:szCs w:val="20"/>
              </w:rPr>
              <w:t>Increase of minerals by adding 1% and 5% NaCl</w:t>
            </w:r>
          </w:p>
        </w:tc>
      </w:tr>
      <w:tr w:rsidR="00E43604" w:rsidRPr="000B65FA" w14:paraId="1A58650A" w14:textId="77777777" w:rsidTr="00E43604">
        <w:trPr>
          <w:trHeight w:val="992"/>
        </w:trPr>
        <w:tc>
          <w:tcPr>
            <w:tcW w:w="780" w:type="dxa"/>
            <w:tcBorders>
              <w:top w:val="nil"/>
              <w:left w:val="nil"/>
              <w:bottom w:val="nil"/>
              <w:right w:val="nil"/>
            </w:tcBorders>
            <w:shd w:val="clear" w:color="auto" w:fill="auto"/>
            <w:textDirection w:val="btLr"/>
            <w:hideMark/>
          </w:tcPr>
          <w:p w14:paraId="2C9DB638" w14:textId="77777777" w:rsidR="00E43604" w:rsidRPr="00026AA8" w:rsidRDefault="00E43604" w:rsidP="000B65FA">
            <w:pPr>
              <w:pStyle w:val="Tables"/>
              <w:rPr>
                <w:b/>
                <w:sz w:val="20"/>
                <w:szCs w:val="20"/>
              </w:rPr>
            </w:pPr>
            <w:r w:rsidRPr="00026AA8">
              <w:rPr>
                <w:b/>
                <w:sz w:val="20"/>
                <w:szCs w:val="20"/>
              </w:rPr>
              <w:t>Biomass component</w:t>
            </w:r>
          </w:p>
        </w:tc>
        <w:tc>
          <w:tcPr>
            <w:tcW w:w="1420" w:type="dxa"/>
            <w:tcBorders>
              <w:top w:val="nil"/>
              <w:left w:val="nil"/>
              <w:bottom w:val="nil"/>
              <w:right w:val="nil"/>
            </w:tcBorders>
            <w:shd w:val="clear" w:color="auto" w:fill="auto"/>
            <w:textDirection w:val="btLr"/>
            <w:hideMark/>
          </w:tcPr>
          <w:p w14:paraId="396457C3" w14:textId="77777777" w:rsidR="00E43604" w:rsidRPr="000B65FA" w:rsidRDefault="00E43604" w:rsidP="000B65FA">
            <w:pPr>
              <w:pStyle w:val="Tables"/>
              <w:rPr>
                <w:sz w:val="20"/>
                <w:szCs w:val="20"/>
              </w:rPr>
            </w:pPr>
            <w:r w:rsidRPr="000B65FA">
              <w:rPr>
                <w:sz w:val="20"/>
                <w:szCs w:val="20"/>
              </w:rPr>
              <w:t>Lignin</w:t>
            </w:r>
          </w:p>
        </w:tc>
        <w:tc>
          <w:tcPr>
            <w:tcW w:w="3115" w:type="dxa"/>
            <w:tcBorders>
              <w:top w:val="nil"/>
              <w:left w:val="nil"/>
              <w:bottom w:val="nil"/>
              <w:right w:val="nil"/>
            </w:tcBorders>
            <w:shd w:val="clear" w:color="auto" w:fill="auto"/>
            <w:textDirection w:val="btLr"/>
            <w:hideMark/>
          </w:tcPr>
          <w:p w14:paraId="5987B060" w14:textId="77777777" w:rsidR="00E43604" w:rsidRPr="000B65FA" w:rsidRDefault="00E43604" w:rsidP="000B65FA">
            <w:pPr>
              <w:pStyle w:val="Tables"/>
              <w:rPr>
                <w:sz w:val="20"/>
                <w:szCs w:val="20"/>
              </w:rPr>
            </w:pPr>
            <w:r w:rsidRPr="000B65FA">
              <w:rPr>
                <w:sz w:val="20"/>
                <w:szCs w:val="20"/>
              </w:rPr>
              <w:t>Lignin</w:t>
            </w:r>
          </w:p>
        </w:tc>
        <w:tc>
          <w:tcPr>
            <w:tcW w:w="1584" w:type="dxa"/>
            <w:tcBorders>
              <w:top w:val="nil"/>
              <w:left w:val="nil"/>
              <w:bottom w:val="nil"/>
              <w:right w:val="nil"/>
            </w:tcBorders>
            <w:shd w:val="clear" w:color="auto" w:fill="auto"/>
            <w:textDirection w:val="btLr"/>
            <w:hideMark/>
          </w:tcPr>
          <w:p w14:paraId="4586393A" w14:textId="77777777" w:rsidR="00E43604" w:rsidRPr="000B65FA" w:rsidRDefault="00E43604" w:rsidP="000B65FA">
            <w:pPr>
              <w:pStyle w:val="Tables"/>
              <w:rPr>
                <w:sz w:val="20"/>
                <w:szCs w:val="20"/>
              </w:rPr>
            </w:pPr>
            <w:r w:rsidRPr="000B65FA">
              <w:rPr>
                <w:sz w:val="20"/>
                <w:szCs w:val="20"/>
              </w:rPr>
              <w:t>Mineral content</w:t>
            </w:r>
          </w:p>
        </w:tc>
        <w:tc>
          <w:tcPr>
            <w:tcW w:w="1008" w:type="dxa"/>
            <w:tcBorders>
              <w:top w:val="nil"/>
              <w:left w:val="nil"/>
              <w:bottom w:val="nil"/>
              <w:right w:val="nil"/>
            </w:tcBorders>
            <w:shd w:val="clear" w:color="auto" w:fill="auto"/>
            <w:textDirection w:val="btLr"/>
            <w:hideMark/>
          </w:tcPr>
          <w:p w14:paraId="494E448E" w14:textId="77777777" w:rsidR="00E43604" w:rsidRPr="000B65FA" w:rsidRDefault="00E43604" w:rsidP="000B65FA">
            <w:pPr>
              <w:pStyle w:val="Tables"/>
              <w:rPr>
                <w:sz w:val="20"/>
                <w:szCs w:val="20"/>
              </w:rPr>
            </w:pPr>
            <w:r w:rsidRPr="000B65FA">
              <w:rPr>
                <w:sz w:val="20"/>
                <w:szCs w:val="20"/>
              </w:rPr>
              <w:t>Mineral content</w:t>
            </w:r>
          </w:p>
        </w:tc>
      </w:tr>
      <w:tr w:rsidR="00E43604" w:rsidRPr="000B65FA" w14:paraId="2D4466FF" w14:textId="77777777" w:rsidTr="004630E2">
        <w:trPr>
          <w:trHeight w:val="731"/>
        </w:trPr>
        <w:tc>
          <w:tcPr>
            <w:tcW w:w="780" w:type="dxa"/>
            <w:tcBorders>
              <w:top w:val="nil"/>
              <w:left w:val="nil"/>
              <w:bottom w:val="nil"/>
              <w:right w:val="nil"/>
            </w:tcBorders>
            <w:shd w:val="clear" w:color="auto" w:fill="auto"/>
            <w:textDirection w:val="btLr"/>
            <w:hideMark/>
          </w:tcPr>
          <w:p w14:paraId="4C28EFB9" w14:textId="77777777" w:rsidR="00E43604" w:rsidRPr="00026AA8" w:rsidRDefault="00E43604" w:rsidP="000B65FA">
            <w:pPr>
              <w:pStyle w:val="Tables"/>
              <w:rPr>
                <w:b/>
                <w:sz w:val="20"/>
                <w:szCs w:val="20"/>
              </w:rPr>
            </w:pPr>
            <w:r w:rsidRPr="00026AA8">
              <w:rPr>
                <w:b/>
                <w:sz w:val="20"/>
                <w:szCs w:val="20"/>
              </w:rPr>
              <w:t>Possible model</w:t>
            </w:r>
          </w:p>
        </w:tc>
        <w:tc>
          <w:tcPr>
            <w:tcW w:w="1420" w:type="dxa"/>
            <w:tcBorders>
              <w:top w:val="nil"/>
              <w:left w:val="nil"/>
              <w:bottom w:val="nil"/>
              <w:right w:val="nil"/>
            </w:tcBorders>
            <w:shd w:val="clear" w:color="auto" w:fill="auto"/>
            <w:textDirection w:val="btLr"/>
            <w:hideMark/>
          </w:tcPr>
          <w:p w14:paraId="598163CC" w14:textId="77777777" w:rsidR="00E43604" w:rsidRPr="000B65FA" w:rsidRDefault="00E43604" w:rsidP="000B65FA">
            <w:pPr>
              <w:pStyle w:val="Tables"/>
              <w:rPr>
                <w:sz w:val="20"/>
                <w:szCs w:val="20"/>
              </w:rPr>
            </w:pPr>
            <w:r w:rsidRPr="000B65FA">
              <w:rPr>
                <w:sz w:val="20"/>
                <w:szCs w:val="20"/>
              </w:rPr>
              <w:t>1</w:t>
            </w:r>
          </w:p>
        </w:tc>
        <w:tc>
          <w:tcPr>
            <w:tcW w:w="3115" w:type="dxa"/>
            <w:tcBorders>
              <w:top w:val="nil"/>
              <w:left w:val="nil"/>
              <w:bottom w:val="nil"/>
              <w:right w:val="nil"/>
            </w:tcBorders>
            <w:shd w:val="clear" w:color="auto" w:fill="auto"/>
            <w:textDirection w:val="btLr"/>
            <w:hideMark/>
          </w:tcPr>
          <w:p w14:paraId="53DE6FE9" w14:textId="77777777" w:rsidR="00E43604" w:rsidRPr="000B65FA" w:rsidRDefault="00E43604" w:rsidP="000B65FA">
            <w:pPr>
              <w:pStyle w:val="Tables"/>
              <w:rPr>
                <w:sz w:val="20"/>
                <w:szCs w:val="20"/>
              </w:rPr>
            </w:pPr>
            <w:r w:rsidRPr="000B65FA">
              <w:rPr>
                <w:sz w:val="20"/>
                <w:szCs w:val="20"/>
              </w:rPr>
              <w:t>1</w:t>
            </w:r>
          </w:p>
        </w:tc>
        <w:tc>
          <w:tcPr>
            <w:tcW w:w="1584" w:type="dxa"/>
            <w:tcBorders>
              <w:top w:val="nil"/>
              <w:left w:val="nil"/>
              <w:bottom w:val="nil"/>
              <w:right w:val="nil"/>
            </w:tcBorders>
            <w:shd w:val="clear" w:color="auto" w:fill="auto"/>
            <w:textDirection w:val="btLr"/>
            <w:hideMark/>
          </w:tcPr>
          <w:p w14:paraId="17781F94" w14:textId="77777777" w:rsidR="00E43604" w:rsidRPr="000B65FA" w:rsidRDefault="00E43604" w:rsidP="000B65FA">
            <w:pPr>
              <w:pStyle w:val="Tables"/>
              <w:rPr>
                <w:sz w:val="20"/>
                <w:szCs w:val="20"/>
              </w:rPr>
            </w:pPr>
            <w:r w:rsidRPr="000B65FA">
              <w:rPr>
                <w:sz w:val="20"/>
                <w:szCs w:val="20"/>
              </w:rPr>
              <w:t>2</w:t>
            </w:r>
          </w:p>
        </w:tc>
        <w:tc>
          <w:tcPr>
            <w:tcW w:w="1008" w:type="dxa"/>
            <w:tcBorders>
              <w:top w:val="nil"/>
              <w:left w:val="nil"/>
              <w:bottom w:val="nil"/>
              <w:right w:val="nil"/>
            </w:tcBorders>
            <w:shd w:val="clear" w:color="auto" w:fill="auto"/>
            <w:textDirection w:val="btLr"/>
            <w:hideMark/>
          </w:tcPr>
          <w:p w14:paraId="766033C0" w14:textId="77777777" w:rsidR="00E43604" w:rsidRPr="000B65FA" w:rsidRDefault="00E43604" w:rsidP="000B65FA">
            <w:pPr>
              <w:pStyle w:val="Tables"/>
              <w:rPr>
                <w:sz w:val="20"/>
                <w:szCs w:val="20"/>
              </w:rPr>
            </w:pPr>
            <w:r w:rsidRPr="000B65FA">
              <w:rPr>
                <w:sz w:val="20"/>
                <w:szCs w:val="20"/>
              </w:rPr>
              <w:t>2</w:t>
            </w:r>
          </w:p>
        </w:tc>
      </w:tr>
    </w:tbl>
    <w:p w14:paraId="74901851" w14:textId="155E6C08" w:rsidR="00BF2703" w:rsidRPr="000F1CC6" w:rsidRDefault="00EF68A3" w:rsidP="00EF68A3">
      <w:pPr>
        <w:rPr>
          <w:b/>
        </w:rPr>
      </w:pPr>
      <w:r>
        <w:rPr>
          <w:b/>
        </w:rPr>
        <w:br w:type="page"/>
      </w:r>
    </w:p>
    <w:tbl>
      <w:tblPr>
        <w:tblW w:w="8080" w:type="dxa"/>
        <w:tblCellMar>
          <w:top w:w="115" w:type="dxa"/>
          <w:left w:w="0" w:type="dxa"/>
          <w:bottom w:w="115" w:type="dxa"/>
          <w:right w:w="0" w:type="dxa"/>
        </w:tblCellMar>
        <w:tblLook w:val="04A0" w:firstRow="1" w:lastRow="0" w:firstColumn="1" w:lastColumn="0" w:noHBand="0" w:noVBand="1"/>
      </w:tblPr>
      <w:tblGrid>
        <w:gridCol w:w="780"/>
        <w:gridCol w:w="1288"/>
        <w:gridCol w:w="792"/>
        <w:gridCol w:w="1100"/>
        <w:gridCol w:w="1716"/>
        <w:gridCol w:w="2404"/>
      </w:tblGrid>
      <w:tr w:rsidR="007D4485" w:rsidRPr="0035658D" w14:paraId="7160230F" w14:textId="77777777" w:rsidTr="005D2E06">
        <w:trPr>
          <w:trHeight w:val="1109"/>
        </w:trPr>
        <w:tc>
          <w:tcPr>
            <w:tcW w:w="780" w:type="dxa"/>
            <w:tcBorders>
              <w:top w:val="nil"/>
              <w:left w:val="nil"/>
              <w:bottom w:val="nil"/>
              <w:right w:val="nil"/>
            </w:tcBorders>
            <w:shd w:val="clear" w:color="auto" w:fill="auto"/>
            <w:textDirection w:val="btLr"/>
            <w:hideMark/>
          </w:tcPr>
          <w:p w14:paraId="22241B74" w14:textId="77777777" w:rsidR="007D4485" w:rsidRPr="00026AA8" w:rsidRDefault="007D4485" w:rsidP="0035658D">
            <w:pPr>
              <w:pStyle w:val="Tables"/>
              <w:rPr>
                <w:b/>
                <w:sz w:val="20"/>
                <w:szCs w:val="20"/>
              </w:rPr>
            </w:pPr>
            <w:r w:rsidRPr="00026AA8">
              <w:rPr>
                <w:b/>
                <w:sz w:val="20"/>
                <w:szCs w:val="20"/>
              </w:rPr>
              <w:lastRenderedPageBreak/>
              <w:t>Reference</w:t>
            </w:r>
          </w:p>
        </w:tc>
        <w:tc>
          <w:tcPr>
            <w:tcW w:w="1288" w:type="dxa"/>
            <w:tcBorders>
              <w:top w:val="nil"/>
              <w:left w:val="nil"/>
              <w:bottom w:val="nil"/>
              <w:right w:val="nil"/>
            </w:tcBorders>
            <w:shd w:val="clear" w:color="auto" w:fill="auto"/>
            <w:textDirection w:val="btLr"/>
            <w:hideMark/>
          </w:tcPr>
          <w:p w14:paraId="5E3DF7B9" w14:textId="2697F6A7" w:rsidR="007D4485" w:rsidRPr="0035658D" w:rsidRDefault="006276BA" w:rsidP="0035658D">
            <w:pPr>
              <w:pStyle w:val="Tables"/>
              <w:rPr>
                <w:sz w:val="20"/>
                <w:szCs w:val="20"/>
              </w:rPr>
            </w:pPr>
            <w:r>
              <w:rPr>
                <w:sz w:val="20"/>
                <w:szCs w:val="20"/>
              </w:rPr>
              <w:fldChar w:fldCharType="begin"/>
            </w:r>
            <w:r w:rsidR="00807999">
              <w:rPr>
                <w:sz w:val="20"/>
                <w:szCs w:val="20"/>
              </w:rPr>
              <w:instrText xml:space="preserve"> ADDIN PAPERS2_CITATIONS &lt;citation&gt;&lt;uuid&gt;6BD45322-DF5C-425F-822A-81DD830053D7&lt;/uuid&gt;&lt;priority&gt;0&lt;/priority&gt;&lt;publications&gt;&lt;publication&gt;&lt;uuid&gt;7B236B4C-FD91-4D03-B98D-3DCF6074B38E&lt;/uuid&gt;&lt;volume&gt;31&lt;/volume&gt;&lt;doi&gt;10.1002/ep.11633&lt;/doi&gt;&lt;startpage&gt;256&lt;/startpage&gt;&lt;publication_date&gt;99201203271200000000222000&lt;/publication_date&gt;&lt;url&gt;http://doi.wiley.com/10.1002/ep.11633&lt;/url&gt;&lt;citekey&gt;Ronsse:2012dp&lt;/citekey&gt;&lt;type&gt;400&lt;/type&gt;&lt;title&gt;Secondary reactions of levoglucosan and char in the fast pyrolysis of cellulose&lt;/title&gt;&lt;number&gt;2&lt;/number&gt;&lt;subtype&gt;400&lt;/subtype&gt;&lt;endpage&gt;260&lt;/endpage&gt;&lt;bundle&gt;&lt;publication&gt;&lt;title&gt;Environmental Progress &amp;amp; Sustainable Energy&lt;/title&gt;&lt;type&gt;-100&lt;/type&gt;&lt;subtype&gt;-100&lt;/subtype&gt;&lt;uuid&gt;8246211E-E180-4E50-9387-17EAA7E53312&lt;/uuid&gt;&lt;/publication&gt;&lt;/bundle&gt;&lt;authors&gt;&lt;author&gt;&lt;firstName&gt;Frederik&lt;/firstName&gt;&lt;lastName&gt;Ronsse&lt;/lastName&gt;&lt;/author&gt;&lt;author&gt;&lt;firstName&gt;Xianglan&lt;/firstName&gt;&lt;lastName&gt;Bai&lt;/lastName&gt;&lt;/author&gt;&lt;author&gt;&lt;firstName&gt;Wolter&lt;/firstName&gt;&lt;lastName&gt;Prins&lt;/lastName&gt;&lt;/author&gt;&lt;author&gt;&lt;firstName&gt;Robert&lt;/firstName&gt;&lt;middleNames&gt;C&lt;/middleNames&gt;&lt;lastName&gt;Brown&lt;/lastName&gt;&lt;/author&gt;&lt;/authors&gt;&lt;/publication&gt;&lt;/publications&gt;&lt;cites&gt;&lt;/cites&gt;&lt;/citation&gt;</w:instrText>
            </w:r>
            <w:r>
              <w:rPr>
                <w:sz w:val="20"/>
                <w:szCs w:val="20"/>
              </w:rPr>
              <w:fldChar w:fldCharType="separate"/>
            </w:r>
            <w:r w:rsidR="001C1AAC">
              <w:rPr>
                <w:sz w:val="20"/>
                <w:szCs w:val="20"/>
              </w:rPr>
              <w:t>(</w:t>
            </w:r>
            <w:r w:rsidR="001C1AAC">
              <w:rPr>
                <w:i/>
                <w:iCs/>
                <w:sz w:val="20"/>
                <w:szCs w:val="20"/>
              </w:rPr>
              <w:t>86</w:t>
            </w:r>
            <w:r w:rsidR="001C1AAC">
              <w:rPr>
                <w:sz w:val="20"/>
                <w:szCs w:val="20"/>
              </w:rPr>
              <w:t>)</w:t>
            </w:r>
            <w:r>
              <w:rPr>
                <w:sz w:val="20"/>
                <w:szCs w:val="20"/>
              </w:rPr>
              <w:fldChar w:fldCharType="end"/>
            </w:r>
          </w:p>
        </w:tc>
        <w:tc>
          <w:tcPr>
            <w:tcW w:w="792" w:type="dxa"/>
            <w:tcBorders>
              <w:top w:val="nil"/>
              <w:left w:val="nil"/>
              <w:bottom w:val="nil"/>
              <w:right w:val="nil"/>
            </w:tcBorders>
            <w:shd w:val="clear" w:color="auto" w:fill="auto"/>
            <w:textDirection w:val="btLr"/>
            <w:hideMark/>
          </w:tcPr>
          <w:p w14:paraId="0A555219" w14:textId="07A3DB73" w:rsidR="007D4485" w:rsidRPr="0035658D" w:rsidRDefault="006276BA" w:rsidP="0035658D">
            <w:pPr>
              <w:pStyle w:val="Tables"/>
              <w:rPr>
                <w:sz w:val="20"/>
                <w:szCs w:val="20"/>
              </w:rPr>
            </w:pPr>
            <w:r>
              <w:rPr>
                <w:sz w:val="20"/>
                <w:szCs w:val="20"/>
              </w:rPr>
              <w:fldChar w:fldCharType="begin"/>
            </w:r>
            <w:r w:rsidR="00807999">
              <w:rPr>
                <w:sz w:val="20"/>
                <w:szCs w:val="20"/>
              </w:rPr>
              <w:instrText xml:space="preserve"> ADDIN PAPERS2_CITATIONS &lt;citation&gt;&lt;uuid&gt;F74E4416-B1E5-4117-B309-E05F53FB4FCB&lt;/uuid&gt;&lt;priority&gt;0&lt;/priority&gt;&lt;publications&gt;&lt;publication&gt;&lt;uuid&gt;64BA3C00-A548-48B5-9D5C-1E8176783A55&lt;/uuid&gt;&lt;volume&gt;86&lt;/volume&gt;&lt;doi&gt;10.1016/j.fuel.2006.11.030&lt;/doi&gt;&lt;startpage&gt;1560&lt;/startpage&gt;&lt;publication_date&gt;99200700001200000000200000&lt;/publication_date&gt;&lt;url&gt;http://linkinghub.elsevier.com/retrieve/pii/S0016236106004789&lt;/url&gt;&lt;citekey&gt;Fahmi2007&lt;/citekey&gt;&lt;type&gt;400&lt;/type&gt;&lt;title&gt;The effect of alkali metals on combustion and pyrolysis of Lolium and Festuca grasses, switchgrass and willow&lt;/title&gt;&lt;number&gt;10-11&lt;/number&gt;&lt;subtype&gt;400&lt;/subtype&gt;&lt;endpage&gt;1569&lt;/endpage&gt;&lt;bundle&gt;&lt;publication&gt;&lt;publisher&gt;Elsevier Ltd&lt;/publisher&gt;&lt;title&gt;Fuel&lt;/title&gt;&lt;type&gt;-100&lt;/type&gt;&lt;subtype&gt;-100&lt;/subtype&gt;&lt;uuid&gt;E286CABA-D6F1-4A09-A385-6AFE55FAD8F4&lt;/uuid&gt;&lt;/publication&gt;&lt;/bundle&gt;&lt;authors&gt;&lt;author&gt;&lt;firstName&gt;R&lt;/firstName&gt;&lt;lastName&gt;Fahmi&lt;/lastName&gt;&lt;/author&gt;&lt;author&gt;&lt;firstName&gt;Anthony&lt;/firstName&gt;&lt;middleNames&gt;V&lt;/middleNames&gt;&lt;lastName&gt;Bridgwater&lt;/lastName&gt;&lt;/author&gt;&lt;author&gt;&lt;firstName&gt;Leilani&lt;/firstName&gt;&lt;middleNames&gt;I&lt;/middleNames&gt;&lt;lastName&gt;Darvell&lt;/lastName&gt;&lt;/author&gt;&lt;author&gt;&lt;firstName&gt;Jenny&lt;/firstName&gt;&lt;middleNames&gt;M&lt;/middleNames&gt;&lt;lastName&gt;Jones&lt;/lastName&gt;&lt;/author&gt;&lt;author&gt;&lt;firstName&gt;N&lt;/firstName&gt;&lt;lastName&gt;Yates&lt;/lastName&gt;&lt;/author&gt;&lt;author&gt;&lt;firstName&gt;S&lt;/firstName&gt;&lt;middleNames&gt;C&lt;/middleNames&gt;&lt;lastName&gt;Thain&lt;/lastName&gt;&lt;/author&gt;&lt;author&gt;&lt;firstName&gt;I&lt;/firstName&gt;&lt;middleNames&gt;S&lt;/middleNames&gt;&lt;lastName&gt;Donnison&lt;/lastName&gt;&lt;/author&gt;&lt;/authors&gt;&lt;/publication&gt;&lt;/publications&gt;&lt;cites&gt;&lt;/cites&gt;&lt;/citation&gt;</w:instrText>
            </w:r>
            <w:r>
              <w:rPr>
                <w:sz w:val="20"/>
                <w:szCs w:val="20"/>
              </w:rPr>
              <w:fldChar w:fldCharType="separate"/>
            </w:r>
            <w:r w:rsidR="001C1AAC">
              <w:rPr>
                <w:sz w:val="20"/>
                <w:szCs w:val="20"/>
              </w:rPr>
              <w:t>(</w:t>
            </w:r>
            <w:r w:rsidR="001C1AAC">
              <w:rPr>
                <w:i/>
                <w:iCs/>
                <w:sz w:val="20"/>
                <w:szCs w:val="20"/>
              </w:rPr>
              <w:t>87</w:t>
            </w:r>
            <w:r w:rsidR="001C1AAC">
              <w:rPr>
                <w:sz w:val="20"/>
                <w:szCs w:val="20"/>
              </w:rPr>
              <w:t>)</w:t>
            </w:r>
            <w:r>
              <w:rPr>
                <w:sz w:val="20"/>
                <w:szCs w:val="20"/>
              </w:rPr>
              <w:fldChar w:fldCharType="end"/>
            </w:r>
          </w:p>
        </w:tc>
        <w:tc>
          <w:tcPr>
            <w:tcW w:w="1100" w:type="dxa"/>
            <w:tcBorders>
              <w:top w:val="nil"/>
              <w:left w:val="nil"/>
              <w:bottom w:val="nil"/>
              <w:right w:val="nil"/>
            </w:tcBorders>
            <w:shd w:val="clear" w:color="auto" w:fill="auto"/>
            <w:textDirection w:val="btLr"/>
            <w:hideMark/>
          </w:tcPr>
          <w:p w14:paraId="51941BF9" w14:textId="77777777" w:rsidR="00807999" w:rsidRDefault="006276BA" w:rsidP="006276BA">
            <w:pPr>
              <w:pStyle w:val="Tables"/>
              <w:rPr>
                <w:sz w:val="20"/>
                <w:szCs w:val="20"/>
              </w:rPr>
            </w:pPr>
            <w:r>
              <w:rPr>
                <w:sz w:val="20"/>
                <w:szCs w:val="20"/>
              </w:rPr>
              <w:fldChar w:fldCharType="begin"/>
            </w:r>
            <w:r w:rsidR="00807999">
              <w:rPr>
                <w:sz w:val="20"/>
                <w:szCs w:val="20"/>
              </w:rPr>
              <w:instrText xml:space="preserve"> ADDIN PAPERS2_CITATIONS &lt;citation&gt;&lt;uuid&gt;B25EB62C-869A-42DA-B73D-56B902542C84&lt;/uuid&gt;&lt;priority&gt;0&lt;/priority&gt;&lt;publications&gt;&lt;publication&gt;&lt;uuid&gt;4460F59D-6619-4457-9151-2F14407B1520&lt;/uuid&gt;&lt;volume&gt;101&lt;/volume&gt;&lt;doi&gt;10.1016/j.biortech.2010.01.112&lt;/doi&gt;&lt;startpage&gt;4646&lt;/startpage&gt;&lt;publication_date&gt;99201006001200000000220000&lt;/publication_date&gt;&lt;url&gt;http://www.sciencedirect.com/science/article/pii/S0960852410001987&lt;/url&gt;&lt;type&gt;400&lt;/type&gt;&lt;title&gt;Influence of inorganic salts on the primary pyrolysis products of cellulose&lt;/title&gt;&lt;institution&gt;Shanks, BH</w:instrText>
            </w:r>
          </w:p>
          <w:p w14:paraId="7C889EF4" w14:textId="77777777" w:rsidR="00807999" w:rsidRDefault="00807999" w:rsidP="006276BA">
            <w:pPr>
              <w:pStyle w:val="Tables"/>
              <w:rPr>
                <w:sz w:val="20"/>
                <w:szCs w:val="20"/>
              </w:rPr>
            </w:pPr>
            <w:r>
              <w:rPr>
                <w:sz w:val="20"/>
                <w:szCs w:val="20"/>
              </w:rPr>
              <w:instrText>Iowa State Univ, Dept Chem &amp;amp; Biol Engn, Ames, IA 50011 USA</w:instrText>
            </w:r>
          </w:p>
          <w:p w14:paraId="5D7B6E03" w14:textId="77777777" w:rsidR="00807999" w:rsidRDefault="00807999" w:rsidP="006276BA">
            <w:pPr>
              <w:pStyle w:val="Tables"/>
              <w:rPr>
                <w:sz w:val="20"/>
                <w:szCs w:val="20"/>
              </w:rPr>
            </w:pPr>
            <w:r>
              <w:rPr>
                <w:sz w:val="20"/>
                <w:szCs w:val="20"/>
              </w:rPr>
              <w:instrText>Iowa State Univ, Dept Chem &amp;amp; Biol Engn, Ames, IA 50011 USA</w:instrText>
            </w:r>
          </w:p>
          <w:p w14:paraId="7FBD1E05" w14:textId="77777777" w:rsidR="00807999" w:rsidRDefault="00807999" w:rsidP="006276BA">
            <w:pPr>
              <w:pStyle w:val="Tables"/>
              <w:rPr>
                <w:sz w:val="20"/>
                <w:szCs w:val="20"/>
              </w:rPr>
            </w:pPr>
            <w:r>
              <w:rPr>
                <w:sz w:val="20"/>
                <w:szCs w:val="20"/>
              </w:rPr>
              <w:instrText>Iowa State Univ, Dept Chem &amp;amp; Biol Engn, Ames, IA 50011 USA</w:instrText>
            </w:r>
          </w:p>
          <w:p w14:paraId="063B2D0D" w14:textId="2C672811" w:rsidR="007D4485" w:rsidRPr="0035658D" w:rsidRDefault="00807999" w:rsidP="006276BA">
            <w:pPr>
              <w:pStyle w:val="Tables"/>
              <w:rPr>
                <w:sz w:val="20"/>
                <w:szCs w:val="20"/>
              </w:rPr>
            </w:pPr>
            <w:r>
              <w:rPr>
                <w:sz w:val="20"/>
                <w:szCs w:val="20"/>
              </w:rPr>
              <w:instrText>Iowa State Univ, Ctr Sustainable Environm Technol, Ames, IA 50011 USA&lt;/institution&gt;&lt;number&gt;12&lt;/number&gt;&lt;subtype&gt;400&lt;/subtype&gt;&lt;endpage&gt;4655&lt;/endpage&gt;&lt;bundle&gt;&lt;publication&gt;&lt;publisher&gt;Elsevier Ltd&lt;/publisher&gt;&lt;title&gt;Bioresource technology&lt;/title&gt;&lt;type&gt;-100&lt;/type&gt;&lt;subtype&gt;-100&lt;/subtype&gt;&lt;uuid&gt;20FABC45-BAD7-4D11-A180-BCA66580D347&lt;/uuid&gt;&lt;/publication&gt;&lt;/bundle&gt;&lt;authors&gt;&lt;author&gt;&lt;firstName&gt;Pushkaraj&lt;/firstName&gt;&lt;middleNames&gt;R&lt;/middleNames&gt;&lt;lastName&gt;Patwardhan&lt;/lastName&gt;&lt;/author&gt;&lt;author&gt;&lt;firstName&gt;J&lt;/firstName&gt;&lt;middleNames&gt;A&lt;/middleNames&gt;&lt;lastName&gt;Satrio&lt;/lastName&gt;&lt;/author&gt;&lt;author&gt;&lt;firstName&gt;Robert&lt;/firstName&gt;&lt;middleNames&gt;C&lt;/middleNames&gt;&lt;lastName&gt;Brown&lt;/lastName&gt;&lt;/author&gt;&lt;author&gt;&lt;firstName&gt;Brent&lt;/firstName&gt;&lt;middleNames&gt;H&lt;/middleNames&gt;&lt;lastName&gt;Shanks&lt;/lastName&gt;&lt;/author&gt;&lt;/authors&gt;&lt;/publication&gt;&lt;/publications&gt;&lt;cites&gt;&lt;/cites&gt;&lt;/citation&gt;</w:instrText>
            </w:r>
            <w:r w:rsidR="006276BA">
              <w:rPr>
                <w:sz w:val="20"/>
                <w:szCs w:val="20"/>
              </w:rPr>
              <w:fldChar w:fldCharType="separate"/>
            </w:r>
            <w:r w:rsidR="001C1AAC">
              <w:rPr>
                <w:sz w:val="20"/>
                <w:szCs w:val="20"/>
              </w:rPr>
              <w:t>(</w:t>
            </w:r>
            <w:r w:rsidR="001C1AAC">
              <w:rPr>
                <w:i/>
                <w:iCs/>
                <w:sz w:val="20"/>
                <w:szCs w:val="20"/>
              </w:rPr>
              <w:t>88</w:t>
            </w:r>
            <w:r w:rsidR="001C1AAC">
              <w:rPr>
                <w:sz w:val="20"/>
                <w:szCs w:val="20"/>
              </w:rPr>
              <w:t>)</w:t>
            </w:r>
            <w:r w:rsidR="006276BA">
              <w:rPr>
                <w:sz w:val="20"/>
                <w:szCs w:val="20"/>
              </w:rPr>
              <w:fldChar w:fldCharType="end"/>
            </w:r>
          </w:p>
        </w:tc>
        <w:tc>
          <w:tcPr>
            <w:tcW w:w="1716" w:type="dxa"/>
            <w:tcBorders>
              <w:top w:val="nil"/>
              <w:left w:val="nil"/>
              <w:bottom w:val="nil"/>
              <w:right w:val="nil"/>
            </w:tcBorders>
            <w:shd w:val="clear" w:color="auto" w:fill="auto"/>
            <w:textDirection w:val="btLr"/>
            <w:hideMark/>
          </w:tcPr>
          <w:p w14:paraId="273C0665" w14:textId="26106D85" w:rsidR="007D4485" w:rsidRPr="0035658D" w:rsidRDefault="006276BA" w:rsidP="006276BA">
            <w:pPr>
              <w:pStyle w:val="Tables"/>
              <w:rPr>
                <w:sz w:val="20"/>
                <w:szCs w:val="20"/>
              </w:rPr>
            </w:pPr>
            <w:r>
              <w:rPr>
                <w:sz w:val="20"/>
                <w:szCs w:val="20"/>
              </w:rPr>
              <w:fldChar w:fldCharType="begin"/>
            </w:r>
            <w:r w:rsidR="00807999">
              <w:rPr>
                <w:sz w:val="20"/>
                <w:szCs w:val="20"/>
              </w:rPr>
              <w:instrText xml:space="preserve"> ADDIN PAPERS2_CITATIONS &lt;citation&gt;&lt;uuid&gt;32B4D620-9BB0-4A71-9089-5F9EBE46B07E&lt;/uuid&gt;&lt;priority&gt;0&lt;/priority&gt;&lt;publications&gt;&lt;publication&gt;&lt;volume&gt;108&lt;/volume&gt;&lt;publication_date&gt;99201407001200000000220000&lt;/publication_date&gt;&lt;doi&gt;10.1016/j.jaap.2014.05.016&lt;/doi&gt;&lt;startpage&gt;56&lt;/startpage&gt;&lt;title&gt;A comprehensive study on relating cell-wall components of lignocellulosic biomass to oxygenated species formed during pyrolysis&lt;/title&gt;&lt;uuid&gt;7FED9759-6353-4731-8DD7-7EE86258EDA2&lt;/uuid&gt;&lt;subtype&gt;400&lt;/subtype&gt;&lt;endpage&gt;67&lt;/endpage&gt;&lt;type&gt;400&lt;/type&gt;&lt;citekey&gt;Mante:2014eu&lt;/citekey&gt;&lt;url&gt;http://linkinghub.elsevier.com/retrieve/pii/S0165237014001223&lt;/url&gt;&lt;bundle&gt;&lt;publication&gt;&lt;publisher&gt;Elsevier B.V.&lt;/publisher&gt;&lt;title&gt;Journal of Analytical and Applied Pyrolysis&lt;/title&gt;&lt;type&gt;-100&lt;/type&gt;&lt;subtype&gt;-100&lt;/subtype&gt;&lt;uuid&gt;D2B451F2-ABD5-4B2D-92A4-9DB1FFA0C21E&lt;/uuid&gt;&lt;/publication&gt;&lt;/bundle&gt;&lt;authors&gt;&lt;author&gt;&lt;firstName&gt;Ofei&lt;/firstName&gt;&lt;middleNames&gt;D&lt;/middleNames&gt;&lt;lastName&gt;Mante&lt;/lastName&gt;&lt;/author&gt;&lt;author&gt;&lt;firstName&gt;Suresh&lt;/firstName&gt;&lt;middleNames&gt;P&lt;/middleNames&gt;&lt;lastName&gt;Babu&lt;/lastName&gt;&lt;/author&gt;&lt;author&gt;&lt;firstName&gt;Thomas&lt;/firstName&gt;&lt;middleNames&gt;E&lt;/middleNames&gt;&lt;lastName&gt;Amidon&lt;/lastName&gt;&lt;/author&gt;&lt;/authors&gt;&lt;/publication&gt;&lt;/publications&gt;&lt;cites&gt;&lt;/cites&gt;&lt;/citation&gt;</w:instrText>
            </w:r>
            <w:r>
              <w:rPr>
                <w:sz w:val="20"/>
                <w:szCs w:val="20"/>
              </w:rPr>
              <w:fldChar w:fldCharType="separate"/>
            </w:r>
            <w:r w:rsidR="001C1AAC">
              <w:rPr>
                <w:sz w:val="20"/>
                <w:szCs w:val="20"/>
              </w:rPr>
              <w:t>(</w:t>
            </w:r>
            <w:r w:rsidR="001C1AAC">
              <w:rPr>
                <w:i/>
                <w:iCs/>
                <w:sz w:val="20"/>
                <w:szCs w:val="20"/>
              </w:rPr>
              <w:t>48</w:t>
            </w:r>
            <w:r w:rsidR="001C1AAC">
              <w:rPr>
                <w:sz w:val="20"/>
                <w:szCs w:val="20"/>
              </w:rPr>
              <w:t>)</w:t>
            </w:r>
            <w:r>
              <w:rPr>
                <w:sz w:val="20"/>
                <w:szCs w:val="20"/>
              </w:rPr>
              <w:fldChar w:fldCharType="end"/>
            </w:r>
          </w:p>
        </w:tc>
        <w:tc>
          <w:tcPr>
            <w:tcW w:w="2404" w:type="dxa"/>
            <w:tcBorders>
              <w:top w:val="nil"/>
              <w:left w:val="nil"/>
              <w:bottom w:val="nil"/>
              <w:right w:val="nil"/>
            </w:tcBorders>
            <w:shd w:val="clear" w:color="auto" w:fill="auto"/>
            <w:textDirection w:val="btLr"/>
            <w:hideMark/>
          </w:tcPr>
          <w:p w14:paraId="44CE0CC9" w14:textId="2B4B273E" w:rsidR="007D4485" w:rsidRPr="0035658D" w:rsidRDefault="006276BA" w:rsidP="006276BA">
            <w:pPr>
              <w:pStyle w:val="Tables"/>
              <w:rPr>
                <w:sz w:val="20"/>
                <w:szCs w:val="20"/>
              </w:rPr>
            </w:pPr>
            <w:r>
              <w:rPr>
                <w:sz w:val="20"/>
                <w:szCs w:val="20"/>
              </w:rPr>
              <w:fldChar w:fldCharType="begin"/>
            </w:r>
            <w:r w:rsidR="00807999">
              <w:rPr>
                <w:sz w:val="20"/>
                <w:szCs w:val="20"/>
              </w:rPr>
              <w:instrText xml:space="preserve"> ADDIN PAPERS2_CITATIONS &lt;citation&gt;&lt;uuid&gt;70E6F66D-96AA-44DC-B604-4599CB250FB6&lt;/uuid&gt;&lt;priority&gt;0&lt;/priority&gt;&lt;publications&gt;&lt;publication&gt;&lt;volume&gt;68-69&lt;/volume&gt;&lt;publication_date&gt;99200308001200000000220000&lt;/publication_date&gt;&lt;doi&gt;10.1016/S0165-2370(03)00065-2&lt;/doi&gt;&lt;startpage&gt;231&lt;/startpage&gt;&lt;title&gt;A comparative kinetic study on the pyrolysis of three different wood species&lt;/title&gt;&lt;uuid&gt;77DDA82E-0983-4838-AF9A-CC99FECABF54&lt;/uuid&gt;&lt;subtype&gt;400&lt;/subtype&gt;&lt;endpage&gt;249&lt;/endpage&gt;&lt;type&gt;400&lt;/type&gt;&lt;url&gt;http://linkinghub.elsevier.com/retrieve/pii/S0165237003000652&lt;/url&gt;&lt;bundle&gt;&lt;publication&gt;&lt;publisher&gt;Elsevier B.V.&lt;/publisher&gt;&lt;title&gt;Journal of Analytical and Applied Pyrolysis&lt;/title&gt;&lt;type&gt;-100&lt;/type&gt;&lt;subtype&gt;-100&lt;/subtype&gt;&lt;uuid&gt;D2B451F2-ABD5-4B2D-92A4-9DB1FFA0C21E&lt;/uuid&gt;&lt;/publication&gt;&lt;/bundle&gt;&lt;authors&gt;&lt;author&gt;&lt;firstName&gt;M&lt;/firstName&gt;&lt;lastName&gt;Müller-Hagedorn&lt;/lastName&gt;&lt;/author&gt;&lt;author&gt;&lt;firstName&gt;H&lt;/firstName&gt;&lt;lastName&gt;Bockhorn&lt;/lastName&gt;&lt;/author&gt;&lt;author&gt;&lt;firstName&gt;L&lt;/firstName&gt;&lt;lastName&gt;Krebs&lt;/lastName&gt;&lt;/author&gt;&lt;author&gt;&lt;firstName&gt;U&lt;/firstName&gt;&lt;lastName&gt;Müller&lt;/lastName&gt;&lt;/author&gt;&lt;/authors&gt;&lt;/publication&gt;&lt;/publications&gt;&lt;cites&gt;&lt;/cites&gt;&lt;/citation&gt;</w:instrText>
            </w:r>
            <w:r>
              <w:rPr>
                <w:sz w:val="20"/>
                <w:szCs w:val="20"/>
              </w:rPr>
              <w:fldChar w:fldCharType="separate"/>
            </w:r>
            <w:r w:rsidR="001C1AAC">
              <w:rPr>
                <w:sz w:val="20"/>
                <w:szCs w:val="20"/>
              </w:rPr>
              <w:t>(</w:t>
            </w:r>
            <w:r w:rsidR="001C1AAC">
              <w:rPr>
                <w:i/>
                <w:iCs/>
                <w:sz w:val="20"/>
                <w:szCs w:val="20"/>
              </w:rPr>
              <w:t>89</w:t>
            </w:r>
            <w:r w:rsidR="001C1AAC">
              <w:rPr>
                <w:sz w:val="20"/>
                <w:szCs w:val="20"/>
              </w:rPr>
              <w:t>)</w:t>
            </w:r>
            <w:r>
              <w:rPr>
                <w:sz w:val="20"/>
                <w:szCs w:val="20"/>
              </w:rPr>
              <w:fldChar w:fldCharType="end"/>
            </w:r>
          </w:p>
        </w:tc>
      </w:tr>
      <w:tr w:rsidR="007D4485" w:rsidRPr="0035658D" w14:paraId="70C58D55" w14:textId="77777777" w:rsidTr="005D2E06">
        <w:trPr>
          <w:trHeight w:val="1469"/>
        </w:trPr>
        <w:tc>
          <w:tcPr>
            <w:tcW w:w="780" w:type="dxa"/>
            <w:tcBorders>
              <w:top w:val="nil"/>
              <w:left w:val="nil"/>
              <w:bottom w:val="nil"/>
              <w:right w:val="nil"/>
            </w:tcBorders>
            <w:shd w:val="clear" w:color="auto" w:fill="auto"/>
            <w:textDirection w:val="btLr"/>
            <w:hideMark/>
          </w:tcPr>
          <w:p w14:paraId="102DEFC3" w14:textId="77777777" w:rsidR="007D4485" w:rsidRPr="00026AA8" w:rsidRDefault="007D4485" w:rsidP="0035658D">
            <w:pPr>
              <w:pStyle w:val="Tables"/>
              <w:rPr>
                <w:b/>
                <w:sz w:val="20"/>
                <w:szCs w:val="20"/>
              </w:rPr>
            </w:pPr>
            <w:r w:rsidRPr="00026AA8">
              <w:rPr>
                <w:b/>
                <w:sz w:val="20"/>
                <w:szCs w:val="20"/>
              </w:rPr>
              <w:t>Thermal conversion condition</w:t>
            </w:r>
          </w:p>
        </w:tc>
        <w:tc>
          <w:tcPr>
            <w:tcW w:w="1288" w:type="dxa"/>
            <w:tcBorders>
              <w:top w:val="nil"/>
              <w:left w:val="nil"/>
              <w:bottom w:val="nil"/>
              <w:right w:val="nil"/>
            </w:tcBorders>
            <w:shd w:val="clear" w:color="auto" w:fill="auto"/>
            <w:textDirection w:val="btLr"/>
            <w:hideMark/>
          </w:tcPr>
          <w:p w14:paraId="4D53C250" w14:textId="77777777" w:rsidR="007D4485" w:rsidRPr="0035658D" w:rsidRDefault="007D4485" w:rsidP="0035658D">
            <w:pPr>
              <w:pStyle w:val="Tables"/>
              <w:rPr>
                <w:sz w:val="20"/>
                <w:szCs w:val="20"/>
              </w:rPr>
            </w:pPr>
            <w:r w:rsidRPr="0035658D">
              <w:rPr>
                <w:sz w:val="20"/>
                <w:szCs w:val="20"/>
              </w:rPr>
              <w:t>400°C, 15 s</w:t>
            </w:r>
          </w:p>
        </w:tc>
        <w:tc>
          <w:tcPr>
            <w:tcW w:w="792" w:type="dxa"/>
            <w:tcBorders>
              <w:top w:val="nil"/>
              <w:left w:val="nil"/>
              <w:bottom w:val="nil"/>
              <w:right w:val="nil"/>
            </w:tcBorders>
            <w:shd w:val="clear" w:color="auto" w:fill="auto"/>
            <w:textDirection w:val="btLr"/>
            <w:hideMark/>
          </w:tcPr>
          <w:p w14:paraId="215252ED" w14:textId="77777777" w:rsidR="007D4485" w:rsidRPr="0035658D" w:rsidRDefault="007D4485" w:rsidP="0035658D">
            <w:pPr>
              <w:pStyle w:val="Tables"/>
              <w:rPr>
                <w:sz w:val="20"/>
                <w:szCs w:val="20"/>
              </w:rPr>
            </w:pPr>
            <w:r w:rsidRPr="0035658D">
              <w:rPr>
                <w:sz w:val="20"/>
                <w:szCs w:val="20"/>
              </w:rPr>
              <w:t>500˚C, 10 s</w:t>
            </w:r>
          </w:p>
        </w:tc>
        <w:tc>
          <w:tcPr>
            <w:tcW w:w="1100" w:type="dxa"/>
            <w:tcBorders>
              <w:top w:val="nil"/>
              <w:left w:val="nil"/>
              <w:bottom w:val="nil"/>
              <w:right w:val="nil"/>
            </w:tcBorders>
            <w:shd w:val="clear" w:color="auto" w:fill="auto"/>
            <w:textDirection w:val="btLr"/>
            <w:hideMark/>
          </w:tcPr>
          <w:p w14:paraId="6E441C18" w14:textId="77777777" w:rsidR="007D4485" w:rsidRPr="0035658D" w:rsidRDefault="007D4485" w:rsidP="0035658D">
            <w:pPr>
              <w:pStyle w:val="Tables"/>
              <w:rPr>
                <w:sz w:val="20"/>
                <w:szCs w:val="20"/>
              </w:rPr>
            </w:pPr>
            <w:r w:rsidRPr="0035658D">
              <w:rPr>
                <w:sz w:val="20"/>
                <w:szCs w:val="20"/>
              </w:rPr>
              <w:t>500 °C, 30 s and a range from 350°C  to 600°C with 50°C increments</w:t>
            </w:r>
          </w:p>
        </w:tc>
        <w:tc>
          <w:tcPr>
            <w:tcW w:w="1716" w:type="dxa"/>
            <w:tcBorders>
              <w:top w:val="nil"/>
              <w:left w:val="nil"/>
              <w:bottom w:val="nil"/>
              <w:right w:val="nil"/>
            </w:tcBorders>
            <w:shd w:val="clear" w:color="auto" w:fill="auto"/>
            <w:textDirection w:val="btLr"/>
            <w:hideMark/>
          </w:tcPr>
          <w:p w14:paraId="45F6C84B" w14:textId="77777777" w:rsidR="007D4485" w:rsidRPr="0035658D" w:rsidRDefault="007D4485" w:rsidP="0035658D">
            <w:pPr>
              <w:pStyle w:val="Tables"/>
              <w:rPr>
                <w:sz w:val="20"/>
                <w:szCs w:val="20"/>
              </w:rPr>
            </w:pPr>
            <w:r w:rsidRPr="0035658D">
              <w:rPr>
                <w:sz w:val="20"/>
                <w:szCs w:val="20"/>
              </w:rPr>
              <w:t>550˚C , 20 s</w:t>
            </w:r>
          </w:p>
        </w:tc>
        <w:tc>
          <w:tcPr>
            <w:tcW w:w="2404" w:type="dxa"/>
            <w:tcBorders>
              <w:top w:val="nil"/>
              <w:left w:val="nil"/>
              <w:bottom w:val="nil"/>
              <w:right w:val="nil"/>
            </w:tcBorders>
            <w:shd w:val="clear" w:color="auto" w:fill="auto"/>
            <w:textDirection w:val="btLr"/>
            <w:hideMark/>
          </w:tcPr>
          <w:p w14:paraId="276EBD97" w14:textId="77777777" w:rsidR="007D4485" w:rsidRPr="0035658D" w:rsidRDefault="007D4485" w:rsidP="0035658D">
            <w:pPr>
              <w:pStyle w:val="Tables"/>
              <w:rPr>
                <w:sz w:val="20"/>
                <w:szCs w:val="20"/>
              </w:rPr>
            </w:pPr>
            <w:r w:rsidRPr="0035658D">
              <w:rPr>
                <w:sz w:val="20"/>
                <w:szCs w:val="20"/>
              </w:rPr>
              <w:t>280°C, 20 min , 100~500°C</w:t>
            </w:r>
          </w:p>
        </w:tc>
      </w:tr>
      <w:tr w:rsidR="007D4485" w:rsidRPr="0035658D" w14:paraId="05F554EA" w14:textId="77777777" w:rsidTr="005D2E06">
        <w:trPr>
          <w:cantSplit/>
          <w:trHeight w:val="2045"/>
        </w:trPr>
        <w:tc>
          <w:tcPr>
            <w:tcW w:w="780" w:type="dxa"/>
            <w:tcBorders>
              <w:top w:val="nil"/>
              <w:left w:val="nil"/>
              <w:bottom w:val="nil"/>
              <w:right w:val="nil"/>
            </w:tcBorders>
            <w:shd w:val="clear" w:color="auto" w:fill="auto"/>
            <w:textDirection w:val="btLr"/>
            <w:hideMark/>
          </w:tcPr>
          <w:p w14:paraId="65CBE2F9" w14:textId="77777777" w:rsidR="007D4485" w:rsidRPr="00026AA8" w:rsidRDefault="007D4485" w:rsidP="0035658D">
            <w:pPr>
              <w:pStyle w:val="Tables"/>
              <w:rPr>
                <w:b/>
                <w:sz w:val="20"/>
                <w:szCs w:val="20"/>
              </w:rPr>
            </w:pPr>
            <w:r w:rsidRPr="00026AA8">
              <w:rPr>
                <w:b/>
                <w:sz w:val="20"/>
                <w:szCs w:val="20"/>
              </w:rPr>
              <w:t>Sample type</w:t>
            </w:r>
          </w:p>
        </w:tc>
        <w:tc>
          <w:tcPr>
            <w:tcW w:w="1288" w:type="dxa"/>
            <w:tcBorders>
              <w:top w:val="nil"/>
              <w:left w:val="nil"/>
              <w:bottom w:val="nil"/>
              <w:right w:val="nil"/>
            </w:tcBorders>
            <w:shd w:val="clear" w:color="auto" w:fill="auto"/>
            <w:textDirection w:val="btLr"/>
            <w:hideMark/>
          </w:tcPr>
          <w:p w14:paraId="59CF5647" w14:textId="77777777" w:rsidR="007D4485" w:rsidRPr="0035658D" w:rsidRDefault="007D4485" w:rsidP="0035658D">
            <w:pPr>
              <w:pStyle w:val="Tables"/>
              <w:rPr>
                <w:sz w:val="20"/>
                <w:szCs w:val="20"/>
              </w:rPr>
            </w:pPr>
            <w:r w:rsidRPr="0035658D">
              <w:rPr>
                <w:sz w:val="20"/>
                <w:szCs w:val="20"/>
              </w:rPr>
              <w:t>Cellulose with acid-washed and unwashed red oak char</w:t>
            </w:r>
          </w:p>
        </w:tc>
        <w:tc>
          <w:tcPr>
            <w:tcW w:w="792" w:type="dxa"/>
            <w:tcBorders>
              <w:top w:val="nil"/>
              <w:left w:val="nil"/>
              <w:bottom w:val="nil"/>
              <w:right w:val="nil"/>
            </w:tcBorders>
            <w:shd w:val="clear" w:color="auto" w:fill="auto"/>
            <w:textDirection w:val="btLr"/>
            <w:hideMark/>
          </w:tcPr>
          <w:p w14:paraId="022DCA3F" w14:textId="77777777" w:rsidR="007D4485" w:rsidRPr="0035658D" w:rsidRDefault="007D4485" w:rsidP="0035658D">
            <w:pPr>
              <w:pStyle w:val="Tables"/>
              <w:rPr>
                <w:sz w:val="20"/>
                <w:szCs w:val="20"/>
              </w:rPr>
            </w:pPr>
            <w:r w:rsidRPr="0035658D">
              <w:rPr>
                <w:sz w:val="20"/>
                <w:szCs w:val="20"/>
              </w:rPr>
              <w:t>Washed and unwashed lolium, festuca, willow, and switchgrass biomass</w:t>
            </w:r>
          </w:p>
        </w:tc>
        <w:tc>
          <w:tcPr>
            <w:tcW w:w="1100" w:type="dxa"/>
            <w:tcBorders>
              <w:top w:val="nil"/>
              <w:left w:val="nil"/>
              <w:bottom w:val="nil"/>
              <w:right w:val="nil"/>
            </w:tcBorders>
            <w:shd w:val="clear" w:color="auto" w:fill="auto"/>
            <w:textDirection w:val="btLr"/>
            <w:hideMark/>
          </w:tcPr>
          <w:p w14:paraId="31B48E4E" w14:textId="77777777" w:rsidR="007D4485" w:rsidRPr="0035658D" w:rsidRDefault="007D4485" w:rsidP="0035658D">
            <w:pPr>
              <w:pStyle w:val="Tables"/>
              <w:rPr>
                <w:sz w:val="20"/>
                <w:szCs w:val="20"/>
              </w:rPr>
            </w:pPr>
            <w:r w:rsidRPr="0035658D">
              <w:rPr>
                <w:sz w:val="20"/>
                <w:szCs w:val="20"/>
              </w:rPr>
              <w:t xml:space="preserve">Microcrystalline powdered cellulose impregnated with salt or switchgrass ash solution. </w:t>
            </w:r>
          </w:p>
        </w:tc>
        <w:tc>
          <w:tcPr>
            <w:tcW w:w="1716" w:type="dxa"/>
            <w:tcBorders>
              <w:top w:val="nil"/>
              <w:left w:val="nil"/>
              <w:bottom w:val="nil"/>
              <w:right w:val="nil"/>
            </w:tcBorders>
            <w:shd w:val="clear" w:color="auto" w:fill="auto"/>
            <w:textDirection w:val="btLr"/>
            <w:hideMark/>
          </w:tcPr>
          <w:p w14:paraId="76C421BF" w14:textId="77777777" w:rsidR="007D4485" w:rsidRPr="0035658D" w:rsidRDefault="007D4485" w:rsidP="0035658D">
            <w:pPr>
              <w:pStyle w:val="Tables"/>
              <w:rPr>
                <w:sz w:val="20"/>
                <w:szCs w:val="20"/>
              </w:rPr>
            </w:pPr>
            <w:r w:rsidRPr="0035658D">
              <w:rPr>
                <w:sz w:val="20"/>
                <w:szCs w:val="20"/>
              </w:rPr>
              <w:t>Poplar, willow, switchgrass, hot-water extracted sugar maple, and debarked sugar maple.</w:t>
            </w:r>
          </w:p>
        </w:tc>
        <w:tc>
          <w:tcPr>
            <w:tcW w:w="2404" w:type="dxa"/>
            <w:tcBorders>
              <w:top w:val="nil"/>
              <w:left w:val="nil"/>
              <w:bottom w:val="nil"/>
              <w:right w:val="nil"/>
            </w:tcBorders>
            <w:shd w:val="clear" w:color="auto" w:fill="auto"/>
            <w:textDirection w:val="btLr"/>
            <w:hideMark/>
          </w:tcPr>
          <w:p w14:paraId="5D4FA44E" w14:textId="77777777" w:rsidR="007D4485" w:rsidRPr="0035658D" w:rsidRDefault="007D4485" w:rsidP="0035658D">
            <w:pPr>
              <w:pStyle w:val="Tables"/>
              <w:rPr>
                <w:sz w:val="20"/>
                <w:szCs w:val="20"/>
              </w:rPr>
            </w:pPr>
            <w:r w:rsidRPr="0035658D">
              <w:rPr>
                <w:sz w:val="20"/>
                <w:szCs w:val="20"/>
              </w:rPr>
              <w:t>Hornbeam wood washed and mixed with salts</w:t>
            </w:r>
          </w:p>
        </w:tc>
      </w:tr>
      <w:tr w:rsidR="007D4485" w:rsidRPr="0035658D" w14:paraId="2BF6425B" w14:textId="77777777" w:rsidTr="005D2E06">
        <w:trPr>
          <w:cantSplit/>
          <w:trHeight w:val="3134"/>
        </w:trPr>
        <w:tc>
          <w:tcPr>
            <w:tcW w:w="780" w:type="dxa"/>
            <w:tcBorders>
              <w:top w:val="nil"/>
              <w:left w:val="nil"/>
              <w:bottom w:val="nil"/>
              <w:right w:val="nil"/>
            </w:tcBorders>
            <w:shd w:val="clear" w:color="auto" w:fill="auto"/>
            <w:textDirection w:val="btLr"/>
            <w:hideMark/>
          </w:tcPr>
          <w:p w14:paraId="2FC75B38" w14:textId="77777777" w:rsidR="007D4485" w:rsidRPr="00026AA8" w:rsidRDefault="007D4485" w:rsidP="0035658D">
            <w:pPr>
              <w:pStyle w:val="Tables"/>
              <w:rPr>
                <w:b/>
                <w:sz w:val="20"/>
                <w:szCs w:val="20"/>
              </w:rPr>
            </w:pPr>
            <w:r w:rsidRPr="00026AA8">
              <w:rPr>
                <w:b/>
                <w:sz w:val="20"/>
                <w:szCs w:val="20"/>
              </w:rPr>
              <w:t>Effect on products (Dependent variable)</w:t>
            </w:r>
          </w:p>
        </w:tc>
        <w:tc>
          <w:tcPr>
            <w:tcW w:w="1288" w:type="dxa"/>
            <w:tcBorders>
              <w:top w:val="nil"/>
              <w:left w:val="nil"/>
              <w:bottom w:val="nil"/>
              <w:right w:val="nil"/>
            </w:tcBorders>
            <w:shd w:val="clear" w:color="auto" w:fill="auto"/>
            <w:textDirection w:val="btLr"/>
            <w:hideMark/>
          </w:tcPr>
          <w:p w14:paraId="0E032E64" w14:textId="77777777" w:rsidR="007D4485" w:rsidRPr="0035658D" w:rsidRDefault="007D4485" w:rsidP="0035658D">
            <w:pPr>
              <w:pStyle w:val="Tables"/>
              <w:rPr>
                <w:sz w:val="20"/>
                <w:szCs w:val="20"/>
              </w:rPr>
            </w:pPr>
            <w:r w:rsidRPr="0035658D">
              <w:rPr>
                <w:sz w:val="20"/>
                <w:szCs w:val="20"/>
              </w:rPr>
              <w:t>Cellulose with the acid washed char produces more levoglucosan but less formic acid, furane-type derivatives, and light oxygenates, than cellulose with unwashed char.</w:t>
            </w:r>
          </w:p>
        </w:tc>
        <w:tc>
          <w:tcPr>
            <w:tcW w:w="792" w:type="dxa"/>
            <w:tcBorders>
              <w:top w:val="nil"/>
              <w:left w:val="nil"/>
              <w:bottom w:val="nil"/>
              <w:right w:val="nil"/>
            </w:tcBorders>
            <w:shd w:val="clear" w:color="auto" w:fill="auto"/>
            <w:textDirection w:val="btLr"/>
            <w:hideMark/>
          </w:tcPr>
          <w:p w14:paraId="2B176AE7" w14:textId="29673DC2" w:rsidR="007D4485" w:rsidRPr="0035658D" w:rsidRDefault="007D4485" w:rsidP="0035658D">
            <w:pPr>
              <w:pStyle w:val="Tables"/>
              <w:rPr>
                <w:sz w:val="20"/>
                <w:szCs w:val="20"/>
              </w:rPr>
            </w:pPr>
            <w:r w:rsidRPr="0035658D">
              <w:rPr>
                <w:sz w:val="20"/>
                <w:szCs w:val="20"/>
              </w:rPr>
              <w:t xml:space="preserve">Washed samples yield more levoglucosan, </w:t>
            </w:r>
            <w:r>
              <w:rPr>
                <w:sz w:val="20"/>
                <w:szCs w:val="20"/>
              </w:rPr>
              <w:t>hydroxyl-</w:t>
            </w:r>
            <w:r w:rsidRPr="0035658D">
              <w:rPr>
                <w:sz w:val="20"/>
                <w:szCs w:val="20"/>
              </w:rPr>
              <w:t>acetaldehyde, and char than unwashed samples.</w:t>
            </w:r>
          </w:p>
        </w:tc>
        <w:tc>
          <w:tcPr>
            <w:tcW w:w="1100" w:type="dxa"/>
            <w:tcBorders>
              <w:top w:val="nil"/>
              <w:left w:val="nil"/>
              <w:bottom w:val="nil"/>
              <w:right w:val="nil"/>
            </w:tcBorders>
            <w:shd w:val="clear" w:color="auto" w:fill="auto"/>
            <w:textDirection w:val="btLr"/>
            <w:hideMark/>
          </w:tcPr>
          <w:p w14:paraId="3C6CD8B7" w14:textId="78B9013B" w:rsidR="007D4485" w:rsidRPr="0035658D" w:rsidRDefault="007D4485" w:rsidP="0035658D">
            <w:pPr>
              <w:pStyle w:val="Tables"/>
              <w:rPr>
                <w:sz w:val="20"/>
                <w:szCs w:val="20"/>
              </w:rPr>
            </w:pPr>
            <w:r w:rsidRPr="0035658D">
              <w:rPr>
                <w:sz w:val="20"/>
                <w:szCs w:val="20"/>
              </w:rPr>
              <w:t>Impregnated samples produce less levoglucosan, but more glycol</w:t>
            </w:r>
            <w:r>
              <w:rPr>
                <w:sz w:val="20"/>
                <w:szCs w:val="20"/>
              </w:rPr>
              <w:t>-</w:t>
            </w:r>
            <w:r w:rsidRPr="0035658D">
              <w:rPr>
                <w:sz w:val="20"/>
                <w:szCs w:val="20"/>
              </w:rPr>
              <w:t>aldehyde and and acetol, compared to untreated cellulose.</w:t>
            </w:r>
          </w:p>
        </w:tc>
        <w:tc>
          <w:tcPr>
            <w:tcW w:w="1716" w:type="dxa"/>
            <w:tcBorders>
              <w:top w:val="nil"/>
              <w:left w:val="nil"/>
              <w:bottom w:val="nil"/>
              <w:right w:val="nil"/>
            </w:tcBorders>
            <w:shd w:val="clear" w:color="auto" w:fill="auto"/>
            <w:textDirection w:val="btLr"/>
            <w:hideMark/>
          </w:tcPr>
          <w:p w14:paraId="36C2B22F" w14:textId="682C1FA7" w:rsidR="007D4485" w:rsidRPr="0035658D" w:rsidRDefault="007D4485" w:rsidP="0035658D">
            <w:pPr>
              <w:pStyle w:val="Tables"/>
              <w:rPr>
                <w:sz w:val="20"/>
                <w:szCs w:val="20"/>
              </w:rPr>
            </w:pPr>
            <w:r w:rsidRPr="0035658D">
              <w:rPr>
                <w:sz w:val="20"/>
                <w:szCs w:val="20"/>
              </w:rPr>
              <w:t>Ash negatively correlates with hydroxyacetaldehyde and  phenolic compounds, such as, trimethoxy</w:t>
            </w:r>
            <w:r>
              <w:rPr>
                <w:sz w:val="20"/>
                <w:szCs w:val="20"/>
              </w:rPr>
              <w:t>-</w:t>
            </w:r>
            <w:r w:rsidRPr="0035658D">
              <w:rPr>
                <w:sz w:val="20"/>
                <w:szCs w:val="20"/>
              </w:rPr>
              <w:t>benzene, syringol, 4-allyl-2,6-di</w:t>
            </w:r>
            <w:r>
              <w:rPr>
                <w:sz w:val="20"/>
                <w:szCs w:val="20"/>
              </w:rPr>
              <w:t>-</w:t>
            </w:r>
            <w:r w:rsidRPr="0035658D">
              <w:rPr>
                <w:sz w:val="20"/>
                <w:szCs w:val="20"/>
              </w:rPr>
              <w:t>methoxyphenol, syringaldehyde, 3,5-dimethoxy-4-hydroxy</w:t>
            </w:r>
            <w:r>
              <w:rPr>
                <w:sz w:val="20"/>
                <w:szCs w:val="20"/>
              </w:rPr>
              <w:t>-</w:t>
            </w:r>
            <w:r w:rsidRPr="0035658D">
              <w:rPr>
                <w:sz w:val="20"/>
                <w:szCs w:val="20"/>
              </w:rPr>
              <w:t>cinnamaldehyde.</w:t>
            </w:r>
          </w:p>
        </w:tc>
        <w:tc>
          <w:tcPr>
            <w:tcW w:w="2404" w:type="dxa"/>
            <w:tcBorders>
              <w:top w:val="nil"/>
              <w:left w:val="nil"/>
              <w:bottom w:val="nil"/>
              <w:right w:val="nil"/>
            </w:tcBorders>
            <w:shd w:val="clear" w:color="auto" w:fill="auto"/>
            <w:textDirection w:val="btLr"/>
            <w:hideMark/>
          </w:tcPr>
          <w:p w14:paraId="663A7669" w14:textId="77777777" w:rsidR="007D4485" w:rsidRPr="0035658D" w:rsidRDefault="007D4485" w:rsidP="0035658D">
            <w:pPr>
              <w:pStyle w:val="Tables"/>
              <w:rPr>
                <w:sz w:val="20"/>
                <w:szCs w:val="20"/>
              </w:rPr>
            </w:pPr>
            <w:r w:rsidRPr="0035658D">
              <w:rPr>
                <w:sz w:val="20"/>
                <w:szCs w:val="20"/>
              </w:rPr>
              <w:t xml:space="preserve">Washed wood wtih calcium salt added produces more C6H8O2 compound compared to washed wood with no additive. Samples wtih sodium salt and potassium salt added produce less 2-Hydroxy-butanedial,  4-Hydroxy-5,6-dihydro-(2H)-pyran-2-one, and levoglucosan, but more tetrahydro-4-hydroxy-pyran-2-one, compared to washed samples. </w:t>
            </w:r>
          </w:p>
        </w:tc>
      </w:tr>
      <w:tr w:rsidR="007D4485" w:rsidRPr="0035658D" w14:paraId="0EB5D73A" w14:textId="77777777" w:rsidTr="005D2E06">
        <w:trPr>
          <w:cantSplit/>
          <w:trHeight w:val="1622"/>
        </w:trPr>
        <w:tc>
          <w:tcPr>
            <w:tcW w:w="780" w:type="dxa"/>
            <w:tcBorders>
              <w:top w:val="nil"/>
              <w:left w:val="nil"/>
              <w:bottom w:val="nil"/>
              <w:right w:val="nil"/>
            </w:tcBorders>
            <w:shd w:val="clear" w:color="auto" w:fill="auto"/>
            <w:textDirection w:val="btLr"/>
            <w:hideMark/>
          </w:tcPr>
          <w:p w14:paraId="215C6405" w14:textId="20D81348" w:rsidR="007D4485" w:rsidRPr="00026AA8" w:rsidRDefault="007D4485" w:rsidP="00865FDD">
            <w:pPr>
              <w:pStyle w:val="Tables"/>
              <w:rPr>
                <w:b/>
                <w:sz w:val="20"/>
                <w:szCs w:val="20"/>
              </w:rPr>
            </w:pPr>
            <w:r w:rsidRPr="00026AA8">
              <w:rPr>
                <w:b/>
                <w:sz w:val="20"/>
                <w:szCs w:val="20"/>
              </w:rPr>
              <w:t>Independent variable</w:t>
            </w:r>
          </w:p>
        </w:tc>
        <w:tc>
          <w:tcPr>
            <w:tcW w:w="1288" w:type="dxa"/>
            <w:tcBorders>
              <w:top w:val="nil"/>
              <w:left w:val="nil"/>
              <w:bottom w:val="nil"/>
              <w:right w:val="nil"/>
            </w:tcBorders>
            <w:shd w:val="clear" w:color="auto" w:fill="auto"/>
            <w:textDirection w:val="btLr"/>
            <w:hideMark/>
          </w:tcPr>
          <w:p w14:paraId="7075C7D0" w14:textId="77777777" w:rsidR="007D4485" w:rsidRPr="0035658D" w:rsidRDefault="007D4485" w:rsidP="0035658D">
            <w:pPr>
              <w:pStyle w:val="Tables"/>
              <w:rPr>
                <w:sz w:val="20"/>
                <w:szCs w:val="20"/>
              </w:rPr>
            </w:pPr>
            <w:r w:rsidRPr="0035658D">
              <w:rPr>
                <w:sz w:val="20"/>
                <w:szCs w:val="20"/>
              </w:rPr>
              <w:t>Decrease minerals by acid wash</w:t>
            </w:r>
          </w:p>
        </w:tc>
        <w:tc>
          <w:tcPr>
            <w:tcW w:w="792" w:type="dxa"/>
            <w:tcBorders>
              <w:top w:val="nil"/>
              <w:left w:val="nil"/>
              <w:bottom w:val="nil"/>
              <w:right w:val="nil"/>
            </w:tcBorders>
            <w:shd w:val="clear" w:color="auto" w:fill="auto"/>
            <w:textDirection w:val="btLr"/>
            <w:hideMark/>
          </w:tcPr>
          <w:p w14:paraId="717F7903" w14:textId="77777777" w:rsidR="007D4485" w:rsidRPr="0035658D" w:rsidRDefault="007D4485" w:rsidP="0035658D">
            <w:pPr>
              <w:pStyle w:val="Tables"/>
              <w:rPr>
                <w:sz w:val="20"/>
                <w:szCs w:val="20"/>
              </w:rPr>
            </w:pPr>
            <w:r w:rsidRPr="0035658D">
              <w:rPr>
                <w:sz w:val="20"/>
                <w:szCs w:val="20"/>
              </w:rPr>
              <w:t>Decrease of K and Na by washing</w:t>
            </w:r>
          </w:p>
        </w:tc>
        <w:tc>
          <w:tcPr>
            <w:tcW w:w="1100" w:type="dxa"/>
            <w:tcBorders>
              <w:top w:val="nil"/>
              <w:left w:val="nil"/>
              <w:bottom w:val="nil"/>
              <w:right w:val="nil"/>
            </w:tcBorders>
            <w:shd w:val="clear" w:color="auto" w:fill="auto"/>
            <w:textDirection w:val="btLr"/>
            <w:hideMark/>
          </w:tcPr>
          <w:p w14:paraId="42524B12" w14:textId="29C5F3FC" w:rsidR="007D4485" w:rsidRPr="0035658D" w:rsidRDefault="007D4485" w:rsidP="0035658D">
            <w:pPr>
              <w:pStyle w:val="Tables"/>
              <w:rPr>
                <w:sz w:val="20"/>
                <w:szCs w:val="20"/>
              </w:rPr>
            </w:pPr>
            <w:r>
              <w:rPr>
                <w:sz w:val="20"/>
                <w:szCs w:val="20"/>
              </w:rPr>
              <w:t>I</w:t>
            </w:r>
            <w:r w:rsidRPr="0035658D">
              <w:rPr>
                <w:sz w:val="20"/>
                <w:szCs w:val="20"/>
              </w:rPr>
              <w:t>mpregnation with NaCl, KCl, MgCl2,</w:t>
            </w:r>
            <w:r>
              <w:rPr>
                <w:sz w:val="20"/>
                <w:szCs w:val="20"/>
              </w:rPr>
              <w:t xml:space="preserve"> </w:t>
            </w:r>
            <w:r w:rsidRPr="0035658D">
              <w:rPr>
                <w:sz w:val="20"/>
                <w:szCs w:val="20"/>
              </w:rPr>
              <w:t>CaCl2, Ca(OH)2, Ca(NO3)2, CaCO3 and CaHPO4</w:t>
            </w:r>
          </w:p>
        </w:tc>
        <w:tc>
          <w:tcPr>
            <w:tcW w:w="1716" w:type="dxa"/>
            <w:tcBorders>
              <w:top w:val="nil"/>
              <w:left w:val="nil"/>
              <w:bottom w:val="nil"/>
              <w:right w:val="nil"/>
            </w:tcBorders>
            <w:shd w:val="clear" w:color="auto" w:fill="auto"/>
            <w:textDirection w:val="btLr"/>
            <w:hideMark/>
          </w:tcPr>
          <w:p w14:paraId="6A16C96D" w14:textId="77777777" w:rsidR="007D4485" w:rsidRPr="0035658D" w:rsidRDefault="007D4485" w:rsidP="0035658D">
            <w:pPr>
              <w:pStyle w:val="Tables"/>
              <w:rPr>
                <w:sz w:val="20"/>
                <w:szCs w:val="20"/>
              </w:rPr>
            </w:pPr>
            <w:r w:rsidRPr="0035658D">
              <w:rPr>
                <w:sz w:val="20"/>
                <w:szCs w:val="20"/>
              </w:rPr>
              <w:t xml:space="preserve">Natural variation in ash </w:t>
            </w:r>
          </w:p>
        </w:tc>
        <w:tc>
          <w:tcPr>
            <w:tcW w:w="2404" w:type="dxa"/>
            <w:tcBorders>
              <w:top w:val="nil"/>
              <w:left w:val="nil"/>
              <w:bottom w:val="nil"/>
              <w:right w:val="nil"/>
            </w:tcBorders>
            <w:shd w:val="clear" w:color="auto" w:fill="auto"/>
            <w:textDirection w:val="btLr"/>
            <w:hideMark/>
          </w:tcPr>
          <w:p w14:paraId="073A5D47" w14:textId="77777777" w:rsidR="007D4485" w:rsidRPr="0035658D" w:rsidRDefault="007D4485" w:rsidP="0035658D">
            <w:pPr>
              <w:pStyle w:val="Tables"/>
              <w:rPr>
                <w:sz w:val="20"/>
                <w:szCs w:val="20"/>
              </w:rPr>
            </w:pPr>
            <w:r w:rsidRPr="0035658D">
              <w:rPr>
                <w:sz w:val="20"/>
                <w:szCs w:val="20"/>
              </w:rPr>
              <w:t>Increase mineral content by adding CaCl2,NaCl, KCl, K2SO4,KHCO3 individually to washed wood</w:t>
            </w:r>
          </w:p>
        </w:tc>
      </w:tr>
      <w:tr w:rsidR="007D4485" w:rsidRPr="0035658D" w14:paraId="788A958D" w14:textId="77777777" w:rsidTr="005D2E06">
        <w:trPr>
          <w:cantSplit/>
          <w:trHeight w:val="929"/>
        </w:trPr>
        <w:tc>
          <w:tcPr>
            <w:tcW w:w="780" w:type="dxa"/>
            <w:tcBorders>
              <w:top w:val="nil"/>
              <w:left w:val="nil"/>
              <w:bottom w:val="nil"/>
              <w:right w:val="nil"/>
            </w:tcBorders>
            <w:shd w:val="clear" w:color="auto" w:fill="auto"/>
            <w:textDirection w:val="btLr"/>
            <w:hideMark/>
          </w:tcPr>
          <w:p w14:paraId="710E804B" w14:textId="77777777" w:rsidR="007D4485" w:rsidRPr="00026AA8" w:rsidRDefault="007D4485" w:rsidP="0035658D">
            <w:pPr>
              <w:pStyle w:val="Tables"/>
              <w:rPr>
                <w:b/>
                <w:sz w:val="20"/>
                <w:szCs w:val="20"/>
              </w:rPr>
            </w:pPr>
            <w:r w:rsidRPr="00026AA8">
              <w:rPr>
                <w:b/>
                <w:sz w:val="20"/>
                <w:szCs w:val="20"/>
              </w:rPr>
              <w:t>Biomass component</w:t>
            </w:r>
          </w:p>
        </w:tc>
        <w:tc>
          <w:tcPr>
            <w:tcW w:w="1288" w:type="dxa"/>
            <w:tcBorders>
              <w:top w:val="nil"/>
              <w:left w:val="nil"/>
              <w:bottom w:val="nil"/>
              <w:right w:val="nil"/>
            </w:tcBorders>
            <w:shd w:val="clear" w:color="auto" w:fill="auto"/>
            <w:textDirection w:val="btLr"/>
            <w:hideMark/>
          </w:tcPr>
          <w:p w14:paraId="545CAE3D" w14:textId="77777777" w:rsidR="007D4485" w:rsidRPr="0035658D" w:rsidRDefault="007D4485" w:rsidP="0035658D">
            <w:pPr>
              <w:pStyle w:val="Tables"/>
              <w:rPr>
                <w:sz w:val="20"/>
                <w:szCs w:val="20"/>
              </w:rPr>
            </w:pPr>
            <w:r w:rsidRPr="0035658D">
              <w:rPr>
                <w:sz w:val="20"/>
                <w:szCs w:val="20"/>
              </w:rPr>
              <w:t>Mineral content</w:t>
            </w:r>
          </w:p>
        </w:tc>
        <w:tc>
          <w:tcPr>
            <w:tcW w:w="792" w:type="dxa"/>
            <w:tcBorders>
              <w:top w:val="nil"/>
              <w:left w:val="nil"/>
              <w:bottom w:val="nil"/>
              <w:right w:val="nil"/>
            </w:tcBorders>
            <w:shd w:val="clear" w:color="auto" w:fill="auto"/>
            <w:textDirection w:val="btLr"/>
            <w:hideMark/>
          </w:tcPr>
          <w:p w14:paraId="029530B5" w14:textId="77777777" w:rsidR="007D4485" w:rsidRPr="0035658D" w:rsidRDefault="007D4485" w:rsidP="0035658D">
            <w:pPr>
              <w:pStyle w:val="Tables"/>
              <w:rPr>
                <w:sz w:val="20"/>
                <w:szCs w:val="20"/>
              </w:rPr>
            </w:pPr>
            <w:r w:rsidRPr="0035658D">
              <w:rPr>
                <w:sz w:val="20"/>
                <w:szCs w:val="20"/>
              </w:rPr>
              <w:t>Mineral content</w:t>
            </w:r>
          </w:p>
        </w:tc>
        <w:tc>
          <w:tcPr>
            <w:tcW w:w="1100" w:type="dxa"/>
            <w:tcBorders>
              <w:top w:val="nil"/>
              <w:left w:val="nil"/>
              <w:bottom w:val="nil"/>
              <w:right w:val="nil"/>
            </w:tcBorders>
            <w:shd w:val="clear" w:color="auto" w:fill="auto"/>
            <w:textDirection w:val="btLr"/>
            <w:hideMark/>
          </w:tcPr>
          <w:p w14:paraId="307A3B5D" w14:textId="77777777" w:rsidR="007D4485" w:rsidRPr="0035658D" w:rsidRDefault="007D4485" w:rsidP="0035658D">
            <w:pPr>
              <w:pStyle w:val="Tables"/>
              <w:rPr>
                <w:sz w:val="20"/>
                <w:szCs w:val="20"/>
              </w:rPr>
            </w:pPr>
            <w:r w:rsidRPr="0035658D">
              <w:rPr>
                <w:sz w:val="20"/>
                <w:szCs w:val="20"/>
              </w:rPr>
              <w:t>Mineral content</w:t>
            </w:r>
          </w:p>
        </w:tc>
        <w:tc>
          <w:tcPr>
            <w:tcW w:w="1716" w:type="dxa"/>
            <w:tcBorders>
              <w:top w:val="nil"/>
              <w:left w:val="nil"/>
              <w:bottom w:val="nil"/>
              <w:right w:val="nil"/>
            </w:tcBorders>
            <w:shd w:val="clear" w:color="auto" w:fill="auto"/>
            <w:textDirection w:val="btLr"/>
            <w:hideMark/>
          </w:tcPr>
          <w:p w14:paraId="5C442DB0" w14:textId="77777777" w:rsidR="007D4485" w:rsidRPr="0035658D" w:rsidRDefault="007D4485" w:rsidP="0035658D">
            <w:pPr>
              <w:pStyle w:val="Tables"/>
              <w:rPr>
                <w:sz w:val="20"/>
                <w:szCs w:val="20"/>
              </w:rPr>
            </w:pPr>
            <w:r w:rsidRPr="0035658D">
              <w:rPr>
                <w:sz w:val="20"/>
                <w:szCs w:val="20"/>
              </w:rPr>
              <w:t>Mineral content</w:t>
            </w:r>
          </w:p>
        </w:tc>
        <w:tc>
          <w:tcPr>
            <w:tcW w:w="2404" w:type="dxa"/>
            <w:tcBorders>
              <w:top w:val="nil"/>
              <w:left w:val="nil"/>
              <w:bottom w:val="nil"/>
              <w:right w:val="nil"/>
            </w:tcBorders>
            <w:shd w:val="clear" w:color="auto" w:fill="auto"/>
            <w:textDirection w:val="btLr"/>
            <w:hideMark/>
          </w:tcPr>
          <w:p w14:paraId="3E998DAF" w14:textId="77777777" w:rsidR="007D4485" w:rsidRPr="0035658D" w:rsidRDefault="007D4485" w:rsidP="0035658D">
            <w:pPr>
              <w:pStyle w:val="Tables"/>
              <w:rPr>
                <w:sz w:val="20"/>
                <w:szCs w:val="20"/>
              </w:rPr>
            </w:pPr>
            <w:r w:rsidRPr="0035658D">
              <w:rPr>
                <w:sz w:val="20"/>
                <w:szCs w:val="20"/>
              </w:rPr>
              <w:t>Mineral content</w:t>
            </w:r>
          </w:p>
        </w:tc>
      </w:tr>
      <w:tr w:rsidR="007D4485" w:rsidRPr="0035658D" w14:paraId="15DE01F3" w14:textId="77777777" w:rsidTr="005D2E06">
        <w:trPr>
          <w:trHeight w:val="686"/>
        </w:trPr>
        <w:tc>
          <w:tcPr>
            <w:tcW w:w="780" w:type="dxa"/>
            <w:tcBorders>
              <w:top w:val="nil"/>
              <w:left w:val="nil"/>
              <w:bottom w:val="nil"/>
              <w:right w:val="nil"/>
            </w:tcBorders>
            <w:shd w:val="clear" w:color="auto" w:fill="auto"/>
            <w:textDirection w:val="btLr"/>
            <w:hideMark/>
          </w:tcPr>
          <w:p w14:paraId="779843B2" w14:textId="77777777" w:rsidR="007D4485" w:rsidRPr="00026AA8" w:rsidRDefault="007D4485" w:rsidP="0035658D">
            <w:pPr>
              <w:pStyle w:val="Tables"/>
              <w:rPr>
                <w:b/>
                <w:sz w:val="20"/>
                <w:szCs w:val="20"/>
              </w:rPr>
            </w:pPr>
            <w:r w:rsidRPr="00026AA8">
              <w:rPr>
                <w:b/>
                <w:sz w:val="20"/>
                <w:szCs w:val="20"/>
              </w:rPr>
              <w:t>Possible model</w:t>
            </w:r>
          </w:p>
        </w:tc>
        <w:tc>
          <w:tcPr>
            <w:tcW w:w="1288" w:type="dxa"/>
            <w:tcBorders>
              <w:top w:val="nil"/>
              <w:left w:val="nil"/>
              <w:bottom w:val="nil"/>
              <w:right w:val="nil"/>
            </w:tcBorders>
            <w:shd w:val="clear" w:color="auto" w:fill="auto"/>
            <w:textDirection w:val="btLr"/>
            <w:hideMark/>
          </w:tcPr>
          <w:p w14:paraId="2769FF13" w14:textId="77777777" w:rsidR="007D4485" w:rsidRPr="0035658D" w:rsidRDefault="007D4485" w:rsidP="0035658D">
            <w:pPr>
              <w:pStyle w:val="Tables"/>
              <w:rPr>
                <w:sz w:val="20"/>
                <w:szCs w:val="20"/>
              </w:rPr>
            </w:pPr>
            <w:r w:rsidRPr="0035658D">
              <w:rPr>
                <w:sz w:val="20"/>
                <w:szCs w:val="20"/>
              </w:rPr>
              <w:t>2</w:t>
            </w:r>
          </w:p>
        </w:tc>
        <w:tc>
          <w:tcPr>
            <w:tcW w:w="792" w:type="dxa"/>
            <w:tcBorders>
              <w:top w:val="nil"/>
              <w:left w:val="nil"/>
              <w:bottom w:val="nil"/>
              <w:right w:val="nil"/>
            </w:tcBorders>
            <w:shd w:val="clear" w:color="auto" w:fill="auto"/>
            <w:textDirection w:val="btLr"/>
            <w:hideMark/>
          </w:tcPr>
          <w:p w14:paraId="286B35AC" w14:textId="77777777" w:rsidR="007D4485" w:rsidRPr="0035658D" w:rsidRDefault="007D4485" w:rsidP="0035658D">
            <w:pPr>
              <w:pStyle w:val="Tables"/>
              <w:rPr>
                <w:sz w:val="20"/>
                <w:szCs w:val="20"/>
              </w:rPr>
            </w:pPr>
            <w:r w:rsidRPr="0035658D">
              <w:rPr>
                <w:sz w:val="20"/>
                <w:szCs w:val="20"/>
              </w:rPr>
              <w:t>2</w:t>
            </w:r>
          </w:p>
        </w:tc>
        <w:tc>
          <w:tcPr>
            <w:tcW w:w="1100" w:type="dxa"/>
            <w:tcBorders>
              <w:top w:val="nil"/>
              <w:left w:val="nil"/>
              <w:bottom w:val="nil"/>
              <w:right w:val="nil"/>
            </w:tcBorders>
            <w:shd w:val="clear" w:color="auto" w:fill="auto"/>
            <w:textDirection w:val="btLr"/>
            <w:hideMark/>
          </w:tcPr>
          <w:p w14:paraId="33F6E30C" w14:textId="77777777" w:rsidR="007D4485" w:rsidRPr="0035658D" w:rsidRDefault="007D4485" w:rsidP="0035658D">
            <w:pPr>
              <w:pStyle w:val="Tables"/>
              <w:rPr>
                <w:sz w:val="20"/>
                <w:szCs w:val="20"/>
              </w:rPr>
            </w:pPr>
            <w:r w:rsidRPr="0035658D">
              <w:rPr>
                <w:sz w:val="20"/>
                <w:szCs w:val="20"/>
              </w:rPr>
              <w:t>2</w:t>
            </w:r>
          </w:p>
        </w:tc>
        <w:tc>
          <w:tcPr>
            <w:tcW w:w="1716" w:type="dxa"/>
            <w:tcBorders>
              <w:top w:val="nil"/>
              <w:left w:val="nil"/>
              <w:bottom w:val="nil"/>
              <w:right w:val="nil"/>
            </w:tcBorders>
            <w:shd w:val="clear" w:color="auto" w:fill="auto"/>
            <w:textDirection w:val="btLr"/>
            <w:hideMark/>
          </w:tcPr>
          <w:p w14:paraId="21711BDA" w14:textId="77777777" w:rsidR="007D4485" w:rsidRPr="0035658D" w:rsidRDefault="007D4485" w:rsidP="0035658D">
            <w:pPr>
              <w:pStyle w:val="Tables"/>
              <w:rPr>
                <w:sz w:val="20"/>
                <w:szCs w:val="20"/>
              </w:rPr>
            </w:pPr>
            <w:r w:rsidRPr="0035658D">
              <w:rPr>
                <w:sz w:val="20"/>
                <w:szCs w:val="20"/>
              </w:rPr>
              <w:t>2</w:t>
            </w:r>
          </w:p>
        </w:tc>
        <w:tc>
          <w:tcPr>
            <w:tcW w:w="2404" w:type="dxa"/>
            <w:tcBorders>
              <w:top w:val="nil"/>
              <w:left w:val="nil"/>
              <w:bottom w:val="nil"/>
              <w:right w:val="nil"/>
            </w:tcBorders>
            <w:shd w:val="clear" w:color="auto" w:fill="auto"/>
            <w:textDirection w:val="btLr"/>
            <w:hideMark/>
          </w:tcPr>
          <w:p w14:paraId="0B464188" w14:textId="77777777" w:rsidR="007D4485" w:rsidRPr="0035658D" w:rsidRDefault="007D4485" w:rsidP="0035658D">
            <w:pPr>
              <w:pStyle w:val="Tables"/>
              <w:rPr>
                <w:sz w:val="20"/>
                <w:szCs w:val="20"/>
              </w:rPr>
            </w:pPr>
            <w:r w:rsidRPr="0035658D">
              <w:rPr>
                <w:sz w:val="20"/>
                <w:szCs w:val="20"/>
              </w:rPr>
              <w:t>2</w:t>
            </w:r>
          </w:p>
        </w:tc>
      </w:tr>
    </w:tbl>
    <w:p w14:paraId="18AB9C25" w14:textId="7EED3991" w:rsidR="00D5533C" w:rsidRDefault="00D5533C">
      <w:r>
        <w:br w:type="page"/>
      </w:r>
    </w:p>
    <w:tbl>
      <w:tblPr>
        <w:tblW w:w="7321" w:type="dxa"/>
        <w:tblCellMar>
          <w:top w:w="115" w:type="dxa"/>
          <w:left w:w="0" w:type="dxa"/>
          <w:bottom w:w="115" w:type="dxa"/>
          <w:right w:w="0" w:type="dxa"/>
        </w:tblCellMar>
        <w:tblLook w:val="04A0" w:firstRow="1" w:lastRow="0" w:firstColumn="1" w:lastColumn="0" w:noHBand="0" w:noVBand="1"/>
      </w:tblPr>
      <w:tblGrid>
        <w:gridCol w:w="780"/>
        <w:gridCol w:w="1420"/>
        <w:gridCol w:w="1305"/>
        <w:gridCol w:w="1728"/>
        <w:gridCol w:w="1008"/>
        <w:gridCol w:w="1080"/>
      </w:tblGrid>
      <w:tr w:rsidR="007E67FC" w:rsidRPr="00E80026" w14:paraId="3C3D5FCA" w14:textId="77777777" w:rsidTr="007E67FC">
        <w:trPr>
          <w:trHeight w:val="857"/>
        </w:trPr>
        <w:tc>
          <w:tcPr>
            <w:tcW w:w="780" w:type="dxa"/>
            <w:tcBorders>
              <w:top w:val="nil"/>
              <w:left w:val="nil"/>
              <w:bottom w:val="nil"/>
              <w:right w:val="nil"/>
            </w:tcBorders>
            <w:shd w:val="clear" w:color="auto" w:fill="auto"/>
            <w:textDirection w:val="btLr"/>
            <w:hideMark/>
          </w:tcPr>
          <w:p w14:paraId="2E36124A" w14:textId="77777777" w:rsidR="007E67FC" w:rsidRPr="00026AA8" w:rsidRDefault="007E67FC" w:rsidP="00E80026">
            <w:pPr>
              <w:pStyle w:val="Tables"/>
              <w:rPr>
                <w:b/>
                <w:sz w:val="20"/>
                <w:szCs w:val="20"/>
              </w:rPr>
            </w:pPr>
            <w:r w:rsidRPr="00026AA8">
              <w:rPr>
                <w:b/>
                <w:sz w:val="20"/>
                <w:szCs w:val="20"/>
              </w:rPr>
              <w:lastRenderedPageBreak/>
              <w:t>Reference</w:t>
            </w:r>
          </w:p>
        </w:tc>
        <w:tc>
          <w:tcPr>
            <w:tcW w:w="1420" w:type="dxa"/>
            <w:tcBorders>
              <w:top w:val="nil"/>
              <w:left w:val="nil"/>
              <w:bottom w:val="nil"/>
              <w:right w:val="nil"/>
            </w:tcBorders>
            <w:shd w:val="clear" w:color="auto" w:fill="auto"/>
            <w:textDirection w:val="btLr"/>
            <w:hideMark/>
          </w:tcPr>
          <w:p w14:paraId="6B6874F3" w14:textId="2A41F0E8" w:rsidR="007E67FC" w:rsidRPr="00E80026" w:rsidRDefault="00E80247" w:rsidP="00E80247">
            <w:pPr>
              <w:pStyle w:val="Tables"/>
              <w:rPr>
                <w:sz w:val="20"/>
                <w:szCs w:val="20"/>
              </w:rPr>
            </w:pPr>
            <w:r>
              <w:rPr>
                <w:sz w:val="20"/>
                <w:szCs w:val="20"/>
              </w:rPr>
              <w:fldChar w:fldCharType="begin"/>
            </w:r>
            <w:r w:rsidR="00807999">
              <w:rPr>
                <w:sz w:val="20"/>
                <w:szCs w:val="20"/>
              </w:rPr>
              <w:instrText xml:space="preserve"> ADDIN PAPERS2_CITATIONS &lt;citation&gt;&lt;uuid&gt;191FD5F5-42B3-41B8-9E01-4F0B55FBF6FB&lt;/uuid&gt;&lt;priority&gt;0&lt;/priority&gt;&lt;publications&gt;&lt;publication&gt;&lt;uuid&gt;2C6210CE-8A2F-4104-8338-B625ABF81B4D&lt;/uuid&gt;&lt;volume&gt;22&lt;/volume&gt;&lt;doi&gt;10.1016/0165-2370(92)85015-d&lt;/doi&gt;&lt;startpage&gt;217&lt;/startpage&gt;&lt;publication_date&gt;99199200001200000000200000&lt;/publication_date&gt;&lt;url&gt;http://linkinghub.elsevier.com/retrieve/pii/016523709285015D&lt;/url&gt;&lt;citekey&gt;Ponder:1992tp&lt;/citekey&gt;&lt;type&gt;400&lt;/type&gt;&lt;title&gt;Influence of linkage position and orientation in pyrolysis of polysaccharides: A study of several glucans&lt;/title&gt;&lt;number&gt;3&lt;/number&gt;&lt;subtype&gt;400&lt;/subtype&gt;&lt;endpage&gt;229&lt;/endpage&gt;&lt;bundle&gt;&lt;publication&gt;&lt;publisher&gt;Elsevier B.V.&lt;/publisher&gt;&lt;title&gt;Journal of Analytical and Applied Pyrolysis&lt;/title&gt;&lt;type&gt;-100&lt;/type&gt;&lt;subtype&gt;-100&lt;/subtype&gt;&lt;uuid&gt;D2B451F2-ABD5-4B2D-92A4-9DB1FFA0C21E&lt;/uuid&gt;&lt;/publication&gt;&lt;/bundle&gt;&lt;authors&gt;&lt;author&gt;&lt;firstName&gt;Glenn&lt;/firstName&gt;&lt;middleNames&gt;R&lt;/middleNames&gt;&lt;lastName&gt;Ponder&lt;/lastName&gt;&lt;/author&gt;&lt;author&gt;&lt;firstName&gt;Geoffrey&lt;/firstName&gt;&lt;middleNames&gt;N&lt;/middleNames&gt;&lt;lastName&gt;Richards&lt;/lastName&gt;&lt;/author&gt;&lt;author&gt;&lt;firstName&gt;Thomas&lt;/firstName&gt;&lt;middleNames&gt;T&lt;/middleNames&gt;&lt;lastName&gt;Stevenson&lt;/lastName&gt;&lt;/author&gt;&lt;/authors&gt;&lt;/publication&gt;&lt;/publications&gt;&lt;cites&gt;&lt;/cites&gt;&lt;/citation&gt;</w:instrText>
            </w:r>
            <w:r>
              <w:rPr>
                <w:sz w:val="20"/>
                <w:szCs w:val="20"/>
              </w:rPr>
              <w:fldChar w:fldCharType="separate"/>
            </w:r>
            <w:r w:rsidR="001C1AAC">
              <w:rPr>
                <w:sz w:val="20"/>
                <w:szCs w:val="20"/>
              </w:rPr>
              <w:t>(</w:t>
            </w:r>
            <w:r w:rsidR="001C1AAC">
              <w:rPr>
                <w:i/>
                <w:iCs/>
                <w:sz w:val="20"/>
                <w:szCs w:val="20"/>
              </w:rPr>
              <w:t>90</w:t>
            </w:r>
            <w:r w:rsidR="001C1AAC">
              <w:rPr>
                <w:sz w:val="20"/>
                <w:szCs w:val="20"/>
              </w:rPr>
              <w:t>)</w:t>
            </w:r>
            <w:r>
              <w:rPr>
                <w:sz w:val="20"/>
                <w:szCs w:val="20"/>
              </w:rPr>
              <w:fldChar w:fldCharType="end"/>
            </w:r>
          </w:p>
        </w:tc>
        <w:tc>
          <w:tcPr>
            <w:tcW w:w="1305" w:type="dxa"/>
            <w:tcBorders>
              <w:top w:val="nil"/>
              <w:left w:val="nil"/>
              <w:bottom w:val="nil"/>
              <w:right w:val="nil"/>
            </w:tcBorders>
            <w:shd w:val="clear" w:color="auto" w:fill="auto"/>
            <w:textDirection w:val="btLr"/>
            <w:hideMark/>
          </w:tcPr>
          <w:p w14:paraId="3CFA53D7" w14:textId="77777777" w:rsidR="00807999" w:rsidRDefault="00E80247" w:rsidP="00E80247">
            <w:pPr>
              <w:pStyle w:val="Tables"/>
              <w:rPr>
                <w:sz w:val="20"/>
                <w:szCs w:val="20"/>
              </w:rPr>
            </w:pPr>
            <w:r>
              <w:rPr>
                <w:sz w:val="20"/>
                <w:szCs w:val="20"/>
              </w:rPr>
              <w:fldChar w:fldCharType="begin"/>
            </w:r>
            <w:r w:rsidR="00807999">
              <w:rPr>
                <w:sz w:val="20"/>
                <w:szCs w:val="20"/>
              </w:rPr>
              <w:instrText xml:space="preserve"> ADDIN PAPERS2_CITATIONS &lt;citation&gt;&lt;uuid&gt;45527B33-6B59-434E-87D7-8A2331A50FDD&lt;/uuid&gt;&lt;priority&gt;0&lt;/priority&gt;&lt;publications&gt;&lt;publication&gt;&lt;uuid&gt;4A88EFAC-68C1-4FA8-8E39-06CD35D822B6&lt;/uuid&gt;&lt;volume&gt;35&lt;/volume&gt;&lt;doi&gt;10.1016/0165-2370(95)00893-J&lt;/doi&gt;&lt;startpage&gt;15&lt;/startpage&gt;&lt;publication_date&gt;99199510001200000000220000&lt;/publication_date&gt;&lt;url&gt;http://www.sciencedirect.com/science/article/pii/016523709500893J&lt;/url&gt;&lt;type&gt;400&lt;/type&gt;&lt;title&gt;Influence of Inorganic Species on the Formation of Polysaccharide and Lignin Degradation Products in the Analytical Pyrolysis of Pulps&lt;/title&gt;&lt;institution&gt;Kleen, M</w:instrText>
            </w:r>
          </w:p>
          <w:p w14:paraId="44DA90C3" w14:textId="77777777" w:rsidR="00807999" w:rsidRDefault="00807999" w:rsidP="00E80247">
            <w:pPr>
              <w:pStyle w:val="Tables"/>
              <w:rPr>
                <w:sz w:val="20"/>
                <w:szCs w:val="20"/>
              </w:rPr>
            </w:pPr>
            <w:r>
              <w:rPr>
                <w:sz w:val="20"/>
                <w:szCs w:val="20"/>
              </w:rPr>
              <w:instrText>Swedish Pulp &amp;amp; Paper Res Inst,Stfi,Box 5604,S-11486 Stockholm,Sweden</w:instrText>
            </w:r>
          </w:p>
          <w:p w14:paraId="1537312D" w14:textId="77777777" w:rsidR="00807999" w:rsidRDefault="00807999" w:rsidP="00E80247">
            <w:pPr>
              <w:pStyle w:val="Tables"/>
              <w:rPr>
                <w:sz w:val="20"/>
                <w:szCs w:val="20"/>
              </w:rPr>
            </w:pPr>
            <w:r>
              <w:rPr>
                <w:sz w:val="20"/>
                <w:szCs w:val="20"/>
              </w:rPr>
              <w:instrText>Swedish Pulp &amp;amp; Paper Res Inst,Stfi,Box 5604,S-11486 Stockholm,Sweden</w:instrText>
            </w:r>
          </w:p>
          <w:p w14:paraId="215B86D7" w14:textId="61FAD7A3" w:rsidR="007E67FC" w:rsidRPr="00E80026" w:rsidRDefault="00807999" w:rsidP="00E80247">
            <w:pPr>
              <w:pStyle w:val="Tables"/>
              <w:rPr>
                <w:sz w:val="20"/>
                <w:szCs w:val="20"/>
              </w:rPr>
            </w:pPr>
            <w:r>
              <w:rPr>
                <w:sz w:val="20"/>
                <w:szCs w:val="20"/>
              </w:rPr>
              <w:instrText>Royal Inst Technol,Dept Pulp &amp;amp; Paper Chem &amp;amp; Technol,S-10044 Stockholm,Sweden&lt;/institution&gt;&lt;number&gt;1&lt;/number&gt;&lt;subtype&gt;400&lt;/subtype&gt;&lt;endpage&gt;41&lt;/endpage&gt;&lt;bundle&gt;&lt;publication&gt;&lt;publisher&gt;Elsevier B.V.&lt;/publisher&gt;&lt;title&gt;Journal of Analytical and Applied Pyrolysis&lt;/title&gt;&lt;type&gt;-100&lt;/type&gt;&lt;subtype&gt;-100&lt;/subtype&gt;&lt;uuid&gt;D2B451F2-ABD5-4B2D-92A4-9DB1FFA0C21E&lt;/uuid&gt;&lt;/publication&gt;&lt;/bundle&gt;&lt;authors&gt;&lt;author&gt;&lt;firstName&gt;M&lt;/firstName&gt;&lt;lastName&gt;Kleen&lt;/lastName&gt;&lt;/author&gt;&lt;author&gt;&lt;firstName&gt;G&lt;/firstName&gt;&lt;lastName&gt;Gellerstedt&lt;/lastName&gt;&lt;/author&gt;&lt;/authors&gt;&lt;/publication&gt;&lt;/publications&gt;&lt;cites&gt;&lt;/cites&gt;&lt;/citation&gt;</w:instrText>
            </w:r>
            <w:r w:rsidR="00E80247">
              <w:rPr>
                <w:sz w:val="20"/>
                <w:szCs w:val="20"/>
              </w:rPr>
              <w:fldChar w:fldCharType="separate"/>
            </w:r>
            <w:r w:rsidR="001C1AAC">
              <w:rPr>
                <w:sz w:val="20"/>
                <w:szCs w:val="20"/>
              </w:rPr>
              <w:t>(</w:t>
            </w:r>
            <w:r w:rsidR="001C1AAC">
              <w:rPr>
                <w:i/>
                <w:iCs/>
                <w:sz w:val="20"/>
                <w:szCs w:val="20"/>
              </w:rPr>
              <w:t>91</w:t>
            </w:r>
            <w:r w:rsidR="001C1AAC">
              <w:rPr>
                <w:sz w:val="20"/>
                <w:szCs w:val="20"/>
              </w:rPr>
              <w:t>)</w:t>
            </w:r>
            <w:r w:rsidR="00E80247">
              <w:rPr>
                <w:sz w:val="20"/>
                <w:szCs w:val="20"/>
              </w:rPr>
              <w:fldChar w:fldCharType="end"/>
            </w:r>
          </w:p>
        </w:tc>
        <w:tc>
          <w:tcPr>
            <w:tcW w:w="1728" w:type="dxa"/>
            <w:tcBorders>
              <w:top w:val="nil"/>
              <w:left w:val="nil"/>
              <w:bottom w:val="nil"/>
              <w:right w:val="nil"/>
            </w:tcBorders>
            <w:shd w:val="clear" w:color="auto" w:fill="auto"/>
            <w:textDirection w:val="btLr"/>
            <w:hideMark/>
          </w:tcPr>
          <w:p w14:paraId="4F50A39F" w14:textId="2C467ED2" w:rsidR="007E67FC" w:rsidRPr="00E80026" w:rsidRDefault="00E80247" w:rsidP="00E80026">
            <w:pPr>
              <w:pStyle w:val="Tables"/>
              <w:rPr>
                <w:sz w:val="20"/>
                <w:szCs w:val="20"/>
              </w:rPr>
            </w:pPr>
            <w:r>
              <w:rPr>
                <w:sz w:val="20"/>
                <w:szCs w:val="20"/>
              </w:rPr>
              <w:fldChar w:fldCharType="begin"/>
            </w:r>
            <w:r w:rsidR="00807999">
              <w:rPr>
                <w:sz w:val="20"/>
                <w:szCs w:val="20"/>
              </w:rPr>
              <w:instrText xml:space="preserve"> ADDIN PAPERS2_CITATIONS &lt;citation&gt;&lt;uuid&gt;F0AF04ED-1777-423C-9DA1-79CD94102ED6&lt;/uuid&gt;&lt;priority&gt;0&lt;/priority&gt;&lt;publications&gt;&lt;publication&gt;&lt;uuid&gt;8C2ADF41-026D-47AB-854F-669E372CB698&lt;/uuid&gt;&lt;volume&gt;3&lt;/volume&gt;&lt;doi&gt;10.1021/sc500664h&lt;/doi&gt;&lt;startpage&gt;293&lt;/startpage&gt;&lt;publication_date&gt;99201502021200000000222000&lt;/publication_date&gt;&lt;url&gt;http://pubs.acs.org/doi/abs/10.1021/sc500664h&lt;/url&gt;&lt;citekey&gt;Zhang:2015hk&lt;/citekey&gt;&lt;type&gt;400&lt;/type&gt;&lt;title&gt;Cellulose–Hemicellulose and Cellulose–Lignin Interactions during Fast Pyrolysis&lt;/title&gt;&lt;number&gt;2&lt;/number&gt;&lt;subtype&gt;400&lt;/subtype&gt;&lt;endpage&gt;301&lt;/endpage&gt;&lt;bundle&gt;&lt;publication&gt;&lt;title&gt;ACS Sustainable Chemistry &amp;amp; Engineering&lt;/title&gt;&lt;type&gt;-100&lt;/type&gt;&lt;subtype&gt;-100&lt;/subtype&gt;&lt;uuid&gt;61752E7A-637B-4FE6-98F0-DCDDB2AB584A&lt;/uuid&gt;&lt;/publication&gt;&lt;/bundle&gt;&lt;authors&gt;&lt;author&gt;&lt;firstName&gt;Jing&lt;/firstName&gt;&lt;lastName&gt;Zhang&lt;/lastName&gt;&lt;/author&gt;&lt;author&gt;&lt;firstName&gt;Yong&lt;/firstName&gt;&lt;middleNames&gt;S&lt;/middleNames&gt;&lt;lastName&gt;Choi&lt;/lastName&gt;&lt;/author&gt;&lt;author&gt;&lt;firstName&gt;Chang&lt;/firstName&gt;&lt;middleNames&gt;G&lt;/middleNames&gt;&lt;lastName&gt;Yoo&lt;/lastName&gt;&lt;/author&gt;&lt;author&gt;&lt;firstName&gt;Tae&lt;/firstName&gt;&lt;middleNames&gt;H&lt;/middleNames&gt;&lt;lastName&gt;Kim&lt;/lastName&gt;&lt;/author&gt;&lt;author&gt;&lt;firstName&gt;Robert&lt;/firstName&gt;&lt;middleNames&gt;C&lt;/middleNames&gt;&lt;lastName&gt;Brown&lt;/lastName&gt;&lt;/author&gt;&lt;author&gt;&lt;firstName&gt;Brent&lt;/firstName&gt;&lt;middleNames&gt;H&lt;/middleNames&gt;&lt;lastName&gt;Shanks&lt;/lastName&gt;&lt;/author&gt;&lt;/authors&gt;&lt;/publication&gt;&lt;/publications&gt;&lt;cites&gt;&lt;/cites&gt;&lt;/citation&gt;</w:instrText>
            </w:r>
            <w:r>
              <w:rPr>
                <w:sz w:val="20"/>
                <w:szCs w:val="20"/>
              </w:rPr>
              <w:fldChar w:fldCharType="separate"/>
            </w:r>
            <w:r w:rsidR="001C1AAC">
              <w:rPr>
                <w:sz w:val="20"/>
                <w:szCs w:val="20"/>
              </w:rPr>
              <w:t>(</w:t>
            </w:r>
            <w:r w:rsidR="001C1AAC">
              <w:rPr>
                <w:i/>
                <w:iCs/>
                <w:sz w:val="20"/>
                <w:szCs w:val="20"/>
              </w:rPr>
              <w:t>92</w:t>
            </w:r>
            <w:r w:rsidR="001C1AAC">
              <w:rPr>
                <w:sz w:val="20"/>
                <w:szCs w:val="20"/>
              </w:rPr>
              <w:t>)</w:t>
            </w:r>
            <w:r>
              <w:rPr>
                <w:sz w:val="20"/>
                <w:szCs w:val="20"/>
              </w:rPr>
              <w:fldChar w:fldCharType="end"/>
            </w:r>
          </w:p>
        </w:tc>
        <w:tc>
          <w:tcPr>
            <w:tcW w:w="1008" w:type="dxa"/>
            <w:tcBorders>
              <w:top w:val="nil"/>
              <w:left w:val="nil"/>
              <w:bottom w:val="nil"/>
              <w:right w:val="nil"/>
            </w:tcBorders>
            <w:shd w:val="clear" w:color="auto" w:fill="auto"/>
            <w:textDirection w:val="btLr"/>
            <w:hideMark/>
          </w:tcPr>
          <w:p w14:paraId="63A1E978" w14:textId="07FA1BD9" w:rsidR="007E67FC" w:rsidRPr="00E80026" w:rsidRDefault="00E80247" w:rsidP="00E80247">
            <w:pPr>
              <w:pStyle w:val="Tables"/>
              <w:rPr>
                <w:sz w:val="20"/>
                <w:szCs w:val="20"/>
              </w:rPr>
            </w:pPr>
            <w:r>
              <w:rPr>
                <w:sz w:val="20"/>
                <w:szCs w:val="20"/>
              </w:rPr>
              <w:fldChar w:fldCharType="begin"/>
            </w:r>
            <w:r w:rsidR="00807999">
              <w:rPr>
                <w:sz w:val="20"/>
                <w:szCs w:val="20"/>
              </w:rPr>
              <w:instrText xml:space="preserve"> ADDIN PAPERS2_CITATIONS &lt;citation&gt;&lt;uuid&gt;3402375B-659F-4477-B57D-6BB0C84A7CE1&lt;/uuid&gt;&lt;priority&gt;0&lt;/priority&gt;&lt;publications&gt;&lt;publication&gt;&lt;volume&gt;108&lt;/volume&gt;&lt;publication_date&gt;99201407001200000000220000&lt;/publication_date&gt;&lt;doi&gt;10.1016/j.jaap.2014.05.016&lt;/doi&gt;&lt;startpage&gt;56&lt;/startpage&gt;&lt;title&gt;A comprehensive study on relating cell-wall components of lignocellulosic biomass to oxygenated species formed during pyrolysis&lt;/title&gt;&lt;uuid&gt;7FED9759-6353-4731-8DD7-7EE86258EDA2&lt;/uuid&gt;&lt;subtype&gt;400&lt;/subtype&gt;&lt;endpage&gt;67&lt;/endpage&gt;&lt;type&gt;400&lt;/type&gt;&lt;citekey&gt;Mante:2014eu&lt;/citekey&gt;&lt;url&gt;http://linkinghub.elsevier.com/retrieve/pii/S0165237014001223&lt;/url&gt;&lt;bundle&gt;&lt;publication&gt;&lt;publisher&gt;Elsevier B.V.&lt;/publisher&gt;&lt;title&gt;Journal of Analytical and Applied Pyrolysis&lt;/title&gt;&lt;type&gt;-100&lt;/type&gt;&lt;subtype&gt;-100&lt;/subtype&gt;&lt;uuid&gt;D2B451F2-ABD5-4B2D-92A4-9DB1FFA0C21E&lt;/uuid&gt;&lt;/publication&gt;&lt;/bundle&gt;&lt;authors&gt;&lt;author&gt;&lt;firstName&gt;Ofei&lt;/firstName&gt;&lt;middleNames&gt;D&lt;/middleNames&gt;&lt;lastName&gt;Mante&lt;/lastName&gt;&lt;/author&gt;&lt;author&gt;&lt;firstName&gt;Suresh&lt;/firstName&gt;&lt;middleNames&gt;P&lt;/middleNames&gt;&lt;lastName&gt;Babu&lt;/lastName&gt;&lt;/author&gt;&lt;author&gt;&lt;firstName&gt;Thomas&lt;/firstName&gt;&lt;middleNames&gt;E&lt;/middleNames&gt;&lt;lastName&gt;Amidon&lt;/lastName&gt;&lt;/author&gt;&lt;/authors&gt;&lt;/publication&gt;&lt;/publications&gt;&lt;cites&gt;&lt;/cites&gt;&lt;/citation&gt;</w:instrText>
            </w:r>
            <w:r>
              <w:rPr>
                <w:sz w:val="20"/>
                <w:szCs w:val="20"/>
              </w:rPr>
              <w:fldChar w:fldCharType="separate"/>
            </w:r>
            <w:r w:rsidR="001C1AAC">
              <w:rPr>
                <w:sz w:val="20"/>
                <w:szCs w:val="20"/>
              </w:rPr>
              <w:t>(</w:t>
            </w:r>
            <w:r w:rsidR="001C1AAC">
              <w:rPr>
                <w:i/>
                <w:iCs/>
                <w:sz w:val="20"/>
                <w:szCs w:val="20"/>
              </w:rPr>
              <w:t>48</w:t>
            </w:r>
            <w:r w:rsidR="001C1AAC">
              <w:rPr>
                <w:sz w:val="20"/>
                <w:szCs w:val="20"/>
              </w:rPr>
              <w:t>)</w:t>
            </w:r>
            <w:r>
              <w:rPr>
                <w:sz w:val="20"/>
                <w:szCs w:val="20"/>
              </w:rPr>
              <w:fldChar w:fldCharType="end"/>
            </w:r>
          </w:p>
        </w:tc>
        <w:tc>
          <w:tcPr>
            <w:tcW w:w="1080" w:type="dxa"/>
            <w:tcBorders>
              <w:top w:val="nil"/>
              <w:left w:val="nil"/>
              <w:bottom w:val="nil"/>
              <w:right w:val="nil"/>
            </w:tcBorders>
            <w:shd w:val="clear" w:color="auto" w:fill="auto"/>
            <w:textDirection w:val="btLr"/>
            <w:hideMark/>
          </w:tcPr>
          <w:p w14:paraId="55869136" w14:textId="1ABE2953" w:rsidR="007E67FC" w:rsidRPr="00E80026" w:rsidRDefault="00E80247" w:rsidP="00E80247">
            <w:pPr>
              <w:pStyle w:val="Tables"/>
              <w:rPr>
                <w:sz w:val="20"/>
                <w:szCs w:val="20"/>
              </w:rPr>
            </w:pPr>
            <w:r>
              <w:rPr>
                <w:sz w:val="20"/>
                <w:szCs w:val="20"/>
              </w:rPr>
              <w:fldChar w:fldCharType="begin"/>
            </w:r>
            <w:r w:rsidR="00807999">
              <w:rPr>
                <w:sz w:val="20"/>
                <w:szCs w:val="20"/>
              </w:rPr>
              <w:instrText xml:space="preserve"> ADDIN PAPERS2_CITATIONS &lt;citation&gt;&lt;uuid&gt;BF81FEEE-865D-47E7-8AC3-1BDD99550116&lt;/uuid&gt;&lt;priority&gt;0&lt;/priority&gt;&lt;publications&gt;&lt;publication&gt;&lt;uuid&gt;1B122CE6-4B7F-4099-875D-23E128953AA8&lt;/uuid&gt;&lt;volume&gt;25&lt;/volume&gt;&lt;doi&gt;10.1016/S0008-6215(00)82742-1&lt;/doi&gt;&lt;startpage&gt;23&lt;/startpage&gt;&lt;publication_date&gt;99197200001200000000200000&lt;/publication_date&gt;&lt;url&gt;http://linkinghub.elsevier.com/retrieve/pii/S0008621500827421&lt;/url&gt;&lt;citekey&gt;Shafizadeh:1972ju&lt;/citekey&gt;&lt;type&gt;400&lt;/type&gt;&lt;title&gt;Thermal degradation of xylan and related model compounds&lt;/title&gt;&lt;number&gt;1&lt;/number&gt;&lt;subtype&gt;400&lt;/subtype&gt;&lt;endpage&gt;33&lt;/endpage&gt;&lt;bundle&gt;&lt;publication&gt;&lt;title&gt;Carbohydrate Research&lt;/title&gt;&lt;type&gt;-100&lt;/type&gt;&lt;subtype&gt;-100&lt;/subtype&gt;&lt;uuid&gt;BE27CC05-2234-4BA6-9D53-46C42A7F4DE7&lt;/uuid&gt;&lt;/publication&gt;&lt;/bundle&gt;&lt;authors&gt;&lt;author&gt;&lt;firstName&gt;F&lt;/firstName&gt;&lt;lastName&gt;Shafizadeh&lt;/lastName&gt;&lt;/author&gt;&lt;author&gt;&lt;firstName&gt;G&lt;/firstName&gt;&lt;middleNames&gt;D&lt;/middleNames&gt;&lt;lastName&gt;McGinnis&lt;/lastName&gt;&lt;/author&gt;&lt;author&gt;&lt;firstName&gt;C&lt;/firstName&gt;&lt;middleNames&gt;W&lt;/middleNames&gt;&lt;lastName&gt;Philpot&lt;/lastName&gt;&lt;/author&gt;&lt;/authors&gt;&lt;/publication&gt;&lt;/publications&gt;&lt;cites&gt;&lt;/cites&gt;&lt;/citation&gt;</w:instrText>
            </w:r>
            <w:r>
              <w:rPr>
                <w:sz w:val="20"/>
                <w:szCs w:val="20"/>
              </w:rPr>
              <w:fldChar w:fldCharType="separate"/>
            </w:r>
            <w:r w:rsidR="001C1AAC">
              <w:rPr>
                <w:sz w:val="20"/>
                <w:szCs w:val="20"/>
              </w:rPr>
              <w:t>(</w:t>
            </w:r>
            <w:r w:rsidR="001C1AAC">
              <w:rPr>
                <w:i/>
                <w:iCs/>
                <w:sz w:val="20"/>
                <w:szCs w:val="20"/>
              </w:rPr>
              <w:t>47</w:t>
            </w:r>
            <w:r w:rsidR="001C1AAC">
              <w:rPr>
                <w:sz w:val="20"/>
                <w:szCs w:val="20"/>
              </w:rPr>
              <w:t>)</w:t>
            </w:r>
            <w:r>
              <w:rPr>
                <w:sz w:val="20"/>
                <w:szCs w:val="20"/>
              </w:rPr>
              <w:fldChar w:fldCharType="end"/>
            </w:r>
          </w:p>
        </w:tc>
      </w:tr>
      <w:tr w:rsidR="007E67FC" w:rsidRPr="00E80026" w14:paraId="32570987" w14:textId="77777777" w:rsidTr="007E67FC">
        <w:trPr>
          <w:trHeight w:val="929"/>
        </w:trPr>
        <w:tc>
          <w:tcPr>
            <w:tcW w:w="780" w:type="dxa"/>
            <w:tcBorders>
              <w:top w:val="nil"/>
              <w:left w:val="nil"/>
              <w:bottom w:val="nil"/>
              <w:right w:val="nil"/>
            </w:tcBorders>
            <w:shd w:val="clear" w:color="auto" w:fill="auto"/>
            <w:textDirection w:val="btLr"/>
            <w:hideMark/>
          </w:tcPr>
          <w:p w14:paraId="19909569" w14:textId="77777777" w:rsidR="007E67FC" w:rsidRPr="00026AA8" w:rsidRDefault="007E67FC" w:rsidP="00E80026">
            <w:pPr>
              <w:pStyle w:val="Tables"/>
              <w:rPr>
                <w:b/>
                <w:sz w:val="20"/>
                <w:szCs w:val="20"/>
              </w:rPr>
            </w:pPr>
            <w:r w:rsidRPr="00026AA8">
              <w:rPr>
                <w:b/>
                <w:sz w:val="20"/>
                <w:szCs w:val="20"/>
              </w:rPr>
              <w:t>Thermal conversion condition</w:t>
            </w:r>
          </w:p>
        </w:tc>
        <w:tc>
          <w:tcPr>
            <w:tcW w:w="1420" w:type="dxa"/>
            <w:tcBorders>
              <w:top w:val="nil"/>
              <w:left w:val="nil"/>
              <w:bottom w:val="nil"/>
              <w:right w:val="nil"/>
            </w:tcBorders>
            <w:shd w:val="clear" w:color="auto" w:fill="auto"/>
            <w:textDirection w:val="btLr"/>
            <w:hideMark/>
          </w:tcPr>
          <w:p w14:paraId="5AC0AC7E" w14:textId="77777777" w:rsidR="007E67FC" w:rsidRPr="00E80026" w:rsidRDefault="007E67FC" w:rsidP="00E80026">
            <w:pPr>
              <w:pStyle w:val="Tables"/>
              <w:rPr>
                <w:sz w:val="20"/>
                <w:szCs w:val="20"/>
              </w:rPr>
            </w:pPr>
            <w:r w:rsidRPr="00E80026">
              <w:rPr>
                <w:sz w:val="20"/>
                <w:szCs w:val="20"/>
              </w:rPr>
              <w:t>280°C, 30 min</w:t>
            </w:r>
          </w:p>
        </w:tc>
        <w:tc>
          <w:tcPr>
            <w:tcW w:w="1305" w:type="dxa"/>
            <w:tcBorders>
              <w:top w:val="nil"/>
              <w:left w:val="nil"/>
              <w:bottom w:val="nil"/>
              <w:right w:val="nil"/>
            </w:tcBorders>
            <w:shd w:val="clear" w:color="auto" w:fill="auto"/>
            <w:textDirection w:val="btLr"/>
            <w:hideMark/>
          </w:tcPr>
          <w:p w14:paraId="2CA64553" w14:textId="50066D19" w:rsidR="007E67FC" w:rsidRPr="00E80026" w:rsidRDefault="007E67FC" w:rsidP="00E80026">
            <w:pPr>
              <w:pStyle w:val="Tables"/>
              <w:rPr>
                <w:sz w:val="20"/>
                <w:szCs w:val="20"/>
              </w:rPr>
            </w:pPr>
            <w:r>
              <w:rPr>
                <w:sz w:val="20"/>
                <w:szCs w:val="20"/>
              </w:rPr>
              <w:t>620°C, 2</w:t>
            </w:r>
            <w:r w:rsidRPr="00E80026">
              <w:rPr>
                <w:sz w:val="20"/>
                <w:szCs w:val="20"/>
              </w:rPr>
              <w:t>s</w:t>
            </w:r>
          </w:p>
        </w:tc>
        <w:tc>
          <w:tcPr>
            <w:tcW w:w="1728" w:type="dxa"/>
            <w:tcBorders>
              <w:top w:val="nil"/>
              <w:left w:val="nil"/>
              <w:bottom w:val="nil"/>
              <w:right w:val="nil"/>
            </w:tcBorders>
            <w:shd w:val="clear" w:color="auto" w:fill="auto"/>
            <w:textDirection w:val="btLr"/>
            <w:hideMark/>
          </w:tcPr>
          <w:p w14:paraId="01BE5C0B" w14:textId="77777777" w:rsidR="007E67FC" w:rsidRPr="00E80026" w:rsidRDefault="007E67FC" w:rsidP="00E80026">
            <w:pPr>
              <w:pStyle w:val="Tables"/>
              <w:rPr>
                <w:sz w:val="20"/>
                <w:szCs w:val="20"/>
              </w:rPr>
            </w:pPr>
            <w:r w:rsidRPr="00E80026">
              <w:rPr>
                <w:sz w:val="20"/>
                <w:szCs w:val="20"/>
              </w:rPr>
              <w:t>500˚C</w:t>
            </w:r>
          </w:p>
        </w:tc>
        <w:tc>
          <w:tcPr>
            <w:tcW w:w="1008" w:type="dxa"/>
            <w:tcBorders>
              <w:top w:val="nil"/>
              <w:left w:val="nil"/>
              <w:bottom w:val="nil"/>
              <w:right w:val="nil"/>
            </w:tcBorders>
            <w:shd w:val="clear" w:color="auto" w:fill="auto"/>
            <w:textDirection w:val="btLr"/>
            <w:hideMark/>
          </w:tcPr>
          <w:p w14:paraId="7EDDD222" w14:textId="152D92D5" w:rsidR="007E67FC" w:rsidRPr="00E80026" w:rsidRDefault="007E67FC" w:rsidP="00E80026">
            <w:pPr>
              <w:pStyle w:val="Tables"/>
              <w:rPr>
                <w:sz w:val="20"/>
                <w:szCs w:val="20"/>
              </w:rPr>
            </w:pPr>
            <w:r>
              <w:rPr>
                <w:sz w:val="20"/>
                <w:szCs w:val="20"/>
              </w:rPr>
              <w:t>550˚C , 20</w:t>
            </w:r>
            <w:r w:rsidRPr="00E80026">
              <w:rPr>
                <w:sz w:val="20"/>
                <w:szCs w:val="20"/>
              </w:rPr>
              <w:t>s</w:t>
            </w:r>
          </w:p>
        </w:tc>
        <w:tc>
          <w:tcPr>
            <w:tcW w:w="1080" w:type="dxa"/>
            <w:tcBorders>
              <w:top w:val="nil"/>
              <w:left w:val="nil"/>
              <w:bottom w:val="nil"/>
              <w:right w:val="nil"/>
            </w:tcBorders>
            <w:shd w:val="clear" w:color="auto" w:fill="auto"/>
            <w:textDirection w:val="btLr"/>
            <w:hideMark/>
          </w:tcPr>
          <w:p w14:paraId="1ED34EC7" w14:textId="77777777" w:rsidR="007E67FC" w:rsidRPr="00E80026" w:rsidRDefault="007E67FC" w:rsidP="00E80026">
            <w:pPr>
              <w:pStyle w:val="Tables"/>
              <w:rPr>
                <w:sz w:val="20"/>
                <w:szCs w:val="20"/>
              </w:rPr>
            </w:pPr>
            <w:r w:rsidRPr="00E80026">
              <w:rPr>
                <w:sz w:val="20"/>
                <w:szCs w:val="20"/>
              </w:rPr>
              <w:t>500˚C</w:t>
            </w:r>
          </w:p>
        </w:tc>
      </w:tr>
      <w:tr w:rsidR="007E67FC" w:rsidRPr="00E80026" w14:paraId="41D5ED69" w14:textId="77777777" w:rsidTr="007E67FC">
        <w:trPr>
          <w:cantSplit/>
          <w:trHeight w:val="2304"/>
        </w:trPr>
        <w:tc>
          <w:tcPr>
            <w:tcW w:w="780" w:type="dxa"/>
            <w:tcBorders>
              <w:top w:val="nil"/>
              <w:left w:val="nil"/>
              <w:bottom w:val="nil"/>
              <w:right w:val="nil"/>
            </w:tcBorders>
            <w:shd w:val="clear" w:color="auto" w:fill="auto"/>
            <w:textDirection w:val="btLr"/>
            <w:hideMark/>
          </w:tcPr>
          <w:p w14:paraId="50155F47" w14:textId="77777777" w:rsidR="007E67FC" w:rsidRPr="00026AA8" w:rsidRDefault="007E67FC" w:rsidP="00E80026">
            <w:pPr>
              <w:pStyle w:val="Tables"/>
              <w:rPr>
                <w:b/>
                <w:sz w:val="20"/>
                <w:szCs w:val="20"/>
              </w:rPr>
            </w:pPr>
            <w:r w:rsidRPr="00026AA8">
              <w:rPr>
                <w:b/>
                <w:sz w:val="20"/>
                <w:szCs w:val="20"/>
              </w:rPr>
              <w:t>Sample type</w:t>
            </w:r>
          </w:p>
        </w:tc>
        <w:tc>
          <w:tcPr>
            <w:tcW w:w="1420" w:type="dxa"/>
            <w:tcBorders>
              <w:top w:val="nil"/>
              <w:left w:val="nil"/>
              <w:bottom w:val="nil"/>
              <w:right w:val="nil"/>
            </w:tcBorders>
            <w:shd w:val="clear" w:color="auto" w:fill="auto"/>
            <w:textDirection w:val="btLr"/>
            <w:hideMark/>
          </w:tcPr>
          <w:p w14:paraId="5EF4FB76" w14:textId="77777777" w:rsidR="007E67FC" w:rsidRPr="00E80026" w:rsidRDefault="007E67FC" w:rsidP="00E80026">
            <w:pPr>
              <w:pStyle w:val="Tables"/>
              <w:rPr>
                <w:sz w:val="20"/>
                <w:szCs w:val="20"/>
              </w:rPr>
            </w:pPr>
            <w:r w:rsidRPr="00E80026">
              <w:rPr>
                <w:sz w:val="20"/>
                <w:szCs w:val="20"/>
              </w:rPr>
              <w:t xml:space="preserve">Synthesized xylan. </w:t>
            </w:r>
          </w:p>
        </w:tc>
        <w:tc>
          <w:tcPr>
            <w:tcW w:w="1305" w:type="dxa"/>
            <w:tcBorders>
              <w:top w:val="nil"/>
              <w:left w:val="nil"/>
              <w:bottom w:val="nil"/>
              <w:right w:val="nil"/>
            </w:tcBorders>
            <w:shd w:val="clear" w:color="auto" w:fill="auto"/>
            <w:textDirection w:val="btLr"/>
            <w:hideMark/>
          </w:tcPr>
          <w:p w14:paraId="775FC172" w14:textId="77777777" w:rsidR="007E67FC" w:rsidRPr="00E80026" w:rsidRDefault="007E67FC" w:rsidP="00E80026">
            <w:pPr>
              <w:pStyle w:val="Tables"/>
              <w:rPr>
                <w:sz w:val="20"/>
                <w:szCs w:val="20"/>
              </w:rPr>
            </w:pPr>
            <w:r w:rsidRPr="00E80026">
              <w:rPr>
                <w:sz w:val="20"/>
                <w:szCs w:val="20"/>
              </w:rPr>
              <w:t>Spruce pulp, treated with ion exchange and salt impregnatation</w:t>
            </w:r>
          </w:p>
        </w:tc>
        <w:tc>
          <w:tcPr>
            <w:tcW w:w="1728" w:type="dxa"/>
            <w:tcBorders>
              <w:top w:val="nil"/>
              <w:left w:val="nil"/>
              <w:bottom w:val="nil"/>
              <w:right w:val="nil"/>
            </w:tcBorders>
            <w:shd w:val="clear" w:color="auto" w:fill="auto"/>
            <w:textDirection w:val="btLr"/>
            <w:hideMark/>
          </w:tcPr>
          <w:p w14:paraId="2F8D1B9D" w14:textId="6B5A1A88" w:rsidR="007E67FC" w:rsidRPr="00E80026" w:rsidRDefault="007E67FC" w:rsidP="007E67FC">
            <w:pPr>
              <w:pStyle w:val="Tables"/>
              <w:rPr>
                <w:sz w:val="20"/>
                <w:szCs w:val="20"/>
              </w:rPr>
            </w:pPr>
            <w:r w:rsidRPr="00E80026">
              <w:rPr>
                <w:sz w:val="20"/>
                <w:szCs w:val="20"/>
              </w:rPr>
              <w:t xml:space="preserve">cornstover, red oak, pine and switchgrass, depleted for hemicellulose and compared with different extracted component mixtures. </w:t>
            </w:r>
          </w:p>
        </w:tc>
        <w:tc>
          <w:tcPr>
            <w:tcW w:w="1008" w:type="dxa"/>
            <w:tcBorders>
              <w:top w:val="nil"/>
              <w:left w:val="nil"/>
              <w:bottom w:val="nil"/>
              <w:right w:val="nil"/>
            </w:tcBorders>
            <w:shd w:val="clear" w:color="auto" w:fill="auto"/>
            <w:textDirection w:val="btLr"/>
            <w:hideMark/>
          </w:tcPr>
          <w:p w14:paraId="536930C6" w14:textId="77777777" w:rsidR="007E67FC" w:rsidRPr="00E80026" w:rsidRDefault="007E67FC" w:rsidP="00E80026">
            <w:pPr>
              <w:pStyle w:val="Tables"/>
              <w:rPr>
                <w:sz w:val="20"/>
                <w:szCs w:val="20"/>
              </w:rPr>
            </w:pPr>
            <w:r w:rsidRPr="00E80026">
              <w:rPr>
                <w:sz w:val="20"/>
                <w:szCs w:val="20"/>
              </w:rPr>
              <w:t>Poplar, willow, switchgrass, hot-water extracted sugar maple, and debarked sugar maple.</w:t>
            </w:r>
          </w:p>
        </w:tc>
        <w:tc>
          <w:tcPr>
            <w:tcW w:w="1080" w:type="dxa"/>
            <w:tcBorders>
              <w:top w:val="nil"/>
              <w:left w:val="nil"/>
              <w:bottom w:val="nil"/>
              <w:right w:val="nil"/>
            </w:tcBorders>
            <w:shd w:val="clear" w:color="auto" w:fill="auto"/>
            <w:textDirection w:val="btLr"/>
            <w:hideMark/>
          </w:tcPr>
          <w:p w14:paraId="0580F480" w14:textId="77777777" w:rsidR="007E67FC" w:rsidRPr="00E80026" w:rsidRDefault="007E67FC" w:rsidP="00E80026">
            <w:pPr>
              <w:pStyle w:val="Tables"/>
              <w:rPr>
                <w:sz w:val="20"/>
                <w:szCs w:val="20"/>
              </w:rPr>
            </w:pPr>
            <w:r w:rsidRPr="00E80026">
              <w:rPr>
                <w:sz w:val="20"/>
                <w:szCs w:val="20"/>
              </w:rPr>
              <w:t>Xylans extracted from cotton wood</w:t>
            </w:r>
          </w:p>
        </w:tc>
      </w:tr>
      <w:tr w:rsidR="007E67FC" w:rsidRPr="00E80026" w14:paraId="1BA7986D" w14:textId="77777777" w:rsidTr="007E67FC">
        <w:trPr>
          <w:cantSplit/>
          <w:trHeight w:val="2880"/>
        </w:trPr>
        <w:tc>
          <w:tcPr>
            <w:tcW w:w="780" w:type="dxa"/>
            <w:tcBorders>
              <w:top w:val="nil"/>
              <w:left w:val="nil"/>
              <w:bottom w:val="nil"/>
              <w:right w:val="nil"/>
            </w:tcBorders>
            <w:shd w:val="clear" w:color="auto" w:fill="auto"/>
            <w:textDirection w:val="btLr"/>
            <w:hideMark/>
          </w:tcPr>
          <w:p w14:paraId="47019D00" w14:textId="77777777" w:rsidR="007E67FC" w:rsidRPr="00026AA8" w:rsidRDefault="007E67FC" w:rsidP="00E80026">
            <w:pPr>
              <w:pStyle w:val="Tables"/>
              <w:rPr>
                <w:b/>
                <w:sz w:val="20"/>
                <w:szCs w:val="20"/>
              </w:rPr>
            </w:pPr>
            <w:r w:rsidRPr="00026AA8">
              <w:rPr>
                <w:b/>
                <w:sz w:val="20"/>
                <w:szCs w:val="20"/>
              </w:rPr>
              <w:t>Effect on products (Dependent variable)</w:t>
            </w:r>
          </w:p>
        </w:tc>
        <w:tc>
          <w:tcPr>
            <w:tcW w:w="1420" w:type="dxa"/>
            <w:tcBorders>
              <w:top w:val="nil"/>
              <w:left w:val="nil"/>
              <w:bottom w:val="nil"/>
              <w:right w:val="nil"/>
            </w:tcBorders>
            <w:shd w:val="clear" w:color="auto" w:fill="auto"/>
            <w:textDirection w:val="btLr"/>
            <w:hideMark/>
          </w:tcPr>
          <w:p w14:paraId="23F0EA42" w14:textId="77777777" w:rsidR="007E67FC" w:rsidRPr="00E80026" w:rsidRDefault="007E67FC" w:rsidP="00E80026">
            <w:pPr>
              <w:pStyle w:val="Tables"/>
              <w:rPr>
                <w:sz w:val="20"/>
                <w:szCs w:val="20"/>
              </w:rPr>
            </w:pPr>
            <w:r w:rsidRPr="00E80026">
              <w:rPr>
                <w:sz w:val="20"/>
                <w:szCs w:val="20"/>
              </w:rPr>
              <w:t>Xylans with NaCl added yield more glycolaldehyde and 3-deoxypentono-1,4-lactones, but less 1,4-anhydro-α-D-xylopyranose, 1,5-anhydro-4-deoxy-pent-I-en-3-ulose 2.4 and char</w:t>
            </w:r>
          </w:p>
        </w:tc>
        <w:tc>
          <w:tcPr>
            <w:tcW w:w="1305" w:type="dxa"/>
            <w:tcBorders>
              <w:top w:val="nil"/>
              <w:left w:val="nil"/>
              <w:bottom w:val="nil"/>
              <w:right w:val="nil"/>
            </w:tcBorders>
            <w:shd w:val="clear" w:color="auto" w:fill="auto"/>
            <w:textDirection w:val="btLr"/>
            <w:hideMark/>
          </w:tcPr>
          <w:p w14:paraId="6C57B6F9" w14:textId="77777777" w:rsidR="007E67FC" w:rsidRPr="00E80026" w:rsidRDefault="007E67FC" w:rsidP="00E80026">
            <w:pPr>
              <w:pStyle w:val="Tables"/>
              <w:rPr>
                <w:sz w:val="20"/>
                <w:szCs w:val="20"/>
              </w:rPr>
            </w:pPr>
            <w:r w:rsidRPr="00E80026">
              <w:rPr>
                <w:sz w:val="20"/>
                <w:szCs w:val="20"/>
              </w:rPr>
              <w:t>Sodium-containing pulps produce less polysaccharide-derived products and similar amounts of lignin-derived products compared to untreated pulps.</w:t>
            </w:r>
          </w:p>
        </w:tc>
        <w:tc>
          <w:tcPr>
            <w:tcW w:w="1728" w:type="dxa"/>
            <w:tcBorders>
              <w:top w:val="nil"/>
              <w:left w:val="nil"/>
              <w:bottom w:val="nil"/>
              <w:right w:val="nil"/>
            </w:tcBorders>
            <w:shd w:val="clear" w:color="auto" w:fill="auto"/>
            <w:textDirection w:val="btLr"/>
            <w:hideMark/>
          </w:tcPr>
          <w:p w14:paraId="7C1355DB" w14:textId="6F34B7A2" w:rsidR="007E67FC" w:rsidRPr="00E80026" w:rsidRDefault="007E67FC" w:rsidP="00E80026">
            <w:pPr>
              <w:pStyle w:val="Tables"/>
              <w:rPr>
                <w:sz w:val="20"/>
                <w:szCs w:val="20"/>
              </w:rPr>
            </w:pPr>
            <w:r w:rsidRPr="00E80026">
              <w:rPr>
                <w:sz w:val="20"/>
                <w:szCs w:val="20"/>
              </w:rPr>
              <w:t>The native grass cellulose-lignin samples produce more C1 to C3 products and furan, bu</w:t>
            </w:r>
            <w:r>
              <w:rPr>
                <w:sz w:val="20"/>
                <w:szCs w:val="20"/>
              </w:rPr>
              <w:t>t less pyrans and levoglucosan.</w:t>
            </w:r>
          </w:p>
        </w:tc>
        <w:tc>
          <w:tcPr>
            <w:tcW w:w="1008" w:type="dxa"/>
            <w:tcBorders>
              <w:top w:val="nil"/>
              <w:left w:val="nil"/>
              <w:bottom w:val="nil"/>
              <w:right w:val="nil"/>
            </w:tcBorders>
            <w:shd w:val="clear" w:color="auto" w:fill="auto"/>
            <w:textDirection w:val="btLr"/>
            <w:hideMark/>
          </w:tcPr>
          <w:p w14:paraId="0CD1A5E0" w14:textId="77777777" w:rsidR="007E67FC" w:rsidRPr="00E80026" w:rsidRDefault="007E67FC" w:rsidP="00E80026">
            <w:pPr>
              <w:pStyle w:val="Tables"/>
              <w:rPr>
                <w:sz w:val="20"/>
                <w:szCs w:val="20"/>
              </w:rPr>
            </w:pPr>
            <w:r w:rsidRPr="00E80026">
              <w:rPr>
                <w:sz w:val="20"/>
                <w:szCs w:val="20"/>
              </w:rPr>
              <w:t>Acetyl content positively correlates with acetic acid, but also methyl pyruvate and 2-furanone.</w:t>
            </w:r>
          </w:p>
        </w:tc>
        <w:tc>
          <w:tcPr>
            <w:tcW w:w="1080" w:type="dxa"/>
            <w:tcBorders>
              <w:top w:val="nil"/>
              <w:left w:val="nil"/>
              <w:bottom w:val="nil"/>
              <w:right w:val="nil"/>
            </w:tcBorders>
            <w:shd w:val="clear" w:color="auto" w:fill="auto"/>
            <w:textDirection w:val="btLr"/>
            <w:hideMark/>
          </w:tcPr>
          <w:p w14:paraId="61D54AD4" w14:textId="77777777" w:rsidR="007E67FC" w:rsidRPr="00E80026" w:rsidRDefault="007E67FC" w:rsidP="00E80026">
            <w:pPr>
              <w:pStyle w:val="Tables"/>
              <w:rPr>
                <w:sz w:val="20"/>
                <w:szCs w:val="20"/>
              </w:rPr>
            </w:pPr>
            <w:r w:rsidRPr="00E80026">
              <w:rPr>
                <w:sz w:val="20"/>
                <w:szCs w:val="20"/>
              </w:rPr>
              <w:t>The acetylxylan produces more acetic acid, furan, and acetone, but less 2-furfural and acetaldehyde, than xylan.</w:t>
            </w:r>
          </w:p>
        </w:tc>
      </w:tr>
      <w:tr w:rsidR="007E67FC" w:rsidRPr="00E80026" w14:paraId="0ECDA8F9" w14:textId="77777777" w:rsidTr="007E67FC">
        <w:trPr>
          <w:cantSplit/>
          <w:trHeight w:val="2304"/>
        </w:trPr>
        <w:tc>
          <w:tcPr>
            <w:tcW w:w="780" w:type="dxa"/>
            <w:tcBorders>
              <w:top w:val="nil"/>
              <w:left w:val="nil"/>
              <w:bottom w:val="nil"/>
              <w:right w:val="nil"/>
            </w:tcBorders>
            <w:shd w:val="clear" w:color="auto" w:fill="auto"/>
            <w:textDirection w:val="btLr"/>
            <w:hideMark/>
          </w:tcPr>
          <w:p w14:paraId="078F51A3" w14:textId="6B584B77" w:rsidR="007E67FC" w:rsidRPr="00026AA8" w:rsidRDefault="007E67FC" w:rsidP="0095335A">
            <w:pPr>
              <w:pStyle w:val="Tables"/>
              <w:rPr>
                <w:b/>
                <w:sz w:val="20"/>
                <w:szCs w:val="20"/>
              </w:rPr>
            </w:pPr>
            <w:r w:rsidRPr="00026AA8">
              <w:rPr>
                <w:b/>
                <w:sz w:val="20"/>
                <w:szCs w:val="20"/>
              </w:rPr>
              <w:t>Independent variable</w:t>
            </w:r>
          </w:p>
        </w:tc>
        <w:tc>
          <w:tcPr>
            <w:tcW w:w="1420" w:type="dxa"/>
            <w:tcBorders>
              <w:top w:val="nil"/>
              <w:left w:val="nil"/>
              <w:bottom w:val="nil"/>
              <w:right w:val="nil"/>
            </w:tcBorders>
            <w:shd w:val="clear" w:color="auto" w:fill="auto"/>
            <w:textDirection w:val="btLr"/>
            <w:hideMark/>
          </w:tcPr>
          <w:p w14:paraId="203B8AFF" w14:textId="77777777" w:rsidR="007E67FC" w:rsidRPr="00E80026" w:rsidRDefault="007E67FC" w:rsidP="00E80026">
            <w:pPr>
              <w:pStyle w:val="Tables"/>
              <w:rPr>
                <w:sz w:val="20"/>
                <w:szCs w:val="20"/>
              </w:rPr>
            </w:pPr>
            <w:r w:rsidRPr="00E80026">
              <w:rPr>
                <w:sz w:val="20"/>
                <w:szCs w:val="20"/>
              </w:rPr>
              <w:t>Increase mineral contents by adding 1% NaCl</w:t>
            </w:r>
          </w:p>
        </w:tc>
        <w:tc>
          <w:tcPr>
            <w:tcW w:w="1305" w:type="dxa"/>
            <w:tcBorders>
              <w:top w:val="nil"/>
              <w:left w:val="nil"/>
              <w:bottom w:val="nil"/>
              <w:right w:val="nil"/>
            </w:tcBorders>
            <w:shd w:val="clear" w:color="auto" w:fill="auto"/>
            <w:textDirection w:val="btLr"/>
            <w:hideMark/>
          </w:tcPr>
          <w:p w14:paraId="275015A1" w14:textId="77777777" w:rsidR="007E67FC" w:rsidRPr="00E80026" w:rsidRDefault="007E67FC" w:rsidP="00E80026">
            <w:pPr>
              <w:pStyle w:val="Tables"/>
              <w:rPr>
                <w:sz w:val="20"/>
                <w:szCs w:val="20"/>
              </w:rPr>
            </w:pPr>
            <w:r w:rsidRPr="00E80026">
              <w:rPr>
                <w:sz w:val="20"/>
                <w:szCs w:val="20"/>
              </w:rPr>
              <w:t>Replace the cations in biomass with Na+ by ion-exchange or increase mineral content by adding Na2SO4 or NaHCO3</w:t>
            </w:r>
          </w:p>
        </w:tc>
        <w:tc>
          <w:tcPr>
            <w:tcW w:w="1728" w:type="dxa"/>
            <w:tcBorders>
              <w:top w:val="nil"/>
              <w:left w:val="nil"/>
              <w:bottom w:val="nil"/>
              <w:right w:val="nil"/>
            </w:tcBorders>
            <w:shd w:val="clear" w:color="auto" w:fill="auto"/>
            <w:textDirection w:val="btLr"/>
            <w:hideMark/>
          </w:tcPr>
          <w:p w14:paraId="465A95C8" w14:textId="77777777" w:rsidR="007E67FC" w:rsidRPr="00E80026" w:rsidRDefault="007E67FC" w:rsidP="00E80026">
            <w:pPr>
              <w:pStyle w:val="Tables"/>
              <w:rPr>
                <w:sz w:val="20"/>
                <w:szCs w:val="20"/>
              </w:rPr>
            </w:pPr>
            <w:r w:rsidRPr="00E80026">
              <w:rPr>
                <w:sz w:val="20"/>
                <w:szCs w:val="20"/>
              </w:rPr>
              <w:t>Biomass with hemicellulose selectively removed, compared with a physical mixtures of lignin and cellulose, and separate pyrolysis of lignin and cellulose.</w:t>
            </w:r>
          </w:p>
        </w:tc>
        <w:tc>
          <w:tcPr>
            <w:tcW w:w="1008" w:type="dxa"/>
            <w:tcBorders>
              <w:top w:val="nil"/>
              <w:left w:val="nil"/>
              <w:bottom w:val="nil"/>
              <w:right w:val="nil"/>
            </w:tcBorders>
            <w:shd w:val="clear" w:color="auto" w:fill="auto"/>
            <w:textDirection w:val="btLr"/>
            <w:hideMark/>
          </w:tcPr>
          <w:p w14:paraId="1C3100C3" w14:textId="77777777" w:rsidR="007E67FC" w:rsidRPr="00E80026" w:rsidRDefault="007E67FC" w:rsidP="00E80026">
            <w:pPr>
              <w:pStyle w:val="Tables"/>
              <w:rPr>
                <w:sz w:val="20"/>
                <w:szCs w:val="20"/>
              </w:rPr>
            </w:pPr>
            <w:r w:rsidRPr="00E80026">
              <w:rPr>
                <w:sz w:val="20"/>
                <w:szCs w:val="20"/>
              </w:rPr>
              <w:t>Natural variation in acetyl content among five species</w:t>
            </w:r>
          </w:p>
        </w:tc>
        <w:tc>
          <w:tcPr>
            <w:tcW w:w="1080" w:type="dxa"/>
            <w:tcBorders>
              <w:top w:val="nil"/>
              <w:left w:val="nil"/>
              <w:bottom w:val="nil"/>
              <w:right w:val="nil"/>
            </w:tcBorders>
            <w:shd w:val="clear" w:color="auto" w:fill="auto"/>
            <w:textDirection w:val="btLr"/>
            <w:hideMark/>
          </w:tcPr>
          <w:p w14:paraId="1EF6E9EC" w14:textId="77777777" w:rsidR="007E67FC" w:rsidRPr="00E80026" w:rsidRDefault="007E67FC" w:rsidP="00E80026">
            <w:pPr>
              <w:pStyle w:val="Tables"/>
              <w:rPr>
                <w:sz w:val="20"/>
                <w:szCs w:val="20"/>
              </w:rPr>
            </w:pPr>
            <w:r w:rsidRPr="00E80026">
              <w:rPr>
                <w:sz w:val="20"/>
                <w:szCs w:val="20"/>
              </w:rPr>
              <w:t>Variation of acetylation between  acetylxylan and xylan</w:t>
            </w:r>
          </w:p>
        </w:tc>
      </w:tr>
      <w:tr w:rsidR="007E67FC" w:rsidRPr="00E80026" w14:paraId="3DDC099A" w14:textId="77777777" w:rsidTr="007E67FC">
        <w:trPr>
          <w:trHeight w:val="1010"/>
        </w:trPr>
        <w:tc>
          <w:tcPr>
            <w:tcW w:w="780" w:type="dxa"/>
            <w:tcBorders>
              <w:top w:val="nil"/>
              <w:left w:val="nil"/>
              <w:bottom w:val="nil"/>
              <w:right w:val="nil"/>
            </w:tcBorders>
            <w:shd w:val="clear" w:color="auto" w:fill="auto"/>
            <w:textDirection w:val="btLr"/>
            <w:hideMark/>
          </w:tcPr>
          <w:p w14:paraId="02D81AB3" w14:textId="77777777" w:rsidR="007E67FC" w:rsidRPr="00026AA8" w:rsidRDefault="007E67FC" w:rsidP="00E80026">
            <w:pPr>
              <w:pStyle w:val="Tables"/>
              <w:rPr>
                <w:b/>
                <w:sz w:val="20"/>
                <w:szCs w:val="20"/>
              </w:rPr>
            </w:pPr>
            <w:r w:rsidRPr="00026AA8">
              <w:rPr>
                <w:b/>
                <w:sz w:val="20"/>
                <w:szCs w:val="20"/>
              </w:rPr>
              <w:t>Biomass component</w:t>
            </w:r>
          </w:p>
        </w:tc>
        <w:tc>
          <w:tcPr>
            <w:tcW w:w="1420" w:type="dxa"/>
            <w:tcBorders>
              <w:top w:val="nil"/>
              <w:left w:val="nil"/>
              <w:bottom w:val="nil"/>
              <w:right w:val="nil"/>
            </w:tcBorders>
            <w:shd w:val="clear" w:color="auto" w:fill="auto"/>
            <w:textDirection w:val="btLr"/>
            <w:hideMark/>
          </w:tcPr>
          <w:p w14:paraId="3784F385" w14:textId="77777777" w:rsidR="007E67FC" w:rsidRPr="00E80026" w:rsidRDefault="007E67FC" w:rsidP="00E80026">
            <w:pPr>
              <w:pStyle w:val="Tables"/>
              <w:rPr>
                <w:sz w:val="20"/>
                <w:szCs w:val="20"/>
              </w:rPr>
            </w:pPr>
            <w:r w:rsidRPr="00E80026">
              <w:rPr>
                <w:sz w:val="20"/>
                <w:szCs w:val="20"/>
              </w:rPr>
              <w:t>Mineral content</w:t>
            </w:r>
          </w:p>
        </w:tc>
        <w:tc>
          <w:tcPr>
            <w:tcW w:w="1305" w:type="dxa"/>
            <w:tcBorders>
              <w:top w:val="nil"/>
              <w:left w:val="nil"/>
              <w:bottom w:val="nil"/>
              <w:right w:val="nil"/>
            </w:tcBorders>
            <w:shd w:val="clear" w:color="auto" w:fill="auto"/>
            <w:textDirection w:val="btLr"/>
            <w:hideMark/>
          </w:tcPr>
          <w:p w14:paraId="027F1724" w14:textId="77777777" w:rsidR="007E67FC" w:rsidRPr="00E80026" w:rsidRDefault="007E67FC" w:rsidP="00E80026">
            <w:pPr>
              <w:pStyle w:val="Tables"/>
              <w:rPr>
                <w:sz w:val="20"/>
                <w:szCs w:val="20"/>
              </w:rPr>
            </w:pPr>
            <w:r w:rsidRPr="00E80026">
              <w:rPr>
                <w:sz w:val="20"/>
                <w:szCs w:val="20"/>
              </w:rPr>
              <w:t>Mineral content</w:t>
            </w:r>
          </w:p>
        </w:tc>
        <w:tc>
          <w:tcPr>
            <w:tcW w:w="1728" w:type="dxa"/>
            <w:tcBorders>
              <w:top w:val="nil"/>
              <w:left w:val="nil"/>
              <w:bottom w:val="nil"/>
              <w:right w:val="nil"/>
            </w:tcBorders>
            <w:shd w:val="clear" w:color="auto" w:fill="auto"/>
            <w:textDirection w:val="btLr"/>
            <w:hideMark/>
          </w:tcPr>
          <w:p w14:paraId="60A77C65" w14:textId="2194305A" w:rsidR="007E67FC" w:rsidRPr="00E80026" w:rsidRDefault="007E67FC" w:rsidP="00E80026">
            <w:pPr>
              <w:pStyle w:val="Tables"/>
              <w:rPr>
                <w:sz w:val="20"/>
                <w:szCs w:val="20"/>
              </w:rPr>
            </w:pPr>
            <w:r w:rsidRPr="00E80026">
              <w:rPr>
                <w:sz w:val="20"/>
                <w:szCs w:val="20"/>
              </w:rPr>
              <w:t>Inter</w:t>
            </w:r>
            <w:r>
              <w:rPr>
                <w:sz w:val="20"/>
                <w:szCs w:val="20"/>
              </w:rPr>
              <w:t>-</w:t>
            </w:r>
            <w:r w:rsidRPr="00E80026">
              <w:rPr>
                <w:sz w:val="20"/>
                <w:szCs w:val="20"/>
              </w:rPr>
              <w:t>component linkages</w:t>
            </w:r>
          </w:p>
        </w:tc>
        <w:tc>
          <w:tcPr>
            <w:tcW w:w="1008" w:type="dxa"/>
            <w:tcBorders>
              <w:top w:val="nil"/>
              <w:left w:val="nil"/>
              <w:bottom w:val="nil"/>
              <w:right w:val="nil"/>
            </w:tcBorders>
            <w:shd w:val="clear" w:color="auto" w:fill="auto"/>
            <w:textDirection w:val="btLr"/>
            <w:hideMark/>
          </w:tcPr>
          <w:p w14:paraId="145C1101" w14:textId="77777777" w:rsidR="007E67FC" w:rsidRPr="00E80026" w:rsidRDefault="007E67FC" w:rsidP="00E80026">
            <w:pPr>
              <w:pStyle w:val="Tables"/>
              <w:rPr>
                <w:sz w:val="20"/>
                <w:szCs w:val="20"/>
              </w:rPr>
            </w:pPr>
            <w:r w:rsidRPr="00E80026">
              <w:rPr>
                <w:sz w:val="20"/>
                <w:szCs w:val="20"/>
              </w:rPr>
              <w:t>Acetyl content</w:t>
            </w:r>
          </w:p>
        </w:tc>
        <w:tc>
          <w:tcPr>
            <w:tcW w:w="1080" w:type="dxa"/>
            <w:tcBorders>
              <w:top w:val="nil"/>
              <w:left w:val="nil"/>
              <w:bottom w:val="nil"/>
              <w:right w:val="nil"/>
            </w:tcBorders>
            <w:shd w:val="clear" w:color="auto" w:fill="auto"/>
            <w:textDirection w:val="btLr"/>
            <w:hideMark/>
          </w:tcPr>
          <w:p w14:paraId="2B050378" w14:textId="77777777" w:rsidR="007E67FC" w:rsidRPr="00E80026" w:rsidRDefault="007E67FC" w:rsidP="00E80026">
            <w:pPr>
              <w:pStyle w:val="Tables"/>
              <w:rPr>
                <w:sz w:val="20"/>
                <w:szCs w:val="20"/>
              </w:rPr>
            </w:pPr>
            <w:r w:rsidRPr="00E80026">
              <w:rPr>
                <w:sz w:val="20"/>
                <w:szCs w:val="20"/>
              </w:rPr>
              <w:t>Acetyl content</w:t>
            </w:r>
          </w:p>
        </w:tc>
      </w:tr>
      <w:tr w:rsidR="007E67FC" w:rsidRPr="00E80026" w14:paraId="23D288BF" w14:textId="77777777" w:rsidTr="007E67FC">
        <w:trPr>
          <w:trHeight w:val="713"/>
        </w:trPr>
        <w:tc>
          <w:tcPr>
            <w:tcW w:w="780" w:type="dxa"/>
            <w:tcBorders>
              <w:top w:val="nil"/>
              <w:left w:val="nil"/>
              <w:bottom w:val="nil"/>
              <w:right w:val="nil"/>
            </w:tcBorders>
            <w:shd w:val="clear" w:color="auto" w:fill="auto"/>
            <w:textDirection w:val="btLr"/>
            <w:hideMark/>
          </w:tcPr>
          <w:p w14:paraId="3D693CAD" w14:textId="77777777" w:rsidR="007E67FC" w:rsidRPr="00026AA8" w:rsidRDefault="007E67FC" w:rsidP="00E80026">
            <w:pPr>
              <w:pStyle w:val="Tables"/>
              <w:rPr>
                <w:b/>
                <w:sz w:val="20"/>
                <w:szCs w:val="20"/>
              </w:rPr>
            </w:pPr>
            <w:r w:rsidRPr="00026AA8">
              <w:rPr>
                <w:b/>
                <w:sz w:val="20"/>
                <w:szCs w:val="20"/>
              </w:rPr>
              <w:t>Possible model</w:t>
            </w:r>
          </w:p>
        </w:tc>
        <w:tc>
          <w:tcPr>
            <w:tcW w:w="1420" w:type="dxa"/>
            <w:tcBorders>
              <w:top w:val="nil"/>
              <w:left w:val="nil"/>
              <w:bottom w:val="nil"/>
              <w:right w:val="nil"/>
            </w:tcBorders>
            <w:shd w:val="clear" w:color="auto" w:fill="auto"/>
            <w:textDirection w:val="btLr"/>
            <w:hideMark/>
          </w:tcPr>
          <w:p w14:paraId="094989A0" w14:textId="77777777" w:rsidR="007E67FC" w:rsidRPr="00E80026" w:rsidRDefault="007E67FC" w:rsidP="00E80026">
            <w:pPr>
              <w:pStyle w:val="Tables"/>
              <w:rPr>
                <w:sz w:val="20"/>
                <w:szCs w:val="20"/>
              </w:rPr>
            </w:pPr>
            <w:r w:rsidRPr="00E80026">
              <w:rPr>
                <w:sz w:val="20"/>
                <w:szCs w:val="20"/>
              </w:rPr>
              <w:t>2</w:t>
            </w:r>
          </w:p>
        </w:tc>
        <w:tc>
          <w:tcPr>
            <w:tcW w:w="1305" w:type="dxa"/>
            <w:tcBorders>
              <w:top w:val="nil"/>
              <w:left w:val="nil"/>
              <w:bottom w:val="nil"/>
              <w:right w:val="nil"/>
            </w:tcBorders>
            <w:shd w:val="clear" w:color="auto" w:fill="auto"/>
            <w:textDirection w:val="btLr"/>
            <w:hideMark/>
          </w:tcPr>
          <w:p w14:paraId="65316B41" w14:textId="77777777" w:rsidR="007E67FC" w:rsidRPr="00E80026" w:rsidRDefault="007E67FC" w:rsidP="00E80026">
            <w:pPr>
              <w:pStyle w:val="Tables"/>
              <w:rPr>
                <w:sz w:val="20"/>
                <w:szCs w:val="20"/>
              </w:rPr>
            </w:pPr>
            <w:r w:rsidRPr="00E80026">
              <w:rPr>
                <w:sz w:val="20"/>
                <w:szCs w:val="20"/>
              </w:rPr>
              <w:t>2</w:t>
            </w:r>
          </w:p>
        </w:tc>
        <w:tc>
          <w:tcPr>
            <w:tcW w:w="1728" w:type="dxa"/>
            <w:tcBorders>
              <w:top w:val="nil"/>
              <w:left w:val="nil"/>
              <w:bottom w:val="nil"/>
              <w:right w:val="nil"/>
            </w:tcBorders>
            <w:shd w:val="clear" w:color="auto" w:fill="auto"/>
            <w:textDirection w:val="btLr"/>
            <w:hideMark/>
          </w:tcPr>
          <w:p w14:paraId="33EC9C4B" w14:textId="77777777" w:rsidR="007E67FC" w:rsidRPr="00E80026" w:rsidRDefault="007E67FC" w:rsidP="00E80026">
            <w:pPr>
              <w:pStyle w:val="Tables"/>
              <w:rPr>
                <w:sz w:val="20"/>
                <w:szCs w:val="20"/>
              </w:rPr>
            </w:pPr>
            <w:r w:rsidRPr="00E80026">
              <w:rPr>
                <w:sz w:val="20"/>
                <w:szCs w:val="20"/>
              </w:rPr>
              <w:t>3</w:t>
            </w:r>
          </w:p>
        </w:tc>
        <w:tc>
          <w:tcPr>
            <w:tcW w:w="1008" w:type="dxa"/>
            <w:tcBorders>
              <w:top w:val="nil"/>
              <w:left w:val="nil"/>
              <w:bottom w:val="nil"/>
              <w:right w:val="nil"/>
            </w:tcBorders>
            <w:shd w:val="clear" w:color="auto" w:fill="auto"/>
            <w:textDirection w:val="btLr"/>
            <w:hideMark/>
          </w:tcPr>
          <w:p w14:paraId="1734B081" w14:textId="77777777" w:rsidR="007E67FC" w:rsidRPr="00E80026" w:rsidRDefault="007E67FC" w:rsidP="00E80026">
            <w:pPr>
              <w:pStyle w:val="Tables"/>
              <w:rPr>
                <w:sz w:val="20"/>
                <w:szCs w:val="20"/>
              </w:rPr>
            </w:pPr>
            <w:r w:rsidRPr="00E80026">
              <w:rPr>
                <w:sz w:val="20"/>
                <w:szCs w:val="20"/>
              </w:rPr>
              <w:t>1 &amp; 3</w:t>
            </w:r>
          </w:p>
        </w:tc>
        <w:tc>
          <w:tcPr>
            <w:tcW w:w="1080" w:type="dxa"/>
            <w:tcBorders>
              <w:top w:val="nil"/>
              <w:left w:val="nil"/>
              <w:bottom w:val="nil"/>
              <w:right w:val="nil"/>
            </w:tcBorders>
            <w:shd w:val="clear" w:color="auto" w:fill="auto"/>
            <w:textDirection w:val="btLr"/>
            <w:hideMark/>
          </w:tcPr>
          <w:p w14:paraId="5B6414BC" w14:textId="77777777" w:rsidR="007E67FC" w:rsidRPr="00E80026" w:rsidRDefault="007E67FC" w:rsidP="00E80026">
            <w:pPr>
              <w:pStyle w:val="Tables"/>
              <w:rPr>
                <w:sz w:val="20"/>
                <w:szCs w:val="20"/>
              </w:rPr>
            </w:pPr>
            <w:r w:rsidRPr="00E80026">
              <w:rPr>
                <w:sz w:val="20"/>
                <w:szCs w:val="20"/>
              </w:rPr>
              <w:t>1 &amp; 3</w:t>
            </w:r>
          </w:p>
        </w:tc>
      </w:tr>
    </w:tbl>
    <w:p w14:paraId="3587DB17" w14:textId="77777777" w:rsidR="002F1E84" w:rsidRDefault="002F1E84">
      <w:r>
        <w:br w:type="page"/>
      </w:r>
    </w:p>
    <w:tbl>
      <w:tblPr>
        <w:tblW w:w="8052" w:type="dxa"/>
        <w:tblCellMar>
          <w:top w:w="115" w:type="dxa"/>
          <w:left w:w="0" w:type="dxa"/>
          <w:bottom w:w="115" w:type="dxa"/>
          <w:right w:w="0" w:type="dxa"/>
        </w:tblCellMar>
        <w:tblLook w:val="04A0" w:firstRow="1" w:lastRow="0" w:firstColumn="1" w:lastColumn="0" w:noHBand="0" w:noVBand="1"/>
      </w:tblPr>
      <w:tblGrid>
        <w:gridCol w:w="672"/>
        <w:gridCol w:w="1483"/>
        <w:gridCol w:w="1728"/>
        <w:gridCol w:w="1014"/>
        <w:gridCol w:w="2165"/>
        <w:gridCol w:w="990"/>
      </w:tblGrid>
      <w:tr w:rsidR="005E2D5E" w:rsidRPr="006E7CD3" w14:paraId="5C2A97BB" w14:textId="3F9C48BB" w:rsidTr="0000683E">
        <w:trPr>
          <w:cantSplit/>
          <w:trHeight w:val="864"/>
        </w:trPr>
        <w:tc>
          <w:tcPr>
            <w:tcW w:w="672" w:type="dxa"/>
            <w:tcBorders>
              <w:top w:val="nil"/>
              <w:left w:val="nil"/>
              <w:bottom w:val="nil"/>
              <w:right w:val="nil"/>
            </w:tcBorders>
            <w:shd w:val="clear" w:color="auto" w:fill="auto"/>
            <w:textDirection w:val="btLr"/>
            <w:hideMark/>
          </w:tcPr>
          <w:p w14:paraId="66D35216" w14:textId="77777777" w:rsidR="005E2D5E" w:rsidRPr="00026AA8" w:rsidRDefault="005E2D5E" w:rsidP="006E7CD3">
            <w:pPr>
              <w:pStyle w:val="Tables"/>
              <w:rPr>
                <w:b/>
                <w:sz w:val="20"/>
              </w:rPr>
            </w:pPr>
            <w:r w:rsidRPr="00026AA8">
              <w:rPr>
                <w:b/>
                <w:sz w:val="20"/>
              </w:rPr>
              <w:lastRenderedPageBreak/>
              <w:t>Reference</w:t>
            </w:r>
          </w:p>
        </w:tc>
        <w:tc>
          <w:tcPr>
            <w:tcW w:w="1483" w:type="dxa"/>
            <w:tcBorders>
              <w:top w:val="nil"/>
              <w:left w:val="nil"/>
              <w:bottom w:val="nil"/>
              <w:right w:val="nil"/>
            </w:tcBorders>
            <w:shd w:val="clear" w:color="auto" w:fill="auto"/>
            <w:textDirection w:val="btLr"/>
            <w:hideMark/>
          </w:tcPr>
          <w:p w14:paraId="540116A5" w14:textId="18A970BB" w:rsidR="005E2D5E" w:rsidRPr="006E7CD3" w:rsidRDefault="00E80247" w:rsidP="006E7CD3">
            <w:pPr>
              <w:pStyle w:val="Tables"/>
              <w:rPr>
                <w:sz w:val="20"/>
              </w:rPr>
            </w:pPr>
            <w:r>
              <w:rPr>
                <w:sz w:val="20"/>
              </w:rPr>
              <w:fldChar w:fldCharType="begin"/>
            </w:r>
            <w:r w:rsidR="00807999">
              <w:rPr>
                <w:sz w:val="20"/>
              </w:rPr>
              <w:instrText xml:space="preserve"> ADDIN PAPERS2_CITATIONS &lt;citation&gt;&lt;uuid&gt;3C07E8C9-9402-4A94-BD8F-87CD4AB1EE85&lt;/uuid&gt;&lt;priority&gt;0&lt;/priority&gt;&lt;publications&gt;&lt;publication&gt;&lt;volume&gt;108&lt;/volume&gt;&lt;publication_date&gt;99201407001200000000220000&lt;/publication_date&gt;&lt;doi&gt;10.1016/j.jaap.2014.05.016&lt;/doi&gt;&lt;startpage&gt;56&lt;/startpage&gt;&lt;title&gt;A comprehensive study on relating cell-wall components of lignocellulosic biomass to oxygenated species formed during pyrolysis&lt;/title&gt;&lt;uuid&gt;7FED9759-6353-4731-8DD7-7EE86258EDA2&lt;/uuid&gt;&lt;subtype&gt;400&lt;/subtype&gt;&lt;endpage&gt;67&lt;/endpage&gt;&lt;type&gt;400&lt;/type&gt;&lt;citekey&gt;Mante:2014eu&lt;/citekey&gt;&lt;url&gt;http://linkinghub.elsevier.com/retrieve/pii/S0165237014001223&lt;/url&gt;&lt;bundle&gt;&lt;publication&gt;&lt;publisher&gt;Elsevier B.V.&lt;/publisher&gt;&lt;title&gt;Journal of Analytical and Applied Pyrolysis&lt;/title&gt;&lt;type&gt;-100&lt;/type&gt;&lt;subtype&gt;-100&lt;/subtype&gt;&lt;uuid&gt;D2B451F2-ABD5-4B2D-92A4-9DB1FFA0C21E&lt;/uuid&gt;&lt;/publication&gt;&lt;/bundle&gt;&lt;authors&gt;&lt;author&gt;&lt;firstName&gt;Ofei&lt;/firstName&gt;&lt;middleNames&gt;D&lt;/middleNames&gt;&lt;lastName&gt;Mante&lt;/lastName&gt;&lt;/author&gt;&lt;author&gt;&lt;firstName&gt;Suresh&lt;/firstName&gt;&lt;middleNames&gt;P&lt;/middleNames&gt;&lt;lastName&gt;Babu&lt;/lastName&gt;&lt;/author&gt;&lt;author&gt;&lt;firstName&gt;Thomas&lt;/firstName&gt;&lt;middleNames&gt;E&lt;/middleNames&gt;&lt;lastName&gt;Amidon&lt;/lastName&gt;&lt;/author&gt;&lt;/authors&gt;&lt;/publication&gt;&lt;/publications&gt;&lt;cites&gt;&lt;/cites&gt;&lt;/citation&gt;</w:instrText>
            </w:r>
            <w:r>
              <w:rPr>
                <w:sz w:val="20"/>
              </w:rPr>
              <w:fldChar w:fldCharType="separate"/>
            </w:r>
            <w:r w:rsidR="001C1AAC">
              <w:rPr>
                <w:sz w:val="20"/>
                <w:szCs w:val="20"/>
              </w:rPr>
              <w:t>(</w:t>
            </w:r>
            <w:r w:rsidR="001C1AAC">
              <w:rPr>
                <w:i/>
                <w:iCs/>
                <w:sz w:val="20"/>
                <w:szCs w:val="20"/>
              </w:rPr>
              <w:t>48</w:t>
            </w:r>
            <w:r w:rsidR="001C1AAC">
              <w:rPr>
                <w:sz w:val="20"/>
                <w:szCs w:val="20"/>
              </w:rPr>
              <w:t>)</w:t>
            </w:r>
            <w:r>
              <w:rPr>
                <w:sz w:val="20"/>
              </w:rPr>
              <w:fldChar w:fldCharType="end"/>
            </w:r>
          </w:p>
        </w:tc>
        <w:tc>
          <w:tcPr>
            <w:tcW w:w="1728" w:type="dxa"/>
            <w:tcBorders>
              <w:top w:val="nil"/>
              <w:left w:val="nil"/>
              <w:bottom w:val="nil"/>
              <w:right w:val="nil"/>
            </w:tcBorders>
            <w:shd w:val="clear" w:color="auto" w:fill="auto"/>
            <w:textDirection w:val="btLr"/>
            <w:hideMark/>
          </w:tcPr>
          <w:p w14:paraId="48CE8D0F" w14:textId="00637ADC" w:rsidR="005E2D5E" w:rsidRPr="006E7CD3" w:rsidRDefault="00E80247" w:rsidP="006E7CD3">
            <w:pPr>
              <w:pStyle w:val="Tables"/>
              <w:rPr>
                <w:sz w:val="20"/>
              </w:rPr>
            </w:pPr>
            <w:r>
              <w:rPr>
                <w:sz w:val="20"/>
              </w:rPr>
              <w:fldChar w:fldCharType="begin"/>
            </w:r>
            <w:r w:rsidR="00807999">
              <w:rPr>
                <w:sz w:val="20"/>
              </w:rPr>
              <w:instrText xml:space="preserve"> ADDIN PAPERS2_CITATIONS &lt;citation&gt;&lt;uuid&gt;75E59757-DF05-48D7-95B5-122DB1F404A4&lt;/uuid&gt;&lt;priority&gt;0&lt;/priority&gt;&lt;publications&gt;&lt;publication&gt;&lt;volume&gt;108&lt;/volume&gt;&lt;publication_date&gt;99201407001200000000220000&lt;/publication_date&gt;&lt;doi&gt;10.1016/j.jaap.2014.05.016&lt;/doi&gt;&lt;startpage&gt;56&lt;/startpage&gt;&lt;title&gt;A comprehensive study on relating cell-wall components of lignocellulosic biomass to oxygenated species formed during pyrolysis&lt;/title&gt;&lt;uuid&gt;7FED9759-6353-4731-8DD7-7EE86258EDA2&lt;/uuid&gt;&lt;subtype&gt;400&lt;/subtype&gt;&lt;endpage&gt;67&lt;/endpage&gt;&lt;type&gt;400&lt;/type&gt;&lt;citekey&gt;Mante:2014eu&lt;/citekey&gt;&lt;url&gt;http://linkinghub.elsevier.com/retrieve/pii/S0165237014001223&lt;/url&gt;&lt;bundle&gt;&lt;publication&gt;&lt;publisher&gt;Elsevier B.V.&lt;/publisher&gt;&lt;title&gt;Journal of Analytical and Applied Pyrolysis&lt;/title&gt;&lt;type&gt;-100&lt;/type&gt;&lt;subtype&gt;-100&lt;/subtype&gt;&lt;uuid&gt;D2B451F2-ABD5-4B2D-92A4-9DB1FFA0C21E&lt;/uuid&gt;&lt;/publication&gt;&lt;/bundle&gt;&lt;authors&gt;&lt;author&gt;&lt;firstName&gt;Ofei&lt;/firstName&gt;&lt;middleNames&gt;D&lt;/middleNames&gt;&lt;lastName&gt;Mante&lt;/lastName&gt;&lt;/author&gt;&lt;author&gt;&lt;firstName&gt;Suresh&lt;/firstName&gt;&lt;middleNames&gt;P&lt;/middleNames&gt;&lt;lastName&gt;Babu&lt;/lastName&gt;&lt;/author&gt;&lt;author&gt;&lt;firstName&gt;Thomas&lt;/firstName&gt;&lt;middleNames&gt;E&lt;/middleNames&gt;&lt;lastName&gt;Amidon&lt;/lastName&gt;&lt;/author&gt;&lt;/authors&gt;&lt;/publication&gt;&lt;/publications&gt;&lt;cites&gt;&lt;/cites&gt;&lt;/citation&gt;</w:instrText>
            </w:r>
            <w:r>
              <w:rPr>
                <w:sz w:val="20"/>
              </w:rPr>
              <w:fldChar w:fldCharType="separate"/>
            </w:r>
            <w:r w:rsidR="001C1AAC">
              <w:rPr>
                <w:sz w:val="20"/>
                <w:szCs w:val="20"/>
              </w:rPr>
              <w:t>(</w:t>
            </w:r>
            <w:r w:rsidR="001C1AAC">
              <w:rPr>
                <w:i/>
                <w:iCs/>
                <w:sz w:val="20"/>
                <w:szCs w:val="20"/>
              </w:rPr>
              <w:t>48</w:t>
            </w:r>
            <w:r w:rsidR="001C1AAC">
              <w:rPr>
                <w:sz w:val="20"/>
                <w:szCs w:val="20"/>
              </w:rPr>
              <w:t>)</w:t>
            </w:r>
            <w:r>
              <w:rPr>
                <w:sz w:val="20"/>
              </w:rPr>
              <w:fldChar w:fldCharType="end"/>
            </w:r>
          </w:p>
        </w:tc>
        <w:tc>
          <w:tcPr>
            <w:tcW w:w="1014" w:type="dxa"/>
            <w:tcBorders>
              <w:top w:val="nil"/>
              <w:left w:val="nil"/>
              <w:bottom w:val="nil"/>
              <w:right w:val="nil"/>
            </w:tcBorders>
            <w:shd w:val="clear" w:color="auto" w:fill="auto"/>
            <w:textDirection w:val="btLr"/>
            <w:hideMark/>
          </w:tcPr>
          <w:p w14:paraId="37065F7A" w14:textId="2B7B20D9" w:rsidR="005E2D5E" w:rsidRPr="006E7CD3" w:rsidRDefault="00E80247" w:rsidP="006E7CD3">
            <w:pPr>
              <w:pStyle w:val="Tables"/>
              <w:rPr>
                <w:sz w:val="20"/>
              </w:rPr>
            </w:pPr>
            <w:r>
              <w:rPr>
                <w:sz w:val="20"/>
              </w:rPr>
              <w:fldChar w:fldCharType="begin"/>
            </w:r>
            <w:r w:rsidR="00807999">
              <w:rPr>
                <w:sz w:val="20"/>
              </w:rPr>
              <w:instrText xml:space="preserve"> ADDIN PAPERS2_CITATIONS &lt;citation&gt;&lt;uuid&gt;EAC4FB6D-3DF4-49E3-B3A9-306FCD7A9D55&lt;/uuid&gt;&lt;priority&gt;0&lt;/priority&gt;&lt;publications&gt;&lt;publication&gt;&lt;volume&gt;108&lt;/volume&gt;&lt;publication_date&gt;99201407001200000000220000&lt;/publication_date&gt;&lt;doi&gt;10.1016/j.jaap.2014.05.016&lt;/doi&gt;&lt;startpage&gt;56&lt;/startpage&gt;&lt;title&gt;A comprehensive study on relating cell-wall components of lignocellulosic biomass to oxygenated species formed during pyrolysis&lt;/title&gt;&lt;uuid&gt;7FED9759-6353-4731-8DD7-7EE86258EDA2&lt;/uuid&gt;&lt;subtype&gt;400&lt;/subtype&gt;&lt;endpage&gt;67&lt;/endpage&gt;&lt;type&gt;400&lt;/type&gt;&lt;citekey&gt;Mante:2014eu&lt;/citekey&gt;&lt;url&gt;http://linkinghub.elsevier.com/retrieve/pii/S0165237014001223&lt;/url&gt;&lt;bundle&gt;&lt;publication&gt;&lt;publisher&gt;Elsevier B.V.&lt;/publisher&gt;&lt;title&gt;Journal of Analytical and Applied Pyrolysis&lt;/title&gt;&lt;type&gt;-100&lt;/type&gt;&lt;subtype&gt;-100&lt;/subtype&gt;&lt;uuid&gt;D2B451F2-ABD5-4B2D-92A4-9DB1FFA0C21E&lt;/uuid&gt;&lt;/publication&gt;&lt;/bundle&gt;&lt;authors&gt;&lt;author&gt;&lt;firstName&gt;Ofei&lt;/firstName&gt;&lt;middleNames&gt;D&lt;/middleNames&gt;&lt;lastName&gt;Mante&lt;/lastName&gt;&lt;/author&gt;&lt;author&gt;&lt;firstName&gt;Suresh&lt;/firstName&gt;&lt;middleNames&gt;P&lt;/middleNames&gt;&lt;lastName&gt;Babu&lt;/lastName&gt;&lt;/author&gt;&lt;author&gt;&lt;firstName&gt;Thomas&lt;/firstName&gt;&lt;middleNames&gt;E&lt;/middleNames&gt;&lt;lastName&gt;Amidon&lt;/lastName&gt;&lt;/author&gt;&lt;/authors&gt;&lt;/publication&gt;&lt;/publications&gt;&lt;cites&gt;&lt;/cites&gt;&lt;/citation&gt;</w:instrText>
            </w:r>
            <w:r>
              <w:rPr>
                <w:sz w:val="20"/>
              </w:rPr>
              <w:fldChar w:fldCharType="separate"/>
            </w:r>
            <w:r w:rsidR="001C1AAC">
              <w:rPr>
                <w:sz w:val="20"/>
                <w:szCs w:val="20"/>
              </w:rPr>
              <w:t>(</w:t>
            </w:r>
            <w:r w:rsidR="001C1AAC">
              <w:rPr>
                <w:i/>
                <w:iCs/>
                <w:sz w:val="20"/>
                <w:szCs w:val="20"/>
              </w:rPr>
              <w:t>48</w:t>
            </w:r>
            <w:r w:rsidR="001C1AAC">
              <w:rPr>
                <w:sz w:val="20"/>
                <w:szCs w:val="20"/>
              </w:rPr>
              <w:t>)</w:t>
            </w:r>
            <w:r>
              <w:rPr>
                <w:sz w:val="20"/>
              </w:rPr>
              <w:fldChar w:fldCharType="end"/>
            </w:r>
          </w:p>
        </w:tc>
        <w:tc>
          <w:tcPr>
            <w:tcW w:w="2165" w:type="dxa"/>
            <w:tcBorders>
              <w:top w:val="nil"/>
              <w:left w:val="nil"/>
              <w:bottom w:val="nil"/>
              <w:right w:val="nil"/>
            </w:tcBorders>
            <w:shd w:val="clear" w:color="auto" w:fill="auto"/>
            <w:textDirection w:val="btLr"/>
            <w:hideMark/>
          </w:tcPr>
          <w:p w14:paraId="0A899BCC" w14:textId="20F9C1D2" w:rsidR="005E2D5E" w:rsidRPr="006E7CD3" w:rsidRDefault="00E80247" w:rsidP="00E80247">
            <w:pPr>
              <w:pStyle w:val="Tables"/>
              <w:rPr>
                <w:sz w:val="20"/>
              </w:rPr>
            </w:pPr>
            <w:r>
              <w:rPr>
                <w:sz w:val="20"/>
              </w:rPr>
              <w:fldChar w:fldCharType="begin"/>
            </w:r>
            <w:r w:rsidR="00807999">
              <w:rPr>
                <w:sz w:val="20"/>
              </w:rPr>
              <w:instrText xml:space="preserve"> ADDIN PAPERS2_CITATIONS &lt;citation&gt;&lt;uuid&gt;65BADF28-B40D-4B09-BA0D-859B0F032872&lt;/uuid&gt;&lt;priority&gt;0&lt;/priority&gt;&lt;publications&gt;&lt;publication&gt;&lt;uuid&gt;8CF245F3-43A3-469D-8FD1-85F3EB8449CC&lt;/uuid&gt;&lt;volume&gt;90&lt;/volume&gt;&lt;doi&gt;10.1016/j.fuel.2011.04.033&lt;/doi&gt;&lt;startpage&gt;2915&lt;/startpage&gt;&lt;publication_date&gt;99201109011200000000222000&lt;/publication_date&gt;&lt;url&gt;http://dx.doi.org/10.1016/j.fuel.2011.04.033&lt;/url&gt;&lt;type&gt;400&lt;/type&gt;&lt;title&gt;Mallee wood fast pyrolysis: Effects of alkali and alkaline earth metallic species on the yield and composition of bio-oil&lt;/title&gt;&lt;publisher&gt;Elsevier Ltd&lt;/publisher&gt;&lt;number&gt;9&lt;/number&gt;&lt;subtype&gt;400&lt;/subtype&gt;&lt;endpage&gt;2922&lt;/endpage&gt;&lt;bundle&gt;&lt;publication&gt;&lt;publisher&gt;Elsevier Ltd&lt;/publisher&gt;&lt;title&gt;Fuel&lt;/title&gt;&lt;type&gt;-100&lt;/type&gt;&lt;subtype&gt;-100&lt;/subtype&gt;&lt;uuid&gt;E286CABA-D6F1-4A09-A385-6AFE55FAD8F4&lt;/uuid&gt;&lt;/publication&gt;&lt;/bundle&gt;&lt;authors&gt;&lt;author&gt;&lt;firstName&gt;Daniel&lt;/firstName&gt;&lt;lastName&gt;Mourant&lt;/lastName&gt;&lt;/author&gt;&lt;author&gt;&lt;firstName&gt;Zhouhong&lt;/firstName&gt;&lt;lastName&gt;Wang&lt;/lastName&gt;&lt;/author&gt;&lt;author&gt;&lt;firstName&gt;Min&lt;/firstName&gt;&lt;lastName&gt;He&lt;/lastName&gt;&lt;/author&gt;&lt;author&gt;&lt;firstName&gt;Xiao&lt;/firstName&gt;&lt;middleNames&gt;Shan&lt;/middleNames&gt;&lt;lastName&gt;Wang&lt;/lastName&gt;&lt;/author&gt;&lt;author&gt;&lt;firstName&gt;Manuel&lt;/firstName&gt;&lt;lastName&gt;Garcia-Perez&lt;/lastName&gt;&lt;/author&gt;&lt;author&gt;&lt;firstName&gt;Kaicheng&lt;/firstName&gt;&lt;lastName&gt;Ling&lt;/lastName&gt;&lt;/author&gt;&lt;author&gt;&lt;firstName&gt;Chun-Zhu&lt;/firstName&gt;&lt;lastName&gt;Li&lt;/lastName&gt;&lt;/author&gt;&lt;/authors&gt;&lt;/publication&gt;&lt;/publications&gt;&lt;cites&gt;&lt;/cites&gt;&lt;/citation&gt;</w:instrText>
            </w:r>
            <w:r>
              <w:rPr>
                <w:sz w:val="20"/>
              </w:rPr>
              <w:fldChar w:fldCharType="separate"/>
            </w:r>
            <w:r w:rsidR="001C1AAC">
              <w:rPr>
                <w:sz w:val="20"/>
                <w:szCs w:val="20"/>
              </w:rPr>
              <w:t>(</w:t>
            </w:r>
            <w:r w:rsidR="001C1AAC">
              <w:rPr>
                <w:i/>
                <w:iCs/>
                <w:sz w:val="20"/>
                <w:szCs w:val="20"/>
              </w:rPr>
              <w:t>93</w:t>
            </w:r>
            <w:r w:rsidR="001C1AAC">
              <w:rPr>
                <w:sz w:val="20"/>
                <w:szCs w:val="20"/>
              </w:rPr>
              <w:t>)</w:t>
            </w:r>
            <w:r>
              <w:rPr>
                <w:sz w:val="20"/>
              </w:rPr>
              <w:fldChar w:fldCharType="end"/>
            </w:r>
          </w:p>
        </w:tc>
        <w:tc>
          <w:tcPr>
            <w:tcW w:w="990" w:type="dxa"/>
            <w:tcBorders>
              <w:top w:val="nil"/>
              <w:left w:val="nil"/>
              <w:bottom w:val="nil"/>
              <w:right w:val="nil"/>
            </w:tcBorders>
            <w:textDirection w:val="btLr"/>
          </w:tcPr>
          <w:p w14:paraId="699EF2CA" w14:textId="3A598913" w:rsidR="005E2D5E" w:rsidRPr="005E2D5E" w:rsidRDefault="00E80247" w:rsidP="00E80247">
            <w:pPr>
              <w:pStyle w:val="Tables"/>
              <w:rPr>
                <w:sz w:val="20"/>
                <w:szCs w:val="20"/>
              </w:rPr>
            </w:pPr>
            <w:r>
              <w:rPr>
                <w:sz w:val="20"/>
                <w:szCs w:val="20"/>
              </w:rPr>
              <w:fldChar w:fldCharType="begin"/>
            </w:r>
            <w:r w:rsidR="00807999">
              <w:rPr>
                <w:sz w:val="20"/>
                <w:szCs w:val="20"/>
              </w:rPr>
              <w:instrText xml:space="preserve"> ADDIN PAPERS2_CITATIONS &lt;citation&gt;&lt;uuid&gt;3C1CB10E-BC97-46A6-BBB7-21FBE73EFF23&lt;/uuid&gt;&lt;priority&gt;0&lt;/priority&gt;&lt;publications&gt;&lt;publication&gt;&lt;uuid&gt;4DE21D38-E34B-4255-943B-025C003F6A4B&lt;/uuid&gt;&lt;volume&gt;46&lt;/volume&gt;&lt;doi&gt;10.1021/ie070684k&lt;/doi&gt;&lt;startpage&gt;9238&lt;/startpage&gt;&lt;publication_date&gt;99200712001200000000220000&lt;/publication_date&gt;&lt;url&gt;http://pubs.acs.org/doi/abs/10.1021/ie070684k&lt;/url&gt;&lt;citekey&gt;Westerhof:2007bj&lt;/citekey&gt;&lt;type&gt;400&lt;/type&gt;&lt;title&gt;Controlling the Water Content of Biomass Fast Pyrolysis Oil&lt;/title&gt;&lt;number&gt;26&lt;/number&gt;&lt;subtype&gt;400&lt;/subtype&gt;&lt;endpage&gt;9247&lt;/endpage&gt;&lt;bundle&gt;&lt;publication&gt;&lt;publisher&gt;&lt;/publisher&gt;&lt;title&gt;Industrial &amp;amp; Engineering Chemistry Research&lt;/title&gt;&lt;type&gt;-100&lt;/type&gt;&lt;subtype&gt;-100&lt;/subtype&gt;&lt;uuid&gt;3EB2AD93-F0E9-43F2-A1C5-49893E3B73E3&lt;/uuid&gt;&lt;/publication&gt;&lt;/bundle&gt;&lt;authors&gt;&lt;author&gt;&lt;firstName&gt;Roel&lt;/firstName&gt;&lt;middleNames&gt;J M&lt;/middleNames&gt;&lt;lastName&gt;Westerhof&lt;/lastName&gt;&lt;/author&gt;&lt;author&gt;&lt;firstName&gt;Norbert&lt;/firstName&gt;&lt;middleNames&gt;J M&lt;/middleNames&gt;&lt;lastName&gt;Kuipers&lt;/lastName&gt;&lt;/author&gt;&lt;author&gt;&lt;firstName&gt;Sascha&lt;/firstName&gt;&lt;middleNames&gt;R A&lt;/middleNames&gt;&lt;lastName&gt;Kersten&lt;/lastName&gt;&lt;/author&gt;&lt;author&gt;&lt;lastName&gt;Swaaij&lt;/lastName&gt;&lt;nonDroppingParticle&gt;van&lt;/nonDroppingParticle&gt;&lt;firstName&gt;Wim&lt;/firstName&gt;&lt;middleNames&gt;P M&lt;/middleNames&gt;&lt;/author&gt;&lt;/authors&gt;&lt;/publication&gt;&lt;/publications&gt;&lt;cites&gt;&lt;/cites&gt;&lt;/citation&gt;</w:instrText>
            </w:r>
            <w:r>
              <w:rPr>
                <w:sz w:val="20"/>
                <w:szCs w:val="20"/>
              </w:rPr>
              <w:fldChar w:fldCharType="separate"/>
            </w:r>
            <w:r w:rsidR="001C1AAC">
              <w:rPr>
                <w:sz w:val="20"/>
                <w:szCs w:val="20"/>
              </w:rPr>
              <w:t>(</w:t>
            </w:r>
            <w:r w:rsidR="001C1AAC">
              <w:rPr>
                <w:i/>
                <w:iCs/>
                <w:sz w:val="20"/>
                <w:szCs w:val="20"/>
              </w:rPr>
              <w:t>94</w:t>
            </w:r>
            <w:r w:rsidR="001C1AAC">
              <w:rPr>
                <w:sz w:val="20"/>
                <w:szCs w:val="20"/>
              </w:rPr>
              <w:t>)</w:t>
            </w:r>
            <w:r>
              <w:rPr>
                <w:sz w:val="20"/>
                <w:szCs w:val="20"/>
              </w:rPr>
              <w:fldChar w:fldCharType="end"/>
            </w:r>
          </w:p>
        </w:tc>
      </w:tr>
      <w:tr w:rsidR="005E2D5E" w:rsidRPr="006E7CD3" w14:paraId="300DD141" w14:textId="11D52CD1" w:rsidTr="0000683E">
        <w:trPr>
          <w:cantSplit/>
          <w:trHeight w:val="1008"/>
        </w:trPr>
        <w:tc>
          <w:tcPr>
            <w:tcW w:w="672" w:type="dxa"/>
            <w:tcBorders>
              <w:top w:val="nil"/>
              <w:left w:val="nil"/>
              <w:bottom w:val="nil"/>
              <w:right w:val="nil"/>
            </w:tcBorders>
            <w:shd w:val="clear" w:color="auto" w:fill="auto"/>
            <w:textDirection w:val="btLr"/>
            <w:hideMark/>
          </w:tcPr>
          <w:p w14:paraId="690BCABB" w14:textId="77777777" w:rsidR="005E2D5E" w:rsidRPr="00026AA8" w:rsidRDefault="005E2D5E" w:rsidP="006E7CD3">
            <w:pPr>
              <w:pStyle w:val="Tables"/>
              <w:rPr>
                <w:b/>
                <w:sz w:val="20"/>
              </w:rPr>
            </w:pPr>
            <w:r w:rsidRPr="00026AA8">
              <w:rPr>
                <w:b/>
                <w:sz w:val="20"/>
              </w:rPr>
              <w:t>Thermal conversion condition</w:t>
            </w:r>
          </w:p>
        </w:tc>
        <w:tc>
          <w:tcPr>
            <w:tcW w:w="1483" w:type="dxa"/>
            <w:tcBorders>
              <w:top w:val="nil"/>
              <w:left w:val="nil"/>
              <w:bottom w:val="nil"/>
              <w:right w:val="nil"/>
            </w:tcBorders>
            <w:shd w:val="clear" w:color="auto" w:fill="auto"/>
            <w:textDirection w:val="btLr"/>
            <w:hideMark/>
          </w:tcPr>
          <w:p w14:paraId="046D540F" w14:textId="77777777" w:rsidR="005E2D5E" w:rsidRPr="006E7CD3" w:rsidRDefault="005E2D5E" w:rsidP="006E7CD3">
            <w:pPr>
              <w:pStyle w:val="Tables"/>
              <w:rPr>
                <w:sz w:val="20"/>
              </w:rPr>
            </w:pPr>
            <w:r w:rsidRPr="006E7CD3">
              <w:rPr>
                <w:sz w:val="20"/>
              </w:rPr>
              <w:t>550˚C , 20 s</w:t>
            </w:r>
          </w:p>
        </w:tc>
        <w:tc>
          <w:tcPr>
            <w:tcW w:w="1728" w:type="dxa"/>
            <w:tcBorders>
              <w:top w:val="nil"/>
              <w:left w:val="nil"/>
              <w:bottom w:val="nil"/>
              <w:right w:val="nil"/>
            </w:tcBorders>
            <w:shd w:val="clear" w:color="auto" w:fill="auto"/>
            <w:textDirection w:val="btLr"/>
            <w:hideMark/>
          </w:tcPr>
          <w:p w14:paraId="713E7B0B" w14:textId="77777777" w:rsidR="005E2D5E" w:rsidRPr="006E7CD3" w:rsidRDefault="005E2D5E" w:rsidP="006E7CD3">
            <w:pPr>
              <w:pStyle w:val="Tables"/>
              <w:rPr>
                <w:sz w:val="20"/>
              </w:rPr>
            </w:pPr>
            <w:r w:rsidRPr="006E7CD3">
              <w:rPr>
                <w:sz w:val="20"/>
              </w:rPr>
              <w:t>550˚C , 20 s</w:t>
            </w:r>
          </w:p>
        </w:tc>
        <w:tc>
          <w:tcPr>
            <w:tcW w:w="1014" w:type="dxa"/>
            <w:tcBorders>
              <w:top w:val="nil"/>
              <w:left w:val="nil"/>
              <w:bottom w:val="nil"/>
              <w:right w:val="nil"/>
            </w:tcBorders>
            <w:shd w:val="clear" w:color="auto" w:fill="auto"/>
            <w:textDirection w:val="btLr"/>
            <w:hideMark/>
          </w:tcPr>
          <w:p w14:paraId="05034CA9" w14:textId="77777777" w:rsidR="005E2D5E" w:rsidRPr="006E7CD3" w:rsidRDefault="005E2D5E" w:rsidP="006E7CD3">
            <w:pPr>
              <w:pStyle w:val="Tables"/>
              <w:rPr>
                <w:sz w:val="20"/>
              </w:rPr>
            </w:pPr>
            <w:r w:rsidRPr="006E7CD3">
              <w:rPr>
                <w:sz w:val="20"/>
              </w:rPr>
              <w:t>550˚C , 20 s</w:t>
            </w:r>
          </w:p>
        </w:tc>
        <w:tc>
          <w:tcPr>
            <w:tcW w:w="2165" w:type="dxa"/>
            <w:tcBorders>
              <w:top w:val="nil"/>
              <w:left w:val="nil"/>
              <w:bottom w:val="nil"/>
              <w:right w:val="nil"/>
            </w:tcBorders>
            <w:shd w:val="clear" w:color="auto" w:fill="auto"/>
            <w:textDirection w:val="btLr"/>
            <w:hideMark/>
          </w:tcPr>
          <w:p w14:paraId="6AA0A604" w14:textId="77777777" w:rsidR="005E2D5E" w:rsidRPr="006E7CD3" w:rsidRDefault="005E2D5E" w:rsidP="006E7CD3">
            <w:pPr>
              <w:pStyle w:val="Tables"/>
              <w:rPr>
                <w:sz w:val="20"/>
              </w:rPr>
            </w:pPr>
            <w:r w:rsidRPr="006E7CD3">
              <w:rPr>
                <w:sz w:val="20"/>
              </w:rPr>
              <w:t>Fluidized bed , 500°C</w:t>
            </w:r>
          </w:p>
        </w:tc>
        <w:tc>
          <w:tcPr>
            <w:tcW w:w="990" w:type="dxa"/>
            <w:tcBorders>
              <w:top w:val="nil"/>
              <w:left w:val="nil"/>
              <w:bottom w:val="nil"/>
              <w:right w:val="nil"/>
            </w:tcBorders>
            <w:textDirection w:val="btLr"/>
          </w:tcPr>
          <w:p w14:paraId="3A2503F3" w14:textId="12C8A1DB" w:rsidR="005E2D5E" w:rsidRPr="005E2D5E" w:rsidRDefault="005E2D5E" w:rsidP="005E2D5E">
            <w:pPr>
              <w:pStyle w:val="Tables"/>
              <w:rPr>
                <w:sz w:val="20"/>
                <w:szCs w:val="20"/>
              </w:rPr>
            </w:pPr>
            <w:r w:rsidRPr="005E2D5E">
              <w:rPr>
                <w:sz w:val="20"/>
                <w:szCs w:val="20"/>
              </w:rPr>
              <w:t>Fluidized bed , 480°C, 2 s</w:t>
            </w:r>
          </w:p>
        </w:tc>
      </w:tr>
      <w:tr w:rsidR="005E2D5E" w:rsidRPr="006E7CD3" w14:paraId="2272B979" w14:textId="391559B2" w:rsidTr="0000683E">
        <w:trPr>
          <w:cantSplit/>
          <w:trHeight w:val="2160"/>
        </w:trPr>
        <w:tc>
          <w:tcPr>
            <w:tcW w:w="672" w:type="dxa"/>
            <w:tcBorders>
              <w:top w:val="nil"/>
              <w:left w:val="nil"/>
              <w:bottom w:val="nil"/>
              <w:right w:val="nil"/>
            </w:tcBorders>
            <w:shd w:val="clear" w:color="auto" w:fill="auto"/>
            <w:textDirection w:val="btLr"/>
            <w:hideMark/>
          </w:tcPr>
          <w:p w14:paraId="1D217060" w14:textId="77777777" w:rsidR="005E2D5E" w:rsidRPr="00026AA8" w:rsidRDefault="005E2D5E" w:rsidP="006E7CD3">
            <w:pPr>
              <w:pStyle w:val="Tables"/>
              <w:rPr>
                <w:b/>
                <w:sz w:val="20"/>
              </w:rPr>
            </w:pPr>
            <w:r w:rsidRPr="00026AA8">
              <w:rPr>
                <w:b/>
                <w:sz w:val="20"/>
              </w:rPr>
              <w:t>Sample type</w:t>
            </w:r>
          </w:p>
        </w:tc>
        <w:tc>
          <w:tcPr>
            <w:tcW w:w="1483" w:type="dxa"/>
            <w:tcBorders>
              <w:top w:val="nil"/>
              <w:left w:val="nil"/>
              <w:bottom w:val="nil"/>
              <w:right w:val="nil"/>
            </w:tcBorders>
            <w:shd w:val="clear" w:color="auto" w:fill="auto"/>
            <w:textDirection w:val="btLr"/>
            <w:hideMark/>
          </w:tcPr>
          <w:p w14:paraId="26E0CA79" w14:textId="77777777" w:rsidR="005E2D5E" w:rsidRPr="006E7CD3" w:rsidRDefault="005E2D5E" w:rsidP="006E7CD3">
            <w:pPr>
              <w:pStyle w:val="Tables"/>
              <w:rPr>
                <w:sz w:val="20"/>
              </w:rPr>
            </w:pPr>
            <w:r w:rsidRPr="006E7CD3">
              <w:rPr>
                <w:sz w:val="20"/>
              </w:rPr>
              <w:t>Poplar, willow, switchgrass, hot-water extracted sugar maple, and debarked sugar maple.</w:t>
            </w:r>
          </w:p>
        </w:tc>
        <w:tc>
          <w:tcPr>
            <w:tcW w:w="1728" w:type="dxa"/>
            <w:tcBorders>
              <w:top w:val="nil"/>
              <w:left w:val="nil"/>
              <w:bottom w:val="nil"/>
              <w:right w:val="nil"/>
            </w:tcBorders>
            <w:shd w:val="clear" w:color="auto" w:fill="auto"/>
            <w:textDirection w:val="btLr"/>
            <w:hideMark/>
          </w:tcPr>
          <w:p w14:paraId="18C45542" w14:textId="77777777" w:rsidR="005E2D5E" w:rsidRPr="006E7CD3" w:rsidRDefault="005E2D5E" w:rsidP="006E7CD3">
            <w:pPr>
              <w:pStyle w:val="Tables"/>
              <w:rPr>
                <w:sz w:val="20"/>
              </w:rPr>
            </w:pPr>
            <w:r w:rsidRPr="006E7CD3">
              <w:rPr>
                <w:sz w:val="20"/>
              </w:rPr>
              <w:t>Poplar, willow, switchgrass, hot-water extracted sugar maple, and debarked sugar maple.</w:t>
            </w:r>
          </w:p>
        </w:tc>
        <w:tc>
          <w:tcPr>
            <w:tcW w:w="1014" w:type="dxa"/>
            <w:tcBorders>
              <w:top w:val="nil"/>
              <w:left w:val="nil"/>
              <w:bottom w:val="nil"/>
              <w:right w:val="nil"/>
            </w:tcBorders>
            <w:shd w:val="clear" w:color="auto" w:fill="auto"/>
            <w:textDirection w:val="btLr"/>
            <w:hideMark/>
          </w:tcPr>
          <w:p w14:paraId="3F077B86" w14:textId="77777777" w:rsidR="005E2D5E" w:rsidRPr="006E7CD3" w:rsidRDefault="005E2D5E" w:rsidP="006E7CD3">
            <w:pPr>
              <w:pStyle w:val="Tables"/>
              <w:rPr>
                <w:sz w:val="20"/>
              </w:rPr>
            </w:pPr>
            <w:r w:rsidRPr="006E7CD3">
              <w:rPr>
                <w:sz w:val="20"/>
              </w:rPr>
              <w:t>Poplar, willow, switchgrass, hot-water extracted sugar maple, and debarked sugar maple.</w:t>
            </w:r>
          </w:p>
        </w:tc>
        <w:tc>
          <w:tcPr>
            <w:tcW w:w="2165" w:type="dxa"/>
            <w:tcBorders>
              <w:top w:val="nil"/>
              <w:left w:val="nil"/>
              <w:bottom w:val="nil"/>
              <w:right w:val="nil"/>
            </w:tcBorders>
            <w:shd w:val="clear" w:color="auto" w:fill="auto"/>
            <w:textDirection w:val="btLr"/>
            <w:hideMark/>
          </w:tcPr>
          <w:p w14:paraId="1D1AA683" w14:textId="77777777" w:rsidR="005E2D5E" w:rsidRPr="006E7CD3" w:rsidRDefault="005E2D5E" w:rsidP="006E7CD3">
            <w:pPr>
              <w:pStyle w:val="Tables"/>
              <w:rPr>
                <w:sz w:val="20"/>
              </w:rPr>
            </w:pPr>
            <w:r w:rsidRPr="006E7CD3">
              <w:rPr>
                <w:sz w:val="20"/>
              </w:rPr>
              <w:t>Eucalyptus loxophleba wood</w:t>
            </w:r>
          </w:p>
        </w:tc>
        <w:tc>
          <w:tcPr>
            <w:tcW w:w="990" w:type="dxa"/>
            <w:tcBorders>
              <w:top w:val="nil"/>
              <w:left w:val="nil"/>
              <w:bottom w:val="nil"/>
              <w:right w:val="nil"/>
            </w:tcBorders>
            <w:textDirection w:val="btLr"/>
          </w:tcPr>
          <w:p w14:paraId="031EC208" w14:textId="35F60F4C" w:rsidR="005E2D5E" w:rsidRPr="005E2D5E" w:rsidRDefault="005E2D5E" w:rsidP="005E2D5E">
            <w:pPr>
              <w:pStyle w:val="Tables"/>
              <w:rPr>
                <w:sz w:val="20"/>
                <w:szCs w:val="20"/>
              </w:rPr>
            </w:pPr>
            <w:r w:rsidRPr="005E2D5E">
              <w:rPr>
                <w:sz w:val="20"/>
                <w:szCs w:val="20"/>
              </w:rPr>
              <w:t>Pine wood</w:t>
            </w:r>
          </w:p>
        </w:tc>
      </w:tr>
      <w:tr w:rsidR="005E2D5E" w:rsidRPr="006E7CD3" w14:paraId="32943317" w14:textId="4E066181" w:rsidTr="0000683E">
        <w:trPr>
          <w:cantSplit/>
          <w:trHeight w:val="2880"/>
        </w:trPr>
        <w:tc>
          <w:tcPr>
            <w:tcW w:w="672" w:type="dxa"/>
            <w:tcBorders>
              <w:top w:val="nil"/>
              <w:left w:val="nil"/>
              <w:bottom w:val="nil"/>
              <w:right w:val="nil"/>
            </w:tcBorders>
            <w:shd w:val="clear" w:color="auto" w:fill="auto"/>
            <w:textDirection w:val="btLr"/>
            <w:hideMark/>
          </w:tcPr>
          <w:p w14:paraId="26420E2E" w14:textId="17B6CAAF" w:rsidR="005E2D5E" w:rsidRPr="00026AA8" w:rsidRDefault="005E2D5E" w:rsidP="006E7CD3">
            <w:pPr>
              <w:pStyle w:val="Tables"/>
              <w:rPr>
                <w:b/>
                <w:sz w:val="20"/>
              </w:rPr>
            </w:pPr>
            <w:r w:rsidRPr="00026AA8">
              <w:rPr>
                <w:b/>
                <w:sz w:val="20"/>
              </w:rPr>
              <w:t xml:space="preserve">Effect on products </w:t>
            </w:r>
            <w:r w:rsidR="00026AA8">
              <w:rPr>
                <w:b/>
                <w:sz w:val="20"/>
              </w:rPr>
              <w:br/>
            </w:r>
            <w:r w:rsidRPr="00026AA8">
              <w:rPr>
                <w:b/>
                <w:sz w:val="20"/>
              </w:rPr>
              <w:t>(Dependent variable)</w:t>
            </w:r>
          </w:p>
        </w:tc>
        <w:tc>
          <w:tcPr>
            <w:tcW w:w="1483" w:type="dxa"/>
            <w:tcBorders>
              <w:top w:val="nil"/>
              <w:left w:val="nil"/>
              <w:bottom w:val="nil"/>
              <w:right w:val="nil"/>
            </w:tcBorders>
            <w:shd w:val="clear" w:color="auto" w:fill="auto"/>
            <w:textDirection w:val="btLr"/>
            <w:hideMark/>
          </w:tcPr>
          <w:p w14:paraId="4F26CF87" w14:textId="77777777" w:rsidR="005E2D5E" w:rsidRPr="006E7CD3" w:rsidRDefault="005E2D5E" w:rsidP="006E7CD3">
            <w:pPr>
              <w:pStyle w:val="Tables"/>
              <w:rPr>
                <w:sz w:val="20"/>
              </w:rPr>
            </w:pPr>
            <w:r w:rsidRPr="006E7CD3">
              <w:rPr>
                <w:sz w:val="20"/>
              </w:rPr>
              <w:t>Glucans positively correlate with levoglucosan and hydroxymethyl furfural, but also phenolic compounds like syringaldehyde, vanillin, and 3,5-dimethoxy-4-hydroxycinnamaldehyde.</w:t>
            </w:r>
          </w:p>
        </w:tc>
        <w:tc>
          <w:tcPr>
            <w:tcW w:w="1728" w:type="dxa"/>
            <w:tcBorders>
              <w:top w:val="nil"/>
              <w:left w:val="nil"/>
              <w:bottom w:val="nil"/>
              <w:right w:val="nil"/>
            </w:tcBorders>
            <w:shd w:val="clear" w:color="auto" w:fill="auto"/>
            <w:textDirection w:val="btLr"/>
            <w:hideMark/>
          </w:tcPr>
          <w:p w14:paraId="1EF45F90" w14:textId="77777777" w:rsidR="005E2D5E" w:rsidRPr="006E7CD3" w:rsidRDefault="005E2D5E" w:rsidP="006E7CD3">
            <w:pPr>
              <w:pStyle w:val="Tables"/>
              <w:rPr>
                <w:sz w:val="20"/>
              </w:rPr>
            </w:pPr>
            <w:r w:rsidRPr="006E7CD3">
              <w:rPr>
                <w:sz w:val="20"/>
              </w:rPr>
              <w:t>Lignin positively correlates with hydroxyacetaldehyde and phenolic compounds, trimethoxybenzene; syringol; 4-allyl-2,6-dimethoxyphenol; syringaldehyde; and 3,5-dimethoxy-4-hydroxycinnamaldehyde.</w:t>
            </w:r>
          </w:p>
        </w:tc>
        <w:tc>
          <w:tcPr>
            <w:tcW w:w="1014" w:type="dxa"/>
            <w:tcBorders>
              <w:top w:val="nil"/>
              <w:left w:val="nil"/>
              <w:bottom w:val="nil"/>
              <w:right w:val="nil"/>
            </w:tcBorders>
            <w:shd w:val="clear" w:color="auto" w:fill="auto"/>
            <w:textDirection w:val="btLr"/>
            <w:hideMark/>
          </w:tcPr>
          <w:p w14:paraId="2002D1E9" w14:textId="77777777" w:rsidR="005E2D5E" w:rsidRPr="006E7CD3" w:rsidRDefault="005E2D5E" w:rsidP="006E7CD3">
            <w:pPr>
              <w:pStyle w:val="Tables"/>
              <w:rPr>
                <w:sz w:val="20"/>
              </w:rPr>
            </w:pPr>
            <w:r w:rsidRPr="006E7CD3">
              <w:rPr>
                <w:sz w:val="20"/>
              </w:rPr>
              <w:t>Xylan positively correlates with hydroxyacetone, but negatively correlates with hydroxymethyl furfural and syringaldehyde.</w:t>
            </w:r>
          </w:p>
        </w:tc>
        <w:tc>
          <w:tcPr>
            <w:tcW w:w="2165" w:type="dxa"/>
            <w:tcBorders>
              <w:top w:val="nil"/>
              <w:left w:val="nil"/>
              <w:bottom w:val="nil"/>
              <w:right w:val="nil"/>
            </w:tcBorders>
            <w:shd w:val="clear" w:color="auto" w:fill="auto"/>
            <w:textDirection w:val="btLr"/>
            <w:hideMark/>
          </w:tcPr>
          <w:p w14:paraId="273B8CC5" w14:textId="77777777" w:rsidR="005E2D5E" w:rsidRPr="006E7CD3" w:rsidRDefault="005E2D5E" w:rsidP="006E7CD3">
            <w:pPr>
              <w:pStyle w:val="Tables"/>
              <w:rPr>
                <w:sz w:val="20"/>
              </w:rPr>
            </w:pPr>
            <w:r w:rsidRPr="006E7CD3">
              <w:rPr>
                <w:sz w:val="20"/>
              </w:rPr>
              <w:t xml:space="preserve">Acid-washed samples produce bio-oil with a greater ration of organic products to water compared to unwashed samples. Washed samples with less mineral conent produce more levoglucosan and sugar compounds but less monophenols like phenol, 2-methyl-phenol, syrigol. </w:t>
            </w:r>
          </w:p>
        </w:tc>
        <w:tc>
          <w:tcPr>
            <w:tcW w:w="990" w:type="dxa"/>
            <w:tcBorders>
              <w:top w:val="nil"/>
              <w:left w:val="nil"/>
              <w:bottom w:val="nil"/>
              <w:right w:val="nil"/>
            </w:tcBorders>
            <w:textDirection w:val="btLr"/>
          </w:tcPr>
          <w:p w14:paraId="65D77F55" w14:textId="3BB5AE0D" w:rsidR="005E2D5E" w:rsidRPr="005E2D5E" w:rsidRDefault="005E2D5E" w:rsidP="005E2D5E">
            <w:pPr>
              <w:pStyle w:val="Tables"/>
              <w:rPr>
                <w:sz w:val="20"/>
                <w:szCs w:val="20"/>
              </w:rPr>
            </w:pPr>
            <w:r w:rsidRPr="005E2D5E">
              <w:rPr>
                <w:sz w:val="20"/>
                <w:szCs w:val="20"/>
              </w:rPr>
              <w:t>Samples with greater moisture content produce more char and gas but less water comapred to lower moisture samples.</w:t>
            </w:r>
          </w:p>
        </w:tc>
      </w:tr>
      <w:tr w:rsidR="005E2D5E" w:rsidRPr="006E7CD3" w14:paraId="7232A4A9" w14:textId="173CDF2F" w:rsidTr="0000683E">
        <w:trPr>
          <w:cantSplit/>
          <w:trHeight w:val="1440"/>
        </w:trPr>
        <w:tc>
          <w:tcPr>
            <w:tcW w:w="672" w:type="dxa"/>
            <w:tcBorders>
              <w:top w:val="nil"/>
              <w:left w:val="nil"/>
              <w:bottom w:val="nil"/>
              <w:right w:val="nil"/>
            </w:tcBorders>
            <w:shd w:val="clear" w:color="auto" w:fill="auto"/>
            <w:textDirection w:val="btLr"/>
            <w:hideMark/>
          </w:tcPr>
          <w:p w14:paraId="7A78C4CE" w14:textId="56D1919A" w:rsidR="005E2D5E" w:rsidRPr="00026AA8" w:rsidRDefault="005E2D5E" w:rsidP="006E7CD3">
            <w:pPr>
              <w:pStyle w:val="Tables"/>
              <w:rPr>
                <w:b/>
                <w:sz w:val="20"/>
              </w:rPr>
            </w:pPr>
            <w:r w:rsidRPr="00026AA8">
              <w:rPr>
                <w:b/>
                <w:sz w:val="20"/>
              </w:rPr>
              <w:t>Independent Variable</w:t>
            </w:r>
          </w:p>
        </w:tc>
        <w:tc>
          <w:tcPr>
            <w:tcW w:w="1483" w:type="dxa"/>
            <w:tcBorders>
              <w:top w:val="nil"/>
              <w:left w:val="nil"/>
              <w:bottom w:val="nil"/>
              <w:right w:val="nil"/>
            </w:tcBorders>
            <w:shd w:val="clear" w:color="auto" w:fill="auto"/>
            <w:textDirection w:val="btLr"/>
            <w:hideMark/>
          </w:tcPr>
          <w:p w14:paraId="06230FAC" w14:textId="77777777" w:rsidR="005E2D5E" w:rsidRPr="006E7CD3" w:rsidRDefault="005E2D5E" w:rsidP="006E7CD3">
            <w:pPr>
              <w:pStyle w:val="Tables"/>
              <w:rPr>
                <w:sz w:val="20"/>
              </w:rPr>
            </w:pPr>
            <w:r w:rsidRPr="006E7CD3">
              <w:rPr>
                <w:sz w:val="20"/>
              </w:rPr>
              <w:t>Natural variation in glucans, mostly cellulose,  among five species</w:t>
            </w:r>
          </w:p>
        </w:tc>
        <w:tc>
          <w:tcPr>
            <w:tcW w:w="1728" w:type="dxa"/>
            <w:tcBorders>
              <w:top w:val="nil"/>
              <w:left w:val="nil"/>
              <w:bottom w:val="nil"/>
              <w:right w:val="nil"/>
            </w:tcBorders>
            <w:shd w:val="clear" w:color="auto" w:fill="auto"/>
            <w:textDirection w:val="btLr"/>
            <w:hideMark/>
          </w:tcPr>
          <w:p w14:paraId="0A1CDE47" w14:textId="77777777" w:rsidR="005E2D5E" w:rsidRPr="006E7CD3" w:rsidRDefault="005E2D5E" w:rsidP="006E7CD3">
            <w:pPr>
              <w:pStyle w:val="Tables"/>
              <w:rPr>
                <w:sz w:val="20"/>
              </w:rPr>
            </w:pPr>
            <w:r w:rsidRPr="006E7CD3">
              <w:rPr>
                <w:sz w:val="20"/>
              </w:rPr>
              <w:t>Natural variation in lignin among five species</w:t>
            </w:r>
          </w:p>
        </w:tc>
        <w:tc>
          <w:tcPr>
            <w:tcW w:w="1014" w:type="dxa"/>
            <w:tcBorders>
              <w:top w:val="nil"/>
              <w:left w:val="nil"/>
              <w:bottom w:val="nil"/>
              <w:right w:val="nil"/>
            </w:tcBorders>
            <w:shd w:val="clear" w:color="auto" w:fill="auto"/>
            <w:textDirection w:val="btLr"/>
            <w:hideMark/>
          </w:tcPr>
          <w:p w14:paraId="10880464" w14:textId="77777777" w:rsidR="005E2D5E" w:rsidRPr="006E7CD3" w:rsidRDefault="005E2D5E" w:rsidP="006E7CD3">
            <w:pPr>
              <w:pStyle w:val="Tables"/>
              <w:rPr>
                <w:sz w:val="20"/>
              </w:rPr>
            </w:pPr>
            <w:r w:rsidRPr="006E7CD3">
              <w:rPr>
                <w:sz w:val="20"/>
              </w:rPr>
              <w:t>Natural variation in xylan among five species</w:t>
            </w:r>
          </w:p>
        </w:tc>
        <w:tc>
          <w:tcPr>
            <w:tcW w:w="2165" w:type="dxa"/>
            <w:tcBorders>
              <w:top w:val="nil"/>
              <w:left w:val="nil"/>
              <w:bottom w:val="nil"/>
              <w:right w:val="nil"/>
            </w:tcBorders>
            <w:shd w:val="clear" w:color="auto" w:fill="auto"/>
            <w:textDirection w:val="btLr"/>
            <w:hideMark/>
          </w:tcPr>
          <w:p w14:paraId="4D1D2574" w14:textId="77777777" w:rsidR="005E2D5E" w:rsidRPr="006E7CD3" w:rsidRDefault="005E2D5E" w:rsidP="006E7CD3">
            <w:pPr>
              <w:pStyle w:val="Tables"/>
              <w:rPr>
                <w:sz w:val="20"/>
              </w:rPr>
            </w:pPr>
            <w:r w:rsidRPr="006E7CD3">
              <w:rPr>
                <w:sz w:val="20"/>
              </w:rPr>
              <w:t>Variation in weakly associated and strongly associated K, Na, Mg and Ca by washing with deionized water or nitric acid</w:t>
            </w:r>
          </w:p>
        </w:tc>
        <w:tc>
          <w:tcPr>
            <w:tcW w:w="990" w:type="dxa"/>
            <w:tcBorders>
              <w:top w:val="nil"/>
              <w:left w:val="nil"/>
              <w:bottom w:val="nil"/>
              <w:right w:val="nil"/>
            </w:tcBorders>
            <w:textDirection w:val="btLr"/>
          </w:tcPr>
          <w:p w14:paraId="154AD8DB" w14:textId="43E30196" w:rsidR="005E2D5E" w:rsidRPr="005E2D5E" w:rsidRDefault="005E2D5E" w:rsidP="005E2D5E">
            <w:pPr>
              <w:pStyle w:val="Tables"/>
              <w:rPr>
                <w:sz w:val="20"/>
                <w:szCs w:val="20"/>
              </w:rPr>
            </w:pPr>
            <w:r w:rsidRPr="005E2D5E">
              <w:rPr>
                <w:sz w:val="20"/>
                <w:szCs w:val="20"/>
              </w:rPr>
              <w:t>Natural variation in moisture content (0%-20%)</w:t>
            </w:r>
          </w:p>
        </w:tc>
      </w:tr>
      <w:tr w:rsidR="005E2D5E" w:rsidRPr="006E7CD3" w14:paraId="0A5A62FC" w14:textId="736E07AC" w:rsidTr="0000683E">
        <w:trPr>
          <w:cantSplit/>
          <w:trHeight w:val="1008"/>
        </w:trPr>
        <w:tc>
          <w:tcPr>
            <w:tcW w:w="672" w:type="dxa"/>
            <w:tcBorders>
              <w:top w:val="nil"/>
              <w:left w:val="nil"/>
              <w:bottom w:val="nil"/>
              <w:right w:val="nil"/>
            </w:tcBorders>
            <w:shd w:val="clear" w:color="auto" w:fill="auto"/>
            <w:textDirection w:val="btLr"/>
            <w:hideMark/>
          </w:tcPr>
          <w:p w14:paraId="1BE3D937" w14:textId="77777777" w:rsidR="005E2D5E" w:rsidRPr="00026AA8" w:rsidRDefault="005E2D5E" w:rsidP="006E7CD3">
            <w:pPr>
              <w:pStyle w:val="Tables"/>
              <w:rPr>
                <w:b/>
                <w:sz w:val="20"/>
              </w:rPr>
            </w:pPr>
            <w:r w:rsidRPr="00026AA8">
              <w:rPr>
                <w:b/>
                <w:sz w:val="20"/>
              </w:rPr>
              <w:t>Biomass component</w:t>
            </w:r>
          </w:p>
        </w:tc>
        <w:tc>
          <w:tcPr>
            <w:tcW w:w="1483" w:type="dxa"/>
            <w:tcBorders>
              <w:top w:val="nil"/>
              <w:left w:val="nil"/>
              <w:bottom w:val="nil"/>
              <w:right w:val="nil"/>
            </w:tcBorders>
            <w:shd w:val="clear" w:color="auto" w:fill="auto"/>
            <w:textDirection w:val="btLr"/>
            <w:hideMark/>
          </w:tcPr>
          <w:p w14:paraId="0F10C32A" w14:textId="77777777" w:rsidR="005E2D5E" w:rsidRPr="006E7CD3" w:rsidRDefault="005E2D5E" w:rsidP="006E7CD3">
            <w:pPr>
              <w:pStyle w:val="Tables"/>
              <w:rPr>
                <w:sz w:val="20"/>
              </w:rPr>
            </w:pPr>
            <w:r w:rsidRPr="006E7CD3">
              <w:rPr>
                <w:sz w:val="20"/>
              </w:rPr>
              <w:t>Cellulose</w:t>
            </w:r>
          </w:p>
        </w:tc>
        <w:tc>
          <w:tcPr>
            <w:tcW w:w="1728" w:type="dxa"/>
            <w:tcBorders>
              <w:top w:val="nil"/>
              <w:left w:val="nil"/>
              <w:bottom w:val="nil"/>
              <w:right w:val="nil"/>
            </w:tcBorders>
            <w:shd w:val="clear" w:color="auto" w:fill="auto"/>
            <w:textDirection w:val="btLr"/>
            <w:hideMark/>
          </w:tcPr>
          <w:p w14:paraId="111BCDDF" w14:textId="77777777" w:rsidR="005E2D5E" w:rsidRPr="006E7CD3" w:rsidRDefault="005E2D5E" w:rsidP="006E7CD3">
            <w:pPr>
              <w:pStyle w:val="Tables"/>
              <w:rPr>
                <w:sz w:val="20"/>
              </w:rPr>
            </w:pPr>
            <w:r w:rsidRPr="006E7CD3">
              <w:rPr>
                <w:sz w:val="20"/>
              </w:rPr>
              <w:t>Lignin</w:t>
            </w:r>
          </w:p>
        </w:tc>
        <w:tc>
          <w:tcPr>
            <w:tcW w:w="1014" w:type="dxa"/>
            <w:tcBorders>
              <w:top w:val="nil"/>
              <w:left w:val="nil"/>
              <w:bottom w:val="nil"/>
              <w:right w:val="nil"/>
            </w:tcBorders>
            <w:shd w:val="clear" w:color="auto" w:fill="auto"/>
            <w:textDirection w:val="btLr"/>
            <w:hideMark/>
          </w:tcPr>
          <w:p w14:paraId="72B58C8C" w14:textId="77777777" w:rsidR="005E2D5E" w:rsidRPr="006E7CD3" w:rsidRDefault="005E2D5E" w:rsidP="006E7CD3">
            <w:pPr>
              <w:pStyle w:val="Tables"/>
              <w:rPr>
                <w:sz w:val="20"/>
              </w:rPr>
            </w:pPr>
            <w:r w:rsidRPr="006E7CD3">
              <w:rPr>
                <w:sz w:val="20"/>
              </w:rPr>
              <w:t>Xylan</w:t>
            </w:r>
          </w:p>
        </w:tc>
        <w:tc>
          <w:tcPr>
            <w:tcW w:w="2165" w:type="dxa"/>
            <w:tcBorders>
              <w:top w:val="nil"/>
              <w:left w:val="nil"/>
              <w:bottom w:val="nil"/>
              <w:right w:val="nil"/>
            </w:tcBorders>
            <w:shd w:val="clear" w:color="auto" w:fill="auto"/>
            <w:textDirection w:val="btLr"/>
            <w:hideMark/>
          </w:tcPr>
          <w:p w14:paraId="39DDBAF7" w14:textId="77777777" w:rsidR="005E2D5E" w:rsidRPr="006E7CD3" w:rsidRDefault="005E2D5E" w:rsidP="006E7CD3">
            <w:pPr>
              <w:pStyle w:val="Tables"/>
              <w:rPr>
                <w:sz w:val="20"/>
              </w:rPr>
            </w:pPr>
            <w:r w:rsidRPr="006E7CD3">
              <w:rPr>
                <w:sz w:val="20"/>
              </w:rPr>
              <w:t>Mineral content or other structure</w:t>
            </w:r>
          </w:p>
        </w:tc>
        <w:tc>
          <w:tcPr>
            <w:tcW w:w="990" w:type="dxa"/>
            <w:tcBorders>
              <w:top w:val="nil"/>
              <w:left w:val="nil"/>
              <w:bottom w:val="nil"/>
              <w:right w:val="nil"/>
            </w:tcBorders>
            <w:textDirection w:val="btLr"/>
          </w:tcPr>
          <w:p w14:paraId="5F294193" w14:textId="76C0C1AA" w:rsidR="005E2D5E" w:rsidRPr="005E2D5E" w:rsidRDefault="005E2D5E" w:rsidP="005E2D5E">
            <w:pPr>
              <w:pStyle w:val="Tables"/>
              <w:rPr>
                <w:sz w:val="20"/>
                <w:szCs w:val="20"/>
              </w:rPr>
            </w:pPr>
            <w:r w:rsidRPr="005E2D5E">
              <w:rPr>
                <w:sz w:val="20"/>
                <w:szCs w:val="20"/>
              </w:rPr>
              <w:t>Water</w:t>
            </w:r>
          </w:p>
        </w:tc>
      </w:tr>
      <w:tr w:rsidR="005E2D5E" w:rsidRPr="006E7CD3" w14:paraId="328A738E" w14:textId="4CC59A6A" w:rsidTr="0000683E">
        <w:trPr>
          <w:cantSplit/>
          <w:trHeight w:val="720"/>
        </w:trPr>
        <w:tc>
          <w:tcPr>
            <w:tcW w:w="672" w:type="dxa"/>
            <w:tcBorders>
              <w:top w:val="nil"/>
              <w:left w:val="nil"/>
              <w:bottom w:val="nil"/>
              <w:right w:val="nil"/>
            </w:tcBorders>
            <w:shd w:val="clear" w:color="auto" w:fill="auto"/>
            <w:textDirection w:val="btLr"/>
            <w:hideMark/>
          </w:tcPr>
          <w:p w14:paraId="48941B70" w14:textId="77777777" w:rsidR="005E2D5E" w:rsidRPr="00026AA8" w:rsidRDefault="005E2D5E" w:rsidP="006E7CD3">
            <w:pPr>
              <w:pStyle w:val="Tables"/>
              <w:rPr>
                <w:b/>
                <w:sz w:val="20"/>
              </w:rPr>
            </w:pPr>
            <w:r w:rsidRPr="00026AA8">
              <w:rPr>
                <w:b/>
                <w:sz w:val="20"/>
              </w:rPr>
              <w:t>Possible model</w:t>
            </w:r>
          </w:p>
        </w:tc>
        <w:tc>
          <w:tcPr>
            <w:tcW w:w="1483" w:type="dxa"/>
            <w:tcBorders>
              <w:top w:val="nil"/>
              <w:left w:val="nil"/>
              <w:bottom w:val="nil"/>
              <w:right w:val="nil"/>
            </w:tcBorders>
            <w:shd w:val="clear" w:color="auto" w:fill="auto"/>
            <w:textDirection w:val="btLr"/>
            <w:hideMark/>
          </w:tcPr>
          <w:p w14:paraId="74ED72DF" w14:textId="77777777" w:rsidR="005E2D5E" w:rsidRPr="006E7CD3" w:rsidRDefault="005E2D5E" w:rsidP="006E7CD3">
            <w:pPr>
              <w:pStyle w:val="Tables"/>
              <w:rPr>
                <w:sz w:val="20"/>
              </w:rPr>
            </w:pPr>
            <w:r w:rsidRPr="006E7CD3">
              <w:rPr>
                <w:sz w:val="20"/>
              </w:rPr>
              <w:t>1 &amp; 3</w:t>
            </w:r>
          </w:p>
        </w:tc>
        <w:tc>
          <w:tcPr>
            <w:tcW w:w="1728" w:type="dxa"/>
            <w:tcBorders>
              <w:top w:val="nil"/>
              <w:left w:val="nil"/>
              <w:bottom w:val="nil"/>
              <w:right w:val="nil"/>
            </w:tcBorders>
            <w:shd w:val="clear" w:color="auto" w:fill="auto"/>
            <w:textDirection w:val="btLr"/>
            <w:hideMark/>
          </w:tcPr>
          <w:p w14:paraId="545CD763" w14:textId="77777777" w:rsidR="005E2D5E" w:rsidRPr="006E7CD3" w:rsidRDefault="005E2D5E" w:rsidP="006E7CD3">
            <w:pPr>
              <w:pStyle w:val="Tables"/>
              <w:rPr>
                <w:sz w:val="20"/>
              </w:rPr>
            </w:pPr>
            <w:r w:rsidRPr="006E7CD3">
              <w:rPr>
                <w:sz w:val="20"/>
              </w:rPr>
              <w:t>1 &amp; 3</w:t>
            </w:r>
          </w:p>
        </w:tc>
        <w:tc>
          <w:tcPr>
            <w:tcW w:w="1014" w:type="dxa"/>
            <w:tcBorders>
              <w:top w:val="nil"/>
              <w:left w:val="nil"/>
              <w:bottom w:val="nil"/>
              <w:right w:val="nil"/>
            </w:tcBorders>
            <w:shd w:val="clear" w:color="auto" w:fill="auto"/>
            <w:textDirection w:val="btLr"/>
            <w:hideMark/>
          </w:tcPr>
          <w:p w14:paraId="08BFCCE8" w14:textId="77777777" w:rsidR="005E2D5E" w:rsidRPr="006E7CD3" w:rsidRDefault="005E2D5E" w:rsidP="006E7CD3">
            <w:pPr>
              <w:pStyle w:val="Tables"/>
              <w:rPr>
                <w:sz w:val="20"/>
              </w:rPr>
            </w:pPr>
            <w:r w:rsidRPr="006E7CD3">
              <w:rPr>
                <w:sz w:val="20"/>
              </w:rPr>
              <w:t>1 &amp; 3</w:t>
            </w:r>
          </w:p>
        </w:tc>
        <w:tc>
          <w:tcPr>
            <w:tcW w:w="2165" w:type="dxa"/>
            <w:tcBorders>
              <w:top w:val="nil"/>
              <w:left w:val="nil"/>
              <w:bottom w:val="nil"/>
              <w:right w:val="nil"/>
            </w:tcBorders>
            <w:shd w:val="clear" w:color="auto" w:fill="auto"/>
            <w:textDirection w:val="btLr"/>
            <w:hideMark/>
          </w:tcPr>
          <w:p w14:paraId="41248EE3" w14:textId="77777777" w:rsidR="005E2D5E" w:rsidRPr="006E7CD3" w:rsidRDefault="005E2D5E" w:rsidP="006E7CD3">
            <w:pPr>
              <w:pStyle w:val="Tables"/>
              <w:rPr>
                <w:sz w:val="20"/>
              </w:rPr>
            </w:pPr>
            <w:r w:rsidRPr="006E7CD3">
              <w:rPr>
                <w:sz w:val="20"/>
              </w:rPr>
              <w:t>2 &amp; 3</w:t>
            </w:r>
          </w:p>
        </w:tc>
        <w:tc>
          <w:tcPr>
            <w:tcW w:w="990" w:type="dxa"/>
            <w:tcBorders>
              <w:top w:val="nil"/>
              <w:left w:val="nil"/>
              <w:bottom w:val="nil"/>
              <w:right w:val="nil"/>
            </w:tcBorders>
            <w:textDirection w:val="btLr"/>
          </w:tcPr>
          <w:p w14:paraId="53C1B191" w14:textId="5BD27F5B" w:rsidR="005E2D5E" w:rsidRPr="005E2D5E" w:rsidRDefault="005E2D5E" w:rsidP="005E2D5E">
            <w:pPr>
              <w:pStyle w:val="Tables"/>
              <w:rPr>
                <w:sz w:val="20"/>
                <w:szCs w:val="20"/>
              </w:rPr>
            </w:pPr>
            <w:r w:rsidRPr="005E2D5E">
              <w:rPr>
                <w:sz w:val="20"/>
                <w:szCs w:val="20"/>
              </w:rPr>
              <w:t>3</w:t>
            </w:r>
          </w:p>
        </w:tc>
      </w:tr>
    </w:tbl>
    <w:p w14:paraId="28039840" w14:textId="77777777" w:rsidR="00767106" w:rsidRDefault="00767106" w:rsidP="00767106">
      <w:r>
        <w:br w:type="page"/>
      </w:r>
    </w:p>
    <w:tbl>
      <w:tblPr>
        <w:tblW w:w="6100" w:type="dxa"/>
        <w:tblCellMar>
          <w:top w:w="115" w:type="dxa"/>
          <w:left w:w="0" w:type="dxa"/>
          <w:bottom w:w="115" w:type="dxa"/>
          <w:right w:w="0" w:type="dxa"/>
        </w:tblCellMar>
        <w:tblLook w:val="04A0" w:firstRow="1" w:lastRow="0" w:firstColumn="1" w:lastColumn="0" w:noHBand="0" w:noVBand="1"/>
      </w:tblPr>
      <w:tblGrid>
        <w:gridCol w:w="864"/>
        <w:gridCol w:w="780"/>
        <w:gridCol w:w="1740"/>
        <w:gridCol w:w="1296"/>
        <w:gridCol w:w="1420"/>
      </w:tblGrid>
      <w:tr w:rsidR="00875047" w:rsidRPr="00DB7BC8" w14:paraId="2CBEA606" w14:textId="77777777" w:rsidTr="00026AA8">
        <w:trPr>
          <w:cantSplit/>
          <w:trHeight w:val="1008"/>
        </w:trPr>
        <w:tc>
          <w:tcPr>
            <w:tcW w:w="864" w:type="dxa"/>
            <w:tcBorders>
              <w:top w:val="nil"/>
              <w:left w:val="nil"/>
              <w:bottom w:val="nil"/>
              <w:right w:val="nil"/>
            </w:tcBorders>
            <w:shd w:val="clear" w:color="auto" w:fill="auto"/>
            <w:textDirection w:val="btLr"/>
            <w:hideMark/>
          </w:tcPr>
          <w:p w14:paraId="54815A0F" w14:textId="77777777" w:rsidR="00875047" w:rsidRPr="00026AA8" w:rsidRDefault="00875047" w:rsidP="00DB7BC8">
            <w:pPr>
              <w:pStyle w:val="Tables"/>
              <w:rPr>
                <w:b/>
                <w:sz w:val="20"/>
                <w:szCs w:val="20"/>
              </w:rPr>
            </w:pPr>
            <w:r w:rsidRPr="00026AA8">
              <w:rPr>
                <w:b/>
                <w:sz w:val="20"/>
                <w:szCs w:val="20"/>
              </w:rPr>
              <w:lastRenderedPageBreak/>
              <w:t>Reference</w:t>
            </w:r>
          </w:p>
        </w:tc>
        <w:tc>
          <w:tcPr>
            <w:tcW w:w="780" w:type="dxa"/>
            <w:tcBorders>
              <w:top w:val="nil"/>
              <w:left w:val="nil"/>
              <w:bottom w:val="nil"/>
              <w:right w:val="nil"/>
            </w:tcBorders>
            <w:shd w:val="clear" w:color="auto" w:fill="auto"/>
            <w:textDirection w:val="btLr"/>
            <w:hideMark/>
          </w:tcPr>
          <w:p w14:paraId="0168D050" w14:textId="5996D52C" w:rsidR="00875047" w:rsidRPr="00DB7BC8" w:rsidRDefault="00E80247" w:rsidP="00DB7BC8">
            <w:pPr>
              <w:pStyle w:val="Tables"/>
              <w:rPr>
                <w:sz w:val="20"/>
                <w:szCs w:val="20"/>
              </w:rPr>
            </w:pPr>
            <w:r>
              <w:rPr>
                <w:sz w:val="20"/>
                <w:szCs w:val="20"/>
              </w:rPr>
              <w:fldChar w:fldCharType="begin"/>
            </w:r>
            <w:r w:rsidR="00807999">
              <w:rPr>
                <w:sz w:val="20"/>
                <w:szCs w:val="20"/>
              </w:rPr>
              <w:instrText xml:space="preserve"> ADDIN PAPERS2_CITATIONS &lt;citation&gt;&lt;uuid&gt;6318EDEB-BE74-4DF9-9A7B-CBE24E470619&lt;/uuid&gt;&lt;priority&gt;0&lt;/priority&gt;&lt;publications&gt;&lt;publication&gt;&lt;volume&gt;107&lt;/volume&gt;&lt;publication_date&gt;99201305011200000000222000&lt;/publication_date&gt;&lt;number&gt;C&lt;/number&gt;&lt;doi&gt;10.1016/j.fuel.2013.01.033&lt;/doi&gt;&lt;startpage&gt;836&lt;/startpage&gt;&lt;title&gt;Effect of feedstock water content and pyrolysis temperature on the structure and reactivity of spruce wood char produced in fixed bed pyrolysis&lt;/title&gt;&lt;uuid&gt;D3584C6F-D7F9-4C9D-A549-963DEA8A27C8&lt;/uuid&gt;&lt;subtype&gt;400&lt;/subtype&gt;&lt;endpage&gt;847&lt;/endpage&gt;&lt;type&gt;400&lt;/type&gt;&lt;url&gt;http://dx.doi.org/10.1016/j.fuel.2013.01.033&lt;/url&gt;&lt;bundle&gt;&lt;publication&gt;&lt;publisher&gt;Elsevier Ltd&lt;/publisher&gt;&lt;title&gt;Fuel&lt;/title&gt;&lt;type&gt;-100&lt;/type&gt;&lt;subtype&gt;-100&lt;/subtype&gt;&lt;uuid&gt;E286CABA-D6F1-4A09-A385-6AFE55FAD8F4&lt;/uuid&gt;&lt;/publication&gt;&lt;/bundle&gt;&lt;authors&gt;&lt;author&gt;&lt;firstName&gt;Luisa&lt;/firstName&gt;&lt;lastName&gt;Burhenne&lt;/lastName&gt;&lt;/author&gt;&lt;author&gt;&lt;firstName&gt;Marco&lt;/firstName&gt;&lt;lastName&gt;Damiani&lt;/lastName&gt;&lt;/author&gt;&lt;author&gt;&lt;firstName&gt;Thomas&lt;/firstName&gt;&lt;lastName&gt;Aicher&lt;/lastName&gt;&lt;/author&gt;&lt;/authors&gt;&lt;/publication&gt;&lt;/publications&gt;&lt;cites&gt;&lt;/cites&gt;&lt;/citation&gt;</w:instrText>
            </w:r>
            <w:r>
              <w:rPr>
                <w:sz w:val="20"/>
                <w:szCs w:val="20"/>
              </w:rPr>
              <w:fldChar w:fldCharType="separate"/>
            </w:r>
            <w:r w:rsidR="001C1AAC">
              <w:rPr>
                <w:sz w:val="20"/>
                <w:szCs w:val="20"/>
              </w:rPr>
              <w:t>(</w:t>
            </w:r>
            <w:r w:rsidR="001C1AAC">
              <w:rPr>
                <w:i/>
                <w:iCs/>
                <w:sz w:val="20"/>
                <w:szCs w:val="20"/>
              </w:rPr>
              <w:t>95</w:t>
            </w:r>
            <w:r w:rsidR="001C1AAC">
              <w:rPr>
                <w:sz w:val="20"/>
                <w:szCs w:val="20"/>
              </w:rPr>
              <w:t>)</w:t>
            </w:r>
            <w:r>
              <w:rPr>
                <w:sz w:val="20"/>
                <w:szCs w:val="20"/>
              </w:rPr>
              <w:fldChar w:fldCharType="end"/>
            </w:r>
          </w:p>
        </w:tc>
        <w:tc>
          <w:tcPr>
            <w:tcW w:w="1740" w:type="dxa"/>
            <w:tcBorders>
              <w:top w:val="nil"/>
              <w:left w:val="nil"/>
              <w:bottom w:val="nil"/>
              <w:right w:val="nil"/>
            </w:tcBorders>
            <w:shd w:val="clear" w:color="auto" w:fill="auto"/>
            <w:textDirection w:val="btLr"/>
            <w:hideMark/>
          </w:tcPr>
          <w:p w14:paraId="2D0C3EE4" w14:textId="264847E7" w:rsidR="00875047" w:rsidRPr="00DB7BC8" w:rsidRDefault="00E80247" w:rsidP="00E80247">
            <w:pPr>
              <w:pStyle w:val="Tables"/>
              <w:rPr>
                <w:sz w:val="20"/>
                <w:szCs w:val="20"/>
              </w:rPr>
            </w:pPr>
            <w:r>
              <w:rPr>
                <w:sz w:val="20"/>
                <w:szCs w:val="20"/>
              </w:rPr>
              <w:fldChar w:fldCharType="begin"/>
            </w:r>
            <w:r w:rsidR="00807999">
              <w:rPr>
                <w:sz w:val="20"/>
                <w:szCs w:val="20"/>
              </w:rPr>
              <w:instrText xml:space="preserve"> ADDIN PAPERS2_CITATIONS &lt;citation&gt;&lt;uuid&gt;D371B79C-D481-4F43-910F-77B4C8B155A8&lt;/uuid&gt;&lt;priority&gt;0&lt;/priority&gt;&lt;publications&gt;&lt;publication&gt;&lt;uuid&gt;509BE3E0-133B-46B6-B0FB-E2B7D36BFA2E&lt;/uuid&gt;&lt;volume&gt;100&lt;/volume&gt;&lt;doi&gt;10.1016/j.biortech.2009.02.069&lt;/doi&gt;&lt;startpage&gt;5305&lt;/startpage&gt;&lt;publication_date&gt;99200911011200000000222000&lt;/publication_date&gt;&lt;url&gt;http://dx.doi.org/10.1016/j.biortech.2009.02.069&lt;/url&gt;&lt;citekey&gt;He:2009ix&lt;/citekey&gt;&lt;type&gt;400&lt;/type&gt;&lt;title&gt;Influence of pyrolysis condition on switchgrass bio-oil yield and physicochemical properties&lt;/title&gt;&lt;publisher&gt;Elsevier Ltd&lt;/publisher&gt;&lt;number&gt;21&lt;/number&gt;&lt;subtype&gt;400&lt;/subtype&gt;&lt;endpage&gt;5311&lt;/endpage&gt;&lt;bundle&gt;&lt;publication&gt;&lt;publisher&gt;Elsevier Ltd&lt;/publisher&gt;&lt;title&gt;Bioresource technology&lt;/title&gt;&lt;type&gt;-100&lt;/type&gt;&lt;subtype&gt;-100&lt;/subtype&gt;&lt;uuid&gt;20FABC45-BAD7-4D11-A180-BCA66580D347&lt;/uuid&gt;&lt;/publication&gt;&lt;/bundle&gt;&lt;authors&gt;&lt;author&gt;&lt;firstName&gt;Ronghai&lt;/firstName&gt;&lt;lastName&gt;He&lt;/lastName&gt;&lt;/author&gt;&lt;author&gt;&lt;firstName&gt;X&lt;/firstName&gt;&lt;middleNames&gt;Philip&lt;/middleNames&gt;&lt;lastName&gt;Ye&lt;/lastName&gt;&lt;/author&gt;&lt;author&gt;&lt;firstName&gt;Burton&lt;/firstName&gt;&lt;middleNames&gt;C&lt;/middleNames&gt;&lt;lastName&gt;English&lt;/lastName&gt;&lt;/author&gt;&lt;author&gt;&lt;firstName&gt;Justinus&lt;/firstName&gt;&lt;middleNames&gt;a&lt;/middleNames&gt;&lt;lastName&gt;Satrio&lt;/lastName&gt;&lt;/author&gt;&lt;/authors&gt;&lt;/publication&gt;&lt;/publications&gt;&lt;cites&gt;&lt;/cites&gt;&lt;/citation&gt;</w:instrText>
            </w:r>
            <w:r>
              <w:rPr>
                <w:sz w:val="20"/>
                <w:szCs w:val="20"/>
              </w:rPr>
              <w:fldChar w:fldCharType="separate"/>
            </w:r>
            <w:r w:rsidR="001C1AAC">
              <w:rPr>
                <w:sz w:val="20"/>
                <w:szCs w:val="20"/>
              </w:rPr>
              <w:t>(</w:t>
            </w:r>
            <w:r w:rsidR="001C1AAC">
              <w:rPr>
                <w:i/>
                <w:iCs/>
                <w:sz w:val="20"/>
                <w:szCs w:val="20"/>
              </w:rPr>
              <w:t>96</w:t>
            </w:r>
            <w:r w:rsidR="001C1AAC">
              <w:rPr>
                <w:sz w:val="20"/>
                <w:szCs w:val="20"/>
              </w:rPr>
              <w:t>)</w:t>
            </w:r>
            <w:r>
              <w:rPr>
                <w:sz w:val="20"/>
                <w:szCs w:val="20"/>
              </w:rPr>
              <w:fldChar w:fldCharType="end"/>
            </w:r>
          </w:p>
        </w:tc>
        <w:tc>
          <w:tcPr>
            <w:tcW w:w="1296" w:type="dxa"/>
            <w:tcBorders>
              <w:top w:val="nil"/>
              <w:left w:val="nil"/>
              <w:bottom w:val="nil"/>
              <w:right w:val="nil"/>
            </w:tcBorders>
            <w:shd w:val="clear" w:color="auto" w:fill="auto"/>
            <w:textDirection w:val="btLr"/>
            <w:hideMark/>
          </w:tcPr>
          <w:p w14:paraId="49D582A7" w14:textId="02D6D293" w:rsidR="00875047" w:rsidRPr="00DB7BC8" w:rsidRDefault="00E80247" w:rsidP="00E80247">
            <w:pPr>
              <w:pStyle w:val="Tables"/>
              <w:rPr>
                <w:sz w:val="20"/>
                <w:szCs w:val="20"/>
              </w:rPr>
            </w:pPr>
            <w:r>
              <w:rPr>
                <w:sz w:val="20"/>
                <w:szCs w:val="20"/>
              </w:rPr>
              <w:fldChar w:fldCharType="begin"/>
            </w:r>
            <w:r w:rsidR="00807999">
              <w:rPr>
                <w:sz w:val="20"/>
                <w:szCs w:val="20"/>
              </w:rPr>
              <w:instrText xml:space="preserve"> ADDIN PAPERS2_CITATIONS &lt;citation&gt;&lt;uuid&gt;ABB65E33-76AB-46CC-B2EC-8509BBD34D82&lt;/uuid&gt;&lt;priority&gt;0&lt;/priority&gt;&lt;publications&gt;&lt;publication&gt;&lt;uuid&gt;51C35A66-F0F0-4766-A584-0E02C4311BF8&lt;/uuid&gt;&lt;volume&gt;239&lt;/volume&gt;&lt;accepted_date&gt;99201401271200000000222000&lt;/accepted_date&gt;&lt;doi&gt;10.1007/s00425-014-2037-y&lt;/doi&gt;&lt;startpage&gt;1079&lt;/startpage&gt;&lt;publication_date&gt;99201405001200000000220000&lt;/publication_date&gt;&lt;url&gt;http://eutils.ncbi.nlm.nih.gov/entrez/eutils/elink.fcgi?dbfrom=pubmed&amp;amp;id=24531838&amp;amp;retmode=ref&amp;amp;cmd=prlinks&lt;/url&gt;&lt;citekey&gt;Du:2014fi&lt;/citekey&gt;&lt;type&gt;400&lt;/type&gt;&lt;title&gt;Analysis of lignin-carbohydrate and lignin-lignin linkages after hydrolase treatment of xylan-lignin, glucomannan-lignin and glucan-lignin complexes from spruce wood.&lt;/title&gt;&lt;submission_date&gt;99201311181200000000222000&lt;/submission_date&gt;&lt;number&gt;5&lt;/number&gt;&lt;institution&gt;Department of Fibre and Polymer Technology, Royal Institute of Technology, KTH, Teknikringen 56-58, 10044, Stockholm, Sweden.&lt;/institution&gt;&lt;subtype&gt;400&lt;/subtype&gt;&lt;endpage&gt;1090&lt;/endpage&gt;&lt;bundle&gt;&lt;publication&gt;&lt;title&gt;Planta&lt;/title&gt;&lt;type&gt;-100&lt;/type&gt;&lt;subtype&gt;-100&lt;/subtype&gt;&lt;uuid&gt;73D013A8-46B6-4E8C-A80A-E48EDF6129BA&lt;/uuid&gt;&lt;/publication&gt;&lt;/bundle&gt;&lt;authors&gt;&lt;author&gt;&lt;firstName&gt;Xueyu&lt;/firstName&gt;&lt;lastName&gt;Du&lt;/lastName&gt;&lt;/author&gt;&lt;author&gt;&lt;firstName&gt;Marta&lt;/firstName&gt;&lt;lastName&gt;Pérez-Boada&lt;/lastName&gt;&lt;/author&gt;&lt;author&gt;&lt;firstName&gt;Carmen&lt;/firstName&gt;&lt;lastName&gt;Fernández&lt;/lastName&gt;&lt;/author&gt;&lt;author&gt;&lt;firstName&gt;Jorge&lt;/firstName&gt;&lt;lastName&gt;Rencoret&lt;/lastName&gt;&lt;/author&gt;&lt;author&gt;&lt;lastName&gt;Río&lt;/lastName&gt;&lt;nonDroppingParticle&gt;del&lt;/nonDroppingParticle&gt;&lt;firstName&gt;José&lt;/firstName&gt;&lt;middleNames&gt;C&lt;/middleNames&gt;&lt;/author&gt;&lt;author&gt;&lt;firstName&gt;Jesús&lt;/firstName&gt;&lt;lastName&gt;Jiménez-Barbero&lt;/lastName&gt;&lt;/author&gt;&lt;author&gt;&lt;firstName&gt;Jiebing&lt;/firstName&gt;&lt;lastName&gt;Li&lt;/lastName&gt;&lt;/author&gt;&lt;author&gt;&lt;firstName&gt;Ana&lt;/firstName&gt;&lt;lastName&gt;Gutiérrez&lt;/lastName&gt;&lt;/author&gt;&lt;author&gt;&lt;firstName&gt;Angel&lt;/firstName&gt;&lt;middleNames&gt;T&lt;/middleNames&gt;&lt;lastName&gt;Martínez&lt;/lastName&gt;&lt;/author&gt;&lt;/authors&gt;&lt;/publication&gt;&lt;/publications&gt;&lt;cites&gt;&lt;/cites&gt;&lt;/citation&gt;</w:instrText>
            </w:r>
            <w:r>
              <w:rPr>
                <w:sz w:val="20"/>
                <w:szCs w:val="20"/>
              </w:rPr>
              <w:fldChar w:fldCharType="separate"/>
            </w:r>
            <w:r w:rsidR="001C1AAC">
              <w:rPr>
                <w:sz w:val="20"/>
                <w:szCs w:val="20"/>
              </w:rPr>
              <w:t>(</w:t>
            </w:r>
            <w:r w:rsidR="001C1AAC">
              <w:rPr>
                <w:i/>
                <w:iCs/>
                <w:sz w:val="20"/>
                <w:szCs w:val="20"/>
              </w:rPr>
              <w:t>72</w:t>
            </w:r>
            <w:r w:rsidR="001C1AAC">
              <w:rPr>
                <w:sz w:val="20"/>
                <w:szCs w:val="20"/>
              </w:rPr>
              <w:t>)</w:t>
            </w:r>
            <w:r>
              <w:rPr>
                <w:sz w:val="20"/>
                <w:szCs w:val="20"/>
              </w:rPr>
              <w:fldChar w:fldCharType="end"/>
            </w:r>
          </w:p>
        </w:tc>
        <w:tc>
          <w:tcPr>
            <w:tcW w:w="1420" w:type="dxa"/>
            <w:tcBorders>
              <w:top w:val="nil"/>
              <w:left w:val="nil"/>
              <w:bottom w:val="nil"/>
              <w:right w:val="nil"/>
            </w:tcBorders>
            <w:shd w:val="clear" w:color="auto" w:fill="auto"/>
            <w:textDirection w:val="btLr"/>
            <w:hideMark/>
          </w:tcPr>
          <w:p w14:paraId="1F020D22" w14:textId="78C0ED8F" w:rsidR="00875047" w:rsidRPr="00DB7BC8" w:rsidRDefault="00E80247" w:rsidP="00DB7BC8">
            <w:pPr>
              <w:pStyle w:val="Tables"/>
              <w:rPr>
                <w:sz w:val="20"/>
                <w:szCs w:val="20"/>
              </w:rPr>
            </w:pPr>
            <w:r>
              <w:rPr>
                <w:sz w:val="20"/>
                <w:szCs w:val="20"/>
              </w:rPr>
              <w:fldChar w:fldCharType="begin"/>
            </w:r>
            <w:r w:rsidR="00807999">
              <w:rPr>
                <w:sz w:val="20"/>
                <w:szCs w:val="20"/>
              </w:rPr>
              <w:instrText xml:space="preserve"> ADDIN PAPERS2_CITATIONS &lt;citation&gt;&lt;uuid&gt;D005D6AA-22E0-4452-B711-922B495E3DDC&lt;/uuid&gt;&lt;priority&gt;0&lt;/priority&gt;&lt;publications&gt;&lt;publication&gt;&lt;uuid&gt;51C35A66-F0F0-4766-A584-0E02C4311BF8&lt;/uuid&gt;&lt;volume&gt;239&lt;/volume&gt;&lt;accepted_date&gt;99201401271200000000222000&lt;/accepted_date&gt;&lt;doi&gt;10.1007/s00425-014-2037-y&lt;/doi&gt;&lt;startpage&gt;1079&lt;/startpage&gt;&lt;publication_date&gt;99201405001200000000220000&lt;/publication_date&gt;&lt;url&gt;http://eutils.ncbi.nlm.nih.gov/entrez/eutils/elink.fcgi?dbfrom=pubmed&amp;amp;id=24531838&amp;amp;retmode=ref&amp;amp;cmd=prlinks&lt;/url&gt;&lt;citekey&gt;Du:2014fi&lt;/citekey&gt;&lt;type&gt;400&lt;/type&gt;&lt;title&gt;Analysis of lignin-carbohydrate and lignin-lignin linkages after hydrolase treatment of xylan-lignin, glucomannan-lignin and glucan-lignin complexes from spruce wood.&lt;/title&gt;&lt;submission_date&gt;99201311181200000000222000&lt;/submission_date&gt;&lt;number&gt;5&lt;/number&gt;&lt;institution&gt;Department of Fibre and Polymer Technology, Royal Institute of Technology, KTH, Teknikringen 56-58, 10044, Stockholm, Sweden.&lt;/institution&gt;&lt;subtype&gt;400&lt;/subtype&gt;&lt;endpage&gt;1090&lt;/endpage&gt;&lt;bundle&gt;&lt;publication&gt;&lt;title&gt;Planta&lt;/title&gt;&lt;type&gt;-100&lt;/type&gt;&lt;subtype&gt;-100&lt;/subtype&gt;&lt;uuid&gt;73D013A8-46B6-4E8C-A80A-E48EDF6129BA&lt;/uuid&gt;&lt;/publication&gt;&lt;/bundle&gt;&lt;authors&gt;&lt;author&gt;&lt;firstName&gt;Xueyu&lt;/firstName&gt;&lt;lastName&gt;Du&lt;/lastName&gt;&lt;/author&gt;&lt;author&gt;&lt;firstName&gt;Marta&lt;/firstName&gt;&lt;lastName&gt;Pérez-Boada&lt;/lastName&gt;&lt;/author&gt;&lt;author&gt;&lt;firstName&gt;Carmen&lt;/firstName&gt;&lt;lastName&gt;Fernández&lt;/lastName&gt;&lt;/author&gt;&lt;author&gt;&lt;firstName&gt;Jorge&lt;/firstName&gt;&lt;lastName&gt;Rencoret&lt;/lastName&gt;&lt;/author&gt;&lt;author&gt;&lt;lastName&gt;Río&lt;/lastName&gt;&lt;nonDroppingParticle&gt;del&lt;/nonDroppingParticle&gt;&lt;firstName&gt;José&lt;/firstName&gt;&lt;middleNames&gt;C&lt;/middleNames&gt;&lt;/author&gt;&lt;author&gt;&lt;firstName&gt;Jesús&lt;/firstName&gt;&lt;lastName&gt;Jiménez-Barbero&lt;/lastName&gt;&lt;/author&gt;&lt;author&gt;&lt;firstName&gt;Jiebing&lt;/firstName&gt;&lt;lastName&gt;Li&lt;/lastName&gt;&lt;/author&gt;&lt;author&gt;&lt;firstName&gt;Ana&lt;/firstName&gt;&lt;lastName&gt;Gutiérrez&lt;/lastName&gt;&lt;/author&gt;&lt;author&gt;&lt;firstName&gt;Angel&lt;/firstName&gt;&lt;middleNames&gt;T&lt;/middleNames&gt;&lt;lastName&gt;Martínez&lt;/lastName&gt;&lt;/author&gt;&lt;/authors&gt;&lt;/publication&gt;&lt;/publications&gt;&lt;cites&gt;&lt;/cites&gt;&lt;/citation&gt;</w:instrText>
            </w:r>
            <w:r>
              <w:rPr>
                <w:sz w:val="20"/>
                <w:szCs w:val="20"/>
              </w:rPr>
              <w:fldChar w:fldCharType="separate"/>
            </w:r>
            <w:r w:rsidR="001C1AAC">
              <w:rPr>
                <w:sz w:val="20"/>
                <w:szCs w:val="20"/>
              </w:rPr>
              <w:t>(</w:t>
            </w:r>
            <w:r w:rsidR="001C1AAC">
              <w:rPr>
                <w:i/>
                <w:iCs/>
                <w:sz w:val="20"/>
                <w:szCs w:val="20"/>
              </w:rPr>
              <w:t>72</w:t>
            </w:r>
            <w:r w:rsidR="001C1AAC">
              <w:rPr>
                <w:sz w:val="20"/>
                <w:szCs w:val="20"/>
              </w:rPr>
              <w:t>)</w:t>
            </w:r>
            <w:r>
              <w:rPr>
                <w:sz w:val="20"/>
                <w:szCs w:val="20"/>
              </w:rPr>
              <w:fldChar w:fldCharType="end"/>
            </w:r>
          </w:p>
        </w:tc>
      </w:tr>
      <w:tr w:rsidR="00875047" w:rsidRPr="00DB7BC8" w14:paraId="4566C560" w14:textId="77777777" w:rsidTr="00026AA8">
        <w:trPr>
          <w:cantSplit/>
          <w:trHeight w:val="1055"/>
        </w:trPr>
        <w:tc>
          <w:tcPr>
            <w:tcW w:w="864" w:type="dxa"/>
            <w:tcBorders>
              <w:top w:val="nil"/>
              <w:left w:val="nil"/>
              <w:bottom w:val="nil"/>
              <w:right w:val="nil"/>
            </w:tcBorders>
            <w:shd w:val="clear" w:color="auto" w:fill="auto"/>
            <w:textDirection w:val="btLr"/>
            <w:hideMark/>
          </w:tcPr>
          <w:p w14:paraId="28F3F166" w14:textId="77777777" w:rsidR="00875047" w:rsidRPr="00026AA8" w:rsidRDefault="00875047" w:rsidP="00DB7BC8">
            <w:pPr>
              <w:pStyle w:val="Tables"/>
              <w:rPr>
                <w:b/>
                <w:sz w:val="20"/>
                <w:szCs w:val="20"/>
              </w:rPr>
            </w:pPr>
            <w:r w:rsidRPr="00026AA8">
              <w:rPr>
                <w:b/>
                <w:sz w:val="20"/>
                <w:szCs w:val="20"/>
              </w:rPr>
              <w:t>Thermal conversion condition</w:t>
            </w:r>
          </w:p>
        </w:tc>
        <w:tc>
          <w:tcPr>
            <w:tcW w:w="780" w:type="dxa"/>
            <w:tcBorders>
              <w:top w:val="nil"/>
              <w:left w:val="nil"/>
              <w:bottom w:val="nil"/>
              <w:right w:val="nil"/>
            </w:tcBorders>
            <w:shd w:val="clear" w:color="auto" w:fill="auto"/>
            <w:textDirection w:val="btLr"/>
            <w:hideMark/>
          </w:tcPr>
          <w:p w14:paraId="318098E4" w14:textId="77777777" w:rsidR="00875047" w:rsidRPr="00DB7BC8" w:rsidRDefault="00875047" w:rsidP="00DB7BC8">
            <w:pPr>
              <w:pStyle w:val="Tables"/>
              <w:rPr>
                <w:sz w:val="20"/>
                <w:szCs w:val="20"/>
              </w:rPr>
            </w:pPr>
            <w:r w:rsidRPr="00DB7BC8">
              <w:rPr>
                <w:sz w:val="20"/>
                <w:szCs w:val="20"/>
              </w:rPr>
              <w:t>500°C,  30 min</w:t>
            </w:r>
          </w:p>
        </w:tc>
        <w:tc>
          <w:tcPr>
            <w:tcW w:w="1740" w:type="dxa"/>
            <w:tcBorders>
              <w:top w:val="nil"/>
              <w:left w:val="nil"/>
              <w:bottom w:val="nil"/>
              <w:right w:val="nil"/>
            </w:tcBorders>
            <w:shd w:val="clear" w:color="auto" w:fill="auto"/>
            <w:textDirection w:val="btLr"/>
            <w:hideMark/>
          </w:tcPr>
          <w:p w14:paraId="2D763D91" w14:textId="77777777" w:rsidR="00875047" w:rsidRPr="00DB7BC8" w:rsidRDefault="00875047" w:rsidP="00DB7BC8">
            <w:pPr>
              <w:pStyle w:val="Tables"/>
              <w:rPr>
                <w:sz w:val="20"/>
                <w:szCs w:val="20"/>
              </w:rPr>
            </w:pPr>
            <w:r w:rsidRPr="00DB7BC8">
              <w:rPr>
                <w:sz w:val="20"/>
                <w:szCs w:val="20"/>
              </w:rPr>
              <w:t>Fluidized bed, 450°C, 500°C, 550°C</w:t>
            </w:r>
          </w:p>
        </w:tc>
        <w:tc>
          <w:tcPr>
            <w:tcW w:w="1296" w:type="dxa"/>
            <w:tcBorders>
              <w:top w:val="nil"/>
              <w:left w:val="nil"/>
              <w:bottom w:val="nil"/>
              <w:right w:val="nil"/>
            </w:tcBorders>
            <w:shd w:val="clear" w:color="auto" w:fill="auto"/>
            <w:textDirection w:val="btLr"/>
            <w:hideMark/>
          </w:tcPr>
          <w:p w14:paraId="2C24BC3E" w14:textId="77777777" w:rsidR="00875047" w:rsidRPr="00DB7BC8" w:rsidRDefault="00875047" w:rsidP="00DB7BC8">
            <w:pPr>
              <w:pStyle w:val="Tables"/>
              <w:rPr>
                <w:sz w:val="20"/>
                <w:szCs w:val="20"/>
              </w:rPr>
            </w:pPr>
            <w:r w:rsidRPr="00DB7BC8">
              <w:rPr>
                <w:sz w:val="20"/>
                <w:szCs w:val="20"/>
              </w:rPr>
              <w:t>500˚C, 1 min</w:t>
            </w:r>
          </w:p>
        </w:tc>
        <w:tc>
          <w:tcPr>
            <w:tcW w:w="1420" w:type="dxa"/>
            <w:tcBorders>
              <w:top w:val="nil"/>
              <w:left w:val="nil"/>
              <w:bottom w:val="nil"/>
              <w:right w:val="nil"/>
            </w:tcBorders>
            <w:shd w:val="clear" w:color="auto" w:fill="auto"/>
            <w:textDirection w:val="btLr"/>
            <w:hideMark/>
          </w:tcPr>
          <w:p w14:paraId="185664D4" w14:textId="77777777" w:rsidR="00875047" w:rsidRPr="00DB7BC8" w:rsidRDefault="00875047" w:rsidP="00DB7BC8">
            <w:pPr>
              <w:pStyle w:val="Tables"/>
              <w:rPr>
                <w:sz w:val="20"/>
                <w:szCs w:val="20"/>
              </w:rPr>
            </w:pPr>
            <w:r w:rsidRPr="00DB7BC8">
              <w:rPr>
                <w:sz w:val="20"/>
                <w:szCs w:val="20"/>
              </w:rPr>
              <w:t>500˚C, 1 min</w:t>
            </w:r>
          </w:p>
        </w:tc>
      </w:tr>
      <w:tr w:rsidR="00875047" w:rsidRPr="00DB7BC8" w14:paraId="71C611E0" w14:textId="77777777" w:rsidTr="00026AA8">
        <w:trPr>
          <w:cantSplit/>
          <w:trHeight w:val="1296"/>
        </w:trPr>
        <w:tc>
          <w:tcPr>
            <w:tcW w:w="864" w:type="dxa"/>
            <w:tcBorders>
              <w:top w:val="nil"/>
              <w:left w:val="nil"/>
              <w:bottom w:val="nil"/>
              <w:right w:val="nil"/>
            </w:tcBorders>
            <w:shd w:val="clear" w:color="auto" w:fill="auto"/>
            <w:textDirection w:val="btLr"/>
            <w:hideMark/>
          </w:tcPr>
          <w:p w14:paraId="12AEBBBC" w14:textId="77777777" w:rsidR="00875047" w:rsidRPr="00026AA8" w:rsidRDefault="00875047" w:rsidP="00DB7BC8">
            <w:pPr>
              <w:pStyle w:val="Tables"/>
              <w:rPr>
                <w:b/>
                <w:sz w:val="20"/>
                <w:szCs w:val="20"/>
              </w:rPr>
            </w:pPr>
            <w:r w:rsidRPr="00026AA8">
              <w:rPr>
                <w:b/>
                <w:sz w:val="20"/>
                <w:szCs w:val="20"/>
              </w:rPr>
              <w:t>Sample type</w:t>
            </w:r>
          </w:p>
        </w:tc>
        <w:tc>
          <w:tcPr>
            <w:tcW w:w="780" w:type="dxa"/>
            <w:tcBorders>
              <w:top w:val="nil"/>
              <w:left w:val="nil"/>
              <w:bottom w:val="nil"/>
              <w:right w:val="nil"/>
            </w:tcBorders>
            <w:shd w:val="clear" w:color="auto" w:fill="auto"/>
            <w:textDirection w:val="btLr"/>
            <w:hideMark/>
          </w:tcPr>
          <w:p w14:paraId="5464D631" w14:textId="77777777" w:rsidR="00875047" w:rsidRPr="00DB7BC8" w:rsidRDefault="00875047" w:rsidP="00DB7BC8">
            <w:pPr>
              <w:pStyle w:val="Tables"/>
              <w:rPr>
                <w:sz w:val="20"/>
                <w:szCs w:val="20"/>
              </w:rPr>
            </w:pPr>
            <w:r w:rsidRPr="00DB7BC8">
              <w:rPr>
                <w:sz w:val="20"/>
                <w:szCs w:val="20"/>
              </w:rPr>
              <w:t>Norway spruce</w:t>
            </w:r>
          </w:p>
        </w:tc>
        <w:tc>
          <w:tcPr>
            <w:tcW w:w="1740" w:type="dxa"/>
            <w:tcBorders>
              <w:top w:val="nil"/>
              <w:left w:val="nil"/>
              <w:bottom w:val="nil"/>
              <w:right w:val="nil"/>
            </w:tcBorders>
            <w:shd w:val="clear" w:color="auto" w:fill="auto"/>
            <w:textDirection w:val="btLr"/>
            <w:hideMark/>
          </w:tcPr>
          <w:p w14:paraId="3B79E6CD" w14:textId="77777777" w:rsidR="00875047" w:rsidRPr="00DB7BC8" w:rsidRDefault="00875047" w:rsidP="00DB7BC8">
            <w:pPr>
              <w:pStyle w:val="Tables"/>
              <w:rPr>
                <w:sz w:val="20"/>
                <w:szCs w:val="20"/>
              </w:rPr>
            </w:pPr>
            <w:r w:rsidRPr="00DB7BC8">
              <w:rPr>
                <w:sz w:val="20"/>
                <w:szCs w:val="20"/>
              </w:rPr>
              <w:t>Switchgrass</w:t>
            </w:r>
          </w:p>
        </w:tc>
        <w:tc>
          <w:tcPr>
            <w:tcW w:w="1296" w:type="dxa"/>
            <w:tcBorders>
              <w:top w:val="nil"/>
              <w:left w:val="nil"/>
              <w:bottom w:val="nil"/>
              <w:right w:val="nil"/>
            </w:tcBorders>
            <w:shd w:val="clear" w:color="auto" w:fill="auto"/>
            <w:textDirection w:val="btLr"/>
            <w:hideMark/>
          </w:tcPr>
          <w:p w14:paraId="4E980783" w14:textId="77777777" w:rsidR="00875047" w:rsidRPr="00DB7BC8" w:rsidRDefault="00875047" w:rsidP="00DB7BC8">
            <w:pPr>
              <w:pStyle w:val="Tables"/>
              <w:rPr>
                <w:sz w:val="20"/>
                <w:szCs w:val="20"/>
              </w:rPr>
            </w:pPr>
            <w:r w:rsidRPr="00DB7BC8">
              <w:rPr>
                <w:sz w:val="20"/>
                <w:szCs w:val="20"/>
              </w:rPr>
              <w:t>Lignin-carbohydrate complexes extracted from spruce wood</w:t>
            </w:r>
          </w:p>
        </w:tc>
        <w:tc>
          <w:tcPr>
            <w:tcW w:w="1420" w:type="dxa"/>
            <w:tcBorders>
              <w:top w:val="nil"/>
              <w:left w:val="nil"/>
              <w:bottom w:val="nil"/>
              <w:right w:val="nil"/>
            </w:tcBorders>
            <w:shd w:val="clear" w:color="auto" w:fill="auto"/>
            <w:textDirection w:val="btLr"/>
            <w:hideMark/>
          </w:tcPr>
          <w:p w14:paraId="3964F98B" w14:textId="77777777" w:rsidR="00875047" w:rsidRPr="00DB7BC8" w:rsidRDefault="00875047" w:rsidP="00DB7BC8">
            <w:pPr>
              <w:pStyle w:val="Tables"/>
              <w:rPr>
                <w:sz w:val="20"/>
                <w:szCs w:val="20"/>
              </w:rPr>
            </w:pPr>
            <w:r w:rsidRPr="00DB7BC8">
              <w:rPr>
                <w:sz w:val="20"/>
                <w:szCs w:val="20"/>
              </w:rPr>
              <w:t>Lignin-carbohydrate complexes extracted from spruce wood</w:t>
            </w:r>
          </w:p>
        </w:tc>
      </w:tr>
      <w:tr w:rsidR="00875047" w:rsidRPr="00DB7BC8" w14:paraId="294E6607" w14:textId="77777777" w:rsidTr="00026AA8">
        <w:trPr>
          <w:cantSplit/>
          <w:trHeight w:val="3024"/>
        </w:trPr>
        <w:tc>
          <w:tcPr>
            <w:tcW w:w="864" w:type="dxa"/>
            <w:tcBorders>
              <w:top w:val="nil"/>
              <w:left w:val="nil"/>
              <w:bottom w:val="nil"/>
              <w:right w:val="nil"/>
            </w:tcBorders>
            <w:shd w:val="clear" w:color="auto" w:fill="auto"/>
            <w:textDirection w:val="btLr"/>
            <w:hideMark/>
          </w:tcPr>
          <w:p w14:paraId="56A8AA0C" w14:textId="73296FE6" w:rsidR="00875047" w:rsidRPr="00026AA8" w:rsidRDefault="00875047" w:rsidP="00DB7BC8">
            <w:pPr>
              <w:pStyle w:val="Tables"/>
              <w:rPr>
                <w:b/>
                <w:sz w:val="20"/>
                <w:szCs w:val="20"/>
              </w:rPr>
            </w:pPr>
            <w:r w:rsidRPr="00026AA8">
              <w:rPr>
                <w:b/>
                <w:sz w:val="20"/>
                <w:szCs w:val="20"/>
              </w:rPr>
              <w:t xml:space="preserve">Effect on products </w:t>
            </w:r>
            <w:r w:rsidR="00026AA8" w:rsidRPr="00026AA8">
              <w:rPr>
                <w:b/>
                <w:sz w:val="20"/>
                <w:szCs w:val="20"/>
              </w:rPr>
              <w:br/>
            </w:r>
            <w:r w:rsidRPr="00026AA8">
              <w:rPr>
                <w:b/>
                <w:sz w:val="20"/>
                <w:szCs w:val="20"/>
              </w:rPr>
              <w:t>(Dependent variable)</w:t>
            </w:r>
          </w:p>
        </w:tc>
        <w:tc>
          <w:tcPr>
            <w:tcW w:w="780" w:type="dxa"/>
            <w:tcBorders>
              <w:top w:val="nil"/>
              <w:left w:val="nil"/>
              <w:bottom w:val="nil"/>
              <w:right w:val="nil"/>
            </w:tcBorders>
            <w:shd w:val="clear" w:color="auto" w:fill="auto"/>
            <w:textDirection w:val="btLr"/>
            <w:hideMark/>
          </w:tcPr>
          <w:p w14:paraId="1F9068F3" w14:textId="77777777" w:rsidR="00875047" w:rsidRPr="00DB7BC8" w:rsidRDefault="00875047" w:rsidP="00DB7BC8">
            <w:pPr>
              <w:pStyle w:val="Tables"/>
              <w:rPr>
                <w:sz w:val="20"/>
                <w:szCs w:val="20"/>
              </w:rPr>
            </w:pPr>
            <w:r w:rsidRPr="00DB7BC8">
              <w:rPr>
                <w:sz w:val="20"/>
                <w:szCs w:val="20"/>
              </w:rPr>
              <w:t xml:space="preserve">Samples with greater moisture content produce more condensible products, but less char than dry samples. </w:t>
            </w:r>
          </w:p>
        </w:tc>
        <w:tc>
          <w:tcPr>
            <w:tcW w:w="1740" w:type="dxa"/>
            <w:tcBorders>
              <w:top w:val="nil"/>
              <w:left w:val="nil"/>
              <w:bottom w:val="nil"/>
              <w:right w:val="nil"/>
            </w:tcBorders>
            <w:shd w:val="clear" w:color="auto" w:fill="auto"/>
            <w:textDirection w:val="btLr"/>
            <w:hideMark/>
          </w:tcPr>
          <w:p w14:paraId="0216FCE9" w14:textId="77777777" w:rsidR="00875047" w:rsidRPr="00DB7BC8" w:rsidRDefault="00875047" w:rsidP="00DB7BC8">
            <w:pPr>
              <w:pStyle w:val="Tables"/>
              <w:rPr>
                <w:sz w:val="20"/>
                <w:szCs w:val="20"/>
              </w:rPr>
            </w:pPr>
            <w:r w:rsidRPr="00DB7BC8">
              <w:rPr>
                <w:sz w:val="20"/>
                <w:szCs w:val="20"/>
              </w:rPr>
              <w:t xml:space="preserve">Samples with greater moistrue conent produce less levoglucosan at 450°C and 500°C than samples with lower moisture conent. Other products are also significantly affect by moisture conent, but trend sdepend on pyrolysis temperauture. </w:t>
            </w:r>
          </w:p>
        </w:tc>
        <w:tc>
          <w:tcPr>
            <w:tcW w:w="1296" w:type="dxa"/>
            <w:tcBorders>
              <w:top w:val="nil"/>
              <w:left w:val="nil"/>
              <w:bottom w:val="nil"/>
              <w:right w:val="nil"/>
            </w:tcBorders>
            <w:shd w:val="clear" w:color="auto" w:fill="auto"/>
            <w:textDirection w:val="btLr"/>
            <w:hideMark/>
          </w:tcPr>
          <w:p w14:paraId="46F126D3" w14:textId="77777777" w:rsidR="00875047" w:rsidRPr="00DB7BC8" w:rsidRDefault="00875047" w:rsidP="00DB7BC8">
            <w:pPr>
              <w:pStyle w:val="Tables"/>
              <w:rPr>
                <w:sz w:val="20"/>
                <w:szCs w:val="20"/>
              </w:rPr>
            </w:pPr>
            <w:r w:rsidRPr="00DB7BC8">
              <w:rPr>
                <w:sz w:val="20"/>
                <w:szCs w:val="20"/>
              </w:rPr>
              <w:t xml:space="preserve">Samples with lignin-associated polysaccharides removed produce more coniferyl alcohol than untreated samples. </w:t>
            </w:r>
          </w:p>
        </w:tc>
        <w:tc>
          <w:tcPr>
            <w:tcW w:w="1420" w:type="dxa"/>
            <w:tcBorders>
              <w:top w:val="nil"/>
              <w:left w:val="nil"/>
              <w:bottom w:val="nil"/>
              <w:right w:val="nil"/>
            </w:tcBorders>
            <w:shd w:val="clear" w:color="auto" w:fill="auto"/>
            <w:textDirection w:val="btLr"/>
            <w:hideMark/>
          </w:tcPr>
          <w:p w14:paraId="2C6B3EA1" w14:textId="77777777" w:rsidR="00875047" w:rsidRPr="00DB7BC8" w:rsidRDefault="00875047" w:rsidP="00DB7BC8">
            <w:pPr>
              <w:pStyle w:val="Tables"/>
              <w:rPr>
                <w:sz w:val="20"/>
                <w:szCs w:val="20"/>
              </w:rPr>
            </w:pPr>
            <w:r w:rsidRPr="00DB7BC8">
              <w:rPr>
                <w:sz w:val="20"/>
                <w:szCs w:val="20"/>
              </w:rPr>
              <w:t xml:space="preserve">Glucomannan-associated lignin produces more guaiacol than xylan-associated lignin and glucan-associated lignin. </w:t>
            </w:r>
          </w:p>
        </w:tc>
      </w:tr>
      <w:tr w:rsidR="00875047" w:rsidRPr="00DB7BC8" w14:paraId="56F25A4F" w14:textId="77777777" w:rsidTr="00026AA8">
        <w:trPr>
          <w:cantSplit/>
          <w:trHeight w:val="2880"/>
        </w:trPr>
        <w:tc>
          <w:tcPr>
            <w:tcW w:w="864" w:type="dxa"/>
            <w:tcBorders>
              <w:top w:val="nil"/>
              <w:left w:val="nil"/>
              <w:bottom w:val="nil"/>
              <w:right w:val="nil"/>
            </w:tcBorders>
            <w:shd w:val="clear" w:color="auto" w:fill="auto"/>
            <w:textDirection w:val="btLr"/>
            <w:hideMark/>
          </w:tcPr>
          <w:p w14:paraId="3FACF595" w14:textId="4F85D979" w:rsidR="00875047" w:rsidRPr="00026AA8" w:rsidRDefault="00DB7BC8" w:rsidP="00DB7BC8">
            <w:pPr>
              <w:pStyle w:val="Tables"/>
              <w:rPr>
                <w:b/>
                <w:sz w:val="20"/>
                <w:szCs w:val="20"/>
              </w:rPr>
            </w:pPr>
            <w:r w:rsidRPr="00026AA8">
              <w:rPr>
                <w:b/>
                <w:sz w:val="20"/>
                <w:szCs w:val="20"/>
              </w:rPr>
              <w:t>Independent Variable</w:t>
            </w:r>
          </w:p>
        </w:tc>
        <w:tc>
          <w:tcPr>
            <w:tcW w:w="780" w:type="dxa"/>
            <w:tcBorders>
              <w:top w:val="nil"/>
              <w:left w:val="nil"/>
              <w:bottom w:val="nil"/>
              <w:right w:val="nil"/>
            </w:tcBorders>
            <w:shd w:val="clear" w:color="auto" w:fill="auto"/>
            <w:textDirection w:val="btLr"/>
            <w:hideMark/>
          </w:tcPr>
          <w:p w14:paraId="69562334" w14:textId="77777777" w:rsidR="00875047" w:rsidRPr="00DB7BC8" w:rsidRDefault="00875047" w:rsidP="00DB7BC8">
            <w:pPr>
              <w:pStyle w:val="Tables"/>
              <w:rPr>
                <w:sz w:val="20"/>
                <w:szCs w:val="20"/>
              </w:rPr>
            </w:pPr>
            <w:r w:rsidRPr="00DB7BC8">
              <w:rPr>
                <w:sz w:val="20"/>
                <w:szCs w:val="20"/>
              </w:rPr>
              <w:t>Natural variation in moisture content (2%-55%)</w:t>
            </w:r>
          </w:p>
        </w:tc>
        <w:tc>
          <w:tcPr>
            <w:tcW w:w="1740" w:type="dxa"/>
            <w:tcBorders>
              <w:top w:val="nil"/>
              <w:left w:val="nil"/>
              <w:bottom w:val="nil"/>
              <w:right w:val="nil"/>
            </w:tcBorders>
            <w:shd w:val="clear" w:color="auto" w:fill="auto"/>
            <w:textDirection w:val="btLr"/>
            <w:hideMark/>
          </w:tcPr>
          <w:p w14:paraId="28916612" w14:textId="77777777" w:rsidR="00875047" w:rsidRPr="00DB7BC8" w:rsidRDefault="00875047" w:rsidP="00DB7BC8">
            <w:pPr>
              <w:pStyle w:val="Tables"/>
              <w:rPr>
                <w:sz w:val="20"/>
                <w:szCs w:val="20"/>
              </w:rPr>
            </w:pPr>
            <w:r w:rsidRPr="00DB7BC8">
              <w:rPr>
                <w:sz w:val="20"/>
                <w:szCs w:val="20"/>
              </w:rPr>
              <w:t>Natural variation in moisture content (5%-15%)</w:t>
            </w:r>
          </w:p>
        </w:tc>
        <w:tc>
          <w:tcPr>
            <w:tcW w:w="1296" w:type="dxa"/>
            <w:tcBorders>
              <w:top w:val="nil"/>
              <w:left w:val="nil"/>
              <w:bottom w:val="nil"/>
              <w:right w:val="nil"/>
            </w:tcBorders>
            <w:shd w:val="clear" w:color="auto" w:fill="auto"/>
            <w:textDirection w:val="btLr"/>
            <w:hideMark/>
          </w:tcPr>
          <w:p w14:paraId="6D0594C2" w14:textId="77777777" w:rsidR="00875047" w:rsidRPr="00DB7BC8" w:rsidRDefault="00875047" w:rsidP="00DB7BC8">
            <w:pPr>
              <w:pStyle w:val="Tables"/>
              <w:rPr>
                <w:sz w:val="20"/>
                <w:szCs w:val="20"/>
              </w:rPr>
            </w:pPr>
            <w:r w:rsidRPr="00DB7BC8">
              <w:rPr>
                <w:sz w:val="20"/>
                <w:szCs w:val="20"/>
              </w:rPr>
              <w:t>Variation in polysaccharide amounts in lignin-carbohydrate complexes by enzyme treatment</w:t>
            </w:r>
          </w:p>
        </w:tc>
        <w:tc>
          <w:tcPr>
            <w:tcW w:w="1420" w:type="dxa"/>
            <w:tcBorders>
              <w:top w:val="nil"/>
              <w:left w:val="nil"/>
              <w:bottom w:val="nil"/>
              <w:right w:val="nil"/>
            </w:tcBorders>
            <w:shd w:val="clear" w:color="auto" w:fill="auto"/>
            <w:textDirection w:val="btLr"/>
            <w:hideMark/>
          </w:tcPr>
          <w:p w14:paraId="0A28B69D" w14:textId="77777777" w:rsidR="00875047" w:rsidRPr="00DB7BC8" w:rsidRDefault="00875047" w:rsidP="00DB7BC8">
            <w:pPr>
              <w:pStyle w:val="Tables"/>
              <w:rPr>
                <w:sz w:val="20"/>
                <w:szCs w:val="20"/>
              </w:rPr>
            </w:pPr>
            <w:r w:rsidRPr="00DB7BC8">
              <w:rPr>
                <w:sz w:val="20"/>
                <w:szCs w:val="20"/>
              </w:rPr>
              <w:t xml:space="preserve">Variation of lignin interunit linkages, including β-O-4′ ethers, pinoresinols, phenylcoumaran, and dibenzodioxocins, among lignin-carbohydrate complexes with different compositions. </w:t>
            </w:r>
          </w:p>
        </w:tc>
      </w:tr>
      <w:tr w:rsidR="00875047" w:rsidRPr="00DB7BC8" w14:paraId="7B6920BE" w14:textId="77777777" w:rsidTr="00026AA8">
        <w:trPr>
          <w:trHeight w:val="1064"/>
        </w:trPr>
        <w:tc>
          <w:tcPr>
            <w:tcW w:w="864" w:type="dxa"/>
            <w:tcBorders>
              <w:top w:val="nil"/>
              <w:left w:val="nil"/>
              <w:bottom w:val="nil"/>
              <w:right w:val="nil"/>
            </w:tcBorders>
            <w:shd w:val="clear" w:color="auto" w:fill="auto"/>
            <w:textDirection w:val="btLr"/>
            <w:hideMark/>
          </w:tcPr>
          <w:p w14:paraId="2A7F6829" w14:textId="77777777" w:rsidR="00875047" w:rsidRPr="00026AA8" w:rsidRDefault="00875047" w:rsidP="00DB7BC8">
            <w:pPr>
              <w:pStyle w:val="Tables"/>
              <w:rPr>
                <w:b/>
                <w:sz w:val="20"/>
                <w:szCs w:val="20"/>
              </w:rPr>
            </w:pPr>
            <w:r w:rsidRPr="00026AA8">
              <w:rPr>
                <w:b/>
                <w:sz w:val="20"/>
                <w:szCs w:val="20"/>
              </w:rPr>
              <w:t>Biomass component</w:t>
            </w:r>
          </w:p>
        </w:tc>
        <w:tc>
          <w:tcPr>
            <w:tcW w:w="780" w:type="dxa"/>
            <w:tcBorders>
              <w:top w:val="nil"/>
              <w:left w:val="nil"/>
              <w:bottom w:val="nil"/>
              <w:right w:val="nil"/>
            </w:tcBorders>
            <w:shd w:val="clear" w:color="auto" w:fill="auto"/>
            <w:textDirection w:val="btLr"/>
            <w:hideMark/>
          </w:tcPr>
          <w:p w14:paraId="74CBB01A" w14:textId="77777777" w:rsidR="00875047" w:rsidRPr="00DB7BC8" w:rsidRDefault="00875047" w:rsidP="00DB7BC8">
            <w:pPr>
              <w:pStyle w:val="Tables"/>
              <w:rPr>
                <w:sz w:val="20"/>
                <w:szCs w:val="20"/>
              </w:rPr>
            </w:pPr>
            <w:r w:rsidRPr="00DB7BC8">
              <w:rPr>
                <w:sz w:val="20"/>
                <w:szCs w:val="20"/>
              </w:rPr>
              <w:t>Water</w:t>
            </w:r>
          </w:p>
        </w:tc>
        <w:tc>
          <w:tcPr>
            <w:tcW w:w="1740" w:type="dxa"/>
            <w:tcBorders>
              <w:top w:val="nil"/>
              <w:left w:val="nil"/>
              <w:bottom w:val="nil"/>
              <w:right w:val="nil"/>
            </w:tcBorders>
            <w:shd w:val="clear" w:color="auto" w:fill="auto"/>
            <w:textDirection w:val="btLr"/>
            <w:hideMark/>
          </w:tcPr>
          <w:p w14:paraId="452FD306" w14:textId="77777777" w:rsidR="00875047" w:rsidRPr="00DB7BC8" w:rsidRDefault="00875047" w:rsidP="00DB7BC8">
            <w:pPr>
              <w:pStyle w:val="Tables"/>
              <w:rPr>
                <w:sz w:val="20"/>
                <w:szCs w:val="20"/>
              </w:rPr>
            </w:pPr>
            <w:r w:rsidRPr="00DB7BC8">
              <w:rPr>
                <w:sz w:val="20"/>
                <w:szCs w:val="20"/>
              </w:rPr>
              <w:t>Water</w:t>
            </w:r>
          </w:p>
        </w:tc>
        <w:tc>
          <w:tcPr>
            <w:tcW w:w="1296" w:type="dxa"/>
            <w:tcBorders>
              <w:top w:val="nil"/>
              <w:left w:val="nil"/>
              <w:bottom w:val="nil"/>
              <w:right w:val="nil"/>
            </w:tcBorders>
            <w:shd w:val="clear" w:color="auto" w:fill="auto"/>
            <w:textDirection w:val="btLr"/>
            <w:hideMark/>
          </w:tcPr>
          <w:p w14:paraId="56BF7780" w14:textId="5CF4E447" w:rsidR="00875047" w:rsidRPr="00DB7BC8" w:rsidRDefault="00875047" w:rsidP="00DB7BC8">
            <w:pPr>
              <w:pStyle w:val="Tables"/>
              <w:rPr>
                <w:sz w:val="20"/>
                <w:szCs w:val="20"/>
              </w:rPr>
            </w:pPr>
            <w:r w:rsidRPr="00DB7BC8">
              <w:rPr>
                <w:sz w:val="20"/>
                <w:szCs w:val="20"/>
              </w:rPr>
              <w:t>Inter</w:t>
            </w:r>
            <w:r w:rsidR="00DB7BC8">
              <w:rPr>
                <w:sz w:val="20"/>
                <w:szCs w:val="20"/>
              </w:rPr>
              <w:t>-</w:t>
            </w:r>
            <w:r w:rsidRPr="00DB7BC8">
              <w:rPr>
                <w:sz w:val="20"/>
                <w:szCs w:val="20"/>
              </w:rPr>
              <w:t>component linkages</w:t>
            </w:r>
          </w:p>
        </w:tc>
        <w:tc>
          <w:tcPr>
            <w:tcW w:w="1420" w:type="dxa"/>
            <w:tcBorders>
              <w:top w:val="nil"/>
              <w:left w:val="nil"/>
              <w:bottom w:val="nil"/>
              <w:right w:val="nil"/>
            </w:tcBorders>
            <w:shd w:val="clear" w:color="auto" w:fill="auto"/>
            <w:textDirection w:val="btLr"/>
            <w:hideMark/>
          </w:tcPr>
          <w:p w14:paraId="0A58600A" w14:textId="77777777" w:rsidR="00875047" w:rsidRPr="00DB7BC8" w:rsidRDefault="00875047" w:rsidP="00DB7BC8">
            <w:pPr>
              <w:pStyle w:val="Tables"/>
              <w:rPr>
                <w:sz w:val="20"/>
                <w:szCs w:val="20"/>
              </w:rPr>
            </w:pPr>
            <w:r w:rsidRPr="00DB7BC8">
              <w:rPr>
                <w:sz w:val="20"/>
                <w:szCs w:val="20"/>
              </w:rPr>
              <w:t>Lignin interunit linkages (lignin dimer)</w:t>
            </w:r>
          </w:p>
        </w:tc>
      </w:tr>
      <w:tr w:rsidR="00875047" w:rsidRPr="00DB7BC8" w14:paraId="5A5BBA76" w14:textId="77777777" w:rsidTr="00026AA8">
        <w:trPr>
          <w:trHeight w:val="722"/>
        </w:trPr>
        <w:tc>
          <w:tcPr>
            <w:tcW w:w="864" w:type="dxa"/>
            <w:tcBorders>
              <w:top w:val="nil"/>
              <w:left w:val="nil"/>
              <w:bottom w:val="nil"/>
              <w:right w:val="nil"/>
            </w:tcBorders>
            <w:shd w:val="clear" w:color="auto" w:fill="auto"/>
            <w:textDirection w:val="btLr"/>
            <w:hideMark/>
          </w:tcPr>
          <w:p w14:paraId="0B1A134F" w14:textId="77777777" w:rsidR="00875047" w:rsidRPr="00026AA8" w:rsidRDefault="00875047" w:rsidP="00DB7BC8">
            <w:pPr>
              <w:pStyle w:val="Tables"/>
              <w:rPr>
                <w:b/>
                <w:sz w:val="20"/>
                <w:szCs w:val="20"/>
              </w:rPr>
            </w:pPr>
            <w:r w:rsidRPr="00026AA8">
              <w:rPr>
                <w:b/>
                <w:sz w:val="20"/>
                <w:szCs w:val="20"/>
              </w:rPr>
              <w:t>Possible model</w:t>
            </w:r>
          </w:p>
        </w:tc>
        <w:tc>
          <w:tcPr>
            <w:tcW w:w="780" w:type="dxa"/>
            <w:tcBorders>
              <w:top w:val="nil"/>
              <w:left w:val="nil"/>
              <w:bottom w:val="nil"/>
              <w:right w:val="nil"/>
            </w:tcBorders>
            <w:shd w:val="clear" w:color="auto" w:fill="auto"/>
            <w:textDirection w:val="btLr"/>
            <w:hideMark/>
          </w:tcPr>
          <w:p w14:paraId="026381F7" w14:textId="77777777" w:rsidR="00875047" w:rsidRPr="00DB7BC8" w:rsidRDefault="00875047" w:rsidP="00DB7BC8">
            <w:pPr>
              <w:pStyle w:val="Tables"/>
              <w:rPr>
                <w:sz w:val="20"/>
                <w:szCs w:val="20"/>
              </w:rPr>
            </w:pPr>
            <w:r w:rsidRPr="00DB7BC8">
              <w:rPr>
                <w:sz w:val="20"/>
                <w:szCs w:val="20"/>
              </w:rPr>
              <w:t>3</w:t>
            </w:r>
          </w:p>
        </w:tc>
        <w:tc>
          <w:tcPr>
            <w:tcW w:w="1740" w:type="dxa"/>
            <w:tcBorders>
              <w:top w:val="nil"/>
              <w:left w:val="nil"/>
              <w:bottom w:val="nil"/>
              <w:right w:val="nil"/>
            </w:tcBorders>
            <w:shd w:val="clear" w:color="auto" w:fill="auto"/>
            <w:textDirection w:val="btLr"/>
            <w:hideMark/>
          </w:tcPr>
          <w:p w14:paraId="3E7D800D" w14:textId="77777777" w:rsidR="00875047" w:rsidRPr="00DB7BC8" w:rsidRDefault="00875047" w:rsidP="00DB7BC8">
            <w:pPr>
              <w:pStyle w:val="Tables"/>
              <w:rPr>
                <w:sz w:val="20"/>
                <w:szCs w:val="20"/>
              </w:rPr>
            </w:pPr>
            <w:r w:rsidRPr="00DB7BC8">
              <w:rPr>
                <w:sz w:val="20"/>
                <w:szCs w:val="20"/>
              </w:rPr>
              <w:t>3</w:t>
            </w:r>
          </w:p>
        </w:tc>
        <w:tc>
          <w:tcPr>
            <w:tcW w:w="1296" w:type="dxa"/>
            <w:tcBorders>
              <w:top w:val="nil"/>
              <w:left w:val="nil"/>
              <w:bottom w:val="nil"/>
              <w:right w:val="nil"/>
            </w:tcBorders>
            <w:shd w:val="clear" w:color="auto" w:fill="auto"/>
            <w:textDirection w:val="btLr"/>
            <w:hideMark/>
          </w:tcPr>
          <w:p w14:paraId="6FA649B7" w14:textId="77777777" w:rsidR="00875047" w:rsidRPr="00DB7BC8" w:rsidRDefault="00875047" w:rsidP="00DB7BC8">
            <w:pPr>
              <w:pStyle w:val="Tables"/>
              <w:rPr>
                <w:sz w:val="20"/>
                <w:szCs w:val="20"/>
              </w:rPr>
            </w:pPr>
            <w:r w:rsidRPr="00DB7BC8">
              <w:rPr>
                <w:sz w:val="20"/>
                <w:szCs w:val="20"/>
              </w:rPr>
              <w:t>3</w:t>
            </w:r>
          </w:p>
        </w:tc>
        <w:tc>
          <w:tcPr>
            <w:tcW w:w="1420" w:type="dxa"/>
            <w:tcBorders>
              <w:top w:val="nil"/>
              <w:left w:val="nil"/>
              <w:bottom w:val="nil"/>
              <w:right w:val="nil"/>
            </w:tcBorders>
            <w:shd w:val="clear" w:color="auto" w:fill="auto"/>
            <w:textDirection w:val="btLr"/>
            <w:hideMark/>
          </w:tcPr>
          <w:p w14:paraId="5966DDE7" w14:textId="77777777" w:rsidR="00875047" w:rsidRPr="00DB7BC8" w:rsidRDefault="00875047" w:rsidP="00DB7BC8">
            <w:pPr>
              <w:pStyle w:val="Tables"/>
              <w:rPr>
                <w:sz w:val="20"/>
                <w:szCs w:val="20"/>
              </w:rPr>
            </w:pPr>
            <w:r w:rsidRPr="00DB7BC8">
              <w:rPr>
                <w:sz w:val="20"/>
                <w:szCs w:val="20"/>
              </w:rPr>
              <w:t>1</w:t>
            </w:r>
          </w:p>
        </w:tc>
      </w:tr>
    </w:tbl>
    <w:p w14:paraId="3D0482B9" w14:textId="77777777" w:rsidR="005E6D83" w:rsidRDefault="005E6D83" w:rsidP="005E6D83">
      <w:r>
        <w:br w:type="page"/>
      </w:r>
    </w:p>
    <w:p w14:paraId="33858124" w14:textId="71297B43" w:rsidR="00C85EA1" w:rsidRDefault="00C85EA1" w:rsidP="00C85EA1">
      <w:pPr>
        <w:pStyle w:val="Heading3"/>
      </w:pPr>
      <w:bookmarkStart w:id="26" w:name="_Toc449964834"/>
      <w:r>
        <w:lastRenderedPageBreak/>
        <w:t>Model 1: Direct products of cellulose, hemicellulose, and lignin</w:t>
      </w:r>
      <w:bookmarkEnd w:id="26"/>
    </w:p>
    <w:p w14:paraId="23B7FED9" w14:textId="00F189FA" w:rsidR="00C85EA1" w:rsidRDefault="00C85EA1" w:rsidP="00C85EA1">
      <w:r>
        <w:t xml:space="preserve">Thermal breakdown of purified cellulose, hemicellulose, and lignin have been relatively well studied. Levoglucosan, a six carbon 1,6-anhyrosugar (see </w:t>
      </w:r>
      <w:r w:rsidR="004104BD">
        <w:t>figure 2</w:t>
      </w:r>
      <w:r w:rsidR="0090515B" w:rsidRPr="004104BD">
        <w:t>.1</w:t>
      </w:r>
      <w:r w:rsidRPr="004104BD">
        <w:t>),</w:t>
      </w:r>
      <w:r>
        <w:t xml:space="preserve"> was identified as the main product of cellulose </w:t>
      </w:r>
      <w:r w:rsidR="00E80247">
        <w:t xml:space="preserve">pyrolysis nearly a century ago </w:t>
      </w:r>
      <w:r w:rsidR="00E80247">
        <w:fldChar w:fldCharType="begin"/>
      </w:r>
      <w:r w:rsidR="00807999">
        <w:instrText xml:space="preserve"> ADDIN PAPERS2_CITATIONS &lt;citation&gt;&lt;uuid&gt;47732026-0EA1-429F-B9C5-90CD0A7050D4&lt;/uuid&gt;&lt;priority&gt;0&lt;/priority&gt;&lt;publications&gt;&lt;publication&gt;&lt;publication_date&gt;99191800001200000000200000&lt;/publication_date&gt;&lt;doi&gt;10.1002/hlca.19180010109/abstract&lt;/doi&gt;&lt;title&gt;Sur la distillation de la cellulose et de l'amidon sous pression reduite&lt;/title&gt;&lt;uuid&gt;5544DD77-9946-47C1-AFDB-2F16499E1839&lt;/uuid&gt;&lt;subtype&gt;400&lt;/subtype&gt;&lt;type&gt;400&lt;/type&gt;&lt;citekey&gt;Pictet:1918fn&lt;/citekey&gt;&lt;url&gt;http://onlinelibrary.wiley.com/doi/10.1002/hlca.19180010109/abstract&lt;/url&gt;&lt;bundle&gt;&lt;publication&gt;&lt;title&gt;Helvetica Chimica Acta&lt;/title&gt;&lt;type&gt;-100&lt;/type&gt;&lt;subtype&gt;-100&lt;/subtype&gt;&lt;uuid&gt;1F0581CA-8BFE-46F8-9395-80088A6217A6&lt;/uuid&gt;&lt;/publication&gt;&lt;/bundle&gt;&lt;authors&gt;&lt;author&gt;&lt;firstName&gt;A&lt;/firstName&gt;&lt;lastName&gt;Pictet&lt;/lastName&gt;&lt;/author&gt;&lt;author&gt;&lt;firstName&gt;J&lt;/firstName&gt;&lt;lastName&gt;Sarasin&lt;/lastName&gt;&lt;/author&gt;&lt;/authors&gt;&lt;/publication&gt;&lt;/publications&gt;&lt;cites&gt;&lt;/cites&gt;&lt;/citation&gt;</w:instrText>
      </w:r>
      <w:r w:rsidR="00E80247">
        <w:fldChar w:fldCharType="separate"/>
      </w:r>
      <w:r w:rsidR="001C1AAC">
        <w:t>(</w:t>
      </w:r>
      <w:r w:rsidR="001C1AAC">
        <w:rPr>
          <w:i/>
          <w:iCs/>
        </w:rPr>
        <w:t>97</w:t>
      </w:r>
      <w:r w:rsidR="001C1AAC">
        <w:t>)</w:t>
      </w:r>
      <w:r w:rsidR="00E80247">
        <w:fldChar w:fldCharType="end"/>
      </w:r>
      <w:r>
        <w:t>. Levoglucosan is formed alongside other smaller decomposition products, with maximum levoglucosan production occurring at 500°C</w:t>
      </w:r>
      <w:r w:rsidR="00E80247">
        <w:t xml:space="preserve"> </w:t>
      </w:r>
      <w:r w:rsidR="00E80247">
        <w:fldChar w:fldCharType="begin"/>
      </w:r>
      <w:r w:rsidR="00807999">
        <w:instrText xml:space="preserve"> ADDIN PAPERS2_CITATIONS &lt;citation&gt;&lt;uuid&gt;3E8BAFBF-EFB9-46BD-A2A8-070C9DB7B0B6&lt;/uuid&gt;&lt;priority&gt;0&lt;/priority&gt;&lt;publications&gt;&lt;publication&gt;&lt;uuid&gt;5E66D4BC-A345-42AB-A5B6-E2D1D2C83D31&lt;/uuid&gt;&lt;volume&gt;23&lt;/volume&gt;&lt;doi&gt;10.1002/app.1979.070231112&lt;/doi&gt;&lt;startpage&gt;3271&lt;/startpage&gt;&lt;publication_date&gt;99197906011200000000222000&lt;/publication_date&gt;&lt;url&gt;http://doi.wiley.com/10.1002/app.1979.070231112&lt;/url&gt;&lt;type&gt;400&lt;/type&gt;&lt;title&gt;A kinetic model for pyrolysis of cellulose&lt;/title&gt;&lt;publisher&gt;Wiley Subscription Services, Inc., A Wiley Company&lt;/publisher&gt;&lt;number&gt;11&lt;/number&gt;&lt;subtype&gt;400&lt;/subtype&gt;&lt;endpage&gt;3280&lt;/endpage&gt;&lt;bundle&gt;&lt;publication&gt;&lt;publisher&gt;Wiley Subscription Services, Inc., A Wiley Company&lt;/publisher&gt;&lt;title&gt;Journal of Applied Polymer Science&lt;/title&gt;&lt;type&gt;-100&lt;/type&gt;&lt;subtype&gt;-100&lt;/subtype&gt;&lt;uuid&gt;D9A22E83-993D-4D8E-AC3D-453EDF718719&lt;/uuid&gt;&lt;/publication&gt;&lt;/bundle&gt;&lt;authors&gt;&lt;author&gt;&lt;firstName&gt;Allan&lt;/firstName&gt;&lt;middleNames&gt;G W&lt;/middleNames&gt;&lt;lastName&gt;Bradbury&lt;/lastName&gt;&lt;/author&gt;&lt;author&gt;&lt;firstName&gt;Yoshio&lt;/firstName&gt;&lt;lastName&gt;Sakai&lt;/lastName&gt;&lt;/author&gt;&lt;author&gt;&lt;firstName&gt;Fred&lt;/firstName&gt;&lt;lastName&gt;Shafizadeh&lt;/lastName&gt;&lt;/author&gt;&lt;/authors&gt;&lt;/publication&gt;&lt;/publications&gt;&lt;cites&gt;&lt;/cites&gt;&lt;/citation&gt;</w:instrText>
      </w:r>
      <w:r w:rsidR="00E80247">
        <w:fldChar w:fldCharType="separate"/>
      </w:r>
      <w:r w:rsidR="001C1AAC">
        <w:t>(</w:t>
      </w:r>
      <w:r w:rsidR="001C1AAC">
        <w:rPr>
          <w:i/>
          <w:iCs/>
        </w:rPr>
        <w:t>98</w:t>
      </w:r>
      <w:r w:rsidR="001C1AAC">
        <w:t>)</w:t>
      </w:r>
      <w:r w:rsidR="00E80247">
        <w:fldChar w:fldCharType="end"/>
      </w:r>
      <w:r w:rsidR="00E80247">
        <w:t xml:space="preserve">. </w:t>
      </w:r>
      <w:r>
        <w:t>Minor products of cellulose pyrolysis are dominated by other anhydrosugars that retain all 6 carbons of glucose, such as 1,6-anhydroglucofuranose and 5-hydroxymethyl furfural, but also smaller molecules, like furfural (</w:t>
      </w:r>
      <w:r w:rsidRPr="004104BD">
        <w:t xml:space="preserve">5, </w:t>
      </w:r>
      <w:r w:rsidR="0090515B" w:rsidRPr="004104BD">
        <w:t>Figure</w:t>
      </w:r>
      <w:r w:rsidR="004104BD" w:rsidRPr="004104BD">
        <w:t xml:space="preserve"> 2</w:t>
      </w:r>
      <w:r w:rsidR="0090515B" w:rsidRPr="004104BD">
        <w:t>.1</w:t>
      </w:r>
      <w:r>
        <w:t>), formic acid, an</w:t>
      </w:r>
      <w:r w:rsidR="00E80247">
        <w:t xml:space="preserve">d glycolaldehyde, among others </w:t>
      </w:r>
      <w:r w:rsidR="00E80247">
        <w:fldChar w:fldCharType="begin"/>
      </w:r>
      <w:r w:rsidR="00807999">
        <w:instrText xml:space="preserve"> ADDIN PAPERS2_CITATIONS &lt;citation&gt;&lt;uuid&gt;8B7D35B3-6F69-4251-A279-B70ABC799C09&lt;/uuid&gt;&lt;priority&gt;0&lt;/priority&gt;&lt;publications&gt;&lt;publication&gt;&lt;publication_date&gt;99201100001200000000200000&lt;/publication_date&gt;&lt;doi&gt;10.1016/j.biortech.2011.02.018&lt;/doi&gt;&lt;title&gt;Distinguishing primary and secondary reactions of cellulose pyrolysis&lt;/title&gt;&lt;uuid&gt;03ED85DE-07DF-4E32-B887-11673E3EDD28&lt;/uuid&gt;&lt;subtype&gt;400&lt;/subtype&gt;&lt;type&gt;400&lt;/type&gt;&lt;citekey&gt;Patwardhan:2011kaa&lt;/citekey&gt;&lt;url&gt;http://www.sciencedirect.com/science/article/pii/S0960852411002033&lt;/url&gt;&lt;bundle&gt;&lt;publication&gt;&lt;publisher&gt;Elsevier Ltd&lt;/publisher&gt;&lt;title&gt;Bioresource technology&lt;/title&gt;&lt;type&gt;-100&lt;/type&gt;&lt;subtype&gt;-100&lt;/subtype&gt;&lt;uuid&gt;20FABC45-BAD7-4D11-A180-BCA66580D347&lt;/uuid&gt;&lt;/publication&gt;&lt;/bundle&gt;&lt;authors&gt;&lt;author&gt;&lt;firstName&gt;Pushkaraj&lt;/firstName&gt;&lt;middleNames&gt;R&lt;/middleNames&gt;&lt;lastName&gt;Patwardhan&lt;/lastName&gt;&lt;/author&gt;&lt;author&gt;&lt;firstName&gt;Dustin&lt;/firstName&gt;&lt;middleNames&gt;L&lt;/middleNames&gt;&lt;lastName&gt;Dalluge&lt;/lastName&gt;&lt;/author&gt;&lt;author&gt;&lt;firstName&gt;Brent&lt;/firstName&gt;&lt;middleNames&gt;H&lt;/middleNames&gt;&lt;lastName&gt;Shanks&lt;/lastName&gt;&lt;/author&gt;&lt;/authors&gt;&lt;/publication&gt;&lt;/publications&gt;&lt;cites&gt;&lt;/cites&gt;&lt;/citation&gt;</w:instrText>
      </w:r>
      <w:r w:rsidR="00E80247">
        <w:fldChar w:fldCharType="separate"/>
      </w:r>
      <w:r w:rsidR="00980B82">
        <w:t>(</w:t>
      </w:r>
      <w:r w:rsidR="00980B82">
        <w:rPr>
          <w:i/>
          <w:iCs/>
        </w:rPr>
        <w:t>31</w:t>
      </w:r>
      <w:r w:rsidR="00980B82">
        <w:t>)</w:t>
      </w:r>
      <w:r w:rsidR="00E80247">
        <w:fldChar w:fldCharType="end"/>
      </w:r>
      <w:r w:rsidR="00E80247">
        <w:t>.</w:t>
      </w:r>
      <w:r>
        <w:t xml:space="preserve"> </w:t>
      </w:r>
    </w:p>
    <w:p w14:paraId="64B88A38" w14:textId="2FC30FB8" w:rsidR="00C85EA1" w:rsidRDefault="00C85EA1" w:rsidP="00C85EA1">
      <w:r>
        <w:t>As with cellulose, hemicellulose pyrolysis products depend mostly on the number of carbons in the monosaccharide residues of the starting polymer</w:t>
      </w:r>
      <w:r w:rsidR="00E80247">
        <w:t xml:space="preserve"> </w:t>
      </w:r>
      <w:r w:rsidR="00E80247">
        <w:fldChar w:fldCharType="begin"/>
      </w:r>
      <w:r w:rsidR="00807999">
        <w:instrText xml:space="preserve"> ADDIN PAPERS2_CITATIONS &lt;citation&gt;&lt;uuid&gt;E8EAC943-C461-4F6A-9C1A-4749491AE7DE&lt;/uuid&gt;&lt;priority&gt;0&lt;/priority&gt;&lt;publications&gt;&lt;publication&gt;&lt;uuid&gt;1B122CE6-4B7F-4099-875D-23E128953AA8&lt;/uuid&gt;&lt;volume&gt;25&lt;/volume&gt;&lt;doi&gt;10.1016/S0008-6215(00)82742-1&lt;/doi&gt;&lt;startpage&gt;23&lt;/startpage&gt;&lt;publication_date&gt;99197200001200000000200000&lt;/publication_date&gt;&lt;url&gt;http://linkinghub.elsevier.com/retrieve/pii/S0008621500827421&lt;/url&gt;&lt;citekey&gt;Shafizadeh:1972ju&lt;/citekey&gt;&lt;type&gt;400&lt;/type&gt;&lt;title&gt;Thermal degradation of xylan and related model compounds&lt;/title&gt;&lt;number&gt;1&lt;/number&gt;&lt;subtype&gt;400&lt;/subtype&gt;&lt;endpage&gt;33&lt;/endpage&gt;&lt;bundle&gt;&lt;publication&gt;&lt;title&gt;Carbohydrate Research&lt;/title&gt;&lt;type&gt;-100&lt;/type&gt;&lt;subtype&gt;-100&lt;/subtype&gt;&lt;uuid&gt;BE27CC05-2234-4BA6-9D53-46C42A7F4DE7&lt;/uuid&gt;&lt;/publication&gt;&lt;/bundle&gt;&lt;authors&gt;&lt;author&gt;&lt;firstName&gt;F&lt;/firstName&gt;&lt;lastName&gt;Shafizadeh&lt;/lastName&gt;&lt;/author&gt;&lt;author&gt;&lt;firstName&gt;G&lt;/firstName&gt;&lt;middleNames&gt;D&lt;/middleNames&gt;&lt;lastName&gt;McGinnis&lt;/lastName&gt;&lt;/author&gt;&lt;author&gt;&lt;firstName&gt;C&lt;/firstName&gt;&lt;middleNames&gt;W&lt;/middleNames&gt;&lt;lastName&gt;Philpot&lt;/lastName&gt;&lt;/author&gt;&lt;/authors&gt;&lt;/publication&gt;&lt;/publications&gt;&lt;cites&gt;&lt;/cites&gt;&lt;/citation&gt;</w:instrText>
      </w:r>
      <w:r w:rsidR="00E80247">
        <w:fldChar w:fldCharType="separate"/>
      </w:r>
      <w:r w:rsidR="001C1AAC">
        <w:t>(</w:t>
      </w:r>
      <w:r w:rsidR="001C1AAC">
        <w:rPr>
          <w:i/>
          <w:iCs/>
        </w:rPr>
        <w:t>47</w:t>
      </w:r>
      <w:r w:rsidR="001C1AAC">
        <w:t>)</w:t>
      </w:r>
      <w:r w:rsidR="00E80247">
        <w:fldChar w:fldCharType="end"/>
      </w:r>
      <w:r>
        <w:t>. Pentoses and hexoses produce similar light, C</w:t>
      </w:r>
      <w:r w:rsidRPr="000871E1">
        <w:rPr>
          <w:vertAlign w:val="subscript"/>
        </w:rPr>
        <w:t>1</w:t>
      </w:r>
      <w:r>
        <w:t>-C</w:t>
      </w:r>
      <w:r w:rsidRPr="000871E1">
        <w:rPr>
          <w:vertAlign w:val="subscript"/>
        </w:rPr>
        <w:t>3</w:t>
      </w:r>
      <w:r>
        <w:t xml:space="preserve"> oxygenates but differ in the types and selectivities (i.e., relative ratios) of heavier, C</w:t>
      </w:r>
      <w:r w:rsidRPr="000871E1">
        <w:rPr>
          <w:vertAlign w:val="subscript"/>
        </w:rPr>
        <w:t>4</w:t>
      </w:r>
      <w:r>
        <w:t>-C</w:t>
      </w:r>
      <w:r w:rsidRPr="000871E1">
        <w:rPr>
          <w:vertAlign w:val="subscript"/>
        </w:rPr>
        <w:t>6</w:t>
      </w:r>
      <w:r>
        <w:t xml:space="preserve"> products. Consistent with expectations, pyrolysis of monosaccharides reveals that hexoses can form more unique compounds than pentoses, including pyranic species; additionally, pentoses yield more lighter fragmentation products than hexoses and only trace amounts of C</w:t>
      </w:r>
      <w:r w:rsidRPr="000871E1">
        <w:rPr>
          <w:vertAlign w:val="subscript"/>
        </w:rPr>
        <w:t>6</w:t>
      </w:r>
      <w:r>
        <w:t xml:space="preserve"> and higher products </w:t>
      </w:r>
      <w:r w:rsidR="00E80247">
        <w:fldChar w:fldCharType="begin"/>
      </w:r>
      <w:r w:rsidR="00807999">
        <w:instrText xml:space="preserve"> ADDIN PAPERS2_CITATIONS &lt;citation&gt;&lt;uuid&gt;DCB7D50C-3DA8-4B92-AB9D-DC33870C4046&lt;/uuid&gt;&lt;priority&gt;0&lt;/priority&gt;&lt;publications&gt;&lt;publication&gt;&lt;volume&gt;72&lt;/volume&gt;&lt;publication_date&gt;99200300001200000000200000&lt;/publication_date&gt;&lt;doi&gt;10.1023/10973.2003.72.issue-2;subPage:string:Access&lt;/doi&gt;&lt;startpage&gt;481&lt;/startpage&gt;&lt;title&gt;Formation of the main degradation compounds from arabinose, xylose, mannose and arabinitol during pyrolysis&lt;/title&gt;&lt;uuid&gt;195923C8-8795-4914-9233-336BA05E4473&lt;/uuid&gt;&lt;subtype&gt;400&lt;/subtype&gt;&lt;endpage&gt;488&lt;/endpage&gt;&lt;type&gt;400&lt;/type&gt;&lt;url&gt;http://www.akademiai.com/doi/pdf/10.1023/A%3A1024557011975&lt;/url&gt;&lt;bundle&gt;&lt;publication&gt;&lt;title&gt;Journal of Thermal Analysis and Calorimetry&lt;/title&gt;&lt;type&gt;-100&lt;/type&gt;&lt;subtype&gt;-100&lt;/subtype&gt;&lt;uuid&gt;769C714C-3CB1-4C5C-B0F3-2E1D4D5FD7D7&lt;/uuid&gt;&lt;/publication&gt;&lt;/bundle&gt;&lt;authors&gt;&lt;author&gt;&lt;firstName&gt;U&lt;/firstName&gt;&lt;lastName&gt;Räisänen&lt;/lastName&gt;&lt;/author&gt;&lt;author&gt;&lt;firstName&gt;I&lt;/firstName&gt;&lt;lastName&gt;Pitkänen&lt;/lastName&gt;&lt;/author&gt;&lt;author&gt;&lt;firstName&gt;H&lt;/firstName&gt;&lt;lastName&gt;Halttunen&lt;/lastName&gt;&lt;/author&gt;&lt;/authors&gt;&lt;/publication&gt;&lt;/publications&gt;&lt;cites&gt;&lt;/cites&gt;&lt;/citation&gt;</w:instrText>
      </w:r>
      <w:r w:rsidR="00E80247">
        <w:fldChar w:fldCharType="separate"/>
      </w:r>
      <w:r w:rsidR="001C1AAC">
        <w:t>(</w:t>
      </w:r>
      <w:r w:rsidR="001C1AAC">
        <w:rPr>
          <w:i/>
          <w:iCs/>
        </w:rPr>
        <w:t>79</w:t>
      </w:r>
      <w:r w:rsidR="001C1AAC">
        <w:t>)</w:t>
      </w:r>
      <w:r w:rsidR="00E80247">
        <w:fldChar w:fldCharType="end"/>
      </w:r>
      <w:r>
        <w:t xml:space="preserve">. </w:t>
      </w:r>
    </w:p>
    <w:p w14:paraId="169B79D0" w14:textId="73480367" w:rsidR="00C85EA1" w:rsidRDefault="00C85EA1" w:rsidP="00C85EA1">
      <w:r>
        <w:t xml:space="preserve">Lignin thermal degradation products generally retain the characteristic ring decoration of the monolignols from which they originate </w:t>
      </w:r>
      <w:r w:rsidRPr="004104BD">
        <w:t xml:space="preserve">(3, </w:t>
      </w:r>
      <w:r w:rsidR="004104BD" w:rsidRPr="004104BD">
        <w:t>Figure 2</w:t>
      </w:r>
      <w:r w:rsidR="0090515B" w:rsidRPr="004104BD">
        <w:t>.1</w:t>
      </w:r>
      <w:r w:rsidRPr="004104BD">
        <w:t>).</w:t>
      </w:r>
      <w:r>
        <w:t xml:space="preserve">  For example, syringol derivatives are bio-oil products derived from </w:t>
      </w:r>
      <w:r w:rsidRPr="000871E1">
        <w:rPr>
          <w:b/>
          <w:i/>
        </w:rPr>
        <w:t>S</w:t>
      </w:r>
      <w:r>
        <w:t xml:space="preserve">-lignin units and guaiacols are products derived from </w:t>
      </w:r>
      <w:r w:rsidRPr="000871E1">
        <w:rPr>
          <w:b/>
          <w:i/>
        </w:rPr>
        <w:t>G</w:t>
      </w:r>
      <w:r>
        <w:t xml:space="preserve">-lignin units </w:t>
      </w:r>
      <w:r w:rsidRPr="004104BD">
        <w:t xml:space="preserve">(6, </w:t>
      </w:r>
      <w:r w:rsidR="004104BD" w:rsidRPr="004104BD">
        <w:t>Figure 2</w:t>
      </w:r>
      <w:r w:rsidR="0090515B" w:rsidRPr="004104BD">
        <w:t>.1</w:t>
      </w:r>
      <w:r w:rsidRPr="004104BD">
        <w:t xml:space="preserve">). The derivative groups possess 1-3 carbons and/or oxygenate moieties at the 4 position (6, </w:t>
      </w:r>
      <w:r w:rsidR="004104BD" w:rsidRPr="004104BD">
        <w:t>Figure 2</w:t>
      </w:r>
      <w:r w:rsidR="0090515B" w:rsidRPr="004104BD">
        <w:t>.1</w:t>
      </w:r>
      <w:r w:rsidRPr="004104BD">
        <w:t>).</w:t>
      </w:r>
      <w:r>
        <w:t xml:space="preserve"> Consistent with </w:t>
      </w:r>
      <w:r>
        <w:lastRenderedPageBreak/>
        <w:t xml:space="preserve">expectations, softwood lignins yield almost exclusively guaiacyl derivatives, while hardwood lignins yield both guaiacyl and syringyl derivatives. Grasses yield guaiacyl, syringyl, and p-hydroxyphenyl derivatives, but also vinylphenol, propenyl-phenols, and p-hydroxybenzaldehyde that are not produced during pyrolysis of softwood and hardwood </w:t>
      </w:r>
      <w:r w:rsidR="00E80247">
        <w:fldChar w:fldCharType="begin"/>
      </w:r>
      <w:r w:rsidR="00807999">
        <w:instrText xml:space="preserve"> ADDIN PAPERS2_CITATIONS &lt;citation&gt;&lt;uuid&gt;940F7F81-923B-49CE-AA6B-DA495596D7EE&lt;/uuid&gt;&lt;priority&gt;0&lt;/priority&gt;&lt;publications&gt;&lt;publication&gt;&lt;publication_date&gt;99198600001200000000200000&lt;/publication_date&gt;&lt;title&gt;Lignin pyrolysis products: their structures and their significance as biomarkers&lt;/title&gt;&lt;uuid&gt;5E97A469-4544-4EAF-9CB4-0CC7E571F833&lt;/uuid&gt;&lt;subtype&gt;400&lt;/subtype&gt;&lt;type&gt;400&lt;/type&gt;&lt;citekey&gt;SaizJimenez:1986uh&lt;/citekey&gt;&lt;url&gt;http://ac.els-cdn.com/S0146638086800249/1-s2.0-S0146638086800249-main.pdf?_tid=1da48da4-5972-11e4-9e05-00000aab0f02&amp;amp;acdnat=1413930918_8ceff5bf246d55ba5e03886623103b50&lt;/url&gt;&lt;bundle&gt;&lt;publication&gt;&lt;title&gt;Organic Geochemistry&lt;/title&gt;&lt;type&gt;-100&lt;/type&gt;&lt;subtype&gt;-100&lt;/subtype&gt;&lt;uuid&gt;8C55C28C-D8BE-4B5E-984A-EBE053458B9B&lt;/uuid&gt;&lt;/publication&gt;&lt;/bundle&gt;&lt;authors&gt;&lt;author&gt;&lt;firstName&gt;C&lt;/firstName&gt;&lt;lastName&gt;Sáiz-Jiménez&lt;/lastName&gt;&lt;/author&gt;&lt;author&gt;&lt;lastName&gt;Leeuw&lt;/lastName&gt;&lt;nonDroppingParticle&gt;De&lt;/nonDroppingParticle&gt;&lt;firstName&gt;J&lt;/firstName&gt;&lt;middleNames&gt;W&lt;/middleNames&gt;&lt;/author&gt;&lt;/authors&gt;&lt;/publication&gt;&lt;publication&gt;&lt;volume&gt;108&lt;/volume&gt;&lt;publication_date&gt;99201407001200000000220000&lt;/publication_date&gt;&lt;doi&gt;10.1016/j.jaap.2014.05.016&lt;/doi&gt;&lt;startpage&gt;56&lt;/startpage&gt;&lt;title&gt;A comprehensive study on relating cell-wall components of lignocellulosic biomass to oxygenated species formed during pyrolysis&lt;/title&gt;&lt;uuid&gt;7FED9759-6353-4731-8DD7-7EE86258EDA2&lt;/uuid&gt;&lt;subtype&gt;400&lt;/subtype&gt;&lt;endpage&gt;67&lt;/endpage&gt;&lt;type&gt;400&lt;/type&gt;&lt;citekey&gt;Mante:2014eu&lt;/citekey&gt;&lt;url&gt;http://linkinghub.elsevier.com/retrieve/pii/S0165237014001223&lt;/url&gt;&lt;bundle&gt;&lt;publication&gt;&lt;publisher&gt;Elsevier B.V.&lt;/publisher&gt;&lt;title&gt;Journal of Analytical and Applied Pyrolysis&lt;/title&gt;&lt;type&gt;-100&lt;/type&gt;&lt;subtype&gt;-100&lt;/subtype&gt;&lt;uuid&gt;D2B451F2-ABD5-4B2D-92A4-9DB1FFA0C21E&lt;/uuid&gt;&lt;/publication&gt;&lt;/bundle&gt;&lt;authors&gt;&lt;author&gt;&lt;firstName&gt;Ofei&lt;/firstName&gt;&lt;middleNames&gt;D&lt;/middleNames&gt;&lt;lastName&gt;Mante&lt;/lastName&gt;&lt;/author&gt;&lt;author&gt;&lt;firstName&gt;Suresh&lt;/firstName&gt;&lt;middleNames&gt;P&lt;/middleNames&gt;&lt;lastName&gt;Babu&lt;/lastName&gt;&lt;/author&gt;&lt;author&gt;&lt;firstName&gt;Thomas&lt;/firstName&gt;&lt;middleNames&gt;E&lt;/middleNames&gt;&lt;lastName&gt;Amidon&lt;/lastName&gt;&lt;/author&gt;&lt;/authors&gt;&lt;/publication&gt;&lt;/publications&gt;&lt;cites&gt;&lt;/cites&gt;&lt;/citation&gt;</w:instrText>
      </w:r>
      <w:r w:rsidR="00E80247">
        <w:fldChar w:fldCharType="separate"/>
      </w:r>
      <w:r w:rsidR="001C1AAC">
        <w:t>(</w:t>
      </w:r>
      <w:r w:rsidR="001C1AAC">
        <w:rPr>
          <w:i/>
          <w:iCs/>
        </w:rPr>
        <w:t>48</w:t>
      </w:r>
      <w:r w:rsidR="001C1AAC">
        <w:t xml:space="preserve">, </w:t>
      </w:r>
      <w:r w:rsidR="001C1AAC">
        <w:rPr>
          <w:i/>
          <w:iCs/>
        </w:rPr>
        <w:t>81</w:t>
      </w:r>
      <w:r w:rsidR="001C1AAC">
        <w:t>)</w:t>
      </w:r>
      <w:r w:rsidR="00E80247">
        <w:fldChar w:fldCharType="end"/>
      </w:r>
      <w:r>
        <w:t xml:space="preserve">, and are likely derived from ferulate and coumarate esters </w:t>
      </w:r>
      <w:r w:rsidR="00E80247">
        <w:fldChar w:fldCharType="begin"/>
      </w:r>
      <w:r w:rsidR="00807999">
        <w:instrText xml:space="preserve"> ADDIN PAPERS2_CITATIONS &lt;citation&gt;&lt;uuid&gt;9397E945-C723-4CD2-9AC8-FF8C658A3AAC&lt;/uuid&gt;&lt;priority&gt;0&lt;/priority&gt;&lt;publications&gt;&lt;publication&gt;&lt;volume&gt;7&lt;/volume&gt;&lt;publication_date&gt;99201401301200000000222000&lt;/publication_date&gt;&lt;number&gt;3&lt;/number&gt;&lt;doi&gt;10.1007/s12155-014-9410-3&lt;/doi&gt;&lt;startpage&gt;899&lt;/startpage&gt;&lt;title&gt;Validation of PyMBMS as a High-throughput Screen for Lignin Abundance in Lignocellulosic Biomass of Grasses&lt;/title&gt;&lt;uuid&gt;44F4FA3C-5F21-4B7E-A18A-05609FE41DD2&lt;/uuid&gt;&lt;subtype&gt;400&lt;/subtype&gt;&lt;endpage&gt;908&lt;/endpage&gt;&lt;type&gt;400&lt;/type&gt;&lt;url&gt;http://link.springer.com/10.1007/s12155-014-9410-3&lt;/url&gt;&lt;bundle&gt;&lt;publication&gt;&lt;publisher&gt;Springer US&lt;/publisher&gt;&lt;title&gt;BioEnergy Research&lt;/title&gt;&lt;type&gt;-100&lt;/type&gt;&lt;subtype&gt;-100&lt;/subtype&gt;&lt;uuid&gt;10F75356-9E4C-4774-98A2-0C658827ED32&lt;/uuid&gt;&lt;/publication&gt;&lt;/bundle&gt;&lt;authors&gt;&lt;author&gt;&lt;firstName&gt;Bryan&lt;/firstName&gt;&lt;middleNames&gt;W&lt;/middleNames&gt;&lt;lastName&gt;Penning&lt;/lastName&gt;&lt;/author&gt;&lt;author&gt;&lt;firstName&gt;Robert&lt;/firstName&gt;&lt;middleNames&gt;W&lt;/middleNames&gt;&lt;lastName&gt;Sykes&lt;/lastName&gt;&lt;/author&gt;&lt;author&gt;&lt;firstName&gt;Nicholas&lt;/firstName&gt;&lt;middleNames&gt;C&lt;/middleNames&gt;&lt;lastName&gt;Babcock&lt;/lastName&gt;&lt;/author&gt;&lt;author&gt;&lt;firstName&gt;Christopher&lt;/firstName&gt;&lt;middleNames&gt;K&lt;/middleNames&gt;&lt;lastName&gt;Dugard&lt;/lastName&gt;&lt;/author&gt;&lt;author&gt;&lt;firstName&gt;John&lt;/firstName&gt;&lt;middleNames&gt;F&lt;/middleNames&gt;&lt;lastName&gt;Klimek&lt;/lastName&gt;&lt;/author&gt;&lt;author&gt;&lt;firstName&gt;David&lt;/firstName&gt;&lt;lastName&gt;Gamblin&lt;/lastName&gt;&lt;/author&gt;&lt;author&gt;&lt;firstName&gt;Mark&lt;/firstName&gt;&lt;lastName&gt;Davis&lt;/lastName&gt;&lt;/author&gt;&lt;author&gt;&lt;firstName&gt;Timothy&lt;/firstName&gt;&lt;middleNames&gt;R&lt;/middleNames&gt;&lt;lastName&gt;Filley&lt;/lastName&gt;&lt;/author&gt;&lt;author&gt;&lt;firstName&gt;Nathan&lt;/firstName&gt;&lt;middleNames&gt;S&lt;/middleNames&gt;&lt;lastName&gt;Mosier&lt;/lastName&gt;&lt;/author&gt;&lt;author&gt;&lt;firstName&gt;Clifford&lt;/firstName&gt;&lt;middleNames&gt;F&lt;/middleNames&gt;&lt;lastName&gt;Weil&lt;/lastName&gt;&lt;/author&gt;&lt;author&gt;&lt;firstName&gt;Maureen&lt;/firstName&gt;&lt;middleNames&gt;C&lt;/middleNames&gt;&lt;lastName&gt;McCann&lt;/lastName&gt;&lt;/author&gt;&lt;author&gt;&lt;firstName&gt;Nicholas&lt;/firstName&gt;&lt;middleNames&gt;C&lt;/middleNames&gt;&lt;lastName&gt;Carpita&lt;/lastName&gt;&lt;/author&gt;&lt;/authors&gt;&lt;/publication&gt;&lt;/publications&gt;&lt;cites&gt;&lt;/cites&gt;&lt;/citation&gt;</w:instrText>
      </w:r>
      <w:r w:rsidR="00E80247">
        <w:fldChar w:fldCharType="separate"/>
      </w:r>
      <w:r w:rsidR="001C1AAC">
        <w:t>(</w:t>
      </w:r>
      <w:r w:rsidR="001C1AAC">
        <w:rPr>
          <w:i/>
          <w:iCs/>
        </w:rPr>
        <w:t>99</w:t>
      </w:r>
      <w:r w:rsidR="001C1AAC">
        <w:t>)</w:t>
      </w:r>
      <w:r w:rsidR="00E80247">
        <w:fldChar w:fldCharType="end"/>
      </w:r>
      <w:r>
        <w:t>. Phenol derivatives are the large majority of the products formed from lignin pyrolysis; aromatic hydrocarbons and some furan derivatives are also detectable, but at very low amounts that might represent lignin sample contaminants</w:t>
      </w:r>
      <w:r w:rsidR="00E80247">
        <w:t xml:space="preserve"> </w:t>
      </w:r>
      <w:r w:rsidR="00E80247">
        <w:fldChar w:fldCharType="begin"/>
      </w:r>
      <w:r w:rsidR="00807999">
        <w:instrText xml:space="preserve"> ADDIN PAPERS2_CITATIONS &lt;citation&gt;&lt;uuid&gt;6DB71F90-B8B5-4199-A619-24B20C70F2B9&lt;/uuid&gt;&lt;priority&gt;0&lt;/priority&gt;&lt;publications&gt;&lt;publication&gt;&lt;publication_date&gt;99198600001200000000200000&lt;/publication_date&gt;&lt;title&gt;Lignin pyrolysis products: their structures and their significance as biomarkers&lt;/title&gt;&lt;uuid&gt;5E97A469-4544-4EAF-9CB4-0CC7E571F833&lt;/uuid&gt;&lt;subtype&gt;400&lt;/subtype&gt;&lt;type&gt;400&lt;/type&gt;&lt;citekey&gt;SaizJimenez:1986uh&lt;/citekey&gt;&lt;url&gt;http://ac.els-cdn.com/S0146638086800249/1-s2.0-S0146638086800249-main.pdf?_tid=1da48da4-5972-11e4-9e05-00000aab0f02&amp;amp;acdnat=1413930918_8ceff5bf246d55ba5e03886623103b50&lt;/url&gt;&lt;bundle&gt;&lt;publication&gt;&lt;title&gt;Organic Geochemistry&lt;/title&gt;&lt;type&gt;-100&lt;/type&gt;&lt;subtype&gt;-100&lt;/subtype&gt;&lt;uuid&gt;8C55C28C-D8BE-4B5E-984A-EBE053458B9B&lt;/uuid&gt;&lt;/publication&gt;&lt;/bundle&gt;&lt;authors&gt;&lt;author&gt;&lt;firstName&gt;C&lt;/firstName&gt;&lt;lastName&gt;Sáiz-Jiménez&lt;/lastName&gt;&lt;/author&gt;&lt;author&gt;&lt;lastName&gt;Leeuw&lt;/lastName&gt;&lt;nonDroppingParticle&gt;De&lt;/nonDroppingParticle&gt;&lt;firstName&gt;J&lt;/firstName&gt;&lt;middleNames&gt;W&lt;/middleNames&gt;&lt;/author&gt;&lt;/authors&gt;&lt;/publication&gt;&lt;/publications&gt;&lt;cites&gt;&lt;/cites&gt;&lt;/citation&gt;</w:instrText>
      </w:r>
      <w:r w:rsidR="00E80247">
        <w:fldChar w:fldCharType="separate"/>
      </w:r>
      <w:r w:rsidR="001C1AAC">
        <w:t>(</w:t>
      </w:r>
      <w:r w:rsidR="001C1AAC">
        <w:rPr>
          <w:i/>
          <w:iCs/>
        </w:rPr>
        <w:t>81</w:t>
      </w:r>
      <w:r w:rsidR="001C1AAC">
        <w:t>)</w:t>
      </w:r>
      <w:r w:rsidR="00E80247">
        <w:fldChar w:fldCharType="end"/>
      </w:r>
      <w:r>
        <w:t>. Lignins from spruce wood with different dimer compositions also show different product distributions, including variations in the yield of major products like guaiacol</w:t>
      </w:r>
      <w:r w:rsidR="00E80247">
        <w:t xml:space="preserve"> </w:t>
      </w:r>
      <w:r w:rsidR="00E80247">
        <w:fldChar w:fldCharType="begin"/>
      </w:r>
      <w:r w:rsidR="00807999">
        <w:instrText xml:space="preserve"> ADDIN PAPERS2_CITATIONS &lt;citation&gt;&lt;uuid&gt;E4D3E10A-E0CC-4A35-BC67-9BFC213A41B6&lt;/uuid&gt;&lt;priority&gt;0&lt;/priority&gt;&lt;publications&gt;&lt;publication&gt;&lt;uuid&gt;51C35A66-F0F0-4766-A584-0E02C4311BF8&lt;/uuid&gt;&lt;volume&gt;239&lt;/volume&gt;&lt;accepted_date&gt;99201401271200000000222000&lt;/accepted_date&gt;&lt;doi&gt;10.1007/s00425-014-2037-y&lt;/doi&gt;&lt;startpage&gt;1079&lt;/startpage&gt;&lt;publication_date&gt;99201405001200000000220000&lt;/publication_date&gt;&lt;url&gt;http://eutils.ncbi.nlm.nih.gov/entrez/eutils/elink.fcgi?dbfrom=pubmed&amp;amp;id=24531838&amp;amp;retmode=ref&amp;amp;cmd=prlinks&lt;/url&gt;&lt;citekey&gt;Du:2014fi&lt;/citekey&gt;&lt;type&gt;400&lt;/type&gt;&lt;title&gt;Analysis of lignin-carbohydrate and lignin-lignin linkages after hydrolase treatment of xylan-lignin, glucomannan-lignin and glucan-lignin complexes from spruce wood.&lt;/title&gt;&lt;submission_date&gt;99201311181200000000222000&lt;/submission_date&gt;&lt;number&gt;5&lt;/number&gt;&lt;institution&gt;Department of Fibre and Polymer Technology, Royal Institute of Technology, KTH, Teknikringen 56-58, 10044, Stockholm, Sweden.&lt;/institution&gt;&lt;subtype&gt;400&lt;/subtype&gt;&lt;endpage&gt;1090&lt;/endpage&gt;&lt;bundle&gt;&lt;publication&gt;&lt;title&gt;Planta&lt;/title&gt;&lt;type&gt;-100&lt;/type&gt;&lt;subtype&gt;-100&lt;/subtype&gt;&lt;uuid&gt;73D013A8-46B6-4E8C-A80A-E48EDF6129BA&lt;/uuid&gt;&lt;/publication&gt;&lt;/bundle&gt;&lt;authors&gt;&lt;author&gt;&lt;firstName&gt;Xueyu&lt;/firstName&gt;&lt;lastName&gt;Du&lt;/lastName&gt;&lt;/author&gt;&lt;author&gt;&lt;firstName&gt;Marta&lt;/firstName&gt;&lt;lastName&gt;Pérez-Boada&lt;/lastName&gt;&lt;/author&gt;&lt;author&gt;&lt;firstName&gt;Carmen&lt;/firstName&gt;&lt;lastName&gt;Fernández&lt;/lastName&gt;&lt;/author&gt;&lt;author&gt;&lt;firstName&gt;Jorge&lt;/firstName&gt;&lt;lastName&gt;Rencoret&lt;/lastName&gt;&lt;/author&gt;&lt;author&gt;&lt;lastName&gt;Río&lt;/lastName&gt;&lt;nonDroppingParticle&gt;del&lt;/nonDroppingParticle&gt;&lt;firstName&gt;José&lt;/firstName&gt;&lt;middleNames&gt;C&lt;/middleNames&gt;&lt;/author&gt;&lt;author&gt;&lt;firstName&gt;Jesús&lt;/firstName&gt;&lt;lastName&gt;Jiménez-Barbero&lt;/lastName&gt;&lt;/author&gt;&lt;author&gt;&lt;firstName&gt;Jiebing&lt;/firstName&gt;&lt;lastName&gt;Li&lt;/lastName&gt;&lt;/author&gt;&lt;author&gt;&lt;firstName&gt;Ana&lt;/firstName&gt;&lt;lastName&gt;Gutiérrez&lt;/lastName&gt;&lt;/author&gt;&lt;author&gt;&lt;firstName&gt;Angel&lt;/firstName&gt;&lt;middleNames&gt;T&lt;/middleNames&gt;&lt;lastName&gt;Martínez&lt;/lastName&gt;&lt;/author&gt;&lt;/authors&gt;&lt;/publication&gt;&lt;/publications&gt;&lt;cites&gt;&lt;/cites&gt;&lt;/citation&gt;</w:instrText>
      </w:r>
      <w:r w:rsidR="00E80247">
        <w:fldChar w:fldCharType="separate"/>
      </w:r>
      <w:r w:rsidR="001C1AAC">
        <w:t>(</w:t>
      </w:r>
      <w:r w:rsidR="001C1AAC">
        <w:rPr>
          <w:i/>
          <w:iCs/>
        </w:rPr>
        <w:t>72</w:t>
      </w:r>
      <w:r w:rsidR="001C1AAC">
        <w:t>)</w:t>
      </w:r>
      <w:r w:rsidR="00E80247">
        <w:fldChar w:fldCharType="end"/>
      </w:r>
      <w:r>
        <w:t>. This suggests that bonds between lignin units and the lignin structure determined by those bonds may impact p</w:t>
      </w:r>
      <w:r w:rsidR="0045247B">
        <w:t>yrolysis, as well.</w:t>
      </w:r>
    </w:p>
    <w:p w14:paraId="4BF83B62" w14:textId="5F6AB6FE" w:rsidR="00C85EA1" w:rsidRDefault="00C85EA1" w:rsidP="00C85EA1">
      <w:pPr>
        <w:pStyle w:val="Heading3"/>
      </w:pPr>
      <w:bookmarkStart w:id="27" w:name="_Toc449964835"/>
      <w:r>
        <w:t>Model 2: Secondary reactions catalyzed by inorganic components</w:t>
      </w:r>
      <w:bookmarkEnd w:id="27"/>
      <w:r>
        <w:t xml:space="preserve"> </w:t>
      </w:r>
    </w:p>
    <w:p w14:paraId="2B96987E" w14:textId="77777777" w:rsidR="00807999" w:rsidRDefault="00C85EA1" w:rsidP="00C85EA1">
      <w:r>
        <w:t xml:space="preserve">The biopolymers that make up the majority of the biomass by weight are established as the primary source of bio-oil products formed during thermal degradation. However, secondary reactions occur during the pyrolysis process involving other components present within the biomass </w:t>
      </w:r>
      <w:r w:rsidR="002B32EC">
        <w:fldChar w:fldCharType="begin"/>
      </w:r>
      <w:r w:rsidR="00807999">
        <w:instrText xml:space="preserve"> ADDIN PAPERS2_CITATIONS &lt;citation&gt;&lt;uuid&gt;38C5CA0E-8134-44A3-9122-7DE28F36FF8B&lt;/uuid&gt;&lt;priority&gt;0&lt;/priority&gt;&lt;publications&gt;&lt;publication&gt;&lt;uuid&gt;2C6210CE-8A2F-4104-8338-B625ABF81B4D&lt;/uuid&gt;&lt;volume&gt;22&lt;/volume&gt;&lt;doi&gt;10.1016/0165-2370(92)85015-d&lt;/doi&gt;&lt;startpage&gt;217&lt;/startpage&gt;&lt;publication_date&gt;99199200001200000000200000&lt;/publication_date&gt;&lt;url&gt;http://linkinghub.elsevier.com/retrieve/pii/016523709285015D&lt;/url&gt;&lt;citekey&gt;Ponder:1992tp&lt;/citekey&gt;&lt;type&gt;400&lt;/type&gt;&lt;title&gt;Influence of linkage position and orientation in pyrolysis of polysaccharides: A study of several glucans&lt;/title&gt;&lt;number&gt;3&lt;/number&gt;&lt;subtype&gt;400&lt;/subtype&gt;&lt;endpage&gt;229&lt;/endpage&gt;&lt;bundle&gt;&lt;publication&gt;&lt;publisher&gt;Elsevier B.V.&lt;/publisher&gt;&lt;title&gt;Journal of Analytical and Applied Pyrolysis&lt;/title&gt;&lt;type&gt;-100&lt;/type&gt;&lt;subtype&gt;-100&lt;/subtype&gt;&lt;uuid&gt;D2B451F2-ABD5-4B2D-92A4-9DB1FFA0C21E&lt;/uuid&gt;&lt;/publication&gt;&lt;/bundle&gt;&lt;authors&gt;&lt;author&gt;&lt;firstName&gt;Glenn&lt;/firstName&gt;&lt;middleNames&gt;R&lt;/middleNames&gt;&lt;lastName&gt;Ponder&lt;/lastName&gt;&lt;/author&gt;&lt;author&gt;&lt;firstName&gt;Geoffrey&lt;/firstName&gt;&lt;middleNames&gt;N&lt;/middleNames&gt;&lt;lastName&gt;Richards&lt;/lastName&gt;&lt;/author&gt;&lt;author&gt;&lt;firstName&gt;Thomas&lt;/firstName&gt;&lt;middleNames&gt;T&lt;/middleNames&gt;&lt;lastName&gt;Stevenson&lt;/lastName&gt;&lt;/author&gt;&lt;/authors&gt;&lt;/publication&gt;&lt;publication&gt;&lt;uuid&gt;4A88EFAC-68C1-4FA8-8E39-06CD35D822B6&lt;/uuid&gt;&lt;volume&gt;35&lt;/volume&gt;&lt;doi&gt;10.1016/0165-2370(95)00893-J&lt;/doi&gt;&lt;startpage&gt;15&lt;/startpage&gt;&lt;publication_date&gt;99199510001200000000220000&lt;/publication_date&gt;&lt;url&gt;http://www.sciencedirect.com/science/article/pii/016523709500893J&lt;/url&gt;&lt;type&gt;400&lt;/type&gt;&lt;title&gt;Influence of Inorganic Species on the Formation of Polysaccharide and Lignin Degradation Products in the Analytical Pyrolysis of Pulps&lt;/title&gt;&lt;institution&gt;Kleen, M</w:instrText>
      </w:r>
    </w:p>
    <w:p w14:paraId="7736B57F" w14:textId="77777777" w:rsidR="00807999" w:rsidRDefault="00807999" w:rsidP="00C85EA1">
      <w:r>
        <w:instrText>Swedish Pulp &amp;amp; Paper Res Inst,Stfi,Box 5604,S-11486 Stockholm,Sweden</w:instrText>
      </w:r>
    </w:p>
    <w:p w14:paraId="3FDB4F06" w14:textId="77777777" w:rsidR="00807999" w:rsidRDefault="00807999" w:rsidP="00C85EA1">
      <w:r>
        <w:instrText>Swedish Pulp &amp;amp; Paper Res Inst,Stfi,Box 5604,S-11486 Stockholm,Sweden</w:instrText>
      </w:r>
    </w:p>
    <w:p w14:paraId="65C10461" w14:textId="77777777" w:rsidR="00807999" w:rsidRDefault="00807999" w:rsidP="00C85EA1">
      <w:r>
        <w:instrText>Royal Inst Technol,Dept Pulp &amp;amp; Paper Chem &amp;amp; Technol,S-10044 Stockholm,Sweden&lt;/institution&gt;&lt;number&gt;1&lt;/number&gt;&lt;subtype&gt;400&lt;/subtype&gt;&lt;endpage&gt;41&lt;/endpage&gt;&lt;bundle&gt;&lt;publication&gt;&lt;publisher&gt;Elsevier B.V.&lt;/publisher&gt;&lt;title&gt;Journal of Analytical and Applied Pyrolysis&lt;/title&gt;&lt;type&gt;-100&lt;/type&gt;&lt;subtype&gt;-100&lt;/subtype&gt;&lt;uuid&gt;D2B451F2-ABD5-4B2D-92A4-9DB1FFA0C21E&lt;/uuid&gt;&lt;/publication&gt;&lt;/bundle&gt;&lt;authors&gt;&lt;author&gt;&lt;firstName&gt;M&lt;/firstName&gt;&lt;lastName&gt;Kleen&lt;/lastName&gt;&lt;/author&gt;&lt;author&gt;&lt;firstName&gt;G&lt;/firstName&gt;&lt;lastName&gt;Gellerstedt&lt;/lastName&gt;&lt;/author&gt;&lt;/authors&gt;&lt;/publication&gt;&lt;publication&gt;&lt;volume&gt;68-69&lt;/volume&gt;&lt;publication_date&gt;99200308001200000000220000&lt;/publication_date&gt;&lt;doi&gt;10.1016/S0165-2370(03)00065-2&lt;/doi&gt;&lt;startpage&gt;231&lt;/startpage&gt;&lt;title&gt;A comparative kinetic study on the pyrolysis of three different wood species&lt;/title&gt;&lt;uuid&gt;77DDA82E-0983-4838-AF9A-CC99FECABF54&lt;/uuid&gt;&lt;subtype&gt;400&lt;/subtype&gt;&lt;endpage&gt;249&lt;/endpage&gt;&lt;type&gt;400&lt;/type&gt;&lt;url&gt;http://linkinghub.elsevier.com/retrieve/pii/S0165237003000652&lt;/url&gt;&lt;bundle&gt;&lt;publication&gt;&lt;publisher&gt;Elsevier B.V.&lt;/publisher&gt;&lt;title&gt;Journal of Analytical and Applied Pyrolysis&lt;/title&gt;&lt;type&gt;-100&lt;/type&gt;&lt;subtype&gt;-100&lt;/subtype&gt;&lt;uuid&gt;D2B451F2-ABD5-4B2D-92A4-9DB1FFA0C21E&lt;/uuid&gt;&lt;/publication&gt;&lt;/bundle&gt;&lt;authors&gt;&lt;author&gt;&lt;firstName&gt;M&lt;/firstName&gt;&lt;lastName&gt;Müller-Hagedorn&lt;/lastName&gt;&lt;/author&gt;&lt;author&gt;&lt;firstName&gt;H&lt;/firstName&gt;&lt;lastName&gt;Bockhorn&lt;/lastName&gt;&lt;/author&gt;&lt;author&gt;&lt;firstName&gt;L&lt;/firstName&gt;&lt;lastName&gt;Krebs&lt;/lastName&gt;&lt;/author&gt;&lt;author&gt;&lt;firstName&gt;U&lt;/firstName&gt;&lt;lastName&gt;Müller&lt;/lastName&gt;&lt;/author&gt;&lt;/authors&gt;&lt;/publication&gt;&lt;publication&gt;&lt;uuid&gt;4460F59D-6619-4457-9151-2F14407B1520&lt;/uuid&gt;&lt;volume&gt;101&lt;/volume&gt;&lt;doi&gt;10.1016/j.biortech.2010.01.112&lt;/doi&gt;&lt;startpage&gt;4646&lt;/startpage&gt;&lt;publication_date&gt;99201006001200000000220000&lt;/publication_date&gt;&lt;url&gt;http://www.sciencedirect.com/science/article/pii/S0960852410001987&lt;/url&gt;&lt;type&gt;400&lt;/type&gt;&lt;title&gt;Influence of inorganic salts on the primary pyrolysis products of cellulose&lt;/title&gt;&lt;institution&gt;Shanks, BH</w:instrText>
      </w:r>
    </w:p>
    <w:p w14:paraId="1088C5A3" w14:textId="77777777" w:rsidR="00807999" w:rsidRDefault="00807999" w:rsidP="00C85EA1">
      <w:r>
        <w:instrText>Iowa State Univ, Dept Chem &amp;amp; Biol Engn, Ames, IA 50011 USA</w:instrText>
      </w:r>
    </w:p>
    <w:p w14:paraId="69462FD5" w14:textId="77777777" w:rsidR="00807999" w:rsidRDefault="00807999" w:rsidP="00C85EA1">
      <w:r>
        <w:instrText>Iowa State Univ, Dept Chem &amp;amp; Biol Engn, Ames, IA 50011 USA</w:instrText>
      </w:r>
    </w:p>
    <w:p w14:paraId="2F35AB07" w14:textId="77777777" w:rsidR="00807999" w:rsidRDefault="00807999" w:rsidP="00C85EA1">
      <w:r>
        <w:instrText>Iowa State Univ, Dept Chem &amp;amp; Biol Engn, Ames, IA 50011 USA</w:instrText>
      </w:r>
    </w:p>
    <w:p w14:paraId="0D0AF9DE" w14:textId="274A7667" w:rsidR="00C85EA1" w:rsidRDefault="00807999" w:rsidP="00C85EA1">
      <w:r>
        <w:instrText>Iowa State Univ, Ctr Sustainable Environm Technol, Ames, IA 50011 USA&lt;/institution&gt;&lt;number&gt;12&lt;/number&gt;&lt;subtype&gt;400&lt;/subtype&gt;&lt;endpage&gt;4655&lt;/endpage&gt;&lt;bundle&gt;&lt;publication&gt;&lt;publisher&gt;Elsevier Ltd&lt;/publisher&gt;&lt;title&gt;Bioresource technology&lt;/title&gt;&lt;type&gt;-100&lt;/type&gt;&lt;subtype&gt;-100&lt;/subtype&gt;&lt;uuid&gt;20FABC45-BAD7-4D11-A180-BCA66580D347&lt;/uuid&gt;&lt;/publication&gt;&lt;/bundle&gt;&lt;authors&gt;&lt;author&gt;&lt;firstName&gt;Pushkaraj&lt;/firstName&gt;&lt;middleNames&gt;R&lt;/middleNames&gt;&lt;lastName&gt;Patwardhan&lt;/lastName&gt;&lt;/author&gt;&lt;author&gt;&lt;firstName&gt;J&lt;/firstName&gt;&lt;middleNames&gt;A&lt;/middleNames&gt;&lt;lastName&gt;Satrio&lt;/lastName&gt;&lt;/author&gt;&lt;author&gt;&lt;firstName&gt;Robert&lt;/firstName&gt;&lt;middleNames&gt;C&lt;/middleNames&gt;&lt;lastName&gt;Brown&lt;/lastName&gt;&lt;/author&gt;&lt;author&gt;&lt;firstName&gt;Brent&lt;/firstName&gt;&lt;middleNames&gt;H&lt;/middleNames&gt;&lt;lastName&gt;Shanks&lt;/lastName&gt;&lt;/author&gt;&lt;/authors&gt;&lt;/publication&gt;&lt;publication&gt;&lt;uuid&gt;64BA3C00-A548-48B5-9D5C-1E8176783A55&lt;/uuid&gt;&lt;volume&gt;86&lt;/volume&gt;&lt;doi&gt;10.1016/j.fuel.2006.11.030&lt;/doi&gt;&lt;startpage&gt;1560&lt;/startpage&gt;&lt;publication_date&gt;99200700001200000000200000&lt;/publication_date&gt;&lt;url&gt;http://linkinghub.elsevier.com/retrieve/pii/S0016236106004789&lt;/url&gt;&lt;citekey&gt;Fahmi2007&lt;/citekey&gt;&lt;type&gt;400&lt;/type&gt;&lt;title&gt;The effect of alkali metals on combustion and pyrolysis of Lolium and Festuca grasses, switchgrass and willow&lt;/title&gt;&lt;number&gt;10-11&lt;/number&gt;&lt;subtype&gt;400&lt;/subtype&gt;&lt;endpage&gt;1569&lt;/endpage&gt;&lt;bundle&gt;&lt;publication&gt;&lt;publisher&gt;Elsevier Ltd&lt;/publisher&gt;&lt;title&gt;Fuel&lt;/title&gt;&lt;type&gt;-100&lt;/type&gt;&lt;subtype&gt;-100&lt;/subtype&gt;&lt;uuid&gt;E286CABA-D6F1-4A09-A385-6AFE55FAD8F4&lt;/uuid&gt;&lt;/publication&gt;&lt;/bundle&gt;&lt;authors&gt;&lt;author&gt;&lt;firstName&gt;R&lt;/firstName&gt;&lt;lastName&gt;Fahmi&lt;/lastName&gt;&lt;/author&gt;&lt;author&gt;&lt;firstName&gt;Anthony&lt;/firstName&gt;&lt;middleNames&gt;V&lt;/middleNames&gt;&lt;lastName&gt;Bridgwater&lt;/lastName&gt;&lt;/author&gt;&lt;author&gt;&lt;firstName&gt;Leilani&lt;/firstName&gt;&lt;middleNames&gt;I&lt;/middleNames&gt;&lt;lastName&gt;Darvell&lt;/lastName&gt;&lt;/author&gt;&lt;author&gt;&lt;firstName&gt;Jenny&lt;/firstName&gt;&lt;middleNames&gt;M&lt;/middleNames&gt;&lt;lastName&gt;Jones&lt;/lastName&gt;&lt;/author&gt;&lt;author&gt;&lt;firstName&gt;N&lt;/firstName&gt;&lt;lastName&gt;Yates&lt;/lastName&gt;&lt;/author&gt;&lt;author&gt;&lt;firstName&gt;S&lt;/firstName&gt;&lt;middleNames&gt;C&lt;/middleNames&gt;&lt;lastName&gt;Thain&lt;/lastName&gt;&lt;/author&gt;&lt;author&gt;&lt;firstName&gt;I&lt;/firstName&gt;&lt;middleNames&gt;S&lt;/middleNames&gt;&lt;lastName&gt;Donnison&lt;/lastName&gt;&lt;/author&gt;&lt;/authors&gt;&lt;/publication&gt;&lt;publication&gt;&lt;uuid&gt;7B236B4C-FD91-4D03-B98D-3DCF6074B38E&lt;/uuid&gt;&lt;volume&gt;31&lt;/volume&gt;&lt;doi&gt;10.1002/ep.11633&lt;/doi&gt;&lt;startpage&gt;256&lt;/startpage&gt;&lt;publication_date&gt;99201203271200000000222000&lt;/publication_date&gt;&lt;url&gt;http://doi.wiley.com/10.1002/ep.11633&lt;/url&gt;&lt;citekey&gt;Ronsse:2012dp&lt;/citekey&gt;&lt;type&gt;400&lt;/type&gt;&lt;title&gt;Secondary reactions of levoglucosan and char in the fast pyrolysis of cellulose&lt;/title&gt;&lt;number&gt;2&lt;/number&gt;&lt;subtype&gt;400&lt;/subtype&gt;&lt;endpage&gt;260&lt;/endpage&gt;&lt;bundle&gt;&lt;publication&gt;&lt;title&gt;Environmental Progress &amp;amp; Sustainable Energy&lt;/title&gt;&lt;type&gt;-100&lt;/type&gt;&lt;subtype&gt;-100&lt;/subtype&gt;&lt;uuid&gt;8246211E-E180-4E50-9387-17EAA7E53312&lt;/uuid&gt;&lt;/publication&gt;&lt;/bundle&gt;&lt;authors&gt;&lt;author&gt;&lt;firstName&gt;Frederik&lt;/firstName&gt;&lt;lastName&gt;Ronsse&lt;/lastName&gt;&lt;/author&gt;&lt;author&gt;&lt;firstName&gt;Xianglan&lt;/firstName&gt;&lt;lastName&gt;Bai&lt;/lastName&gt;&lt;/author&gt;&lt;author&gt;&lt;firstName&gt;Wolter&lt;/firstName&gt;&lt;lastName&gt;Prins&lt;/lastName&gt;&lt;/author&gt;&lt;author&gt;&lt;firstName&gt;Robert&lt;/firstName&gt;&lt;middleNames&gt;C&lt;/middleNames&gt;&lt;lastName&gt;Brown&lt;/lastName&gt;&lt;/author&gt;&lt;/authors&gt;&lt;/publication&gt;&lt;publication&gt;&lt;type&gt;400&lt;/type&gt;&lt;publication_date&gt;99201300001200000000200000&lt;/publication_date&gt;&lt;title&gt;Factors Related to Minerals and Ingredients Influencing the Distribution of Pyrolysates Derived from Herbaceous Biomass&lt;/title&gt;&lt;url&gt;http://ojs.cnr.ncsu.edu/index.php/BioRes/article/view/1871Rui&lt;/url&gt;&lt;subtype&gt;400&lt;/subtype&gt;&lt;uuid&gt;B4A5A5D8-5ADD-4737-AC44-6F2747E329EB&lt;/uuid&gt;&lt;bundle&gt;&lt;publication&gt;&lt;title&gt;BioResources&lt;/title&gt;&lt;type&gt;-100&lt;/type&gt;&lt;subtype&gt;-100&lt;/subtype&gt;&lt;uuid&gt;04D078DA-C54D-4D61-9C6B-8C00482C7AB9&lt;/uuid&gt;&lt;/publication&gt;&lt;/bundle&gt;&lt;authors&gt;&lt;author&gt;&lt;firstName&gt;R&lt;/firstName&gt;&lt;lastName&gt;Lou&lt;/lastName&gt;&lt;/author&gt;&lt;author&gt;&lt;firstName&gt;S&lt;/firstName&gt;&lt;lastName&gt;Wu&lt;/lastName&gt;&lt;/author&gt;&lt;author&gt;&lt;firstName&gt;Gaojin&lt;/firstName&gt;&lt;lastName&gt;Lv&lt;/lastName&gt;&lt;/author&gt;&lt;author&gt;&lt;firstName&gt;A&lt;/firstName&gt;&lt;lastName&gt;Zhang&lt;/lastName&gt;&lt;/author&gt;&lt;/authors&gt;&lt;/publication&gt;&lt;publication&gt;&lt;volume&gt;108&lt;/volume&gt;&lt;publication_date&gt;99201407001200000000220000&lt;/publication_date&gt;&lt;doi&gt;10.1016/j.jaap.2014.05.016&lt;/doi&gt;&lt;startpage&gt;56&lt;/startpage&gt;&lt;title&gt;A comprehensive study on relating cell-wall components of lignocellulosic biomass to oxygenated species formed during pyrolysis&lt;/title&gt;&lt;uuid&gt;7FED9759-6353-4731-8DD7-7EE86258EDA2&lt;/uuid&gt;&lt;subtype&gt;400&lt;/subtype&gt;&lt;endpage&gt;67&lt;/endpage&gt;&lt;type&gt;400&lt;/type&gt;&lt;citekey&gt;Mante:2014eu&lt;/citekey&gt;&lt;url&gt;http://linkinghub.elsevier.com/retrieve/pii/S0165237014001223&lt;/url&gt;&lt;bundle&gt;&lt;publication&gt;&lt;publisher&gt;Elsevier B.V.&lt;/publisher&gt;&lt;title&gt;Journal of Analytical and Applied Pyrolysis&lt;/title&gt;&lt;type&gt;-100&lt;/type&gt;&lt;subtype&gt;-100&lt;/subtype&gt;&lt;uuid&gt;D2B451F2-ABD5-4B2D-92A4-9DB1FFA0C21E&lt;/uuid&gt;&lt;/publication&gt;&lt;/bundle&gt;&lt;authors&gt;&lt;author&gt;&lt;firstName&gt;Ofei&lt;/firstName&gt;&lt;middleNames&gt;D&lt;/middleNames&gt;&lt;lastName&gt;Mante&lt;/lastName&gt;&lt;/author&gt;&lt;author&gt;&lt;firstName&gt;Suresh&lt;/firstName&gt;&lt;middleNames&gt;P&lt;/middleNames&gt;&lt;lastName&gt;Babu&lt;/lastName&gt;&lt;/author&gt;&lt;author&gt;&lt;firstName&gt;Thomas&lt;/firstName&gt;&lt;middleNames&gt;E&lt;/middleNames&gt;&lt;lastName&gt;Amidon&lt;/lastName&gt;&lt;/author&gt;&lt;/authors&gt;&lt;/publication&gt;&lt;/publications&gt;&lt;cites&gt;&lt;/cites&gt;&lt;/citation&gt;</w:instrText>
      </w:r>
      <w:r w:rsidR="002B32EC">
        <w:fldChar w:fldCharType="separate"/>
      </w:r>
      <w:r w:rsidR="001C1AAC">
        <w:t>(</w:t>
      </w:r>
      <w:r w:rsidR="001C1AAC">
        <w:rPr>
          <w:i/>
          <w:iCs/>
        </w:rPr>
        <w:t>48</w:t>
      </w:r>
      <w:r w:rsidR="001C1AAC">
        <w:t xml:space="preserve">, </w:t>
      </w:r>
      <w:r w:rsidR="001C1AAC">
        <w:rPr>
          <w:i/>
          <w:iCs/>
        </w:rPr>
        <w:t>85</w:t>
      </w:r>
      <w:r w:rsidR="001C1AAC">
        <w:t>-</w:t>
      </w:r>
      <w:r w:rsidR="001C1AAC">
        <w:rPr>
          <w:i/>
          <w:iCs/>
        </w:rPr>
        <w:t>91</w:t>
      </w:r>
      <w:r w:rsidR="001C1AAC">
        <w:t>)</w:t>
      </w:r>
      <w:r w:rsidR="002B32EC">
        <w:fldChar w:fldCharType="end"/>
      </w:r>
      <w:r w:rsidR="00C85EA1">
        <w:t xml:space="preserve">. As products form, they can interact with catalytic minerals in the residual solid. For example, levoglucosan has been shown to react on minerals present in the residual char from pyrolysis of biomass. The products formed include levoglucosenone, furan derivatives, and lighter oxygenates such as acetic acid, acetone and acetol. Demineralization prohibits the formation of these products. </w:t>
      </w:r>
      <w:r w:rsidR="002B32EC">
        <w:fldChar w:fldCharType="begin"/>
      </w:r>
      <w:r>
        <w:instrText xml:space="preserve"> ADDIN PAPERS2_CITATIONS &lt;citation&gt;&lt;uuid&gt;57E2DE99-3C4F-483E-9F3A-B3994C368859&lt;/uuid&gt;&lt;priority&gt;0&lt;/priority&gt;&lt;publications&gt;&lt;publication&gt;&lt;uuid&gt;64BA3C00-A548-48B5-9D5C-1E8176783A55&lt;/uuid&gt;&lt;volume&gt;86&lt;/volume&gt;&lt;doi&gt;10.1016/j.fuel.2006.11.030&lt;/doi&gt;&lt;startpage&gt;1560&lt;/startpage&gt;&lt;publication_date&gt;99200700001200000000200000&lt;/publication_date&gt;&lt;url&gt;http://linkinghub.elsevier.com/retrieve/pii/S0016236106004789&lt;/url&gt;&lt;citekey&gt;Fahmi2007&lt;/citekey&gt;&lt;type&gt;400&lt;/type&gt;&lt;title&gt;The effect of alkali metals on combustion and pyrolysis of Lolium and Festuca grasses, switchgrass and willow&lt;/title&gt;&lt;number&gt;10-11&lt;/number&gt;&lt;subtype&gt;400&lt;/subtype&gt;&lt;endpage&gt;1569&lt;/endpage&gt;&lt;bundle&gt;&lt;publication&gt;&lt;publisher&gt;Elsevier Ltd&lt;/publisher&gt;&lt;title&gt;Fuel&lt;/title&gt;&lt;type&gt;-100&lt;/type&gt;&lt;subtype&gt;-100&lt;/subtype&gt;&lt;uuid&gt;E286CABA-D6F1-4A09-A385-6AFE55FAD8F4&lt;/uuid&gt;&lt;/publication&gt;&lt;/bundle&gt;&lt;authors&gt;&lt;author&gt;&lt;firstName&gt;R&lt;/firstName&gt;&lt;lastName&gt;Fahmi&lt;/lastName&gt;&lt;/author&gt;&lt;author&gt;&lt;firstName&gt;Anthony&lt;/firstName&gt;&lt;middleNames&gt;V&lt;/middleNames&gt;&lt;lastName&gt;Bridgwater&lt;/lastName&gt;&lt;/author&gt;&lt;author&gt;&lt;firstName&gt;Leilani&lt;/firstName&gt;&lt;middleNames&gt;I&lt;/middleNames&gt;&lt;lastName&gt;Darvell&lt;/lastName&gt;&lt;/author&gt;&lt;author&gt;&lt;firstName&gt;Jenny&lt;/firstName&gt;&lt;middleNames&gt;M&lt;/middleNames&gt;&lt;lastName&gt;Jones&lt;/lastName&gt;&lt;/author&gt;&lt;author&gt;&lt;firstName&gt;N&lt;/firstName&gt;&lt;lastName&gt;Yates&lt;/lastName&gt;&lt;/author&gt;&lt;author&gt;&lt;firstName&gt;S&lt;/firstName&gt;&lt;middleNames&gt;C&lt;/middleNames&gt;&lt;lastName&gt;Thain&lt;/lastName&gt;&lt;/author&gt;&lt;author&gt;&lt;firstName&gt;I&lt;/firstName&gt;&lt;middleNames&gt;S&lt;/middleNames&gt;&lt;lastName&gt;Donnison&lt;/lastName&gt;&lt;/author&gt;&lt;/authors&gt;&lt;/publication&gt;&lt;publication&gt;&lt;uuid&gt;7B236B4C-FD91-4D03-B98D-3DCF6074B38E&lt;/uuid&gt;&lt;volume&gt;31&lt;/volume&gt;&lt;doi&gt;10.1002/ep.11633&lt;/doi&gt;&lt;startpage&gt;256&lt;/startpage&gt;&lt;publication_date&gt;99201203271200000000222000&lt;/publication_date&gt;&lt;url&gt;http://doi.wiley.com/10.1002/ep.11633&lt;/url&gt;&lt;citekey&gt;Ronsse:2012dp&lt;/citekey&gt;&lt;type&gt;400&lt;/type&gt;&lt;title&gt;Secondary reactions of levoglucosan and char in the fast pyrolysis of cellulose&lt;/title&gt;&lt;number&gt;2&lt;/number&gt;&lt;subtype&gt;400&lt;/subtype&gt;&lt;endpage&gt;260&lt;/endpage&gt;&lt;bundle&gt;&lt;publication&gt;&lt;title&gt;Environmental Progress &amp;amp; Sustainable Energy&lt;/title&gt;&lt;type&gt;-100&lt;/type&gt;&lt;subtype&gt;-100&lt;/subtype&gt;&lt;uuid&gt;8246211E-E180-4E50-9387-17EAA7E53312&lt;/uuid&gt;&lt;/publication&gt;&lt;/bundle&gt;&lt;authors&gt;&lt;author&gt;&lt;firstName&gt;Frederik&lt;/firstName&gt;&lt;lastName&gt;Ronsse&lt;/lastName&gt;&lt;/author&gt;&lt;author&gt;&lt;firstName&gt;Xianglan&lt;/firstName&gt;&lt;lastName&gt;Bai&lt;/lastName&gt;&lt;/author&gt;&lt;author&gt;&lt;firstName&gt;Wolter&lt;/firstName&gt;&lt;lastName&gt;Prins&lt;/lastName&gt;&lt;/author&gt;&lt;author&gt;&lt;firstName&gt;Robert&lt;/firstName&gt;&lt;middleNames&gt;C&lt;/middleNames&gt;&lt;lastName&gt;Brown&lt;/lastName&gt;&lt;/author&gt;&lt;/authors&gt;&lt;/publication&gt;&lt;/publications&gt;&lt;cites&gt;&lt;/cites&gt;&lt;/citation&gt;</w:instrText>
      </w:r>
      <w:r w:rsidR="002B32EC">
        <w:fldChar w:fldCharType="separate"/>
      </w:r>
      <w:r w:rsidR="001C1AAC">
        <w:t>(</w:t>
      </w:r>
      <w:r w:rsidR="001C1AAC">
        <w:rPr>
          <w:i/>
          <w:iCs/>
        </w:rPr>
        <w:t>86</w:t>
      </w:r>
      <w:r w:rsidR="001C1AAC">
        <w:t xml:space="preserve">, </w:t>
      </w:r>
      <w:r w:rsidR="001C1AAC">
        <w:rPr>
          <w:i/>
          <w:iCs/>
        </w:rPr>
        <w:t>87</w:t>
      </w:r>
      <w:r w:rsidR="001C1AAC">
        <w:t>)</w:t>
      </w:r>
      <w:r w:rsidR="002B32EC">
        <w:fldChar w:fldCharType="end"/>
      </w:r>
    </w:p>
    <w:p w14:paraId="56148B43" w14:textId="5DE43BDE" w:rsidR="002B32EC" w:rsidRDefault="00C85EA1" w:rsidP="00C85EA1">
      <w:r>
        <w:lastRenderedPageBreak/>
        <w:t>Different inorganics are responsible for different kinds of secondary reactions. In general, the presence of metal cations enhances the homolytic cleavage of pyranose ring bonds over the heterolytic cleavage of glycosidic linkages, leading to the increased formation of light oxygenate decomposition products at the expense of levoglucosan formation. While Na</w:t>
      </w:r>
      <w:r w:rsidRPr="00D967F0">
        <w:rPr>
          <w:vertAlign w:val="superscript"/>
        </w:rPr>
        <w:t>+</w:t>
      </w:r>
      <w:r>
        <w:t>, K</w:t>
      </w:r>
      <w:r w:rsidRPr="00D967F0">
        <w:rPr>
          <w:vertAlign w:val="superscript"/>
        </w:rPr>
        <w:t>+</w:t>
      </w:r>
      <w:r>
        <w:t>, Mg</w:t>
      </w:r>
      <w:r w:rsidRPr="00D967F0">
        <w:rPr>
          <w:vertAlign w:val="superscript"/>
        </w:rPr>
        <w:t>2+</w:t>
      </w:r>
      <w:r>
        <w:t>, and Ca</w:t>
      </w:r>
      <w:r w:rsidRPr="00D967F0">
        <w:rPr>
          <w:vertAlign w:val="superscript"/>
        </w:rPr>
        <w:t>2+</w:t>
      </w:r>
      <w:r>
        <w:t xml:space="preserve"> all catalyze levoglucosan decomposition, the effects of group 1, alkali metals and 2, alkaline elements differ. Increased Na</w:t>
      </w:r>
      <w:r w:rsidRPr="00AE34E9">
        <w:rPr>
          <w:vertAlign w:val="superscript"/>
        </w:rPr>
        <w:t>+</w:t>
      </w:r>
      <w:r>
        <w:t xml:space="preserve"> and K</w:t>
      </w:r>
      <w:r w:rsidRPr="00AE34E9">
        <w:rPr>
          <w:vertAlign w:val="superscript"/>
        </w:rPr>
        <w:t>+</w:t>
      </w:r>
      <w:r>
        <w:t xml:space="preserve"> alkali metal loading increased formic acid, glycolaldehyde and acetol more than similar amounts of the alkaline metals, Mg</w:t>
      </w:r>
      <w:r w:rsidRPr="00AE34E9">
        <w:rPr>
          <w:vertAlign w:val="superscript"/>
        </w:rPr>
        <w:t>2+</w:t>
      </w:r>
      <w:r>
        <w:t xml:space="preserve"> and Ca</w:t>
      </w:r>
      <w:r w:rsidRPr="00AE34E9">
        <w:rPr>
          <w:vertAlign w:val="superscript"/>
        </w:rPr>
        <w:t>2+</w:t>
      </w:r>
      <w:r>
        <w:t>, though more furfural is produced with increasing concentrations of Mg</w:t>
      </w:r>
      <w:r w:rsidRPr="00AE34E9">
        <w:rPr>
          <w:vertAlign w:val="superscript"/>
        </w:rPr>
        <w:t>2+</w:t>
      </w:r>
      <w:r>
        <w:t xml:space="preserve"> and Ca</w:t>
      </w:r>
      <w:r w:rsidRPr="00AE34E9">
        <w:rPr>
          <w:vertAlign w:val="superscript"/>
        </w:rPr>
        <w:t>2+</w:t>
      </w:r>
      <w:r>
        <w:t>. Additionally, the alkali metals reduce levoglucosan production at very low thresholds. This suggests that Na</w:t>
      </w:r>
      <w:r w:rsidRPr="00AE34E9">
        <w:rPr>
          <w:vertAlign w:val="superscript"/>
        </w:rPr>
        <w:t>+</w:t>
      </w:r>
      <w:r>
        <w:t xml:space="preserve"> and K</w:t>
      </w:r>
      <w:r w:rsidRPr="00AE34E9">
        <w:rPr>
          <w:vertAlign w:val="superscript"/>
        </w:rPr>
        <w:t>+</w:t>
      </w:r>
      <w:r>
        <w:t xml:space="preserve"> ultimately promote cracking reactions, while Mg</w:t>
      </w:r>
      <w:r w:rsidRPr="00AE34E9">
        <w:rPr>
          <w:vertAlign w:val="superscript"/>
        </w:rPr>
        <w:t>2+</w:t>
      </w:r>
      <w:r>
        <w:t xml:space="preserve"> and Ca</w:t>
      </w:r>
      <w:r w:rsidRPr="00AE34E9">
        <w:rPr>
          <w:vertAlign w:val="superscript"/>
        </w:rPr>
        <w:t>2+</w:t>
      </w:r>
      <w:r>
        <w:t xml:space="preserve"> promote dehydration reactions </w:t>
      </w:r>
      <w:r w:rsidR="002B32EC">
        <w:fldChar w:fldCharType="begin"/>
      </w:r>
      <w:r w:rsidR="00807999">
        <w:instrText xml:space="preserve"> ADDIN PAPERS2_CITATIONS &lt;citation&gt;&lt;uuid&gt;C0043817-6A86-43C4-8427-F55DA2212D5D&lt;/uuid&gt;&lt;priority&gt;0&lt;/priority&gt;&lt;publications&gt;&lt;publication&gt;&lt;volume&gt;68-69&lt;/volume&gt;&lt;publication_date&gt;99200308001200000000220000&lt;/publication_date&gt;&lt;doi&gt;10.1016/S0165-2370(03)00065-2&lt;/doi&gt;&lt;startpage&gt;231&lt;/startpage&gt;&lt;title&gt;A comparative kinetic study on the pyrolysis of three different wood species&lt;/title&gt;&lt;uuid&gt;77DDA82E-0983-4838-AF9A-CC99FECABF54&lt;/uuid&gt;&lt;subtype&gt;400&lt;/subtype&gt;&lt;endpage&gt;249&lt;/endpage&gt;&lt;type&gt;400&lt;/type&gt;&lt;url&gt;http://linkinghub.elsevier.com/retrieve/pii/S0165237003000652&lt;/url&gt;&lt;bundle&gt;&lt;publication&gt;&lt;publisher&gt;Elsevier B.V.&lt;/publisher&gt;&lt;title&gt;Journal of Analytical and Applied Pyrolysis&lt;/title&gt;&lt;type&gt;-100&lt;/type&gt;&lt;subtype&gt;-100&lt;/subtype&gt;&lt;uuid&gt;D2B451F2-ABD5-4B2D-92A4-9DB1FFA0C21E&lt;/uuid&gt;&lt;/publication&gt;&lt;/bundle&gt;&lt;authors&gt;&lt;author&gt;&lt;firstName&gt;M&lt;/firstName&gt;&lt;lastName&gt;Müller-Hagedorn&lt;/lastName&gt;&lt;/author&gt;&lt;author&gt;&lt;firstName&gt;H&lt;/firstName&gt;&lt;lastName&gt;Bockhorn&lt;/lastName&gt;&lt;/author&gt;&lt;author&gt;&lt;firstName&gt;L&lt;/firstName&gt;&lt;lastName&gt;Krebs&lt;/lastName&gt;&lt;/author&gt;&lt;author&gt;&lt;firstName&gt;U&lt;/firstName&gt;&lt;lastName&gt;Müller&lt;/lastName&gt;&lt;/author&gt;&lt;/authors&gt;&lt;/publication&gt;&lt;publication&gt;&lt;publication_date&gt;99201000001200000000200000&lt;/publication_date&gt;&lt;doi&gt;10.1016/j.biortech.2010.01.112&lt;/doi&gt;&lt;title&gt;Influence of inorganic salts on the primary pyrolysis products of cellulose&lt;/title&gt;&lt;uuid&gt;A382DFA0-E7F6-4E4A-ABB8-35D75C13878A&lt;/uuid&gt;&lt;subtype&gt;400&lt;/subtype&gt;&lt;type&gt;400&lt;/type&gt;&lt;citekey&gt;Patwardhan:2010ip&lt;/citekey&gt;&lt;url&gt;http://dx.doi.org/10.1016/j.biortech.2010.01.112&lt;/url&gt;&lt;bundle&gt;&lt;publication&gt;&lt;publisher&gt;Elsevier Ltd&lt;/publisher&gt;&lt;title&gt;Bioresource technology&lt;/title&gt;&lt;type&gt;-100&lt;/type&gt;&lt;subtype&gt;-100&lt;/subtype&gt;&lt;uuid&gt;20FABC45-BAD7-4D11-A180-BCA66580D347&lt;/uuid&gt;&lt;/publication&gt;&lt;/bundle&gt;&lt;authors&gt;&lt;author&gt;&lt;firstName&gt;Pushkaraj&lt;/firstName&gt;&lt;middleNames&gt;R&lt;/middleNames&gt;&lt;lastName&gt;Patwardhan&lt;/lastName&gt;&lt;/author&gt;&lt;author&gt;&lt;firstName&gt;J&lt;/firstName&gt;&lt;middleNames&gt;A&lt;/middleNames&gt;&lt;lastName&gt;Satrio&lt;/lastName&gt;&lt;/author&gt;&lt;author&gt;&lt;firstName&gt;Robert&lt;/firstName&gt;&lt;middleNames&gt;C&lt;/middleNames&gt;&lt;lastName&gt;Brown&lt;/lastName&gt;&lt;/author&gt;&lt;/authors&gt;&lt;/publication&gt;&lt;publication&gt;&lt;uuid&gt;2E3BF1E0-B14C-46DB-BCE1-ECE85F6F72B1&lt;/uuid&gt;&lt;volume&gt;104&lt;/volume&gt;&lt;doi&gt;10.1016/j.biortech.2011.10.035&lt;/doi&gt;&lt;startpage&gt;687&lt;/startpage&gt;&lt;publication_date&gt;99201201011200000000222000&lt;/publication_date&gt;&lt;url&gt;http://dx.doi.org/10.1016/j.biortech.2011.10.035&lt;/url&gt;&lt;citekey&gt;Eom:2012hi&lt;/citekey&gt;&lt;type&gt;400&lt;/type&gt;&lt;title&gt;Effect of essential inorganic metals on primary thermal degradation of lignocellulosic biomass&lt;/title&gt;&lt;publisher&gt;Elsevier Ltd&lt;/publisher&gt;&lt;number&gt;C&lt;/number&gt;&lt;subtype&gt;400&lt;/subtype&gt;&lt;endpage&gt;694&lt;/endpage&gt;&lt;bundle&gt;&lt;publication&gt;&lt;publisher&gt;Elsevier Ltd&lt;/publisher&gt;&lt;title&gt;Bioresource technology&lt;/title&gt;&lt;type&gt;-100&lt;/type&gt;&lt;subtype&gt;-100&lt;/subtype&gt;&lt;uuid&gt;20FABC45-BAD7-4D11-A180-BCA66580D347&lt;/uuid&gt;&lt;/publication&gt;&lt;/bundle&gt;&lt;authors&gt;&lt;author&gt;&lt;firstName&gt;In-Yong&lt;/firstName&gt;&lt;lastName&gt;Eom&lt;/lastName&gt;&lt;/author&gt;&lt;author&gt;&lt;firstName&gt;Jae-Young&lt;/firstName&gt;&lt;lastName&gt;Kim&lt;/lastName&gt;&lt;/author&gt;&lt;author&gt;&lt;firstName&gt;Tae-Seung&lt;/firstName&gt;&lt;lastName&gt;Kim&lt;/lastName&gt;&lt;/author&gt;&lt;author&gt;&lt;firstName&gt;Soo&lt;/firstName&gt;&lt;middleNames&gt;Min&lt;/middleNames&gt;&lt;lastName&gt;Lee&lt;/lastName&gt;&lt;/author&gt;&lt;author&gt;&lt;firstName&gt;Donha&lt;/firstName&gt;&lt;lastName&gt;Choi&lt;/lastName&gt;&lt;/author&gt;&lt;author&gt;&lt;firstName&gt;In-Gyu&lt;/firstName&gt;&lt;lastName&gt;Choi&lt;/lastName&gt;&lt;/author&gt;&lt;author&gt;&lt;firstName&gt;Joon-Weon&lt;/firstName&gt;&lt;lastName&gt;Choi&lt;/lastName&gt;&lt;/author&gt;&lt;/authors&gt;&lt;/publication&gt;&lt;/publications&gt;&lt;cites&gt;&lt;/cites&gt;&lt;/citation&gt;</w:instrText>
      </w:r>
      <w:r w:rsidR="002B32EC">
        <w:fldChar w:fldCharType="separate"/>
      </w:r>
      <w:r w:rsidR="001C1AAC">
        <w:t>(</w:t>
      </w:r>
      <w:r w:rsidR="001C1AAC">
        <w:rPr>
          <w:i/>
          <w:iCs/>
        </w:rPr>
        <w:t>89</w:t>
      </w:r>
      <w:r w:rsidR="001C1AAC">
        <w:t xml:space="preserve">, </w:t>
      </w:r>
      <w:r w:rsidR="001C1AAC">
        <w:rPr>
          <w:i/>
          <w:iCs/>
        </w:rPr>
        <w:t>100</w:t>
      </w:r>
      <w:r w:rsidR="001C1AAC">
        <w:t xml:space="preserve">, </w:t>
      </w:r>
      <w:r w:rsidR="001C1AAC">
        <w:rPr>
          <w:i/>
          <w:iCs/>
        </w:rPr>
        <w:t>101</w:t>
      </w:r>
      <w:r w:rsidR="001C1AAC">
        <w:t>)</w:t>
      </w:r>
      <w:r w:rsidR="002B32EC">
        <w:fldChar w:fldCharType="end"/>
      </w:r>
    </w:p>
    <w:p w14:paraId="794951A8" w14:textId="27EABE5A" w:rsidR="00C85EA1" w:rsidRDefault="00C85EA1" w:rsidP="00C85EA1">
      <w:pPr>
        <w:pStyle w:val="Heading3"/>
      </w:pPr>
      <w:bookmarkStart w:id="28" w:name="_Toc449964836"/>
      <w:r>
        <w:t>Model 3: Interactions and linkages between primary components</w:t>
      </w:r>
      <w:bookmarkEnd w:id="28"/>
      <w:r>
        <w:t xml:space="preserve"> </w:t>
      </w:r>
    </w:p>
    <w:p w14:paraId="0CCE960B" w14:textId="1C16BBD3" w:rsidR="00C85EA1" w:rsidRDefault="00C85EA1" w:rsidP="00C85EA1">
      <w:r>
        <w:t>While the first two models address the direct conversion of biopolymer organic components to related bio-oil products and their further reaction catalyzed by biomass inorganics, the third addresses compositional and structural relationships among cell wall components and their impact on the products. Interactions between polysaccharides and lignin have been shown to alter pyrolysis products</w:t>
      </w:r>
      <w:r w:rsidR="004B0D09">
        <w:t xml:space="preserve"> </w:t>
      </w:r>
      <w:r w:rsidR="004B0D09">
        <w:fldChar w:fldCharType="begin"/>
      </w:r>
      <w:r w:rsidR="00807999">
        <w:instrText xml:space="preserve"> ADDIN PAPERS2_CITATIONS &lt;citation&gt;&lt;uuid&gt;F5831A35-1A56-4B20-92E6-717B0F6C9698&lt;/uuid&gt;&lt;priority&gt;0&lt;/priority&gt;&lt;publications&gt;&lt;publication&gt;&lt;uuid&gt;51C35A66-F0F0-4766-A584-0E02C4311BF8&lt;/uuid&gt;&lt;volume&gt;239&lt;/volume&gt;&lt;accepted_date&gt;99201401271200000000222000&lt;/accepted_date&gt;&lt;doi&gt;10.1007/s00425-014-2037-y&lt;/doi&gt;&lt;startpage&gt;1079&lt;/startpage&gt;&lt;publication_date&gt;99201405001200000000220000&lt;/publication_date&gt;&lt;url&gt;http://eutils.ncbi.nlm.nih.gov/entrez/eutils/elink.fcgi?dbfrom=pubmed&amp;amp;id=24531838&amp;amp;retmode=ref&amp;amp;cmd=prlinks&lt;/url&gt;&lt;citekey&gt;Du:2014fi&lt;/citekey&gt;&lt;type&gt;400&lt;/type&gt;&lt;title&gt;Analysis of lignin-carbohydrate and lignin-lignin linkages after hydrolase treatment of xylan-lignin, glucomannan-lignin and glucan-lignin complexes from spruce wood.&lt;/title&gt;&lt;submission_date&gt;99201311181200000000222000&lt;/submission_date&gt;&lt;number&gt;5&lt;/number&gt;&lt;institution&gt;Department of Fibre and Polymer Technology, Royal Institute of Technology, KTH, Teknikringen 56-58, 10044, Stockholm, Sweden.&lt;/institution&gt;&lt;subtype&gt;400&lt;/subtype&gt;&lt;endpage&gt;1090&lt;/endpage&gt;&lt;bundle&gt;&lt;publication&gt;&lt;title&gt;Planta&lt;/title&gt;&lt;type&gt;-100&lt;/type&gt;&lt;subtype&gt;-100&lt;/subtype&gt;&lt;uuid&gt;73D013A8-46B6-4E8C-A80A-E48EDF6129BA&lt;/uuid&gt;&lt;/publication&gt;&lt;/bundle&gt;&lt;authors&gt;&lt;author&gt;&lt;firstName&gt;Xueyu&lt;/firstName&gt;&lt;lastName&gt;Du&lt;/lastName&gt;&lt;/author&gt;&lt;author&gt;&lt;firstName&gt;Marta&lt;/firstName&gt;&lt;lastName&gt;Pérez-Boada&lt;/lastName&gt;&lt;/author&gt;&lt;author&gt;&lt;firstName&gt;Carmen&lt;/firstName&gt;&lt;lastName&gt;Fernández&lt;/lastName&gt;&lt;/author&gt;&lt;author&gt;&lt;firstName&gt;Jorge&lt;/firstName&gt;&lt;lastName&gt;Rencoret&lt;/lastName&gt;&lt;/author&gt;&lt;author&gt;&lt;lastName&gt;Río&lt;/lastName&gt;&lt;nonDroppingParticle&gt;del&lt;/nonDroppingParticle&gt;&lt;firstName&gt;José&lt;/firstName&gt;&lt;middleNames&gt;C&lt;/middleNames&gt;&lt;/author&gt;&lt;author&gt;&lt;firstName&gt;Jesús&lt;/firstName&gt;&lt;lastName&gt;Jiménez-Barbero&lt;/lastName&gt;&lt;/author&gt;&lt;author&gt;&lt;firstName&gt;Jiebing&lt;/firstName&gt;&lt;lastName&gt;Li&lt;/lastName&gt;&lt;/author&gt;&lt;author&gt;&lt;firstName&gt;Ana&lt;/firstName&gt;&lt;lastName&gt;Gutiérrez&lt;/lastName&gt;&lt;/author&gt;&lt;author&gt;&lt;firstName&gt;Angel&lt;/firstName&gt;&lt;middleNames&gt;T&lt;/middleNames&gt;&lt;lastName&gt;Martínez&lt;/lastName&gt;&lt;/author&gt;&lt;/authors&gt;&lt;/publication&gt;&lt;publication&gt;&lt;uuid&gt;8C2ADF41-026D-47AB-854F-669E372CB698&lt;/uuid&gt;&lt;volume&gt;3&lt;/volume&gt;&lt;doi&gt;10.1021/sc500664h&lt;/doi&gt;&lt;startpage&gt;293&lt;/startpage&gt;&lt;publication_date&gt;99201502021200000000222000&lt;/publication_date&gt;&lt;url&gt;http://pubs.acs.org/doi/abs/10.1021/sc500664h&lt;/url&gt;&lt;citekey&gt;Zhang:2015hk&lt;/citekey&gt;&lt;type&gt;400&lt;/type&gt;&lt;title&gt;Cellulose–Hemicellulose and Cellulose–Lignin Interactions during Fast Pyrolysis&lt;/title&gt;&lt;number&gt;2&lt;/number&gt;&lt;subtype&gt;400&lt;/subtype&gt;&lt;endpage&gt;301&lt;/endpage&gt;&lt;bundle&gt;&lt;publication&gt;&lt;title&gt;ACS Sustainable Chemistry &amp;amp; Engineering&lt;/title&gt;&lt;type&gt;-100&lt;/type&gt;&lt;subtype&gt;-100&lt;/subtype&gt;&lt;uuid&gt;61752E7A-637B-4FE6-98F0-DCDDB2AB584A&lt;/uuid&gt;&lt;/publication&gt;&lt;/bundle&gt;&lt;authors&gt;&lt;author&gt;&lt;firstName&gt;Jing&lt;/firstName&gt;&lt;lastName&gt;Zhang&lt;/lastName&gt;&lt;/author&gt;&lt;author&gt;&lt;firstName&gt;Yong&lt;/firstName&gt;&lt;middleNames&gt;S&lt;/middleNames&gt;&lt;lastName&gt;Choi&lt;/lastName&gt;&lt;/author&gt;&lt;author&gt;&lt;firstName&gt;Chang&lt;/firstName&gt;&lt;middleNames&gt;G&lt;/middleNames&gt;&lt;lastName&gt;Yoo&lt;/lastName&gt;&lt;/author&gt;&lt;author&gt;&lt;firstName&gt;Tae&lt;/firstName&gt;&lt;middleNames&gt;H&lt;/middleNames&gt;&lt;lastName&gt;Kim&lt;/lastName&gt;&lt;/author&gt;&lt;author&gt;&lt;firstName&gt;Robert&lt;/firstName&gt;&lt;middleNames&gt;C&lt;/middleNames&gt;&lt;lastName&gt;Brown&lt;/lastName&gt;&lt;/author&gt;&lt;author&gt;&lt;firstName&gt;Brent&lt;/firstName&gt;&lt;middleNames&gt;H&lt;/middleNames&gt;&lt;lastName&gt;Shanks&lt;/lastName&gt;&lt;/author&gt;&lt;/authors&gt;&lt;/publication&gt;&lt;/publications&gt;&lt;cites&gt;&lt;/cites&gt;&lt;/citation&gt;</w:instrText>
      </w:r>
      <w:r w:rsidR="004B0D09">
        <w:fldChar w:fldCharType="separate"/>
      </w:r>
      <w:r w:rsidR="001C1AAC">
        <w:t>(</w:t>
      </w:r>
      <w:r w:rsidR="001C1AAC">
        <w:rPr>
          <w:i/>
          <w:iCs/>
        </w:rPr>
        <w:t>72</w:t>
      </w:r>
      <w:r w:rsidR="001C1AAC">
        <w:t xml:space="preserve">, </w:t>
      </w:r>
      <w:r w:rsidR="001C1AAC">
        <w:rPr>
          <w:i/>
          <w:iCs/>
        </w:rPr>
        <w:t>92</w:t>
      </w:r>
      <w:r w:rsidR="001C1AAC">
        <w:t>)</w:t>
      </w:r>
      <w:r w:rsidR="004B0D09">
        <w:fldChar w:fldCharType="end"/>
      </w:r>
      <w:r w:rsidR="004B0D09">
        <w:t xml:space="preserve">. </w:t>
      </w:r>
      <w:r>
        <w:t>The cellulose-lignin interaction can lead to a decrease in levoglucosan yield and an increase in light (C</w:t>
      </w:r>
      <w:r w:rsidRPr="00F87ED9">
        <w:rPr>
          <w:vertAlign w:val="subscript"/>
        </w:rPr>
        <w:t>1</w:t>
      </w:r>
      <w:r>
        <w:t>-C</w:t>
      </w:r>
      <w:r w:rsidRPr="00F87ED9">
        <w:rPr>
          <w:vertAlign w:val="subscript"/>
        </w:rPr>
        <w:t>3</w:t>
      </w:r>
      <w:r>
        <w:t>) compounds, especially glycoladehyde and furans. Based on the nature of the small products, Zhang et al.</w:t>
      </w:r>
      <w:r w:rsidR="004B0D09">
        <w:t xml:space="preserve"> </w:t>
      </w:r>
      <w:r w:rsidR="004B0D09">
        <w:fldChar w:fldCharType="begin"/>
      </w:r>
      <w:r w:rsidR="00807999">
        <w:instrText xml:space="preserve"> ADDIN PAPERS2_CITATIONS &lt;citation&gt;&lt;uuid&gt;427E0F12-5890-4A05-8EE6-FF858A37E714&lt;/uuid&gt;&lt;priority&gt;0&lt;/priority&gt;&lt;publications&gt;&lt;publication&gt;&lt;uuid&gt;8C2ADF41-026D-47AB-854F-669E372CB698&lt;/uuid&gt;&lt;volume&gt;3&lt;/volume&gt;&lt;doi&gt;10.1021/sc500664h&lt;/doi&gt;&lt;startpage&gt;293&lt;/startpage&gt;&lt;publication_date&gt;99201502021200000000222000&lt;/publication_date&gt;&lt;url&gt;http://pubs.acs.org/doi/abs/10.1021/sc500664h&lt;/url&gt;&lt;citekey&gt;Zhang:2015hk&lt;/citekey&gt;&lt;type&gt;400&lt;/type&gt;&lt;title&gt;Cellulose–Hemicellulose and Cellulose–Lignin Interactions during Fast Pyrolysis&lt;/title&gt;&lt;number&gt;2&lt;/number&gt;&lt;subtype&gt;400&lt;/subtype&gt;&lt;endpage&gt;301&lt;/endpage&gt;&lt;bundle&gt;&lt;publication&gt;&lt;title&gt;ACS Sustainable Chemistry &amp;amp; Engineering&lt;/title&gt;&lt;type&gt;-100&lt;/type&gt;&lt;subtype&gt;-100&lt;/subtype&gt;&lt;uuid&gt;61752E7A-637B-4FE6-98F0-DCDDB2AB584A&lt;/uuid&gt;&lt;/publication&gt;&lt;/bundle&gt;&lt;authors&gt;&lt;author&gt;&lt;firstName&gt;Jing&lt;/firstName&gt;&lt;lastName&gt;Zhang&lt;/lastName&gt;&lt;/author&gt;&lt;author&gt;&lt;firstName&gt;Yong&lt;/firstName&gt;&lt;middleNames&gt;S&lt;/middleNames&gt;&lt;lastName&gt;Choi&lt;/lastName&gt;&lt;/author&gt;&lt;author&gt;&lt;firstName&gt;Chang&lt;/firstName&gt;&lt;middleNames&gt;G&lt;/middleNames&gt;&lt;lastName&gt;Yoo&lt;/lastName&gt;&lt;/author&gt;&lt;author&gt;&lt;firstName&gt;Tae&lt;/firstName&gt;&lt;middleNames&gt;H&lt;/middleNames&gt;&lt;lastName&gt;Kim&lt;/lastName&gt;&lt;/author&gt;&lt;author&gt;&lt;firstName&gt;Robert&lt;/firstName&gt;&lt;middleNames&gt;C&lt;/middleNames&gt;&lt;lastName&gt;Brown&lt;/lastName&gt;&lt;/author&gt;&lt;author&gt;&lt;firstName&gt;Brent&lt;/firstName&gt;&lt;middleNames&gt;H&lt;/middleNames&gt;&lt;lastName&gt;Shanks&lt;/lastName&gt;&lt;/author&gt;&lt;/authors&gt;&lt;/publication&gt;&lt;/publications&gt;&lt;cites&gt;&lt;/cites&gt;&lt;/citation&gt;</w:instrText>
      </w:r>
      <w:r w:rsidR="004B0D09">
        <w:fldChar w:fldCharType="separate"/>
      </w:r>
      <w:r w:rsidR="001C1AAC">
        <w:t>(</w:t>
      </w:r>
      <w:r w:rsidR="001C1AAC">
        <w:rPr>
          <w:i/>
          <w:iCs/>
        </w:rPr>
        <w:t>92</w:t>
      </w:r>
      <w:r w:rsidR="001C1AAC">
        <w:t>)</w:t>
      </w:r>
      <w:r w:rsidR="004B0D09">
        <w:fldChar w:fldCharType="end"/>
      </w:r>
      <w:r>
        <w:t xml:space="preserve"> hypothesized that the cellulose-lignin interaction occupies the C</w:t>
      </w:r>
      <w:r w:rsidRPr="00F87ED9">
        <w:rPr>
          <w:vertAlign w:val="subscript"/>
        </w:rPr>
        <w:t>6</w:t>
      </w:r>
      <w:r>
        <w:t xml:space="preserve"> position, disfavoring glycosidic bond cleavage that is required for the formation of levoglucosan and favoring light compound and furans formation through </w:t>
      </w:r>
      <w:r>
        <w:lastRenderedPageBreak/>
        <w:t>ring scission, rearrangement, and dehydration reactions. The strength of this effect on pyrolysis products is most pronounced in grasses, followed by softwood and then hardwood, possibly due to the increased prevalence of covalent bonds between cellulose and lignin in grass cell walls</w:t>
      </w:r>
      <w:r w:rsidR="001240BB">
        <w:t xml:space="preserve"> </w:t>
      </w:r>
      <w:r w:rsidR="001240BB">
        <w:fldChar w:fldCharType="begin"/>
      </w:r>
      <w:r w:rsidR="00807999">
        <w:instrText xml:space="preserve"> ADDIN PAPERS2_CITATIONS &lt;citation&gt;&lt;uuid&gt;C58AC5CA-1F5E-4F98-AC95-19CF445A0323&lt;/uuid&gt;&lt;priority&gt;0&lt;/priority&gt;&lt;publications&gt;&lt;publication&gt;&lt;uuid&gt;FAA6A1D4-4EC8-415E-A0C9-43F6136C7F87&lt;/uuid&gt;&lt;volume&gt;83&lt;/volume&gt;&lt;doi&gt;10.1002/bip.20533&lt;/doi&gt;&lt;startpage&gt;103&lt;/startpage&gt;&lt;publication_date&gt;99200610051200000000222000&lt;/publication_date&gt;&lt;url&gt;http://onlinelibrary.wiley.com.ezproxy.lib.ou.edu/doi/10.1002/bip.20533/full&lt;/url&gt;&lt;type&gt;400&lt;/type&gt;&lt;title&gt;Covalent linkages between cellulose and lignin in cell walls of coniferous and nonconiferous woods&lt;/title&gt;&lt;publisher&gt;Wiley Subscription Services, Inc., A Wiley Company&lt;/publisher&gt;&lt;number&gt;2&lt;/number&gt;&lt;subtype&gt;400&lt;/subtype&gt;&lt;endpage&gt;110&lt;/endpage&gt;&lt;bundle&gt;&lt;publication&gt;&lt;publisher&gt;Wiley Subscription Services, Inc., A Wiley Company&lt;/publisher&gt;&lt;title&gt;Biopolymers&lt;/title&gt;&lt;type&gt;-100&lt;/type&gt;&lt;subtype&gt;-100&lt;/subtype&gt;&lt;uuid&gt;0827B209-AA42-43FA-8F12-D135BD365076&lt;/uuid&gt;&lt;/publication&gt;&lt;/bundle&gt;&lt;authors&gt;&lt;author&gt;&lt;firstName&gt;Zhenfu&lt;/firstName&gt;&lt;lastName&gt;Jin&lt;/lastName&gt;&lt;/author&gt;&lt;author&gt;&lt;firstName&gt;Kyoko&lt;/firstName&gt;&lt;middleNames&gt;S&lt;/middleNames&gt;&lt;lastName&gt;Katsumata&lt;/lastName&gt;&lt;/author&gt;&lt;author&gt;&lt;firstName&gt;Thi&lt;/firstName&gt;&lt;middleNames&gt;Bach Tuyet&lt;/middleNames&gt;&lt;lastName&gt;Lam&lt;/lastName&gt;&lt;/author&gt;&lt;author&gt;&lt;firstName&gt;Kenji&lt;/firstName&gt;&lt;lastName&gt;Iiyama&lt;/lastName&gt;&lt;/author&gt;&lt;/authors&gt;&lt;/publication&gt;&lt;publication&gt;&lt;volume&gt;71&lt;/volume&gt;&lt;publication_date&gt;99201006001200000000220000&lt;/publication_date&gt;&lt;number&gt;8-9&lt;/number&gt;&lt;doi&gt;10.1016/j.phytochem.2010.03.001&lt;/doi&gt;&lt;startpage&gt;982&lt;/startpage&gt;&lt;title&gt;The use of natural abundance stable isotopic ratios to indicate the presence of oxygen-containing chemical linkages between cellulose and lignin in plant cell walls&lt;/title&gt;&lt;uuid&gt;6FFCCEC8-A97C-4133-9BC7-227A8BE0A1D9&lt;/uuid&gt;&lt;subtype&gt;400&lt;/subtype&gt;&lt;endpage&gt;993&lt;/endpage&gt;&lt;type&gt;400&lt;/type&gt;&lt;url&gt;http://linkinghub.elsevier.com/retrieve/pii/S0031942210000610&lt;/url&gt;&lt;bundle&gt;&lt;publication&gt;&lt;title&gt;Phytochemistry&lt;/title&gt;&lt;type&gt;-100&lt;/type&gt;&lt;subtype&gt;-100&lt;/subtype&gt;&lt;uuid&gt;3E272726-AEAF-4F6F-A6D8-180FD4288897&lt;/uuid&gt;&lt;/publication&gt;&lt;/bundle&gt;&lt;authors&gt;&lt;author&gt;&lt;firstName&gt;Youping&lt;/firstName&gt;&lt;lastName&gt;Zhou&lt;/lastName&gt;&lt;/author&gt;&lt;author&gt;&lt;firstName&gt;Hilary&lt;/firstName&gt;&lt;lastName&gt;Stuart-Williams&lt;/lastName&gt;&lt;/author&gt;&lt;author&gt;&lt;firstName&gt;Graham&lt;/firstName&gt;&lt;middleNames&gt;D&lt;/middleNames&gt;&lt;lastName&gt;Farquhar&lt;/lastName&gt;&lt;/author&gt;&lt;author&gt;&lt;firstName&gt;Charles&lt;/firstName&gt;&lt;middleNames&gt;H&lt;/middleNames&gt;&lt;lastName&gt;Hocart&lt;/lastName&gt;&lt;/author&gt;&lt;/authors&gt;&lt;/publication&gt;&lt;/publications&gt;&lt;cites&gt;&lt;/cites&gt;&lt;/citation&gt;</w:instrText>
      </w:r>
      <w:r w:rsidR="001240BB">
        <w:fldChar w:fldCharType="separate"/>
      </w:r>
      <w:r w:rsidR="001C1AAC">
        <w:t>(</w:t>
      </w:r>
      <w:r w:rsidR="001C1AAC">
        <w:rPr>
          <w:i/>
          <w:iCs/>
        </w:rPr>
        <w:t>102</w:t>
      </w:r>
      <w:r w:rsidR="001C1AAC">
        <w:t xml:space="preserve">, </w:t>
      </w:r>
      <w:r w:rsidR="001C1AAC">
        <w:rPr>
          <w:i/>
          <w:iCs/>
        </w:rPr>
        <w:t>103</w:t>
      </w:r>
      <w:r w:rsidR="001C1AAC">
        <w:t>)</w:t>
      </w:r>
      <w:r w:rsidR="001240BB">
        <w:fldChar w:fldCharType="end"/>
      </w:r>
      <w:r w:rsidR="001240BB">
        <w:t xml:space="preserve">. </w:t>
      </w:r>
      <w:r>
        <w:t>Hemicellulose-lignin interactions, especially the xylan-lignin interacti</w:t>
      </w:r>
      <w:r w:rsidR="001240BB">
        <w:t xml:space="preserve">on revealed in NMR experiments </w:t>
      </w:r>
      <w:r w:rsidR="001240BB">
        <w:fldChar w:fldCharType="begin"/>
      </w:r>
      <w:r w:rsidR="00807999">
        <w:instrText xml:space="preserve"> ADDIN PAPERS2_CITATIONS &lt;citation&gt;&lt;uuid&gt;5F49B6B6-7ADC-4596-8E18-2D99A4B84000&lt;/uuid&gt;&lt;priority&gt;0&lt;/priority&gt;&lt;publications&gt;&lt;publication&gt;&lt;uuid&gt;39A99C10-858D-4DC2-A7E1-B8A282D13187&lt;/uuid&gt;&lt;volume&gt;59&lt;/volume&gt;&lt;doi&gt;10.1021/jf2031549&lt;/doi&gt;&lt;startpage&gt;10604&lt;/startpage&gt;&lt;publication_date&gt;99201110121200000000222000&lt;/publication_date&gt;&lt;url&gt;http://eutils.ncbi.nlm.nih.gov/entrez/eutils/elink.fcgi?dbfrom=pubmed&amp;amp;id=21879769&amp;amp;retmode=ref&amp;amp;cmd=prlinks&lt;/url&gt;&lt;type&gt;400&lt;/type&gt;&lt;title&gt;Characterization of lignin structures and lignin-carbohydrate complex (LCC) linkages by quantitative 13C and 2D HSQC NMR spectroscopy.&lt;/title&gt;&lt;institution&gt;Institute of Biomass Chemistry and Technology, Beijing Forestry University , Beijing, China.&lt;/institution&gt;&lt;number&gt;19&lt;/number&gt;&lt;subtype&gt;400&lt;/subtype&gt;&lt;endpage&gt;10614&lt;/endpage&gt;&lt;bundle&gt;&lt;publication&gt;&lt;title&gt;Journal of agricultural and food chemistry&lt;/title&gt;&lt;type&gt;-100&lt;/type&gt;&lt;subtype&gt;-100&lt;/subtype&gt;&lt;uuid&gt;79D9744C-A749-4DAD-BBCF-DFFD654CDEDA&lt;/uuid&gt;&lt;/publication&gt;&lt;/bundle&gt;&lt;authors&gt;&lt;author&gt;&lt;firstName&gt;Tong-Qi&lt;/firstName&gt;&lt;lastName&gt;Yuan&lt;/lastName&gt;&lt;/author&gt;&lt;author&gt;&lt;firstName&gt;Shao-Ni&lt;/firstName&gt;&lt;lastName&gt;Sun&lt;/lastName&gt;&lt;/author&gt;&lt;author&gt;&lt;firstName&gt;Feng&lt;/firstName&gt;&lt;lastName&gt;Xu&lt;/lastName&gt;&lt;/author&gt;&lt;author&gt;&lt;firstName&gt;Run-Cang&lt;/firstName&gt;&lt;lastName&gt;Sun&lt;/lastName&gt;&lt;/author&gt;&lt;/authors&gt;&lt;/publication&gt;&lt;/publications&gt;&lt;cites&gt;&lt;/cites&gt;&lt;/citation&gt;</w:instrText>
      </w:r>
      <w:r w:rsidR="001240BB">
        <w:fldChar w:fldCharType="separate"/>
      </w:r>
      <w:r w:rsidR="001C1AAC">
        <w:t>(</w:t>
      </w:r>
      <w:r w:rsidR="001C1AAC">
        <w:rPr>
          <w:i/>
          <w:iCs/>
        </w:rPr>
        <w:t>71</w:t>
      </w:r>
      <w:r w:rsidR="001C1AAC">
        <w:t>)</w:t>
      </w:r>
      <w:r w:rsidR="001240BB">
        <w:fldChar w:fldCharType="end"/>
      </w:r>
      <w:r>
        <w:t>, may also affect pyrolysis. Indeed, enzymatic removal of hemicelluloses from lignin-carbohydrate complexes incr</w:t>
      </w:r>
      <w:r w:rsidR="001240BB">
        <w:t xml:space="preserve">eased coniferyl alcohol yields </w:t>
      </w:r>
      <w:r w:rsidR="001240BB">
        <w:fldChar w:fldCharType="begin"/>
      </w:r>
      <w:r w:rsidR="00807999">
        <w:instrText xml:space="preserve"> ADDIN PAPERS2_CITATIONS &lt;citation&gt;&lt;uuid&gt;25080A85-49C2-49C1-A6AA-8726F7605CD1&lt;/uuid&gt;&lt;priority&gt;0&lt;/priority&gt;&lt;publications&gt;&lt;publication&gt;&lt;uuid&gt;51C35A66-F0F0-4766-A584-0E02C4311BF8&lt;/uuid&gt;&lt;volume&gt;239&lt;/volume&gt;&lt;accepted_date&gt;99201401271200000000222000&lt;/accepted_date&gt;&lt;doi&gt;10.1007/s00425-014-2037-y&lt;/doi&gt;&lt;startpage&gt;1079&lt;/startpage&gt;&lt;publication_date&gt;99201405001200000000220000&lt;/publication_date&gt;&lt;url&gt;http://eutils.ncbi.nlm.nih.gov/entrez/eutils/elink.fcgi?dbfrom=pubmed&amp;amp;id=24531838&amp;amp;retmode=ref&amp;amp;cmd=prlinks&lt;/url&gt;&lt;citekey&gt;Du:2014fi&lt;/citekey&gt;&lt;type&gt;400&lt;/type&gt;&lt;title&gt;Analysis of lignin-carbohydrate and lignin-lignin linkages after hydrolase treatment of xylan-lignin, glucomannan-lignin and glucan-lignin complexes from spruce wood.&lt;/title&gt;&lt;submission_date&gt;99201311181200000000222000&lt;/submission_date&gt;&lt;number&gt;5&lt;/number&gt;&lt;institution&gt;Department of Fibre and Polymer Technology, Royal Institute of Technology, KTH, Teknikringen 56-58, 10044, Stockholm, Sweden.&lt;/institution&gt;&lt;subtype&gt;400&lt;/subtype&gt;&lt;endpage&gt;1090&lt;/endpage&gt;&lt;bundle&gt;&lt;publication&gt;&lt;title&gt;Planta&lt;/title&gt;&lt;type&gt;-100&lt;/type&gt;&lt;subtype&gt;-100&lt;/subtype&gt;&lt;uuid&gt;73D013A8-46B6-4E8C-A80A-E48EDF6129BA&lt;/uuid&gt;&lt;/publication&gt;&lt;/bundle&gt;&lt;authors&gt;&lt;author&gt;&lt;firstName&gt;Xueyu&lt;/firstName&gt;&lt;lastName&gt;Du&lt;/lastName&gt;&lt;/author&gt;&lt;author&gt;&lt;firstName&gt;Marta&lt;/firstName&gt;&lt;lastName&gt;Pérez-Boada&lt;/lastName&gt;&lt;/author&gt;&lt;author&gt;&lt;firstName&gt;Carmen&lt;/firstName&gt;&lt;lastName&gt;Fernández&lt;/lastName&gt;&lt;/author&gt;&lt;author&gt;&lt;firstName&gt;Jorge&lt;/firstName&gt;&lt;lastName&gt;Rencoret&lt;/lastName&gt;&lt;/author&gt;&lt;author&gt;&lt;lastName&gt;Río&lt;/lastName&gt;&lt;nonDroppingParticle&gt;del&lt;/nonDroppingParticle&gt;&lt;firstName&gt;José&lt;/firstName&gt;&lt;middleNames&gt;C&lt;/middleNames&gt;&lt;/author&gt;&lt;author&gt;&lt;firstName&gt;Jesús&lt;/firstName&gt;&lt;lastName&gt;Jiménez-Barbero&lt;/lastName&gt;&lt;/author&gt;&lt;author&gt;&lt;firstName&gt;Jiebing&lt;/firstName&gt;&lt;lastName&gt;Li&lt;/lastName&gt;&lt;/author&gt;&lt;author&gt;&lt;firstName&gt;Ana&lt;/firstName&gt;&lt;lastName&gt;Gutiérrez&lt;/lastName&gt;&lt;/author&gt;&lt;author&gt;&lt;firstName&gt;Angel&lt;/firstName&gt;&lt;middleNames&gt;T&lt;/middleNames&gt;&lt;lastName&gt;Martínez&lt;/lastName&gt;&lt;/author&gt;&lt;/authors&gt;&lt;/publication&gt;&lt;/publications&gt;&lt;cites&gt;&lt;/cites&gt;&lt;/citation&gt;</w:instrText>
      </w:r>
      <w:r w:rsidR="001240BB">
        <w:fldChar w:fldCharType="separate"/>
      </w:r>
      <w:r w:rsidR="001C1AAC">
        <w:t>(</w:t>
      </w:r>
      <w:r w:rsidR="001C1AAC">
        <w:rPr>
          <w:i/>
          <w:iCs/>
        </w:rPr>
        <w:t>72</w:t>
      </w:r>
      <w:r w:rsidR="001C1AAC">
        <w:t>)</w:t>
      </w:r>
      <w:r w:rsidR="001240BB">
        <w:fldChar w:fldCharType="end"/>
      </w:r>
      <w:r w:rsidR="001240BB">
        <w:t>.</w:t>
      </w:r>
    </w:p>
    <w:p w14:paraId="6C5EC8C9" w14:textId="738676EE" w:rsidR="00C85EA1" w:rsidRDefault="00C85EA1" w:rsidP="00C85EA1">
      <w:r>
        <w:t xml:space="preserve">An example of a compositional feature that may impact product distribution is the degree of acetylation of the biopolymers. As mentioned, acetyl groups decorate hemicellulose side-chains, and acetyl groups are also present in the lignin. The increased abundance of these groups in biomass correlates with increasing yields of acetic acid, methyl pyruvate, acetone, and furan; additionally, this acetylation correlates with decreasing yields of furfural and acetaldehyde </w:t>
      </w:r>
      <w:r w:rsidR="001240BB">
        <w:fldChar w:fldCharType="begin"/>
      </w:r>
      <w:r w:rsidR="00807999">
        <w:instrText xml:space="preserve"> ADDIN PAPERS2_CITATIONS &lt;citation&gt;&lt;uuid&gt;7CEF5AC7-2273-4667-A3FE-4EBA64F59AE9&lt;/uuid&gt;&lt;priority&gt;0&lt;/priority&gt;&lt;publications&gt;&lt;publication&gt;&lt;uuid&gt;1B122CE6-4B7F-4099-875D-23E128953AA8&lt;/uuid&gt;&lt;volume&gt;25&lt;/volume&gt;&lt;doi&gt;10.1016/S0008-6215(00)82742-1&lt;/doi&gt;&lt;startpage&gt;23&lt;/startpage&gt;&lt;publication_date&gt;99197200001200000000200000&lt;/publication_date&gt;&lt;url&gt;http://linkinghub.elsevier.com/retrieve/pii/S0008621500827421&lt;/url&gt;&lt;citekey&gt;Shafizadeh:1972ju&lt;/citekey&gt;&lt;type&gt;400&lt;/type&gt;&lt;title&gt;Thermal degradation of xylan and related model compounds&lt;/title&gt;&lt;number&gt;1&lt;/number&gt;&lt;subtype&gt;400&lt;/subtype&gt;&lt;endpage&gt;33&lt;/endpage&gt;&lt;bundle&gt;&lt;publication&gt;&lt;title&gt;Carbohydrate Research&lt;/title&gt;&lt;type&gt;-100&lt;/type&gt;&lt;subtype&gt;-100&lt;/subtype&gt;&lt;uuid&gt;BE27CC05-2234-4BA6-9D53-46C42A7F4DE7&lt;/uuid&gt;&lt;/publication&gt;&lt;/bundle&gt;&lt;authors&gt;&lt;author&gt;&lt;firstName&gt;F&lt;/firstName&gt;&lt;lastName&gt;Shafizadeh&lt;/lastName&gt;&lt;/author&gt;&lt;author&gt;&lt;firstName&gt;G&lt;/firstName&gt;&lt;middleNames&gt;D&lt;/middleNames&gt;&lt;lastName&gt;McGinnis&lt;/lastName&gt;&lt;/author&gt;&lt;author&gt;&lt;firstName&gt;C&lt;/firstName&gt;&lt;middleNames&gt;W&lt;/middleNames&gt;&lt;lastName&gt;Philpot&lt;/lastName&gt;&lt;/author&gt;&lt;/authors&gt;&lt;/publication&gt;&lt;publication&gt;&lt;volume&gt;108&lt;/volume&gt;&lt;publication_date&gt;99201400001200000000200000&lt;/publication_date&gt;&lt;number&gt;0&lt;/number&gt;&lt;doi&gt;10.1016/j.jaap.2014.05.016&lt;/doi&gt;&lt;startpage&gt;56&lt;/startpage&gt;&lt;title&gt;A comprehensive study on relating cell-wall components of lignocellulosic biomass to oxygenated species formed during pyrolysis&lt;/title&gt;&lt;uuid&gt;744F3684-1A30-4031-9134-7DB214681886&lt;/uuid&gt;&lt;subtype&gt;400&lt;/subtype&gt;&lt;endpage&gt;67&lt;/endpage&gt;&lt;type&gt;400&lt;/type&gt;&lt;url&gt;http://www.sciencedirect.com/science/article/pii/S0165237014001223&lt;/url&gt;&lt;bundle&gt;&lt;publication&gt;&lt;publisher&gt;Elsevier B.V.&lt;/publisher&gt;&lt;title&gt;Journal of Analytical and Applied Pyrolysis&lt;/title&gt;&lt;type&gt;-100&lt;/type&gt;&lt;subtype&gt;-100&lt;/subtype&gt;&lt;uuid&gt;D2B451F2-ABD5-4B2D-92A4-9DB1FFA0C21E&lt;/uuid&gt;&lt;/publication&gt;&lt;/bundle&gt;&lt;authors&gt;&lt;author&gt;&lt;firstName&gt;Ofei&lt;/firstName&gt;&lt;middleNames&gt;D&lt;/middleNames&gt;&lt;lastName&gt;Mante&lt;/lastName&gt;&lt;/author&gt;&lt;author&gt;&lt;firstName&gt;Suresh&lt;/firstName&gt;&lt;middleNames&gt;P&lt;/middleNames&gt;&lt;lastName&gt;Babu&lt;/lastName&gt;&lt;/author&gt;&lt;author&gt;&lt;firstName&gt;Thomas&lt;/firstName&gt;&lt;middleNames&gt;E&lt;/middleNames&gt;&lt;lastName&gt;Amidon&lt;/lastName&gt;&lt;/author&gt;&lt;/authors&gt;&lt;/publication&gt;&lt;/publications&gt;&lt;cites&gt;&lt;/cites&gt;&lt;/citation&gt;</w:instrText>
      </w:r>
      <w:r w:rsidR="001240BB">
        <w:fldChar w:fldCharType="separate"/>
      </w:r>
      <w:r w:rsidR="001C1AAC">
        <w:t>(</w:t>
      </w:r>
      <w:r w:rsidR="001C1AAC">
        <w:rPr>
          <w:i/>
          <w:iCs/>
        </w:rPr>
        <w:t>47</w:t>
      </w:r>
      <w:r w:rsidR="001C1AAC">
        <w:t xml:space="preserve">, </w:t>
      </w:r>
      <w:r w:rsidR="001C1AAC">
        <w:rPr>
          <w:i/>
          <w:iCs/>
        </w:rPr>
        <w:t>104</w:t>
      </w:r>
      <w:r w:rsidR="001C1AAC">
        <w:t>)</w:t>
      </w:r>
      <w:r w:rsidR="001240BB">
        <w:fldChar w:fldCharType="end"/>
      </w:r>
      <w:r w:rsidR="001240BB">
        <w:t xml:space="preserve">. </w:t>
      </w:r>
      <w:r>
        <w:t>While the acetic acid and perhaps the methyl pyruvate can be explained by the direct production of these compounds upon pyrolytic decomposition (model 1), the nature of the relationship between acetate and the furanic and other 4-carbon species has not been clearly defined.  The production of the 4-carbon species may be due to an indirect effect (model 3) or may be the result of catalytic reaction of acetate with itself (model 2). </w:t>
      </w:r>
    </w:p>
    <w:p w14:paraId="0B49A7FB" w14:textId="20926934" w:rsidR="00C85EA1" w:rsidRDefault="00C85EA1" w:rsidP="00C85EA1">
      <w:r>
        <w:t>Several investigations</w:t>
      </w:r>
      <w:r w:rsidR="001240BB">
        <w:t xml:space="preserve"> </w:t>
      </w:r>
      <w:r w:rsidR="001240BB">
        <w:fldChar w:fldCharType="begin"/>
      </w:r>
      <w:r w:rsidR="00807999">
        <w:instrText xml:space="preserve"> ADDIN PAPERS2_CITATIONS &lt;citation&gt;&lt;uuid&gt;CC9884E6-6EF9-4131-A393-66C88152D932&lt;/uuid&gt;&lt;priority&gt;0&lt;/priority&gt;&lt;publications&gt;&lt;publication&gt;&lt;uuid&gt;4DE21D38-E34B-4255-943B-025C003F6A4B&lt;/uuid&gt;&lt;volume&gt;46&lt;/volume&gt;&lt;doi&gt;10.1021/ie070684k&lt;/doi&gt;&lt;startpage&gt;9238&lt;/startpage&gt;&lt;publication_date&gt;99200712001200000000220000&lt;/publication_date&gt;&lt;url&gt;http://pubs.acs.org/doi/abs/10.1021/ie070684k&lt;/url&gt;&lt;citekey&gt;Westerhof:2007bj&lt;/citekey&gt;&lt;type&gt;400&lt;/type&gt;&lt;title&gt;Controlling the Water Content of Biomass Fast Pyrolysis Oil&lt;/title&gt;&lt;number&gt;26&lt;/number&gt;&lt;subtype&gt;400&lt;/subtype&gt;&lt;endpage&gt;9247&lt;/endpage&gt;&lt;bundle&gt;&lt;publication&gt;&lt;publisher&gt;&lt;/publisher&gt;&lt;title&gt;Industrial &amp;amp; Engineering Chemistry Research&lt;/title&gt;&lt;type&gt;-100&lt;/type&gt;&lt;subtype&gt;-100&lt;/subtype&gt;&lt;uuid&gt;3EB2AD93-F0E9-43F2-A1C5-49893E3B73E3&lt;/uuid&gt;&lt;/publication&gt;&lt;/bundle&gt;&lt;authors&gt;&lt;author&gt;&lt;firstName&gt;Roel&lt;/firstName&gt;&lt;middleNames&gt;J M&lt;/middleNames&gt;&lt;lastName&gt;Westerhof&lt;/lastName&gt;&lt;/author&gt;&lt;author&gt;&lt;firstName&gt;Norbert&lt;/firstName&gt;&lt;middleNames&gt;J M&lt;/middleNames&gt;&lt;lastName&gt;Kuipers&lt;/lastName&gt;&lt;/author&gt;&lt;author&gt;&lt;firstName&gt;Sascha&lt;/firstName&gt;&lt;middleNames&gt;R A&lt;/middleNames&gt;&lt;lastName&gt;Kersten&lt;/lastName&gt;&lt;/author&gt;&lt;author&gt;&lt;lastName&gt;Swaaij&lt;/lastName&gt;&lt;nonDroppingParticle&gt;van&lt;/nonDroppingParticle&gt;&lt;firstName&gt;Wim&lt;/firstName&gt;&lt;middleNames&gt;P M&lt;/middleNames&gt;&lt;/author&gt;&lt;/authors&gt;&lt;/publication&gt;&lt;publication&gt;&lt;uuid&gt;509BE3E0-133B-46B6-B0FB-E2B7D36BFA2E&lt;/uuid&gt;&lt;volume&gt;100&lt;/volume&gt;&lt;doi&gt;10.1016/j.biortech.2009.02.069&lt;/doi&gt;&lt;startpage&gt;5305&lt;/startpage&gt;&lt;publication_date&gt;99200911011200000000222000&lt;/publication_date&gt;&lt;url&gt;http://dx.doi.org/10.1016/j.biortech.2009.02.069&lt;/url&gt;&lt;citekey&gt;He:2009ix&lt;/citekey&gt;&lt;type&gt;400&lt;/type&gt;&lt;title&gt;Influence of pyrolysis condition on switchgrass bio-oil yield and physicochemical properties&lt;/title&gt;&lt;publisher&gt;Elsevier Ltd&lt;/publisher&gt;&lt;number&gt;21&lt;/number&gt;&lt;subtype&gt;400&lt;/subtype&gt;&lt;endpage&gt;5311&lt;/endpage&gt;&lt;bundle&gt;&lt;publication&gt;&lt;publisher&gt;Elsevier Ltd&lt;/publisher&gt;&lt;title&gt;Bioresource technology&lt;/title&gt;&lt;type&gt;-100&lt;/type&gt;&lt;subtype&gt;-100&lt;/subtype&gt;&lt;uuid&gt;20FABC45-BAD7-4D11-A180-BCA66580D347&lt;/uuid&gt;&lt;/publication&gt;&lt;/bundle&gt;&lt;authors&gt;&lt;author&gt;&lt;firstName&gt;Ronghai&lt;/firstName&gt;&lt;lastName&gt;He&lt;/lastName&gt;&lt;/author&gt;&lt;author&gt;&lt;firstName&gt;X&lt;/firstName&gt;&lt;middleNames&gt;Philip&lt;/middleNames&gt;&lt;lastName&gt;Ye&lt;/lastName&gt;&lt;/author&gt;&lt;author&gt;&lt;firstName&gt;Burton&lt;/firstName&gt;&lt;middleNames&gt;C&lt;/middleNames&gt;&lt;lastName&gt;English&lt;/lastName&gt;&lt;/author&gt;&lt;author&gt;&lt;firstName&gt;Justinus&lt;/firstName&gt;&lt;middleNames&gt;a&lt;/middleNames&gt;&lt;lastName&gt;Satrio&lt;/lastName&gt;&lt;/author&gt;&lt;/authors&gt;&lt;/publication&gt;&lt;publication&gt;&lt;volume&gt;107&lt;/volume&gt;&lt;publication_date&gt;99201305011200000000222000&lt;/publication_date&gt;&lt;number&gt;C&lt;/number&gt;&lt;doi&gt;10.1016/j.fuel.2013.01.033&lt;/doi&gt;&lt;startpage&gt;836&lt;/startpage&gt;&lt;title&gt;Effect of feedstock water content and pyrolysis temperature on the structure and reactivity of spruce wood char produced in fixed bed pyrolysis&lt;/title&gt;&lt;uuid&gt;D3584C6F-D7F9-4C9D-A549-963DEA8A27C8&lt;/uuid&gt;&lt;subtype&gt;400&lt;/subtype&gt;&lt;endpage&gt;847&lt;/endpage&gt;&lt;type&gt;400&lt;/type&gt;&lt;url&gt;http://dx.doi.org/10.1016/j.fuel.2013.01.033&lt;/url&gt;&lt;bundle&gt;&lt;publication&gt;&lt;publisher&gt;Elsevier Ltd&lt;/publisher&gt;&lt;title&gt;Fuel&lt;/title&gt;&lt;type&gt;-100&lt;/type&gt;&lt;subtype&gt;-100&lt;/subtype&gt;&lt;uuid&gt;E286CABA-D6F1-4A09-A385-6AFE55FAD8F4&lt;/uuid&gt;&lt;/publication&gt;&lt;/bundle&gt;&lt;authors&gt;&lt;author&gt;&lt;firstName&gt;Luisa&lt;/firstName&gt;&lt;lastName&gt;Burhenne&lt;/lastName&gt;&lt;/author&gt;&lt;author&gt;&lt;firstName&gt;Marco&lt;/firstName&gt;&lt;lastName&gt;Damiani&lt;/lastName&gt;&lt;/author&gt;&lt;author&gt;&lt;firstName&gt;Thomas&lt;/firstName&gt;&lt;lastName&gt;Aicher&lt;/lastName&gt;&lt;/author&gt;&lt;/authors&gt;&lt;/publication&gt;&lt;/publications&gt;&lt;cites&gt;&lt;/cites&gt;&lt;/citation&gt;</w:instrText>
      </w:r>
      <w:r w:rsidR="001240BB">
        <w:fldChar w:fldCharType="separate"/>
      </w:r>
      <w:r w:rsidR="001C1AAC">
        <w:t>(</w:t>
      </w:r>
      <w:r w:rsidR="001C1AAC">
        <w:rPr>
          <w:i/>
          <w:iCs/>
        </w:rPr>
        <w:t>94</w:t>
      </w:r>
      <w:r w:rsidR="001C1AAC">
        <w:t>-</w:t>
      </w:r>
      <w:r w:rsidR="001C1AAC">
        <w:rPr>
          <w:i/>
          <w:iCs/>
        </w:rPr>
        <w:t>96</w:t>
      </w:r>
      <w:r w:rsidR="001C1AAC">
        <w:t>)</w:t>
      </w:r>
      <w:r w:rsidR="001240BB">
        <w:fldChar w:fldCharType="end"/>
      </w:r>
      <w:r w:rsidR="001240BB">
        <w:t xml:space="preserve"> </w:t>
      </w:r>
      <w:r>
        <w:t xml:space="preserve">suggest that feedstock moisture content can also play a role in the yield and product distribution of the organic fraction of the bio-oil. As previously discussed, the presence of water in bio-oil prohibits its direct use and creates challenges to catalytic valorization. For these reasons biomass is typically subjected to drying prior to pyrolysis, which both reduces the required energy of the pyrolysis step </w:t>
      </w:r>
      <w:r>
        <w:lastRenderedPageBreak/>
        <w:t xml:space="preserve">and limits the water in the liquid condensate to water produced by decomposition reactions. However, the degree to which the feedstock moisture content should be eliminated is still under investigation. Burhenne et al. </w:t>
      </w:r>
      <w:r w:rsidR="001240BB">
        <w:fldChar w:fldCharType="begin"/>
      </w:r>
      <w:r w:rsidR="00807999">
        <w:instrText xml:space="preserve"> ADDIN PAPERS2_CITATIONS &lt;citation&gt;&lt;uuid&gt;F15748E8-FD10-4049-9199-D5146A367263&lt;/uuid&gt;&lt;priority&gt;0&lt;/priority&gt;&lt;publications&gt;&lt;publication&gt;&lt;volume&gt;107&lt;/volume&gt;&lt;publication_date&gt;99201305011200000000222000&lt;/publication_date&gt;&lt;number&gt;C&lt;/number&gt;&lt;doi&gt;10.1016/j.fuel.2013.01.033&lt;/doi&gt;&lt;startpage&gt;836&lt;/startpage&gt;&lt;title&gt;Effect of feedstock water content and pyrolysis temperature on the structure and reactivity of spruce wood char produced in fixed bed pyrolysis&lt;/title&gt;&lt;uuid&gt;D3584C6F-D7F9-4C9D-A549-963DEA8A27C8&lt;/uuid&gt;&lt;subtype&gt;400&lt;/subtype&gt;&lt;endpage&gt;847&lt;/endpage&gt;&lt;type&gt;400&lt;/type&gt;&lt;url&gt;http://dx.doi.org/10.1016/j.fuel.2013.01.033&lt;/url&gt;&lt;bundle&gt;&lt;publication&gt;&lt;publisher&gt;Elsevier Ltd&lt;/publisher&gt;&lt;title&gt;Fuel&lt;/title&gt;&lt;type&gt;-100&lt;/type&gt;&lt;subtype&gt;-100&lt;/subtype&gt;&lt;uuid&gt;E286CABA-D6F1-4A09-A385-6AFE55FAD8F4&lt;/uuid&gt;&lt;/publication&gt;&lt;/bundle&gt;&lt;authors&gt;&lt;author&gt;&lt;firstName&gt;Luisa&lt;/firstName&gt;&lt;lastName&gt;Burhenne&lt;/lastName&gt;&lt;/author&gt;&lt;author&gt;&lt;firstName&gt;Marco&lt;/firstName&gt;&lt;lastName&gt;Damiani&lt;/lastName&gt;&lt;/author&gt;&lt;author&gt;&lt;firstName&gt;Thomas&lt;/firstName&gt;&lt;lastName&gt;Aicher&lt;/lastName&gt;&lt;/author&gt;&lt;/authors&gt;&lt;/publication&gt;&lt;/publications&gt;&lt;cites&gt;&lt;/cites&gt;&lt;/citation&gt;</w:instrText>
      </w:r>
      <w:r w:rsidR="001240BB">
        <w:fldChar w:fldCharType="separate"/>
      </w:r>
      <w:r w:rsidR="001C1AAC">
        <w:t>(</w:t>
      </w:r>
      <w:r w:rsidR="001C1AAC">
        <w:rPr>
          <w:i/>
          <w:iCs/>
        </w:rPr>
        <w:t>95</w:t>
      </w:r>
      <w:r w:rsidR="001C1AAC">
        <w:t>)</w:t>
      </w:r>
      <w:r w:rsidR="001240BB">
        <w:fldChar w:fldCharType="end"/>
      </w:r>
      <w:r w:rsidR="001240BB">
        <w:t xml:space="preserve"> </w:t>
      </w:r>
      <w:r>
        <w:t>found that higher feedstock moisture content led to slightly lower char &amp; gas yields upon pyrolysis with minimal changes to the ele</w:t>
      </w:r>
      <w:r w:rsidR="001240BB">
        <w:t xml:space="preserve">mental composition of the char. </w:t>
      </w:r>
      <w:r>
        <w:t>However, this is in disagreement with Westerhof et al.</w:t>
      </w:r>
      <w:r w:rsidR="00576ADD">
        <w:t xml:space="preserve"> </w:t>
      </w:r>
      <w:r w:rsidR="001240BB">
        <w:fldChar w:fldCharType="begin"/>
      </w:r>
      <w:r w:rsidR="00807999">
        <w:instrText xml:space="preserve"> ADDIN PAPERS2_CITATIONS &lt;citation&gt;&lt;uuid&gt;03700EDC-FA65-49B0-804B-9AE52138D452&lt;/uuid&gt;&lt;priority&gt;0&lt;/priority&gt;&lt;publications&gt;&lt;publication&gt;&lt;uuid&gt;4DE21D38-E34B-4255-943B-025C003F6A4B&lt;/uuid&gt;&lt;volume&gt;46&lt;/volume&gt;&lt;doi&gt;10.1021/ie070684k&lt;/doi&gt;&lt;startpage&gt;9238&lt;/startpage&gt;&lt;publication_date&gt;99200712001200000000220000&lt;/publication_date&gt;&lt;url&gt;http://pubs.acs.org/doi/abs/10.1021/ie070684k&lt;/url&gt;&lt;citekey&gt;Westerhof:2007bj&lt;/citekey&gt;&lt;type&gt;400&lt;/type&gt;&lt;title&gt;Controlling the Water Content of Biomass Fast Pyrolysis Oil&lt;/title&gt;&lt;number&gt;26&lt;/number&gt;&lt;subtype&gt;400&lt;/subtype&gt;&lt;endpage&gt;9247&lt;/endpage&gt;&lt;bundle&gt;&lt;publication&gt;&lt;publisher&gt;&lt;/publisher&gt;&lt;title&gt;Industrial &amp;amp; Engineering Chemistry Research&lt;/title&gt;&lt;type&gt;-100&lt;/type&gt;&lt;subtype&gt;-100&lt;/subtype&gt;&lt;uuid&gt;3EB2AD93-F0E9-43F2-A1C5-49893E3B73E3&lt;/uuid&gt;&lt;/publication&gt;&lt;/bundle&gt;&lt;authors&gt;&lt;author&gt;&lt;firstName&gt;Roel&lt;/firstName&gt;&lt;middleNames&gt;J M&lt;/middleNames&gt;&lt;lastName&gt;Westerhof&lt;/lastName&gt;&lt;/author&gt;&lt;author&gt;&lt;firstName&gt;Norbert&lt;/firstName&gt;&lt;middleNames&gt;J M&lt;/middleNames&gt;&lt;lastName&gt;Kuipers&lt;/lastName&gt;&lt;/author&gt;&lt;author&gt;&lt;firstName&gt;Sascha&lt;/firstName&gt;&lt;middleNames&gt;R A&lt;/middleNames&gt;&lt;lastName&gt;Kersten&lt;/lastName&gt;&lt;/author&gt;&lt;author&gt;&lt;lastName&gt;Swaaij&lt;/lastName&gt;&lt;nonDroppingParticle&gt;van&lt;/nonDroppingParticle&gt;&lt;firstName&gt;Wim&lt;/firstName&gt;&lt;middleNames&gt;P M&lt;/middleNames&gt;&lt;/author&gt;&lt;/authors&gt;&lt;/publication&gt;&lt;/publications&gt;&lt;cites&gt;&lt;/cites&gt;&lt;/citation&gt;</w:instrText>
      </w:r>
      <w:r w:rsidR="001240BB">
        <w:fldChar w:fldCharType="separate"/>
      </w:r>
      <w:r w:rsidR="001C1AAC">
        <w:t>(</w:t>
      </w:r>
      <w:r w:rsidR="001C1AAC">
        <w:rPr>
          <w:i/>
          <w:iCs/>
        </w:rPr>
        <w:t>94</w:t>
      </w:r>
      <w:r w:rsidR="001C1AAC">
        <w:t>)</w:t>
      </w:r>
      <w:r w:rsidR="001240BB">
        <w:fldChar w:fldCharType="end"/>
      </w:r>
      <w:r>
        <w:t>, who observed slightly higher char yields wi</w:t>
      </w:r>
      <w:r w:rsidR="001240BB">
        <w:t xml:space="preserve">th increasing moisture content. </w:t>
      </w:r>
      <w:r>
        <w:t xml:space="preserve">The water weight fraction distribution of the feedstocks in the two studies were quite different, 2.4% - 55.4% in Burhenne et al. versus 0% - 20% in Westerhof et al. Beyond impacts to the yields, He et al. </w:t>
      </w:r>
      <w:r w:rsidR="001240BB">
        <w:fldChar w:fldCharType="begin"/>
      </w:r>
      <w:r w:rsidR="00807999">
        <w:instrText xml:space="preserve"> ADDIN PAPERS2_CITATIONS &lt;citation&gt;&lt;uuid&gt;D1C6F18A-8D77-466D-8EF6-F9A05C7FBB1C&lt;/uuid&gt;&lt;priority&gt;0&lt;/priority&gt;&lt;publications&gt;&lt;publication&gt;&lt;uuid&gt;509BE3E0-133B-46B6-B0FB-E2B7D36BFA2E&lt;/uuid&gt;&lt;volume&gt;100&lt;/volume&gt;&lt;doi&gt;10.1016/j.biortech.2009.02.069&lt;/doi&gt;&lt;startpage&gt;5305&lt;/startpage&gt;&lt;publication_date&gt;99200911011200000000222000&lt;/publication_date&gt;&lt;url&gt;http://dx.doi.org/10.1016/j.biortech.2009.02.069&lt;/url&gt;&lt;citekey&gt;He:2009ix&lt;/citekey&gt;&lt;type&gt;400&lt;/type&gt;&lt;title&gt;Influence of pyrolysis condition on switchgrass bio-oil yield and physicochemical properties&lt;/title&gt;&lt;publisher&gt;Elsevier Ltd&lt;/publisher&gt;&lt;number&gt;21&lt;/number&gt;&lt;subtype&gt;400&lt;/subtype&gt;&lt;endpage&gt;5311&lt;/endpage&gt;&lt;bundle&gt;&lt;publication&gt;&lt;publisher&gt;Elsevier Ltd&lt;/publisher&gt;&lt;title&gt;Bioresource technology&lt;/title&gt;&lt;type&gt;-100&lt;/type&gt;&lt;subtype&gt;-100&lt;/subtype&gt;&lt;uuid&gt;20FABC45-BAD7-4D11-A180-BCA66580D347&lt;/uuid&gt;&lt;/publication&gt;&lt;/bundle&gt;&lt;authors&gt;&lt;author&gt;&lt;firstName&gt;Ronghai&lt;/firstName&gt;&lt;lastName&gt;He&lt;/lastName&gt;&lt;/author&gt;&lt;author&gt;&lt;firstName&gt;X&lt;/firstName&gt;&lt;middleNames&gt;Philip&lt;/middleNames&gt;&lt;lastName&gt;Ye&lt;/lastName&gt;&lt;/author&gt;&lt;author&gt;&lt;firstName&gt;Burton&lt;/firstName&gt;&lt;middleNames&gt;C&lt;/middleNames&gt;&lt;lastName&gt;English&lt;/lastName&gt;&lt;/author&gt;&lt;author&gt;&lt;firstName&gt;Justinus&lt;/firstName&gt;&lt;middleNames&gt;a&lt;/middleNames&gt;&lt;lastName&gt;Satrio&lt;/lastName&gt;&lt;/author&gt;&lt;/authors&gt;&lt;/publication&gt;&lt;/publications&gt;&lt;cites&gt;&lt;/cites&gt;&lt;/citation&gt;</w:instrText>
      </w:r>
      <w:r w:rsidR="001240BB">
        <w:fldChar w:fldCharType="separate"/>
      </w:r>
      <w:r w:rsidR="001C1AAC">
        <w:t>(</w:t>
      </w:r>
      <w:r w:rsidR="001C1AAC">
        <w:rPr>
          <w:i/>
          <w:iCs/>
        </w:rPr>
        <w:t>96</w:t>
      </w:r>
      <w:r w:rsidR="001C1AAC">
        <w:t>)</w:t>
      </w:r>
      <w:r w:rsidR="001240BB">
        <w:fldChar w:fldCharType="end"/>
      </w:r>
      <w:r w:rsidR="001240BB">
        <w:t xml:space="preserve"> </w:t>
      </w:r>
      <w:r>
        <w:t>studied the change in selectivity to the organic fraction produced upon pyrolysis of switchgrass with 5, 10 and 1</w:t>
      </w:r>
      <w:r w:rsidR="001240BB">
        <w:t>5% feedstock moisture contents</w:t>
      </w:r>
      <w:r>
        <w:t>. The authors found that at 500°C, the lowest moisture content feedstock produced the highest amounts of levoglucosan and acetic acid. The authors note that while significant differences in pyrolysis products were observed, they could not identify clear trends in their data. Among these studies, the observable but sometimes contradictory or unclear trends suggest that the feedstock moisture content may have multiple impacts on the pyrolysis process, possibly related to the physical location of the water in biomass.</w:t>
      </w:r>
    </w:p>
    <w:p w14:paraId="37E5C9CC" w14:textId="3D941ED7" w:rsidR="00C85EA1" w:rsidRDefault="00C85EA1" w:rsidP="00C85EA1">
      <w:r>
        <w:t>In addition to compositional factors, morphological factors also influence the bio-oil product distributions. Biomass undergoing thermal decomposition retains its morphology even in harsh thermal treatment regimes</w:t>
      </w:r>
      <w:r w:rsidR="001240BB">
        <w:t xml:space="preserve"> </w:t>
      </w:r>
      <w:r w:rsidR="001240BB">
        <w:fldChar w:fldCharType="begin"/>
      </w:r>
      <w:r w:rsidR="00807999">
        <w:instrText xml:space="preserve"> ADDIN PAPERS2_CITATIONS &lt;citation&gt;&lt;uuid&gt;9200BD3E-5737-4E65-A382-D5556D9B1365&lt;/uuid&gt;&lt;priority&gt;0&lt;/priority&gt;&lt;publications&gt;&lt;publication&gt;&lt;volume&gt;131&lt;/volume&gt;&lt;publication_date&gt;99201409011200000000222000&lt;/publication_date&gt;&lt;subtitle&gt;Elsevier Ltd&lt;/subtitle&gt;&lt;doi&gt;10.1016/j.fuel.2014.04.067&lt;/doi&gt;&lt;startpage&gt;17&lt;/startpage&gt;&lt;title&gt;Integrating physicochemical information to follow the transformations of biomass upon torrefaction and low-temperature carbonization&lt;/title&gt;&lt;uuid&gt;D6FA8230-5041-4975-98E5-F11DA1DDD8DF&lt;/uuid&gt;&lt;subtype&gt;520&lt;/subtype&gt;&lt;endpage&gt;27&lt;/endpage&gt;&lt;type&gt;500&lt;/type&gt;&lt;url&gt;http://dx.doi.org/10.1016/j.fuel.2014.04.067&lt;/url&gt;&lt;bundle&gt;&lt;publication&gt;&lt;publisher&gt;Elsevier Ltd&lt;/publisher&gt;&lt;title&gt;Fuel&lt;/title&gt;&lt;type&gt;-100&lt;/type&gt;&lt;subtype&gt;-100&lt;/subtype&gt;&lt;uuid&gt;E286CABA-D6F1-4A09-A385-6AFE55FAD8F4&lt;/uuid&gt;&lt;/publication&gt;&lt;/bundle&gt;&lt;authors&gt;&lt;author&gt;&lt;firstName&gt;Juliana&lt;/firstName&gt;&lt;middleNames&gt;G&lt;/middleNames&gt;&lt;lastName&gt;Pohlmann&lt;/lastName&gt;&lt;/author&gt;&lt;author&gt;&lt;firstName&gt;Eduardo&lt;/firstName&gt;&lt;lastName&gt;Osório&lt;/lastName&gt;&lt;/author&gt;&lt;author&gt;&lt;firstName&gt;Antônio&lt;/firstName&gt;&lt;middleNames&gt;C F&lt;/middleNames&gt;&lt;lastName&gt;Vilela&lt;/lastName&gt;&lt;/author&gt;&lt;author&gt;&lt;firstName&gt;María&lt;/firstName&gt;&lt;middleNames&gt;Antónia&lt;/middleNames&gt;&lt;lastName&gt;Diez&lt;/lastName&gt;&lt;/author&gt;&lt;author&gt;&lt;firstName&gt;Angeles&lt;/firstName&gt;&lt;middleNames&gt;G&lt;/middleNames&gt;&lt;lastName&gt;Borrego&lt;/lastName&gt;&lt;/author&gt;&lt;/authors&gt;&lt;/publication&gt;&lt;/publications&gt;&lt;cites&gt;&lt;/cites&gt;&lt;/citation&gt;</w:instrText>
      </w:r>
      <w:r w:rsidR="001240BB">
        <w:fldChar w:fldCharType="separate"/>
      </w:r>
      <w:r w:rsidR="001C1AAC">
        <w:t>(</w:t>
      </w:r>
      <w:r w:rsidR="001C1AAC">
        <w:rPr>
          <w:i/>
          <w:iCs/>
        </w:rPr>
        <w:t>105</w:t>
      </w:r>
      <w:r w:rsidR="001C1AAC">
        <w:t>)</w:t>
      </w:r>
      <w:r w:rsidR="001240BB">
        <w:fldChar w:fldCharType="end"/>
      </w:r>
      <w:r>
        <w:t>. Biomass is a poor conductor</w:t>
      </w:r>
      <w:r w:rsidR="00C32FB6">
        <w:t xml:space="preserve"> of heat (conductivity &lt; 0.1 W</w:t>
      </w:r>
      <w:r>
        <w:t xml:space="preserve"> m</w:t>
      </w:r>
      <w:r w:rsidR="00C32FB6" w:rsidRPr="00C32FB6">
        <w:rPr>
          <w:vertAlign w:val="superscript"/>
        </w:rPr>
        <w:t>-1</w:t>
      </w:r>
      <w:r>
        <w:t xml:space="preserve"> K</w:t>
      </w:r>
      <w:r w:rsidR="00C32FB6" w:rsidRPr="00C32FB6">
        <w:rPr>
          <w:vertAlign w:val="superscript"/>
        </w:rPr>
        <w:t>-1</w:t>
      </w:r>
      <w:r>
        <w:t xml:space="preserve">) </w:t>
      </w:r>
      <w:r w:rsidR="001240BB">
        <w:fldChar w:fldCharType="begin"/>
      </w:r>
      <w:r w:rsidR="00807999">
        <w:instrText xml:space="preserve"> ADDIN PAPERS2_CITATIONS &lt;citation&gt;&lt;uuid&gt;0AF3E929-50EC-4532-9EB5-B13511CCCCBC&lt;/uuid&gt;&lt;priority&gt;0&lt;/priority&gt;&lt;publications&gt;&lt;publication&gt;&lt;type&gt;500&lt;/type&gt;&lt;publication_date&gt;99199900001200000000200000&lt;/publication_date&gt;&lt;title&gt;An overview of fast pyrolysis of biomass&lt;/title&gt;&lt;url&gt;http://www.sciencedirect.com/science/article/pii/S0146638099001205&lt;/url&gt;&lt;subtype&gt;520&lt;/subtype&gt;&lt;uuid&gt;1175B5B0-693A-4722-A239-07BABEB20493&lt;/uuid&gt;&lt;bundle&gt;&lt;publication&gt;&lt;title&gt;Organic Geochemistry&lt;/title&gt;&lt;type&gt;-100&lt;/type&gt;&lt;subtype&gt;-100&lt;/subtype&gt;&lt;uuid&gt;8C55C28C-D8BE-4B5E-984A-EBE053458B9B&lt;/uuid&gt;&lt;/publication&gt;&lt;/bundle&gt;&lt;authors&gt;&lt;author&gt;&lt;firstName&gt;Anthony&lt;/firstName&gt;&lt;middleNames&gt;V&lt;/middleNames&gt;&lt;lastName&gt;Bridgwater&lt;/lastName&gt;&lt;/author&gt;&lt;author&gt;&lt;firstName&gt;Dietrich&lt;/firstName&gt;&lt;lastName&gt;Meier&lt;/lastName&gt;&lt;/author&gt;&lt;author&gt;&lt;firstName&gt;D&lt;/firstName&gt;&lt;lastName&gt;Radlein&lt;/lastName&gt;&lt;/author&gt;&lt;/authors&gt;&lt;/publication&gt;&lt;/publications&gt;&lt;cites&gt;&lt;/cites&gt;&lt;/citation&gt;</w:instrText>
      </w:r>
      <w:r w:rsidR="001240BB">
        <w:fldChar w:fldCharType="separate"/>
      </w:r>
      <w:r w:rsidR="001C1AAC">
        <w:t>(</w:t>
      </w:r>
      <w:r w:rsidR="001C1AAC">
        <w:rPr>
          <w:i/>
          <w:iCs/>
        </w:rPr>
        <w:t>106</w:t>
      </w:r>
      <w:r w:rsidR="001C1AAC">
        <w:t>)</w:t>
      </w:r>
      <w:r w:rsidR="001240BB">
        <w:fldChar w:fldCharType="end"/>
      </w:r>
      <w:r>
        <w:t>, and large temperature gradients occur in heated biomass particles</w:t>
      </w:r>
      <w:r w:rsidR="001240BB">
        <w:t xml:space="preserve"> </w:t>
      </w:r>
      <w:r w:rsidR="001240BB">
        <w:fldChar w:fldCharType="begin"/>
      </w:r>
      <w:r w:rsidR="00807999">
        <w:instrText xml:space="preserve"> ADDIN PAPERS2_CITATIONS &lt;citation&gt;&lt;uuid&gt;49319647-8046-48E0-8A1F-330F959E8FDE&lt;/uuid&gt;&lt;priority&gt;0&lt;/priority&gt;&lt;publications&gt;&lt;publication&gt;&lt;uuid&gt;43DE22E9-D0BD-431B-ABC7-4A2A34710733&lt;/uuid&gt;&lt;volume&gt;22&lt;/volume&gt;&lt;doi&gt;10.1016/S0961-9534(01)00060-5&lt;/doi&gt;&lt;startpage&gt;41&lt;/startpage&gt;&lt;publication_date&gt;99200201001200000000220000&lt;/publication_date&gt;&lt;url&gt;http://linkinghub.elsevier.com/retrieve/pii/S0961953401000605&lt;/url&gt;&lt;citekey&gt;Bryden:2002iv&lt;/citekey&gt;&lt;type&gt;400&lt;/type&gt;&lt;title&gt;Modeling thermally thick pyrolysis of wood&lt;/title&gt;&lt;number&gt;1&lt;/number&gt;&lt;subtype&gt;400&lt;/subtype&gt;&lt;endpage&gt;53&lt;/endpage&gt;&lt;bundle&gt;&lt;publication&gt;&lt;publisher&gt;Elsevier Ltd&lt;/publisher&gt;&lt;title&gt;Biomass and bioenergy&lt;/title&gt;&lt;type&gt;-100&lt;/type&gt;&lt;subtype&gt;-100&lt;/subtype&gt;&lt;uuid&gt;061A0FBA-C147-4B37-8BD5-0E9D81EA124C&lt;/uuid&gt;&lt;/publication&gt;&lt;/bundle&gt;&lt;authors&gt;&lt;author&gt;&lt;firstName&gt;Kenneth&lt;/firstName&gt;&lt;middleNames&gt;M&lt;/middleNames&gt;&lt;lastName&gt;Bryden&lt;/lastName&gt;&lt;/author&gt;&lt;author&gt;&lt;firstName&gt;Kenneth&lt;/firstName&gt;&lt;middleNames&gt;W&lt;/middleNames&gt;&lt;lastName&gt;Ragland&lt;/lastName&gt;&lt;/author&gt;&lt;author&gt;&lt;firstName&gt;Christopher&lt;/firstName&gt;&lt;middleNames&gt;J&lt;/middleNames&gt;&lt;lastName&gt;Rutland&lt;/lastName&gt;&lt;/author&gt;&lt;/authors&gt;&lt;/publication&gt;&lt;/publications&gt;&lt;cites&gt;&lt;/cites&gt;&lt;/citation&gt;</w:instrText>
      </w:r>
      <w:r w:rsidR="001240BB">
        <w:fldChar w:fldCharType="separate"/>
      </w:r>
      <w:r w:rsidR="001C1AAC">
        <w:t>(</w:t>
      </w:r>
      <w:r w:rsidR="001C1AAC">
        <w:rPr>
          <w:i/>
          <w:iCs/>
        </w:rPr>
        <w:t>107</w:t>
      </w:r>
      <w:r w:rsidR="001C1AAC">
        <w:t>)</w:t>
      </w:r>
      <w:r w:rsidR="001240BB">
        <w:fldChar w:fldCharType="end"/>
      </w:r>
      <w:r>
        <w:t xml:space="preserve">. Most reactor systems for thermal degradation require size reduction of biomass particles; as an example, fluidized beds require </w:t>
      </w:r>
      <w:r>
        <w:lastRenderedPageBreak/>
        <w:t xml:space="preserve">particle sizes no larger than 2 mm </w:t>
      </w:r>
      <w:r w:rsidR="001240BB">
        <w:fldChar w:fldCharType="begin"/>
      </w:r>
      <w:r w:rsidR="00807999">
        <w:instrText xml:space="preserve"> ADDIN PAPERS2_CITATIONS &lt;citation&gt;&lt;uuid&gt;04A96353-CDED-42D6-AB9C-7FF0C19B0C0D&lt;/uuid&gt;&lt;priority&gt;0&lt;/priority&gt;&lt;publications&gt;&lt;publication&gt;&lt;type&gt;500&lt;/type&gt;&lt;publication_date&gt;99199900001200000000200000&lt;/publication_date&gt;&lt;title&gt;An overview of fast pyrolysis of biomass&lt;/title&gt;&lt;url&gt;http://www.sciencedirect.com/science/article/pii/S0146638099001205&lt;/url&gt;&lt;subtype&gt;520&lt;/subtype&gt;&lt;uuid&gt;1175B5B0-693A-4722-A239-07BABEB20493&lt;/uuid&gt;&lt;bundle&gt;&lt;publication&gt;&lt;title&gt;Organic Geochemistry&lt;/title&gt;&lt;type&gt;-100&lt;/type&gt;&lt;subtype&gt;-100&lt;/subtype&gt;&lt;uuid&gt;8C55C28C-D8BE-4B5E-984A-EBE053458B9B&lt;/uuid&gt;&lt;/publication&gt;&lt;/bundle&gt;&lt;authors&gt;&lt;author&gt;&lt;firstName&gt;Anthony&lt;/firstName&gt;&lt;middleNames&gt;V&lt;/middleNames&gt;&lt;lastName&gt;Bridgwater&lt;/lastName&gt;&lt;/author&gt;&lt;author&gt;&lt;firstName&gt;Dietrich&lt;/firstName&gt;&lt;lastName&gt;Meier&lt;/lastName&gt;&lt;/author&gt;&lt;author&gt;&lt;firstName&gt;D&lt;/firstName&gt;&lt;lastName&gt;Radlein&lt;/lastName&gt;&lt;/author&gt;&lt;/authors&gt;&lt;/publication&gt;&lt;/publications&gt;&lt;cites&gt;&lt;/cites&gt;&lt;/citation&gt;</w:instrText>
      </w:r>
      <w:r w:rsidR="001240BB">
        <w:fldChar w:fldCharType="separate"/>
      </w:r>
      <w:r w:rsidR="001C1AAC">
        <w:t>(</w:t>
      </w:r>
      <w:r w:rsidR="001C1AAC">
        <w:rPr>
          <w:i/>
          <w:iCs/>
        </w:rPr>
        <w:t>106</w:t>
      </w:r>
      <w:r w:rsidR="001C1AAC">
        <w:t>)</w:t>
      </w:r>
      <w:r w:rsidR="001240BB">
        <w:fldChar w:fldCharType="end"/>
      </w:r>
      <w:r>
        <w:t xml:space="preserve"> to ensure rapid reaction. These particle sizes are larger than the tissue structures present in biomass. While the overall tissue and cellular morphology remain intact, micropore formation and shrinkage during the reaction process can occur in a non-uniform manner throughout the biomass </w:t>
      </w:r>
      <w:r w:rsidR="001240BB">
        <w:fldChar w:fldCharType="begin"/>
      </w:r>
      <w:r w:rsidR="00807999">
        <w:instrText xml:space="preserve"> ADDIN PAPERS2_CITATIONS &lt;citation&gt;&lt;uuid&gt;3A853367-6CDA-4FBD-BA22-07B31FCEE623&lt;/uuid&gt;&lt;priority&gt;0&lt;/priority&gt;&lt;publications&gt;&lt;publication&gt;&lt;type&gt;500&lt;/type&gt;&lt;publication_date&gt;99200200001200000000200000&lt;/publication_date&gt;&lt;title&gt;Birch wood particle shrinkage during rapid pyrolysis&lt;/title&gt;&lt;url&gt;http://www.sciencedirect.com/science/article/pii/S0016236101001697&lt;/url&gt;&lt;subtype&gt;520&lt;/subtype&gt;&lt;uuid&gt;D8745049-F7D0-42BA-9134-1C40E088FFC1&lt;/uuid&gt;&lt;bundle&gt;&lt;publication&gt;&lt;publisher&gt;Elsevier Ltd&lt;/publisher&gt;&lt;title&gt;Fuel&lt;/title&gt;&lt;type&gt;-100&lt;/type&gt;&lt;subtype&gt;-100&lt;/subtype&gt;&lt;uuid&gt;E286CABA-D6F1-4A09-A385-6AFE55FAD8F4&lt;/uuid&gt;&lt;/publication&gt;&lt;/bundle&gt;&lt;authors&gt;&lt;author&gt;&lt;firstName&gt;K&lt;/firstName&gt;&lt;middleNames&gt;O&lt;/middleNames&gt;&lt;lastName&gt;Davidsson&lt;/lastName&gt;&lt;/author&gt;&lt;author&gt;&lt;firstName&gt;JBC&lt;/firstName&gt;&lt;lastName&gt;Pettersson&lt;/lastName&gt;&lt;/author&gt;&lt;/authors&gt;&lt;/publication&gt;&lt;publication&gt;&lt;volume&gt;131&lt;/volume&gt;&lt;publication_date&gt;99201409011200000000222000&lt;/publication_date&gt;&lt;subtitle&gt;Elsevier Ltd&lt;/subtitle&gt;&lt;doi&gt;10.1016/j.fuel.2014.04.067&lt;/doi&gt;&lt;startpage&gt;17&lt;/startpage&gt;&lt;title&gt;Integrating physicochemical information to follow the transformations of biomass upon torrefaction and low-temperature carbonization&lt;/title&gt;&lt;uuid&gt;D6FA8230-5041-4975-98E5-F11DA1DDD8DF&lt;/uuid&gt;&lt;subtype&gt;520&lt;/subtype&gt;&lt;endpage&gt;27&lt;/endpage&gt;&lt;type&gt;500&lt;/type&gt;&lt;url&gt;http://dx.doi.org/10.1016/j.fuel.2014.04.067&lt;/url&gt;&lt;bundle&gt;&lt;publication&gt;&lt;publisher&gt;Elsevier Ltd&lt;/publisher&gt;&lt;title&gt;Fuel&lt;/title&gt;&lt;type&gt;-100&lt;/type&gt;&lt;subtype&gt;-100&lt;/subtype&gt;&lt;uuid&gt;E286CABA-D6F1-4A09-A385-6AFE55FAD8F4&lt;/uuid&gt;&lt;/publication&gt;&lt;/bundle&gt;&lt;authors&gt;&lt;author&gt;&lt;firstName&gt;Juliana&lt;/firstName&gt;&lt;middleNames&gt;G&lt;/middleNames&gt;&lt;lastName&gt;Pohlmann&lt;/lastName&gt;&lt;/author&gt;&lt;author&gt;&lt;firstName&gt;Eduardo&lt;/firstName&gt;&lt;lastName&gt;Osório&lt;/lastName&gt;&lt;/author&gt;&lt;author&gt;&lt;firstName&gt;Antônio&lt;/firstName&gt;&lt;middleNames&gt;C F&lt;/middleNames&gt;&lt;lastName&gt;Vilela&lt;/lastName&gt;&lt;/author&gt;&lt;author&gt;&lt;firstName&gt;María&lt;/firstName&gt;&lt;middleNames&gt;Antónia&lt;/middleNames&gt;&lt;lastName&gt;Diez&lt;/lastName&gt;&lt;/author&gt;&lt;author&gt;&lt;firstName&gt;Angeles&lt;/firstName&gt;&lt;middleNames&gt;G&lt;/middleNames&gt;&lt;lastName&gt;Borrego&lt;/lastName&gt;&lt;/author&gt;&lt;/authors&gt;&lt;/publication&gt;&lt;/publications&gt;&lt;cites&gt;&lt;/cites&gt;&lt;/citation&gt;</w:instrText>
      </w:r>
      <w:r w:rsidR="001240BB">
        <w:fldChar w:fldCharType="separate"/>
      </w:r>
      <w:r w:rsidR="001C1AAC">
        <w:t>(</w:t>
      </w:r>
      <w:r w:rsidR="001C1AAC">
        <w:rPr>
          <w:i/>
          <w:iCs/>
        </w:rPr>
        <w:t>105</w:t>
      </w:r>
      <w:r w:rsidR="001C1AAC">
        <w:t xml:space="preserve">, </w:t>
      </w:r>
      <w:r w:rsidR="001C1AAC">
        <w:rPr>
          <w:i/>
          <w:iCs/>
        </w:rPr>
        <w:t>108</w:t>
      </w:r>
      <w:r w:rsidR="001C1AAC">
        <w:t>)</w:t>
      </w:r>
      <w:r w:rsidR="001240BB">
        <w:fldChar w:fldCharType="end"/>
      </w:r>
      <w:r>
        <w:t>. Piskorz and colleagues observed decreasing liquid yields with increasing particle size, attributed to increasing incidence of secondary</w:t>
      </w:r>
      <w:r w:rsidR="001240BB">
        <w:t xml:space="preserve"> reactions with wood particles </w:t>
      </w:r>
      <w:r w:rsidR="001240BB">
        <w:fldChar w:fldCharType="begin"/>
      </w:r>
      <w:r w:rsidR="00807999">
        <w:instrText xml:space="preserve"> ADDIN PAPERS2_CITATIONS &lt;citation&gt;&lt;uuid&gt;815BC4E7-28EE-4156-A4CC-160A53F74357&lt;/uuid&gt;&lt;priority&gt;0&lt;/priority&gt;&lt;publications&gt;&lt;publication&gt;&lt;uuid&gt;67ED6746-C026-4719-BCD4-F042A7362BD8&lt;/uuid&gt;&lt;volume&gt;62&lt;/volume&gt;&lt;doi&gt;10.1002/cjce.5450620319&lt;/doi&gt;&lt;startpage&gt;404&lt;/startpage&gt;&lt;publication_date&gt;99198406001200000000220000&lt;/publication_date&gt;&lt;url&gt;http://doi.wiley.com/10.1002/cjce.5450620319&lt;/url&gt;&lt;citekey&gt;Scott:1984fx&lt;/citekey&gt;&lt;type&gt;400&lt;/type&gt;&lt;title&gt;The continuous flash pyrolysis of biomass&lt;/title&gt;&lt;number&gt;3&lt;/number&gt;&lt;subtype&gt;400&lt;/subtype&gt;&lt;endpage&gt;412&lt;/endpage&gt;&lt;bundle&gt;&lt;publication&gt;&lt;title&gt;The Canadian Journal of Chemical Engineering&lt;/title&gt;&lt;type&gt;-100&lt;/type&gt;&lt;subtype&gt;-100&lt;/subtype&gt;&lt;uuid&gt;7F030045-68E0-4B24-A6D3-9D18248EF1F6&lt;/uuid&gt;&lt;/publication&gt;&lt;/bundle&gt;&lt;authors&gt;&lt;author&gt;&lt;firstName&gt;Donald&lt;/firstName&gt;&lt;middleNames&gt;S&lt;/middleNames&gt;&lt;lastName&gt;Scott&lt;/lastName&gt;&lt;/author&gt;&lt;author&gt;&lt;firstName&gt;Jan&lt;/firstName&gt;&lt;lastName&gt;Piskorz&lt;/lastName&gt;&lt;/author&gt;&lt;/authors&gt;&lt;/publication&gt;&lt;/publications&gt;&lt;cites&gt;&lt;/cites&gt;&lt;/citation&gt;</w:instrText>
      </w:r>
      <w:r w:rsidR="001240BB">
        <w:fldChar w:fldCharType="separate"/>
      </w:r>
      <w:r w:rsidR="001C1AAC">
        <w:t>(</w:t>
      </w:r>
      <w:r w:rsidR="001C1AAC">
        <w:rPr>
          <w:i/>
          <w:iCs/>
        </w:rPr>
        <w:t>109</w:t>
      </w:r>
      <w:r w:rsidR="001C1AAC">
        <w:t>)</w:t>
      </w:r>
      <w:r w:rsidR="001240BB">
        <w:fldChar w:fldCharType="end"/>
      </w:r>
      <w:r>
        <w:t>. The principles of internal and external diffusion and the impacts of tortuosity, surface area, and diffusion path lengths are all fundamental to catalytic reaction engineering, and in the case of thermal biomass conversion these important parameters are all dict</w:t>
      </w:r>
      <w:r w:rsidR="001240BB">
        <w:t>ated by the reacting feedstock</w:t>
      </w:r>
      <w:r w:rsidR="00576ADD">
        <w:t xml:space="preserve"> </w:t>
      </w:r>
      <w:r w:rsidR="001240BB">
        <w:fldChar w:fldCharType="begin"/>
      </w:r>
      <w:r w:rsidR="00807999">
        <w:instrText xml:space="preserve"> ADDIN PAPERS2_CITATIONS &lt;citation&gt;&lt;uuid&gt;4B0CBD7F-389E-44D7-BC67-93EEA94F96FC&lt;/uuid&gt;&lt;priority&gt;0&lt;/priority&gt;&lt;publications&gt;&lt;publication&gt;&lt;publication_date&gt;99200600001200000000200000&lt;/publication_date&gt;&lt;doi&gt;10.1016/0009-2509(87)80130-6&lt;/doi&gt;&lt;title&gt;Elements of chemical reaction engineering&lt;/title&gt;&lt;uuid&gt;19705434-6A82-42F0-B0E9-BB11D4A9D3BC&lt;/uuid&gt;&lt;subtype&gt;0&lt;/subtype&gt;&lt;publisher&gt;Prentice-Hall&lt;/publisher&gt;&lt;version&gt;4&lt;/version&gt;&lt;place&gt;Upper Saddle River, NJ&lt;/place&gt;&lt;type&gt;0&lt;/type&gt;&lt;url&gt;http://linkinghub.elsevier.com/retrieve/pii/0009250987801306&lt;/url&gt;&lt;authors&gt;&lt;author&gt;&lt;firstName&gt;H&lt;/firstName&gt;&lt;middleNames&gt;Scott&lt;/middleNames&gt;&lt;lastName&gt;Fogler&lt;/lastName&gt;&lt;/author&gt;&lt;/authors&gt;&lt;/publication&gt;&lt;/publications&gt;&lt;cites&gt;&lt;/cites&gt;&lt;/citation&gt;</w:instrText>
      </w:r>
      <w:r w:rsidR="001240BB">
        <w:fldChar w:fldCharType="separate"/>
      </w:r>
      <w:r w:rsidR="001C1AAC">
        <w:t>(</w:t>
      </w:r>
      <w:r w:rsidR="001C1AAC">
        <w:rPr>
          <w:i/>
          <w:iCs/>
        </w:rPr>
        <w:t>110</w:t>
      </w:r>
      <w:r w:rsidR="001C1AAC">
        <w:t>)</w:t>
      </w:r>
      <w:r w:rsidR="001240BB">
        <w:fldChar w:fldCharType="end"/>
      </w:r>
      <w:r>
        <w:t>. Some evidence supports the notion that different plant developmental stages, which is related to the ratio of leaves to stems and biomass density, results in different pyrolysis products. For example, switchgrass harvested at later times during the growing season produced increased yields of condensable products, relative to tha</w:t>
      </w:r>
      <w:r w:rsidR="001240BB">
        <w:t xml:space="preserve">t from younger, leafier material </w:t>
      </w:r>
      <w:r w:rsidR="001240BB">
        <w:fldChar w:fldCharType="begin"/>
      </w:r>
      <w:r w:rsidR="00807999">
        <w:instrText xml:space="preserve"> ADDIN PAPERS2_CITATIONS &lt;citation&gt;&lt;uuid&gt;0FB4F32F-173A-4C92-92B8-407FFDA9DAA5&lt;/uuid&gt;&lt;priority&gt;0&lt;/priority&gt;&lt;publications&gt;&lt;publication&gt;&lt;uuid&gt;24051F86-4D9E-42DE-87C3-A6CB4702250C&lt;/uuid&gt;&lt;volume&gt;75&lt;/volume&gt;&lt;doi&gt;10.1016/j.jaap.2005.03.005&lt;/doi&gt;&lt;startpage&gt;55&lt;/startpage&gt;&lt;publication_date&gt;99200603001200000000220000&lt;/publication_date&gt;&lt;url&gt;http://linkinghub.elsevier.com/retrieve/pii/S0165237005000768&lt;/url&gt;&lt;citekey&gt;Hicks:2006fy&lt;/citekey&gt;&lt;type&gt;400&lt;/type&gt;&lt;title&gt;Pyrolysis of switchgrass (Panicum virgatum) harvested at several stages of maturity&lt;/title&gt;&lt;number&gt;2&lt;/number&gt;&lt;subtype&gt;400&lt;/subtype&gt;&lt;endpage&gt;64&lt;/endpage&gt;&lt;bundle&gt;&lt;publication&gt;&lt;publisher&gt;Elsevier B.V.&lt;/publisher&gt;&lt;title&gt;Journal of Analytical and Applied Pyrolysis&lt;/title&gt;&lt;type&gt;-100&lt;/type&gt;&lt;subtype&gt;-100&lt;/subtype&gt;&lt;uuid&gt;D2B451F2-ABD5-4B2D-92A4-9DB1FFA0C21E&lt;/uuid&gt;&lt;/publication&gt;&lt;/bundle&gt;&lt;authors&gt;&lt;author&gt;&lt;firstName&gt;Kevin&lt;/firstName&gt;&lt;middleNames&gt;B&lt;/middleNames&gt;&lt;lastName&gt;Hicks&lt;/lastName&gt;&lt;/author&gt;&lt;author&gt;&lt;firstName&gt;K&lt;/firstName&gt;&lt;middleNames&gt;P&lt;/middleNames&gt;&lt;lastName&gt;Vogel&lt;/lastName&gt;&lt;/author&gt;&lt;author&gt;&lt;firstName&gt;A&lt;/firstName&gt;&lt;middleNames&gt;A&lt;/middleNames&gt;&lt;lastName&gt;Boateng&lt;/lastName&gt;&lt;/author&gt;&lt;/authors&gt;&lt;/publication&gt;&lt;/publications&gt;&lt;cites&gt;&lt;/cites&gt;&lt;/citation&gt;</w:instrText>
      </w:r>
      <w:r w:rsidR="001240BB">
        <w:fldChar w:fldCharType="separate"/>
      </w:r>
      <w:r w:rsidR="001C1AAC">
        <w:t>(</w:t>
      </w:r>
      <w:r w:rsidR="001C1AAC">
        <w:rPr>
          <w:i/>
          <w:iCs/>
        </w:rPr>
        <w:t>111</w:t>
      </w:r>
      <w:r w:rsidR="001C1AAC">
        <w:t>)</w:t>
      </w:r>
      <w:r w:rsidR="001240BB">
        <w:fldChar w:fldCharType="end"/>
      </w:r>
      <w:r>
        <w:t>, though compositional and developmental differences of the starting material were not carefully assessed.</w:t>
      </w:r>
    </w:p>
    <w:p w14:paraId="0F7BD6F2" w14:textId="057B7A3E" w:rsidR="00C85EA1" w:rsidRDefault="00C85EA1" w:rsidP="005C7E19">
      <w:pPr>
        <w:pStyle w:val="Heading2"/>
      </w:pPr>
      <w:bookmarkStart w:id="29" w:name="_Toc449964837"/>
      <w:r>
        <w:t>Conclusions</w:t>
      </w:r>
      <w:bookmarkEnd w:id="29"/>
    </w:p>
    <w:p w14:paraId="22B9B8E7" w14:textId="1048ADF2" w:rsidR="00C527D6" w:rsidRDefault="00C85EA1" w:rsidP="00C85EA1">
      <w:r>
        <w:t>Years of research have led to understanding of the direct pyrolysis conversion pathways of the major monomeric and polymeric con</w:t>
      </w:r>
      <w:r w:rsidR="00F3485C">
        <w:t>stituents of biomass (model 1, t</w:t>
      </w:r>
      <w:r>
        <w:t xml:space="preserve">able </w:t>
      </w:r>
      <w:r w:rsidR="00F3485C">
        <w:t>2</w:t>
      </w:r>
      <w:r w:rsidR="00D635B3">
        <w:t>.</w:t>
      </w:r>
      <w:r>
        <w:t xml:space="preserve">2). The observation that these constituents often represent minor components in raw bio-oil </w:t>
      </w:r>
      <w:r w:rsidRPr="00927C4D">
        <w:t>(</w:t>
      </w:r>
      <w:r w:rsidR="00927C4D">
        <w:t>t</w:t>
      </w:r>
      <w:r w:rsidRPr="00927C4D">
        <w:t xml:space="preserve">able </w:t>
      </w:r>
      <w:r w:rsidR="00927C4D" w:rsidRPr="00927C4D">
        <w:t>2</w:t>
      </w:r>
      <w:r w:rsidR="000B45E4" w:rsidRPr="00927C4D">
        <w:t>.</w:t>
      </w:r>
      <w:r w:rsidRPr="00927C4D">
        <w:t>1)</w:t>
      </w:r>
      <w:r>
        <w:t xml:space="preserve"> highlights the importance of catalytic degradation (</w:t>
      </w:r>
      <w:r w:rsidR="00F3485C">
        <w:t>m</w:t>
      </w:r>
      <w:r>
        <w:t>odel 2) and possibly indirect effects (</w:t>
      </w:r>
      <w:r w:rsidR="00F3485C">
        <w:t>m</w:t>
      </w:r>
      <w:r>
        <w:t>odel 3) on pyrolysis products. The latter model is only recently receiving attention as knowledge of cell wall structures and analytical repertoires blossom</w:t>
      </w:r>
      <w:r w:rsidR="001240BB">
        <w:t xml:space="preserve"> </w:t>
      </w:r>
      <w:r w:rsidR="001240BB">
        <w:fldChar w:fldCharType="begin"/>
      </w:r>
      <w:r w:rsidR="00807999">
        <w:instrText xml:space="preserve"> ADDIN PAPERS2_CITATIONS &lt;citation&gt;&lt;uuid&gt;77BD6B78-68E5-43B0-BF14-77F5CE6572C4&lt;/uuid&gt;&lt;priority&gt;0&lt;/priority&gt;&lt;publications&gt;&lt;publication&gt;&lt;volume&gt;108&lt;/volume&gt;&lt;publication_date&gt;99201407001200000000220000&lt;/publication_date&gt;&lt;doi&gt;10.1016/j.jaap.2014.05.016&lt;/doi&gt;&lt;startpage&gt;56&lt;/startpage&gt;&lt;title&gt;A comprehensive study on relating cell-wall components of lignocellulosic biomass to oxygenated species formed during pyrolysis&lt;/title&gt;&lt;uuid&gt;7FED9759-6353-4731-8DD7-7EE86258EDA2&lt;/uuid&gt;&lt;subtype&gt;400&lt;/subtype&gt;&lt;endpage&gt;67&lt;/endpage&gt;&lt;type&gt;400&lt;/type&gt;&lt;citekey&gt;Mante:2014eu&lt;/citekey&gt;&lt;url&gt;http://linkinghub.elsevier.com/retrieve/pii/S0165237014001223&lt;/url&gt;&lt;bundle&gt;&lt;publication&gt;&lt;publisher&gt;Elsevier B.V.&lt;/publisher&gt;&lt;title&gt;Journal of Analytical and Applied Pyrolysis&lt;/title&gt;&lt;type&gt;-100&lt;/type&gt;&lt;subtype&gt;-100&lt;/subtype&gt;&lt;uuid&gt;D2B451F2-ABD5-4B2D-92A4-9DB1FFA0C21E&lt;/uuid&gt;&lt;/publication&gt;&lt;/bundle&gt;&lt;authors&gt;&lt;author&gt;&lt;firstName&gt;Ofei&lt;/firstName&gt;&lt;middleNames&gt;D&lt;/middleNames&gt;&lt;lastName&gt;Mante&lt;/lastName&gt;&lt;/author&gt;&lt;author&gt;&lt;firstName&gt;Suresh&lt;/firstName&gt;&lt;middleNames&gt;P&lt;/middleNames&gt;&lt;lastName&gt;Babu&lt;/lastName&gt;&lt;/author&gt;&lt;author&gt;&lt;firstName&gt;Thomas&lt;/firstName&gt;&lt;middleNames&gt;E&lt;/middleNames&gt;&lt;lastName&gt;Amidon&lt;/lastName&gt;&lt;/author&gt;&lt;/authors&gt;&lt;/publication&gt;&lt;publication&gt;&lt;uuid&gt;8C2ADF41-026D-47AB-854F-669E372CB698&lt;/uuid&gt;&lt;volume&gt;3&lt;/volume&gt;&lt;doi&gt;10.1021/sc500664h&lt;/doi&gt;&lt;startpage&gt;293&lt;/startpage&gt;&lt;publication_date&gt;99201502021200000000222000&lt;/publication_date&gt;&lt;url&gt;http://pubs.acs.org/doi/abs/10.1021/sc500664h&lt;/url&gt;&lt;citekey&gt;Zhang:2015hk&lt;/citekey&gt;&lt;type&gt;400&lt;/type&gt;&lt;title&gt;Cellulose–Hemicellulose and Cellulose–Lignin Interactions during Fast Pyrolysis&lt;/title&gt;&lt;number&gt;2&lt;/number&gt;&lt;subtype&gt;400&lt;/subtype&gt;&lt;endpage&gt;301&lt;/endpage&gt;&lt;bundle&gt;&lt;publication&gt;&lt;title&gt;ACS Sustainable Chemistry &amp;amp; Engineering&lt;/title&gt;&lt;type&gt;-100&lt;/type&gt;&lt;subtype&gt;-100&lt;/subtype&gt;&lt;uuid&gt;61752E7A-637B-4FE6-98F0-DCDDB2AB584A&lt;/uuid&gt;&lt;/publication&gt;&lt;/bundle&gt;&lt;authors&gt;&lt;author&gt;&lt;firstName&gt;Jing&lt;/firstName&gt;&lt;lastName&gt;Zhang&lt;/lastName&gt;&lt;/author&gt;&lt;author&gt;&lt;firstName&gt;Yong&lt;/firstName&gt;&lt;middleNames&gt;S&lt;/middleNames&gt;&lt;lastName&gt;Choi&lt;/lastName&gt;&lt;/author&gt;&lt;author&gt;&lt;firstName&gt;Chang&lt;/firstName&gt;&lt;middleNames&gt;G&lt;/middleNames&gt;&lt;lastName&gt;Yoo&lt;/lastName&gt;&lt;/author&gt;&lt;author&gt;&lt;firstName&gt;Tae&lt;/firstName&gt;&lt;middleNames&gt;H&lt;/middleNames&gt;&lt;lastName&gt;Kim&lt;/lastName&gt;&lt;/author&gt;&lt;author&gt;&lt;firstName&gt;Robert&lt;/firstName&gt;&lt;middleNames&gt;C&lt;/middleNames&gt;&lt;lastName&gt;Brown&lt;/lastName&gt;&lt;/author&gt;&lt;author&gt;&lt;firstName&gt;Brent&lt;/firstName&gt;&lt;middleNames&gt;H&lt;/middleNames&gt;&lt;lastName&gt;Shanks&lt;/lastName&gt;&lt;/author&gt;&lt;/authors&gt;&lt;/publication&gt;&lt;/publications&gt;&lt;cites&gt;&lt;/cites&gt;&lt;/citation&gt;</w:instrText>
      </w:r>
      <w:r w:rsidR="001240BB">
        <w:fldChar w:fldCharType="separate"/>
      </w:r>
      <w:r w:rsidR="001C1AAC">
        <w:t>(</w:t>
      </w:r>
      <w:r w:rsidR="001C1AAC">
        <w:rPr>
          <w:i/>
          <w:iCs/>
        </w:rPr>
        <w:t>48</w:t>
      </w:r>
      <w:r w:rsidR="001C1AAC">
        <w:t xml:space="preserve">, </w:t>
      </w:r>
      <w:r w:rsidR="001C1AAC">
        <w:rPr>
          <w:i/>
          <w:iCs/>
        </w:rPr>
        <w:t>92</w:t>
      </w:r>
      <w:r w:rsidR="001C1AAC">
        <w:t>)</w:t>
      </w:r>
      <w:r w:rsidR="001240BB">
        <w:fldChar w:fldCharType="end"/>
      </w:r>
      <w:r>
        <w:t xml:space="preserve">. Detailed examination of the relationships between components and </w:t>
      </w:r>
      <w:r>
        <w:lastRenderedPageBreak/>
        <w:t xml:space="preserve">products are still sparse, with the biological literature providing detailed characterization of cell wall components, while the engineering literature analyzes the chemical components, or often just total yields, of different pyrolysis fractions. We would argue that further investigations on the relationships between biomass components and thermal products will allow improvement of thermal product “quality.” Short of attaining (or improving on) petroleum fuel-like properties, even the criteria for a high quality thermal product remains unclear. As discussed, this is in part because methods for up-grading are so dependent on bio-oil composition. Thus, methods that economically separate and/or simplify the different product streams, while still maintaining C-C bonds and overall C-content, are more likely to be amenable to catalytic upgrading. </w:t>
      </w:r>
    </w:p>
    <w:p w14:paraId="5E11E0CA" w14:textId="77777777" w:rsidR="00807999" w:rsidRDefault="00C85EA1" w:rsidP="00C85EA1">
      <w:r>
        <w:t>Greater and more systematic analysis of biomass composition and pyrolysis products within species that show significant compositional variation will aid in better understanding biomass-bio-oil relationships. Much of the existing literature relies on comparisons of thermal degradation products across diverse taxonomic groups that vary greatly in cell wall composition beyond the biom</w:t>
      </w:r>
      <w:r w:rsidR="00206C06">
        <w:t>ass components measured (</w:t>
      </w:r>
      <w:r w:rsidR="00F3485C" w:rsidRPr="00F3485C">
        <w:t>table 2.2</w:t>
      </w:r>
      <w:r>
        <w:t>). An analysis of more subtle compositional differences, in which compositional factors are varied across different samples may aid in refining biomass-bio-oil relationships. For example, genetic mutants that vary in only one component relative to near isogenic, un-mutated “wild-type” plants can directly address relationships between starting components and products</w:t>
      </w:r>
      <w:r w:rsidR="001240BB">
        <w:t xml:space="preserve"> </w:t>
      </w:r>
      <w:r w:rsidR="001240BB">
        <w:fldChar w:fldCharType="begin"/>
      </w:r>
      <w:r w:rsidR="00807999">
        <w:instrText xml:space="preserve"> ADDIN PAPERS2_CITATIONS &lt;citation&gt;&lt;uuid&gt;73DC4863-61E5-47D5-A4F2-6FE4A649B4B6&lt;/uuid&gt;&lt;priority&gt;0&lt;/priority&gt;&lt;publications&gt;&lt;publication&gt;&lt;volume&gt;5&lt;/volume&gt;&lt;publication_date&gt;99201200001200000000200000&lt;/publication_date&gt;&lt;number&gt;1&lt;/number&gt;&lt;doi&gt;10.1186/1754-6834-5-38&lt;/doi&gt;&lt;startpage&gt;38&lt;/startpage&gt;&lt;title&gt;Structural characterization of alkaline hydrogen peroxide pretreated grasses exhibiting diverse lignin phenotypes&lt;/title&gt;&lt;uuid&gt;1A13E481-AEBA-4007-B58A-744B6390298E&lt;/uuid&gt;&lt;subtype&gt;400&lt;/subtype&gt;&lt;type&gt;400&lt;/type&gt;&lt;url&gt;http://www.biotechnologyforbiofuels.com/content/5/1/38&lt;/url&gt;&lt;bundle&gt;&lt;publication&gt;&lt;publisher&gt;BioMed Central&lt;/publisher&gt;&lt;title&gt;Biotechnol Biofuels&lt;/title&gt;&lt;type&gt;-100&lt;/type&gt;&lt;subtype&gt;-100&lt;/subtype&gt;&lt;uuid&gt;F04F2FEB-1196-4B46-8D0A-F0F7C7492742&lt;/uuid&gt;&lt;/publication&gt;&lt;/bundle&gt;&lt;authors&gt;&lt;author&gt;&lt;firstName&gt;Muyang&lt;/firstName&gt;&lt;lastName&gt;Li&lt;/lastName&gt;&lt;/author&gt;&lt;author&gt;&lt;firstName&gt;Cliff&lt;/firstName&gt;&lt;lastName&gt;Foster&lt;/lastName&gt;&lt;/author&gt;&lt;author&gt;&lt;firstName&gt;Shantanu&lt;/firstName&gt;&lt;lastName&gt;Kelkar&lt;/lastName&gt;&lt;/author&gt;&lt;author&gt;&lt;firstName&gt;Yunqiao&lt;/firstName&gt;&lt;lastName&gt;Pu&lt;/lastName&gt;&lt;/author&gt;&lt;author&gt;&lt;firstName&gt;Daniel&lt;/firstName&gt;&lt;lastName&gt;Holmes&lt;/lastName&gt;&lt;/author&gt;&lt;author&gt;&lt;firstName&gt;Arthur&lt;/firstName&gt;&lt;lastName&gt;Ragauskas&lt;/lastName&gt;&lt;/author&gt;&lt;author&gt;&lt;firstName&gt;Christopher&lt;/firstName&gt;&lt;middleNames&gt;M&lt;/middleNames&gt;&lt;lastName&gt;Saffron&lt;/lastName&gt;&lt;/author&gt;&lt;author&gt;&lt;firstName&gt;David&lt;/firstName&gt;&lt;middleNames&gt;B&lt;/middleNames&gt;&lt;lastName&gt;Hodge&lt;/lastName&gt;&lt;/author&gt;&lt;/authors&gt;&lt;/publication&gt;&lt;/publications&gt;&lt;cites&gt;&lt;/cites&gt;&lt;/citation&gt;</w:instrText>
      </w:r>
      <w:r w:rsidR="001240BB">
        <w:fldChar w:fldCharType="separate"/>
      </w:r>
      <w:r w:rsidR="001C1AAC">
        <w:t>(</w:t>
      </w:r>
      <w:r w:rsidR="001C1AAC">
        <w:rPr>
          <w:i/>
          <w:iCs/>
        </w:rPr>
        <w:t>82</w:t>
      </w:r>
      <w:r w:rsidR="001C1AAC">
        <w:t>)</w:t>
      </w:r>
      <w:r w:rsidR="001240BB">
        <w:fldChar w:fldCharType="end"/>
      </w:r>
      <w:r>
        <w:t>. In addition to genetically determined compositional differences, biomass composition also depends on growth conditions and developmental stage, which relates to harvest t</w:t>
      </w:r>
      <w:r w:rsidR="002A215A">
        <w:t xml:space="preserve">ime. Taken together, the scale </w:t>
      </w:r>
      <w:r>
        <w:t xml:space="preserve">of the problem points to </w:t>
      </w:r>
      <w:r>
        <w:lastRenderedPageBreak/>
        <w:t>the value of developing high-throughput methods to help identify species and genotypes that are most suitable for production of specific thermal products and to guide the optimization of genetic stocks and growth condition for bioenergy crops. Methods available to identify such “high-quality” biomass include near-inf</w:t>
      </w:r>
      <w:r w:rsidR="002A215A">
        <w:t>rared reflectance spectroscopy</w:t>
      </w:r>
      <w:r w:rsidR="001240BB">
        <w:t xml:space="preserve"> </w:t>
      </w:r>
      <w:r w:rsidR="001240BB">
        <w:fldChar w:fldCharType="begin"/>
      </w:r>
      <w:r w:rsidR="00807999">
        <w:instrText xml:space="preserve"> ADDIN PAPERS2_CITATIONS &lt;citation&gt;&lt;uuid&gt;205CA4A8-63D5-4A76-8770-5BEF6A5BB2C2&lt;/uuid&gt;&lt;priority&gt;0&lt;/priority&gt;&lt;publications&gt;&lt;publication&gt;&lt;uuid&gt;C9E3D121-0421-4692-8A6E-43BCA947E167&lt;/uuid&gt;&lt;volume&gt;4&lt;/volume&gt;&lt;doi&gt;10.1007/s12155-010-9104-4&lt;/doi&gt;&lt;startpage&gt;96&lt;/startpage&gt;&lt;publication_date&gt;99201106001200000000220000&lt;/publication_date&gt;&lt;url&gt;http://link.springer.com/article/10.1007%2Fs12155-010-9104-4&lt;/url&gt;&lt;type&gt;400&lt;/type&gt;&lt;title&gt;Quantifying Actual and Theoretical Ethanol Yields for Switchgrass Strains Using NIRS Analyses&lt;/title&gt;&lt;institution&gt;Vogel, KP</w:instrText>
      </w:r>
    </w:p>
    <w:p w14:paraId="12A80982" w14:textId="77777777" w:rsidR="00807999" w:rsidRDefault="00807999" w:rsidP="00C85EA1">
      <w:r>
        <w:instrText>Univ Nebraska, Grain Forage &amp;amp; Bioenergy Res Unit, USDA ARS, 137 Keim Hall,POB 830937, Lincoln, NE 68583 USA</w:instrText>
      </w:r>
    </w:p>
    <w:p w14:paraId="6B4D3685" w14:textId="77777777" w:rsidR="00807999" w:rsidRDefault="00807999" w:rsidP="00C85EA1">
      <w:r>
        <w:instrText>Univ Nebraska, Grain Forage &amp;amp; Bioenergy Res Unit, USDA ARS, 137 Keim Hall,POB 830937, Lincoln, NE 68583 USA</w:instrText>
      </w:r>
    </w:p>
    <w:p w14:paraId="645E76AF" w14:textId="77777777" w:rsidR="00807999" w:rsidRDefault="00807999" w:rsidP="00C85EA1">
      <w:r>
        <w:instrText>Univ Nebraska, Grain Forage &amp;amp; Bioenergy Res Unit, USDA ARS, Lincoln, NE 68583 USA</w:instrText>
      </w:r>
    </w:p>
    <w:p w14:paraId="5DC4BA82" w14:textId="77777777" w:rsidR="00807999" w:rsidRDefault="00807999" w:rsidP="00C85EA1">
      <w:r>
        <w:instrText>USDA ARS, Fermentat Biotechnol Res Unit, Natl Ctr Agr Utilizat Res, Peoria, IL 61604 USA</w:instrText>
      </w:r>
    </w:p>
    <w:p w14:paraId="6A336F4C" w14:textId="77777777" w:rsidR="00807999" w:rsidRDefault="00807999" w:rsidP="00C85EA1">
      <w:r>
        <w:instrText>USDA ARS, Plant Sci Res Unit, St Paul, MN 55108 USA</w:instrText>
      </w:r>
    </w:p>
    <w:p w14:paraId="7F63F386" w14:textId="1BF9A9C0" w:rsidR="00C85EA1" w:rsidRDefault="00807999" w:rsidP="00C85EA1">
      <w:r>
        <w:instrText>US Dairy Forage Res Ctr, Madison, WI 53706 USA&lt;/institution&gt;&lt;number&gt;2&lt;/number&gt;&lt;subtype&gt;400&lt;/subtype&gt;&lt;endpage&gt;110&lt;/endpage&gt;&lt;bundle&gt;&lt;publication&gt;&lt;publisher&gt;Springer US&lt;/publisher&gt;&lt;title&gt;BioEnergy Research&lt;/title&gt;&lt;type&gt;-100&lt;/type&gt;&lt;subtype&gt;-100&lt;/subtype&gt;&lt;uuid&gt;10F75356-9E4C-4774-98A2-0C658827ED32&lt;/uuid&gt;&lt;/publication&gt;&lt;/bundle&gt;&lt;authors&gt;&lt;author&gt;&lt;firstName&gt;K&lt;/firstName&gt;&lt;middleNames&gt;P&lt;/middleNames&gt;&lt;lastName&gt;Vogel&lt;/lastName&gt;&lt;/author&gt;&lt;author&gt;&lt;firstName&gt;B&lt;/firstName&gt;&lt;middleNames&gt;S&lt;/middleNames&gt;&lt;lastName&gt;Dien&lt;/lastName&gt;&lt;/author&gt;&lt;author&gt;&lt;firstName&gt;Hans-Joachim&lt;/firstName&gt;&lt;middleNames&gt;G&lt;/middleNames&gt;&lt;lastName&gt;Jung&lt;/lastName&gt;&lt;/author&gt;&lt;author&gt;&lt;firstName&gt;Michael&lt;/firstName&gt;&lt;middleNames&gt;D&lt;/middleNames&gt;&lt;lastName&gt;Casler&lt;/lastName&gt;&lt;/author&gt;&lt;author&gt;&lt;firstName&gt;S&lt;/firstName&gt;&lt;middleNames&gt;D&lt;/middleNames&gt;&lt;lastName&gt;Masterson&lt;/lastName&gt;&lt;/author&gt;&lt;author&gt;&lt;firstName&gt;R&lt;/firstName&gt;&lt;middleNames&gt;B&lt;/middleNames&gt;&lt;lastName&gt;Mitchell&lt;/lastName&gt;&lt;/author&gt;&lt;/authors&gt;&lt;/publication&gt;&lt;/publications&gt;&lt;cites&gt;&lt;/cites&gt;&lt;/citation&gt;</w:instrText>
      </w:r>
      <w:r w:rsidR="001240BB">
        <w:fldChar w:fldCharType="separate"/>
      </w:r>
      <w:r w:rsidR="001C1AAC">
        <w:t>(</w:t>
      </w:r>
      <w:r w:rsidR="001C1AAC">
        <w:rPr>
          <w:i/>
          <w:iCs/>
        </w:rPr>
        <w:t>35</w:t>
      </w:r>
      <w:r w:rsidR="001C1AAC">
        <w:t>)</w:t>
      </w:r>
      <w:r w:rsidR="001240BB">
        <w:fldChar w:fldCharType="end"/>
      </w:r>
      <w:r w:rsidR="00C85EA1">
        <w:t>, Fourier transform near-infrared spectroscopy</w:t>
      </w:r>
      <w:r w:rsidR="001240BB">
        <w:t xml:space="preserve"> </w:t>
      </w:r>
      <w:r w:rsidR="00190B56">
        <w:fldChar w:fldCharType="begin"/>
      </w:r>
      <w:r>
        <w:instrText xml:space="preserve"> ADDIN PAPERS2_CITATIONS &lt;citation&gt;&lt;uuid&gt;D96292D5-3AFA-477F-BFD9-FA279503DF11&lt;/uuid&gt;&lt;priority&gt;0&lt;/priority&gt;&lt;publications&gt;&lt;publication&gt;&lt;volume&gt;81&lt;/volume&gt;&lt;publication_date&gt;99201007001200000000220000&lt;/publication_date&gt;&lt;number&gt;4&lt;/number&gt;&lt;doi&gt;10.1016/j.carbpol.2010.03.058&lt;/doi&gt;&lt;startpage&gt;820&lt;/startpage&gt;&lt;title&gt;Variability of biomass chemical composition and rapid analysis using FT-NIR techniques&lt;/title&gt;&lt;uuid&gt;3A5E1075-5750-423C-A929-879344775392&lt;/uuid&gt;&lt;subtype&gt;400&lt;/subtype&gt;&lt;endpage&gt;829&lt;/endpage&gt;&lt;type&gt;400&lt;/type&gt;&lt;url&gt;http://linkinghub.elsevier.com/retrieve/pii/S0144861710002389&lt;/url&gt;&lt;bundle&gt;&lt;publication&gt;&lt;title&gt;Carbohydrate Polymers&lt;/title&gt;&lt;type&gt;-100&lt;/type&gt;&lt;subtype&gt;-100&lt;/subtype&gt;&lt;uuid&gt;3FCF4EE7-F89F-437D-95E4-561B8E9984C1&lt;/uuid&gt;&lt;/publication&gt;&lt;/bundle&gt;&lt;authors&gt;&lt;author&gt;&lt;firstName&gt;Lu&lt;/firstName&gt;&lt;lastName&gt;Liu&lt;/lastName&gt;&lt;/author&gt;&lt;author&gt;&lt;firstName&gt;X&lt;/firstName&gt;&lt;middleNames&gt;Philip&lt;/middleNames&gt;&lt;lastName&gt;Ye&lt;/lastName&gt;&lt;/author&gt;&lt;author&gt;&lt;firstName&gt;Alvin&lt;/firstName&gt;&lt;middleNames&gt;R&lt;/middleNames&gt;&lt;lastName&gt;Womac&lt;/lastName&gt;&lt;/author&gt;&lt;author&gt;&lt;firstName&gt;Shahab&lt;/firstName&gt;&lt;lastName&gt;Sokhansanj&lt;/lastName&gt;&lt;/author&gt;&lt;/authors&gt;&lt;/publication&gt;&lt;/publications&gt;&lt;cites&gt;&lt;/cites&gt;&lt;/citation&gt;</w:instrText>
      </w:r>
      <w:r w:rsidR="00190B56">
        <w:fldChar w:fldCharType="separate"/>
      </w:r>
      <w:r w:rsidR="001C1AAC">
        <w:t>(</w:t>
      </w:r>
      <w:r w:rsidR="001C1AAC">
        <w:rPr>
          <w:i/>
          <w:iCs/>
        </w:rPr>
        <w:t>112</w:t>
      </w:r>
      <w:r w:rsidR="001C1AAC">
        <w:t>)</w:t>
      </w:r>
      <w:r w:rsidR="00190B56">
        <w:fldChar w:fldCharType="end"/>
      </w:r>
      <w:r w:rsidR="00C85EA1">
        <w:t xml:space="preserve">, and pyrolysis molecular beam mass spectrometry, at least for lignin components </w:t>
      </w:r>
      <w:r w:rsidR="00190B56">
        <w:fldChar w:fldCharType="begin"/>
      </w:r>
      <w:r>
        <w:instrText xml:space="preserve"> ADDIN PAPERS2_CITATIONS &lt;citation&gt;&lt;uuid&gt;53790BEB-D2B0-4B53-9AA3-42DD926E2FDF&lt;/uuid&gt;&lt;priority&gt;0&lt;/priority&gt;&lt;publications&gt;&lt;publication&gt;&lt;volume&gt;7&lt;/volume&gt;&lt;publication_date&gt;99201401301200000000222000&lt;/publication_date&gt;&lt;number&gt;3&lt;/number&gt;&lt;doi&gt;10.1007/s12155-014-9410-3&lt;/doi&gt;&lt;startpage&gt;899&lt;/startpage&gt;&lt;title&gt;Validation of PyMBMS as a High-throughput Screen for Lignin Abundance in Lignocellulosic Biomass of Grasses&lt;/title&gt;&lt;uuid&gt;44F4FA3C-5F21-4B7E-A18A-05609FE41DD2&lt;/uuid&gt;&lt;subtype&gt;400&lt;/subtype&gt;&lt;endpage&gt;908&lt;/endpage&gt;&lt;type&gt;400&lt;/type&gt;&lt;url&gt;http://link.springer.com/10.1007/s12155-014-9410-3&lt;/url&gt;&lt;bundle&gt;&lt;publication&gt;&lt;publisher&gt;Springer US&lt;/publisher&gt;&lt;title&gt;BioEnergy Research&lt;/title&gt;&lt;type&gt;-100&lt;/type&gt;&lt;subtype&gt;-100&lt;/subtype&gt;&lt;uuid&gt;10F75356-9E4C-4774-98A2-0C658827ED32&lt;/uuid&gt;&lt;/publication&gt;&lt;/bundle&gt;&lt;authors&gt;&lt;author&gt;&lt;firstName&gt;Bryan&lt;/firstName&gt;&lt;middleNames&gt;W&lt;/middleNames&gt;&lt;lastName&gt;Penning&lt;/lastName&gt;&lt;/author&gt;&lt;author&gt;&lt;firstName&gt;Robert&lt;/firstName&gt;&lt;middleNames&gt;W&lt;/middleNames&gt;&lt;lastName&gt;Sykes&lt;/lastName&gt;&lt;/author&gt;&lt;author&gt;&lt;firstName&gt;Nicholas&lt;/firstName&gt;&lt;middleNames&gt;C&lt;/middleNames&gt;&lt;lastName&gt;Babcock&lt;/lastName&gt;&lt;/author&gt;&lt;author&gt;&lt;firstName&gt;Christopher&lt;/firstName&gt;&lt;middleNames&gt;K&lt;/middleNames&gt;&lt;lastName&gt;Dugard&lt;/lastName&gt;&lt;/author&gt;&lt;author&gt;&lt;firstName&gt;John&lt;/firstName&gt;&lt;middleNames&gt;F&lt;/middleNames&gt;&lt;lastName&gt;Klimek&lt;/lastName&gt;&lt;/author&gt;&lt;author&gt;&lt;firstName&gt;David&lt;/firstName&gt;&lt;lastName&gt;Gamblin&lt;/lastName&gt;&lt;/author&gt;&lt;author&gt;&lt;firstName&gt;Mark&lt;/firstName&gt;&lt;lastName&gt;Davis&lt;/lastName&gt;&lt;/author&gt;&lt;author&gt;&lt;firstName&gt;Timothy&lt;/firstName&gt;&lt;middleNames&gt;R&lt;/middleNames&gt;&lt;lastName&gt;Filley&lt;/lastName&gt;&lt;/author&gt;&lt;author&gt;&lt;firstName&gt;Nathan&lt;/firstName&gt;&lt;middleNames&gt;S&lt;/middleNames&gt;&lt;lastName&gt;Mosier&lt;/lastName&gt;&lt;/author&gt;&lt;author&gt;&lt;firstName&gt;Clifford&lt;/firstName&gt;&lt;middleNames&gt;F&lt;/middleNames&gt;&lt;lastName&gt;Weil&lt;/lastName&gt;&lt;/author&gt;&lt;author&gt;&lt;firstName&gt;Maureen&lt;/firstName&gt;&lt;middleNames&gt;C&lt;/middleNames&gt;&lt;lastName&gt;McCann&lt;/lastName&gt;&lt;/author&gt;&lt;author&gt;&lt;firstName&gt;Nicholas&lt;/firstName&gt;&lt;middleNames&gt;C&lt;/middleNames&gt;&lt;lastName&gt;Carpita&lt;/lastName&gt;&lt;/author&gt;&lt;/authors&gt;&lt;/publication&gt;&lt;publication&gt;&lt;uuid&gt;002EAF97-8674-477E-AD5F-C04F19EE18E3&lt;/uuid&gt;&lt;volume&gt;581&lt;/volume&gt;&lt;doi&gt;10.1007/978-1-60761-214-8_12&lt;/doi&gt;&lt;subtitle&gt;Methods in Molecular Biology&lt;/subtitle&gt;&lt;startpage&gt;169&lt;/startpage&gt;&lt;publication_date&gt;99200908081200000000222000&lt;/publication_date&gt;&lt;url&gt;http://link.springer.com/10.1007/978-1-60761-214-8_12&lt;/url&gt;&lt;type&gt;-1000&lt;/type&gt;&lt;title&gt;High-Throughput Screening of Plant Cell-Wall Composition Using Pyrolysis Molecular Beam Mass Spectroscopy&lt;/title&gt;&lt;publisher&gt;Humana Press&lt;/publisher&gt;&lt;number&gt;Chapter 12&lt;/number&gt;&lt;subtype&gt;-1000&lt;/subtype&gt;&lt;place&gt;Totowa, NJ&lt;/place&gt;&lt;endpage&gt;183&lt;/endpage&gt;&lt;bundle&gt;&lt;publication&gt;&lt;publication_date&gt;99200908081200000000222000&lt;/publication_date&gt;&lt;title&gt;Biofuels&lt;/title&gt;&lt;uuid&gt;F68943CA-3973-49D7-B89E-9BFE3EB3ABD6&lt;/uuid&gt;&lt;subtype&gt;0&lt;/subtype&gt;&lt;publisher&gt;Humana Press&lt;/publisher&gt;&lt;type&gt;0&lt;/type&gt;&lt;place&gt;Totowa, NJ&lt;/place&gt;&lt;url&gt;http://www.worldcat.org/title/biofuels-methods-and-protocols/oclc/401158335&lt;/url&gt;&lt;/publication&gt;&lt;/bundle&gt;&lt;authors&gt;&lt;author&gt;&lt;firstName&gt;Robert&lt;/firstName&gt;&lt;lastName&gt;Sykes&lt;/lastName&gt;&lt;/author&gt;&lt;author&gt;&lt;firstName&gt;Matthew&lt;/firstName&gt;&lt;lastName&gt;Yung&lt;/lastName&gt;&lt;/author&gt;&lt;author&gt;&lt;firstName&gt;Evandro&lt;/firstName&gt;&lt;lastName&gt;Novaes&lt;/lastName&gt;&lt;/author&gt;&lt;author&gt;&lt;firstName&gt;Matias&lt;/firstName&gt;&lt;lastName&gt;Kirst&lt;/lastName&gt;&lt;/author&gt;&lt;author&gt;&lt;firstName&gt;Gary&lt;/firstName&gt;&lt;lastName&gt;Peter&lt;/lastName&gt;&lt;/author&gt;&lt;author&gt;&lt;firstName&gt;Mark&lt;/firstName&gt;&lt;lastName&gt;Davis&lt;/lastName&gt;&lt;/author&gt;&lt;/authors&gt;&lt;/publication&gt;&lt;/publications&gt;&lt;cites&gt;&lt;/cites&gt;&lt;/citation&gt;</w:instrText>
      </w:r>
      <w:r w:rsidR="00190B56">
        <w:fldChar w:fldCharType="separate"/>
      </w:r>
      <w:r w:rsidR="001C1AAC">
        <w:t>(</w:t>
      </w:r>
      <w:r w:rsidR="001C1AAC">
        <w:rPr>
          <w:i/>
          <w:iCs/>
        </w:rPr>
        <w:t>99</w:t>
      </w:r>
      <w:r w:rsidR="001C1AAC">
        <w:t xml:space="preserve">, </w:t>
      </w:r>
      <w:r w:rsidR="001C1AAC">
        <w:rPr>
          <w:i/>
          <w:iCs/>
        </w:rPr>
        <w:t>113</w:t>
      </w:r>
      <w:r w:rsidR="001C1AAC">
        <w:t>)</w:t>
      </w:r>
      <w:r w:rsidR="00190B56">
        <w:fldChar w:fldCharType="end"/>
      </w:r>
      <w:r w:rsidR="00C85EA1">
        <w:t>. In general, these methods can be trained, either rationally or in a model-independent manner, to detect spectroscopic or molecular signatures in biological materials with linear, or non-linear, relationships to thermal products.</w:t>
      </w:r>
    </w:p>
    <w:p w14:paraId="272EC507" w14:textId="77777777" w:rsidR="00807999" w:rsidRDefault="00C85EA1" w:rsidP="00C85EA1">
      <w:r>
        <w:t xml:space="preserve">Besides selecting or breeding for natural variation in biomass composition (e.g., </w:t>
      </w:r>
      <w:r w:rsidR="00190B56">
        <w:fldChar w:fldCharType="begin"/>
      </w:r>
      <w:r w:rsidR="00807999">
        <w:instrText xml:space="preserve"> ADDIN PAPERS2_CITATIONS &lt;citation&gt;&lt;uuid&gt;58032AD3-9846-4BA7-8DEF-B8CE7FFDFFBC&lt;/uuid&gt;&lt;priority&gt;0&lt;/priority&gt;&lt;publications&gt;&lt;publication&gt;&lt;uuid&gt;2D4A3378-D601-4E3D-BAC7-72E853183D03&lt;/uuid&gt;&lt;volume&gt;188&lt;/volume&gt;&lt;doi&gt;10.1111/j.1469-8137.2010.03415.x&lt;/doi&gt;&lt;startpage&gt;515&lt;/startpage&gt;&lt;publication_date&gt;99201010011200000000222000&lt;/publication_date&gt;&lt;url&gt;http://onlinelibrary.wiley.com.ezproxy.lib.ou.edu/doi/10.1111/j.1469-8137.2010.03415.x/full&lt;/url&gt;&lt;type&gt;400&lt;/type&gt;&lt;title&gt;Association genetics of traits controlling lignin and cellulose biosynthesis in black cottonwood (Populus trichocarpa, Salicaceae) secondary xylem&lt;/title&gt;&lt;publisher&gt;Blackwell Publishing Ltd&lt;/publisher&gt;&lt;number&gt;2&lt;/number&gt;&lt;subtype&gt;400&lt;/subtype&gt;&lt;endpage&gt;532&lt;/endpage&gt;&lt;bundle&gt;&lt;publication&gt;&lt;publisher&gt;Blackwell Publishing Ltd&lt;/publisher&gt;&lt;title&gt;New Phytologist&lt;/title&gt;&lt;type&gt;-100&lt;/type&gt;&lt;subtype&gt;-100&lt;/subtype&gt;&lt;uuid&gt;AC057AF6-4AD4-44EA-9945-DDA9F953B259&lt;/uuid&gt;&lt;/publication&gt;&lt;/bundle&gt;&lt;authors&gt;&lt;author&gt;&lt;firstName&gt;Jill&lt;/firstName&gt;&lt;middleNames&gt;L&lt;/middleNames&gt;&lt;lastName&gt;Wegrzyn&lt;/lastName&gt;&lt;/author&gt;&lt;author&gt;&lt;firstName&gt;Andrew&lt;/firstName&gt;&lt;middleNames&gt;J&lt;/middleNames&gt;&lt;lastName&gt;Eckert&lt;/lastName&gt;&lt;/author&gt;&lt;author&gt;&lt;firstName&gt;Minyoung&lt;/firstName&gt;&lt;lastName&gt;Choi&lt;/lastName&gt;&lt;/author&gt;&lt;author&gt;&lt;firstName&gt;Jennifer&lt;/firstName&gt;&lt;middleNames&gt;M&lt;/middleNames&gt;&lt;lastName&gt;Lee&lt;/lastName&gt;&lt;/author&gt;&lt;author&gt;&lt;firstName&gt;Brian&lt;/firstName&gt;&lt;middleNames&gt;J&lt;/middleNames&gt;&lt;lastName&gt;Stanton&lt;/lastName&gt;&lt;/author&gt;&lt;author&gt;&lt;firstName&gt;Robert&lt;/firstName&gt;&lt;lastName&gt;Sykes&lt;/lastName&gt;&lt;/author&gt;&lt;author&gt;&lt;firstName&gt;Mark&lt;/firstName&gt;&lt;middleNames&gt;F&lt;/middleNames&gt;&lt;lastName&gt;Davis&lt;/lastName&gt;&lt;/author&gt;&lt;author&gt;&lt;firstName&gt;Chung&lt;/firstName&gt;&lt;middleNames&gt;Jui&lt;/middleNames&gt;&lt;lastName&gt;Tsai&lt;/lastName&gt;&lt;/author&gt;&lt;author&gt;&lt;firstName&gt;David&lt;/firstName&gt;&lt;middleNames&gt;B&lt;/middleNames&gt;&lt;lastName&gt;Neale&lt;/lastName&gt;&lt;/author&gt;&lt;/authors&gt;&lt;/publication&gt;&lt;publication&gt;&lt;uuid&gt;B661E55E-6CAB-4AA8-9E55-3A5BA1137FE2&lt;/uuid&gt;&lt;volume&gt;165&lt;/volume&gt;&lt;doi&gt;10.1104/pp.114.242446&lt;/doi&gt;&lt;startpage&gt;1475&lt;/startpage&gt;&lt;publication_date&gt;99201406271200000000222000&lt;/publication_date&gt;&lt;url&gt;http://www.plantphysiol.org/content/165/4/1475.full&lt;/url&gt;&lt;type&gt;400&lt;/type&gt;&lt;title&gt;Genetic Determinants for Enzymatic Digestion of Lignocellulosic Biomass Are Independent of Those for Lignin Abundance in a Maize Recombinant Inbred Population.&lt;/title&gt;&lt;publisher&gt;American Society of Plant Biologists&lt;/publisher&gt;&lt;institution&gt;Departments of Biological Sciences (B.W.P., M.C.M., N.C.C.), Botany and Plant Pathology (C.K.D., M.A.H., J.F.K., N.C.C.), and Agronomy (N.C.B., C.F.W.), Laboratory of Renewable Resources Engineering and Agricultural and Biological Engineering (N.S.M.), and Bioinformatics Core (J.T.S., J.T.), Purdue University, West Lafayette, Indiana 47907;National Bioenergy Center, National Renewable Energy Laboratory, Golden, Colorado 80401 (R.W.S., M.F., A.Z., M.F.D., S.R.D., G.B.T.); andDepartment of Plant Biology, University of Minnesota, St. Paul, Minnesota 55108 (N.M.S.).&lt;/institution&gt;&lt;number&gt;4&lt;/number&gt;&lt;subtype&gt;400&lt;/subtype&gt;&lt;endpage&gt;1487&lt;/endpage&gt;&lt;bundle&gt;&lt;publication&gt;&lt;publisher&gt;American Society of Plant Physiologists&lt;/publisher&gt;&lt;title&gt;Plant physiology&lt;/title&gt;&lt;type&gt;-100&lt;/type&gt;&lt;subtype&gt;-100&lt;/subtype&gt;&lt;uuid&gt;B97DA55A-D50B-4A35-A621-F9088F5658CB&lt;/uuid&gt;&lt;/publication&gt;&lt;/bundle&gt;&lt;authors&gt;&lt;author&gt;&lt;firstName&gt;Bryan&lt;/firstName&gt;&lt;middleNames&gt;W&lt;/middleNames&gt;&lt;lastName&gt;Penning&lt;/lastName&gt;&lt;/author&gt;&lt;author&gt;&lt;firstName&gt;Robert&lt;/firstName&gt;&lt;middleNames&gt;W&lt;/middleNames&gt;&lt;lastName&gt;Sykes&lt;/lastName&gt;&lt;/author&gt;&lt;author&gt;&lt;firstName&gt;Nicholas&lt;/firstName&gt;&lt;middleNames&gt;C&lt;/middleNames&gt;&lt;lastName&gt;Babcock&lt;/lastName&gt;&lt;/author&gt;&lt;author&gt;&lt;firstName&gt;Christopher&lt;/firstName&gt;&lt;middleNames&gt;K&lt;/middleNames&gt;&lt;lastName&gt;Dugard&lt;/lastName&gt;&lt;/author&gt;&lt;author&gt;&lt;firstName&gt;Michael&lt;/firstName&gt;&lt;middleNames&gt;A&lt;/middleNames&gt;&lt;lastName&gt;Held&lt;/lastName&gt;&lt;/author&gt;&lt;author&gt;&lt;firstName&gt;John&lt;/firstName&gt;&lt;middleNames&gt;F&lt;/middleNames&gt;&lt;lastName&gt;Klimek&lt;/lastName&gt;&lt;/author&gt;&lt;author&gt;&lt;firstName&gt;Jacob&lt;/firstName&gt;&lt;middleNames&gt;T&lt;/middleNames&gt;&lt;lastName&gt;Shreve&lt;/lastName&gt;&lt;/author&gt;&lt;author&gt;&lt;firstName&gt;Matthew&lt;/firstName&gt;&lt;lastName&gt;Fowler&lt;/lastName&gt;&lt;/author&gt;&lt;author&gt;&lt;firstName&gt;Angela&lt;/firstName&gt;&lt;lastName&gt;Ziebell&lt;/lastName&gt;&lt;/author&gt;&lt;author&gt;&lt;firstName&gt;Mark&lt;/firstName&gt;&lt;middleNames&gt;F&lt;/middleNames&gt;&lt;lastName&gt;Davis&lt;/lastName&gt;&lt;/author&gt;&lt;author&gt;&lt;firstName&gt;Stephen&lt;/firstName&gt;&lt;middleNames&gt;R&lt;/middleNames&gt;&lt;lastName&gt;Decker&lt;/lastName&gt;&lt;/author&gt;&lt;author&gt;&lt;firstName&gt;Geoffrey&lt;/firstName&gt;&lt;middleNames&gt;B&lt;/middleNames&gt;&lt;lastName&gt;Turner&lt;/lastName&gt;&lt;/author&gt;&lt;author&gt;&lt;firstName&gt;Nathan&lt;/firstName&gt;&lt;middleNames&gt;S&lt;/middleNames&gt;&lt;lastName&gt;Mosier&lt;/lastName&gt;&lt;/author&gt;&lt;author&gt;&lt;firstName&gt;Nathan&lt;/firstName&gt;&lt;middleNames&gt;M&lt;/middleNames&gt;&lt;lastName&gt;Springer&lt;/lastName&gt;&lt;/author&gt;&lt;author&gt;&lt;firstName&gt;Jyothi&lt;/firstName&gt;&lt;lastName&gt;Thimmapuram&lt;/lastName&gt;&lt;/author&gt;&lt;author&gt;&lt;firstName&gt;Clifford&lt;/firstName&gt;&lt;middleNames&gt;F&lt;/middleNames&gt;&lt;lastName&gt;Weil&lt;/lastName&gt;&lt;/author&gt;&lt;author&gt;&lt;firstName&gt;Maureen&lt;/firstName&gt;&lt;middleNames&gt;C&lt;/middleNames&gt;&lt;lastName&gt;McCann&lt;/lastName&gt;&lt;/author&gt;&lt;author&gt;&lt;firstName&gt;Nicholas&lt;/firstName&gt;&lt;middleNames&gt;C&lt;/middleNames&gt;&lt;lastName&gt;Carpita&lt;/lastName&gt;&lt;/author&gt;&lt;/authors&gt;&lt;/publication&gt;&lt;/publications&gt;&lt;cites&gt;&lt;/cites&gt;&lt;/citation&gt;</w:instrText>
      </w:r>
      <w:r w:rsidR="00190B56">
        <w:fldChar w:fldCharType="separate"/>
      </w:r>
      <w:r w:rsidR="001C1AAC">
        <w:t>(</w:t>
      </w:r>
      <w:r w:rsidR="001C1AAC">
        <w:rPr>
          <w:i/>
          <w:iCs/>
        </w:rPr>
        <w:t>114</w:t>
      </w:r>
      <w:r w:rsidR="001C1AAC">
        <w:t xml:space="preserve">, </w:t>
      </w:r>
      <w:r w:rsidR="001C1AAC">
        <w:rPr>
          <w:i/>
          <w:iCs/>
        </w:rPr>
        <w:t>115</w:t>
      </w:r>
      <w:r w:rsidR="001C1AAC">
        <w:t>)</w:t>
      </w:r>
      <w:r w:rsidR="00190B56">
        <w:fldChar w:fldCharType="end"/>
      </w:r>
      <w:r w:rsidR="00190B56">
        <w:t>,</w:t>
      </w:r>
      <w:r>
        <w:t xml:space="preserve"> it is also possible to genetically modify biomass composition</w:t>
      </w:r>
      <w:r w:rsidR="00190B56">
        <w:t xml:space="preserve"> </w:t>
      </w:r>
      <w:r w:rsidR="00190B56">
        <w:fldChar w:fldCharType="begin"/>
      </w:r>
      <w:r w:rsidR="00807999">
        <w:instrText xml:space="preserve"> ADDIN PAPERS2_CITATIONS &lt;citation&gt;&lt;uuid&gt;C6B4EE4E-D87F-4A2A-B6C1-664224BBEA79&lt;/uuid&gt;&lt;priority&gt;0&lt;/priority&gt;&lt;publications&gt;&lt;publication&gt;&lt;volume&gt;63&lt;/volume&gt;&lt;publication_date&gt;99200900001200000000200000&lt;/publication_date&gt;&lt;number&gt;4&lt;/number&gt;&lt;startpage&gt;178&lt;/startpage&gt;&lt;title&gt;Plant and microbial research seeks biofuel production from lignocellulose&lt;/title&gt;&lt;uuid&gt;0DF353C8-074F-4B45-A703-9D9C5A092C17&lt;/uuid&gt;&lt;subtype&gt;400&lt;/subtype&gt;&lt;publisher&gt;University of California, Agriculture and Natural Resources&lt;/publisher&gt;&lt;type&gt;400&lt;/type&gt;&lt;endpage&gt;184&lt;/endpage&gt;&lt;url&gt;http://californiaagriculture.ucanr.org/fileaccess.cfm?article=72955&amp;amp;p=RXNHGG&amp;amp;filetip=pdf&lt;/url&gt;&lt;bundle&gt;&lt;publication&gt;&lt;title&gt;California Agriculture&lt;/title&gt;&lt;type&gt;-100&lt;/type&gt;&lt;subtype&gt;-100&lt;/subtype&gt;&lt;uuid&gt;2C3D19BF-3304-4572-87EF-F4B74DB6C80E&lt;/uuid&gt;&lt;/publication&gt;&lt;/bundle&gt;&lt;authors&gt;&lt;author&gt;&lt;firstName&gt;Laura&lt;/firstName&gt;&lt;middleNames&gt;E&lt;/middleNames&gt;&lt;lastName&gt;Bartley&lt;/lastName&gt;&lt;/author&gt;&lt;author&gt;&lt;firstName&gt;Pamela&lt;/firstName&gt;&lt;middleNames&gt;C&lt;/middleNames&gt;&lt;lastName&gt;Ronald&lt;/lastName&gt;&lt;/author&gt;&lt;/authors&gt;&lt;/publication&gt;&lt;/publications&gt;&lt;cites&gt;&lt;/cites&gt;&lt;/citation&gt;</w:instrText>
      </w:r>
      <w:r w:rsidR="00190B56">
        <w:fldChar w:fldCharType="separate"/>
      </w:r>
      <w:r w:rsidR="001C1AAC">
        <w:t>(</w:t>
      </w:r>
      <w:r w:rsidR="001C1AAC">
        <w:rPr>
          <w:i/>
          <w:iCs/>
        </w:rPr>
        <w:t>116</w:t>
      </w:r>
      <w:r w:rsidR="001C1AAC">
        <w:t>)</w:t>
      </w:r>
      <w:r w:rsidR="00190B56">
        <w:fldChar w:fldCharType="end"/>
      </w:r>
      <w:r>
        <w:t>. Most simply, genetic engineering of bioenergy plants can be achieved by modifying the plant’s genome to 1) express genes from other organisms, 2) increase expression of native genes, or 3) reduce expression of native genes. More complex schemes are also possible, in which expression patterns of genes are altered through synthetic biology approaches that recombine various genetic elements (e.g.,</w:t>
      </w:r>
      <w:r w:rsidR="00190B56">
        <w:t xml:space="preserve"> </w:t>
      </w:r>
      <w:r w:rsidR="00190B56">
        <w:fldChar w:fldCharType="begin"/>
      </w:r>
      <w:r w:rsidR="00807999">
        <w:instrText xml:space="preserve"> ADDIN PAPERS2_CITATIONS &lt;citation&gt;&lt;uuid&gt;66759994-4437-4966-B986-7DEF16B6EEBC&lt;/uuid&gt;&lt;priority&gt;0&lt;/priority&gt;&lt;publications&gt;&lt;publication&gt;&lt;volume&gt;11&lt;/volume&gt;&lt;number&gt;3&lt;/number&gt;&lt;doi&gt;10.1111/Pbi.12016&lt;/doi&gt;&lt;institution&gt;Loque, D</w:instrText>
      </w:r>
    </w:p>
    <w:p w14:paraId="02BF2E8F" w14:textId="77777777" w:rsidR="00807999" w:rsidRDefault="00807999" w:rsidP="00C85EA1">
      <w:r>
        <w:instrText>Univ Calif Berkeley, Lawrence Berkeley Natl Lab, Joint BioEnergy Inst, Phys Biosci Div, 1 Cyclotron Rd, Berkeley, CA 94720 USA</w:instrText>
      </w:r>
    </w:p>
    <w:p w14:paraId="2546B01D" w14:textId="77777777" w:rsidR="00807999" w:rsidRDefault="00807999" w:rsidP="00C85EA1">
      <w:r>
        <w:instrText>Univ Calif Berkeley, Lawrence Berkeley Natl Lab, Joint BioEnergy Inst, Phys Biosci Div, 1 Cyclotron Rd, Berkeley, CA 94720 USA</w:instrText>
      </w:r>
    </w:p>
    <w:p w14:paraId="4CC101A3" w14:textId="77777777" w:rsidR="00807999" w:rsidRDefault="00807999" w:rsidP="00C85EA1">
      <w:r>
        <w:instrText>Univ Calif Berkeley, Lawrence Berkeley Natl Lab, Joint BioEnergy Inst, Phys Biosci Div, Berkeley, CA 94720 USA</w:instrText>
      </w:r>
    </w:p>
    <w:p w14:paraId="38825238" w14:textId="6326FF61" w:rsidR="00C85EA1" w:rsidRDefault="00807999" w:rsidP="00C85EA1">
      <w:r>
        <w:instrText>Shanghai Jiao Tong Univ, FSN Plant Biotechnol R&amp;amp;D Ctr, Shanghai 200030, Peoples R China&lt;/institution&gt;&lt;startpage&gt;325&lt;/startpage&gt;&lt;title&gt;Engineering secondary cell wall deposition in plants&lt;/title&gt;&lt;uuid&gt;AE207885-841D-43C4-89CF-63FD1338398B&lt;/uuid&gt;&lt;subtype&gt;400&lt;/subtype&gt;&lt;endpage&gt;335&lt;/endpage&gt;&lt;type&gt;400&lt;/type&gt;&lt;publication_date&gt;99201304001200000000220000&lt;/publication_date&gt;&lt;bundle&gt;&lt;publication&gt;&lt;title&gt;Plant Biotechnology Journal&lt;/title&gt;&lt;type&gt;-100&lt;/type&gt;&lt;subtype&gt;-100&lt;/subtype&gt;&lt;uuid&gt;14FDD847-5EC1-4E33-9A3E-8C68E290860B&lt;/uuid&gt;&lt;/publication&gt;&lt;/bundle&gt;&lt;authors&gt;&lt;author&gt;&lt;firstName&gt;F&lt;/firstName&gt;&lt;lastName&gt;Yang&lt;/lastName&gt;&lt;/author&gt;&lt;author&gt;&lt;firstName&gt;P&lt;/firstName&gt;&lt;lastName&gt;Mitra&lt;/lastName&gt;&lt;/author&gt;&lt;author&gt;&lt;firstName&gt;L&lt;/firstName&gt;&lt;lastName&gt;Zhang&lt;/lastName&gt;&lt;/author&gt;&lt;author&gt;&lt;firstName&gt;L&lt;/firstName&gt;&lt;lastName&gt;Prak&lt;/lastName&gt;&lt;/author&gt;&lt;author&gt;&lt;firstName&gt;Y&lt;/firstName&gt;&lt;lastName&gt;Verhertbruggen&lt;/lastName&gt;&lt;/author&gt;&lt;author&gt;&lt;firstName&gt;J&lt;/firstName&gt;&lt;middleNames&gt;S&lt;/middleNames&gt;&lt;lastName&gt;Kim&lt;/lastName&gt;&lt;/author&gt;&lt;author&gt;&lt;firstName&gt;L&lt;/firstName&gt;&lt;lastName&gt;Sun&lt;/lastName&gt;&lt;/author&gt;&lt;author&gt;&lt;firstName&gt;K&lt;/firstName&gt;&lt;middleNames&gt;J&lt;/middleNames&gt;&lt;lastName&gt;Zheng&lt;/lastName&gt;&lt;/author&gt;&lt;author&gt;&lt;firstName&gt;K&lt;/firstName&gt;&lt;middleNames&gt;X&lt;/middleNames&gt;&lt;lastName&gt;Tang&lt;/lastName&gt;&lt;/author&gt;&lt;author&gt;&lt;firstName&gt;M&lt;/firstName&gt;&lt;lastName&gt;Auer&lt;/lastName&gt;&lt;/author&gt;&lt;author&gt;&lt;firstName&gt;H&lt;/firstName&gt;&lt;middleNames&gt;V&lt;/middleNames&gt;&lt;lastName&gt;Scheller&lt;/lastName&gt;&lt;/author&gt;&lt;author&gt;&lt;firstName&gt;D&lt;/firstName&gt;&lt;lastName&gt;Loque&lt;/lastName&gt;&lt;/author&gt;&lt;/authors&gt;&lt;/publication&gt;&lt;/publications&gt;&lt;cites&gt;&lt;/cites&gt;&lt;/citation&gt;</w:instrText>
      </w:r>
      <w:r w:rsidR="00190B56">
        <w:fldChar w:fldCharType="separate"/>
      </w:r>
      <w:r w:rsidR="001C1AAC">
        <w:t>(</w:t>
      </w:r>
      <w:r w:rsidR="001C1AAC">
        <w:rPr>
          <w:i/>
          <w:iCs/>
        </w:rPr>
        <w:t>117</w:t>
      </w:r>
      <w:r w:rsidR="001C1AAC">
        <w:t>)</w:t>
      </w:r>
      <w:r w:rsidR="00190B56">
        <w:fldChar w:fldCharType="end"/>
      </w:r>
      <w:r w:rsidR="00C85EA1">
        <w:t>). The most common method for plant genetic engineering co-opts the molecular machinery of a bacterial pathogen that introduces genes into plant chromosomes to facilitate its pathogenesis.</w:t>
      </w:r>
    </w:p>
    <w:p w14:paraId="25386E1B" w14:textId="77777777" w:rsidR="00807999" w:rsidRDefault="00C85EA1" w:rsidP="00C85EA1">
      <w:r>
        <w:t xml:space="preserve">Genetic engineering to improve bio-oil production would aim to increase biomass components that enhance the yield of favored products and/or to decrease components that produce disfavored products or interfere with up-grading strategies. Advances in understanding cell wall biosynthesis, including genes responsible for synthesizing the major polymer classes </w:t>
      </w:r>
      <w:r w:rsidR="00190B56">
        <w:fldChar w:fldCharType="begin"/>
      </w:r>
      <w:r w:rsidR="00807999">
        <w:instrText xml:space="preserve"> ADDIN PAPERS2_CITATIONS &lt;citation&gt;&lt;uuid&gt;CF1F9DEA-A252-4F00-8B1A-AB1F094CC45D&lt;/uuid&gt;&lt;priority&gt;0&lt;/priority&gt;&lt;publications&gt;&lt;publication&gt;&lt;volume&gt;44&lt;/volume&gt;&lt;publication_date&gt;99201012001200000000220000&lt;/publication_date&gt;&lt;number&gt;1&lt;/number&gt;&lt;doi&gt;10.1146/annurev-genet-102209-163508&lt;/doi&gt;&lt;startpage&gt;337&lt;/startpage&gt;&lt;title&gt;The Genetics of Lignin Biosynthesis: Connecting Genotype to Phenotype&lt;/title&gt;&lt;uuid&gt;94884C6D-6307-4ED2-AC46-E88DB7E28CCC&lt;/uuid&gt;&lt;subtype&gt;400&lt;/subtype&gt;&lt;endpage&gt;363&lt;/endpage&gt;&lt;type&gt;400&lt;/type&gt;&lt;url&gt;http://www.annualreviews.org/doi/abs/10.1146/annurev-genet-102209-163508&lt;/url&gt;&lt;bundle&gt;&lt;publication&gt;&lt;title&gt;Annual Review of Genetics&lt;/title&gt;&lt;type&gt;-100&lt;/type&gt;&lt;subtype&gt;-100&lt;/subtype&gt;&lt;uuid&gt;493F6A49-27F9-44FC-BDF2-3CCDBA11C8D9&lt;/uuid&gt;&lt;/publication&gt;&lt;/bundle&gt;&lt;authors&gt;&lt;author&gt;&lt;firstName&gt;Nicholas&lt;/firstName&gt;&lt;middleNames&gt;D&lt;/middleNames&gt;&lt;lastName&gt;Bonawitz&lt;/lastName&gt;&lt;/author&gt;&lt;author&gt;&lt;firstName&gt;Clint&lt;/firstName&gt;&lt;lastName&gt;Chapple&lt;/lastName&gt;&lt;/author&gt;&lt;/authors&gt;&lt;/publication&gt;&lt;publication&gt;&lt;volume&gt;61&lt;/volume&gt;&lt;publication_date&gt;99201000001200000000200000&lt;/publication_date&gt;&lt;number&gt;1&lt;/number&gt;&lt;doi&gt;10.1146/annurev-arplant-042809-112315&lt;/doi&gt;&lt;startpage&gt;263&lt;/startpage&gt;&lt;title&gt;Hemicelluloses&lt;/title&gt;&lt;uuid&gt;3197DB28-417C-4088-8849-5A6795896816&lt;/uuid&gt;&lt;subtype&gt;400&lt;/subtype&gt;&lt;endpage&gt;289&lt;/endpage&gt;&lt;type&gt;400&lt;/type&gt;&lt;url&gt;http://www.annualreviews.org/doi/abs/10.1146/annurev-arplant-042809-112315&lt;/url&gt;&lt;bundle&gt;&lt;publication&gt;&lt;title&gt;Annual review of plant biology&lt;/title&gt;&lt;type&gt;-100&lt;/type&gt;&lt;subtype&gt;-100&lt;/subtype&gt;&lt;uuid&gt;4CDB0732-FE75-4F56-9627-A14F8E94872D&lt;/uuid&gt;&lt;/publication&gt;&lt;/bundle&gt;&lt;authors&gt;&lt;author&gt;&lt;firstName&gt;Henrik&lt;/firstName&gt;&lt;middleNames&gt;Vibe&lt;/middleNames&gt;&lt;lastName&gt;Scheller&lt;/lastName&gt;&lt;/author&gt;&lt;author&gt;&lt;firstName&gt;Peter&lt;/firstName&gt;&lt;lastName&gt;Ulvskov&lt;/lastName&gt;&lt;/author&gt;&lt;/authors&gt;&lt;/publication&gt;&lt;publication&gt;&lt;uuid&gt;37B3DE72-4DEE-430D-BC11-7BE9CAE7ACDC&lt;/uuid&gt;&lt;volume&gt;238&lt;/volume&gt;&lt;doi&gt;10.1007/s00425-013-1921-1&lt;/doi&gt;&lt;startpage&gt;627&lt;/startpage&gt;&lt;publication_date&gt;99201300001200000000200000&lt;/publication_date&gt;&lt;url&gt;http://link.springer.com.ezproxy.lib.ou.edu/article/10.1007/s00425-013-1921-1/fulltext.html&lt;/url&gt;&lt;type&gt;400&lt;/type&gt;&lt;title&gt;Hemicellulose biosynthesis&lt;/title&gt;&lt;publisher&gt;Springer Berlin Heidelberg&lt;/publisher&gt;&lt;number&gt;4&lt;/number&gt;&lt;subtype&gt;400&lt;/subtype&gt;&lt;endpage&gt;642&lt;/endpage&gt;&lt;bundle&gt;&lt;publication&gt;&lt;title&gt;Planta&lt;/title&gt;&lt;type&gt;-100&lt;/type&gt;&lt;subtype&gt;-100&lt;/subtype&gt;&lt;uuid&gt;73D013A8-46B6-4E8C-A80A-E48EDF6129BA&lt;/uuid&gt;&lt;/publication&gt;&lt;/bundle&gt;&lt;authors&gt;&lt;author&gt;&lt;firstName&gt;Markus&lt;/firstName&gt;&lt;lastName&gt;Pauly&lt;/lastName&gt;&lt;/author&gt;&lt;author&gt;&lt;firstName&gt;Sascha&lt;/firstName&gt;&lt;lastName&gt;Gille&lt;/lastName&gt;&lt;/author&gt;&lt;author&gt;&lt;firstName&gt;Lifeng&lt;/firstName&gt;&lt;lastName&gt;Liu&lt;/lastName&gt;&lt;/author&gt;&lt;author&gt;&lt;firstName&gt;Nasim&lt;/firstName&gt;&lt;lastName&gt;Mansoori&lt;/lastName&gt;&lt;/author&gt;&lt;author&gt;&lt;nonDroppingParticle&gt;de&lt;/nonDroppingParticle&gt;&lt;firstName&gt;Amancio&lt;/firstName&gt;&lt;lastName&gt;Souza&lt;/lastName&gt;&lt;/author&gt;&lt;author&gt;&lt;firstName&gt;Alex&lt;/firstName&gt;&lt;lastName&gt;Schultink&lt;/lastName&gt;&lt;/author&gt;&lt;author&gt;&lt;firstName&gt;Guangyan&lt;/firstName&gt;&lt;lastName&gt;Xiong&lt;/lastName&gt;&lt;/author&gt;&lt;/authors&gt;&lt;/publication&gt;&lt;/publications&gt;&lt;cites&gt;&lt;/cites&gt;&lt;/citation&gt;</w:instrText>
      </w:r>
      <w:r w:rsidR="00190B56">
        <w:fldChar w:fldCharType="separate"/>
      </w:r>
      <w:r w:rsidR="001C1AAC">
        <w:t>(</w:t>
      </w:r>
      <w:r w:rsidR="001C1AAC">
        <w:rPr>
          <w:i/>
          <w:iCs/>
        </w:rPr>
        <w:t>41</w:t>
      </w:r>
      <w:r w:rsidR="001C1AAC">
        <w:t xml:space="preserve">, </w:t>
      </w:r>
      <w:r w:rsidR="001C1AAC">
        <w:rPr>
          <w:i/>
          <w:iCs/>
        </w:rPr>
        <w:t>51</w:t>
      </w:r>
      <w:r w:rsidR="001C1AAC">
        <w:t xml:space="preserve">, </w:t>
      </w:r>
      <w:r w:rsidR="001C1AAC">
        <w:rPr>
          <w:i/>
          <w:iCs/>
        </w:rPr>
        <w:t>118</w:t>
      </w:r>
      <w:r w:rsidR="001C1AAC">
        <w:t>)</w:t>
      </w:r>
      <w:r w:rsidR="00190B56">
        <w:fldChar w:fldCharType="end"/>
      </w:r>
      <w:r w:rsidR="00190B56">
        <w:t xml:space="preserve"> </w:t>
      </w:r>
      <w:r>
        <w:t>and covalent interactions among them (e.g.,</w:t>
      </w:r>
      <w:r w:rsidR="00190B56">
        <w:t xml:space="preserve"> </w:t>
      </w:r>
      <w:r w:rsidR="00190B56">
        <w:fldChar w:fldCharType="begin"/>
      </w:r>
      <w:r w:rsidR="00807999">
        <w:instrText xml:space="preserve"> ADDIN PAPERS2_CITATIONS &lt;citation&gt;&lt;uuid&gt;B68E7C97-6285-4D56-B4AE-B8276B20DE91&lt;/uuid&gt;&lt;priority&gt;0&lt;/priority&gt;&lt;publications&gt;&lt;publication&gt;&lt;uuid&gt;00BC8FFC-0F35-4F61-B8DE-5D24662F8D5E&lt;/uuid&gt;&lt;volume&gt;109&lt;/volume&gt;&lt;doi&gt;10.1073/pnas.1202079109&lt;/doi&gt;&lt;startpage&gt;17117&lt;/startpage&gt;&lt;publication_date&gt;99201210161200000000222000&lt;/publication_date&gt;&lt;url&gt;http://www.pnas.org/content/109/42/17117.full&lt;/url&gt;&lt;type&gt;400&lt;/type&gt;&lt;title&gt;XAX1 from glycosyltransferase family 61 mediates xylosyltransfer to rice xylan.&lt;/title&gt;&lt;publisher&gt;National Acad Sciences&lt;/publisher&gt;&lt;institution&gt;Department of Plant Pathology and the Genome Center, University of California, Davis, CA 95616, USA.&lt;/institution&gt;&lt;number&gt;42&lt;/number&gt;&lt;subtype&gt;400&lt;/subtype&gt;&lt;endpage&gt;17122&lt;/endpage&gt;&lt;bundle&gt;&lt;publication&gt;&lt;title&gt;Proceedings of the National Academy of Sciences of the United States of America&lt;/title&gt;&lt;type&gt;-100&lt;/type&gt;&lt;subtype&gt;-100&lt;/subtype&gt;&lt;uuid&gt;E2F9B54C-754E-42B4-B9E0-FC5FA065819C&lt;/uuid&gt;&lt;/publication&gt;&lt;/bundle&gt;&lt;authors&gt;&lt;author&gt;&lt;firstName&gt;Dawn&lt;/firstName&gt;&lt;lastName&gt;Chiniquy&lt;/lastName&gt;&lt;/author&gt;&lt;author&gt;&lt;firstName&gt;Vaishali&lt;/firstName&gt;&lt;lastName&gt;Sharma&lt;/lastName&gt;&lt;/author&gt;&lt;author&gt;&lt;firstName&gt;Alex&lt;/firstName&gt;&lt;lastName&gt;Schultink&lt;/lastName&gt;&lt;/author&gt;&lt;author&gt;&lt;firstName&gt;Edward&lt;/firstName&gt;&lt;middleNames&gt;E&lt;/middleNames&gt;&lt;lastName&gt;Baidoo&lt;/lastName&gt;&lt;/author&gt;&lt;author&gt;&lt;firstName&gt;Carsten&lt;/firstName&gt;&lt;lastName&gt;Rautengarten&lt;/lastName&gt;&lt;/author&gt;&lt;author&gt;&lt;firstName&gt;Kun&lt;/firstName&gt;&lt;lastName&gt;Cheng&lt;/lastName&gt;&lt;/author&gt;&lt;author&gt;&lt;firstName&gt;Andrew&lt;/firstName&gt;&lt;lastName&gt;Carroll&lt;/lastName&gt;&lt;/author&gt;&lt;author&gt;&lt;firstName&gt;Peter&lt;/firstName&gt;&lt;lastName&gt;Ulvskov&lt;/lastName&gt;&lt;/author&gt;&lt;author&gt;&lt;firstName&gt;Jesper&lt;/firstName&gt;&lt;lastName&gt;Harholt&lt;/lastName&gt;&lt;/author&gt;&lt;author&gt;&lt;firstName&gt;Jay&lt;/firstName&gt;&lt;middleNames&gt;D&lt;/middleNames&gt;&lt;lastName&gt;Keasling&lt;/lastName&gt;&lt;/author&gt;&lt;author&gt;&lt;firstName&gt;Markus&lt;/firstName&gt;&lt;lastName&gt;Pauly&lt;/lastName&gt;&lt;/author&gt;&lt;author&gt;&lt;firstName&gt;Henrik&lt;/firstName&gt;&lt;middleNames&gt;V&lt;/middleNames&gt;&lt;lastName&gt;Scheller&lt;/lastName&gt;&lt;/author&gt;&lt;author&gt;&lt;firstName&gt;Pamela&lt;/firstName&gt;&lt;middleNames&gt;C&lt;/middleNames&gt;&lt;lastName&gt;Ronald&lt;/lastName&gt;&lt;/author&gt;&lt;/authors&gt;&lt;/publication&gt;&lt;publication&gt;&lt;uuid&gt;912EBC1B-1997-4751-AA6B-0E8DE4C9C206&lt;/uuid&gt;&lt;volume&gt;161&lt;/volume&gt;&lt;doi&gt;10.1104/pp.112.208694&lt;/doi&gt;&lt;startpage&gt;1615&lt;/startpage&gt;&lt;publication_date&gt;99201304001200000000220000&lt;/publication_date&gt;&lt;url&gt;http://www.plantphysiol.org/content/161/4/1615&lt;/url&gt;&lt;type&gt;400&lt;/type&gt;&lt;title&gt;Overexpression of a BAHD Acyltransferase, OsAt10, Alters Rice Cell Wall Hydroxycinnamic Acid Content and Saccharification&lt;/title&gt;&lt;institution&gt;Ronald, PC</w:instrText>
      </w:r>
    </w:p>
    <w:p w14:paraId="583DC94F" w14:textId="77777777" w:rsidR="00807999" w:rsidRDefault="00807999" w:rsidP="00C85EA1">
      <w:r>
        <w:instrText>Univ Calif Davis, Dept Plant Pathol, Davis, CA 95616 USA</w:instrText>
      </w:r>
    </w:p>
    <w:p w14:paraId="795529FC" w14:textId="77777777" w:rsidR="00807999" w:rsidRDefault="00807999" w:rsidP="00C85EA1">
      <w:r>
        <w:instrText>Univ Calif Davis, Dept Plant Pathol, Davis, CA 95616 USA</w:instrText>
      </w:r>
    </w:p>
    <w:p w14:paraId="3D78590D" w14:textId="77777777" w:rsidR="00807999" w:rsidRDefault="00807999" w:rsidP="00C85EA1">
      <w:r>
        <w:instrText>Univ Oklahoma, Dept Microbiol &amp;amp; Plant Biol, Norman, OK 73019 USA</w:instrText>
      </w:r>
    </w:p>
    <w:p w14:paraId="2331A330" w14:textId="77777777" w:rsidR="00807999" w:rsidRDefault="00807999" w:rsidP="00C85EA1">
      <w:r>
        <w:instrText>Univ Oklahoma, Dept Chem &amp;amp; Biochem, Norman, OK 73019 USA</w:instrText>
      </w:r>
    </w:p>
    <w:p w14:paraId="5B0C2A61" w14:textId="77777777" w:rsidR="00807999" w:rsidRDefault="00807999" w:rsidP="00C85EA1">
      <w:r>
        <w:instrText>Univ Oklahoma, Dept Chem Biol &amp;amp; Mat Engn, Norman, OK 73019 USA</w:instrText>
      </w:r>
    </w:p>
    <w:p w14:paraId="547168D9" w14:textId="77777777" w:rsidR="00807999" w:rsidRDefault="00807999" w:rsidP="00C85EA1">
      <w:r>
        <w:instrText>Univ Calif Davis, Dept Plant Pathol, Davis, CA 95616 USA</w:instrText>
      </w:r>
    </w:p>
    <w:p w14:paraId="5642DC54" w14:textId="77777777" w:rsidR="00807999" w:rsidRDefault="00807999" w:rsidP="00C85EA1">
      <w:r>
        <w:instrText>Univ Calif Davis, Genome Ctr, Davis, CA 95616 USA</w:instrText>
      </w:r>
    </w:p>
    <w:p w14:paraId="73E02C5E" w14:textId="77777777" w:rsidR="00807999" w:rsidRDefault="00807999" w:rsidP="00C85EA1">
      <w:r>
        <w:instrText>Joint BioEnergy Inst, Emeryville, CA 94608 USA</w:instrText>
      </w:r>
    </w:p>
    <w:p w14:paraId="46B9EF34" w14:textId="77777777" w:rsidR="00807999" w:rsidRDefault="00807999" w:rsidP="00C85EA1">
      <w:r>
        <w:instrText>Kyung Hee Univ, Crop Biotech Inst, Yongin 446701, South Korea</w:instrText>
      </w:r>
    </w:p>
    <w:p w14:paraId="41872953" w14:textId="77777777" w:rsidR="00807999" w:rsidRDefault="00807999" w:rsidP="00C85EA1">
      <w:r>
        <w:instrText>Kyung Hee Univ, Dept Genet Engn, Yongin 446701, South Korea</w:instrText>
      </w:r>
    </w:p>
    <w:p w14:paraId="081DF221" w14:textId="77777777" w:rsidR="00807999" w:rsidRDefault="00807999" w:rsidP="00C85EA1">
      <w:r>
        <w:instrText>Univ Calif Berkeley, Lawrence Berkeley Natl Lab, Phys Biosci Div, Berkeley, CA 94720 USA</w:instrText>
      </w:r>
    </w:p>
    <w:p w14:paraId="19188F8F" w14:textId="77777777" w:rsidR="00807999" w:rsidRDefault="00807999" w:rsidP="00C85EA1">
      <w:r>
        <w:instrText>Natl Renewable Energy Lab, BioEnergy Sci Ctr, Golden, CO 80401 USA</w:instrText>
      </w:r>
    </w:p>
    <w:p w14:paraId="51F07126" w14:textId="77777777" w:rsidR="00807999" w:rsidRDefault="00807999" w:rsidP="00C85EA1">
      <w:r>
        <w:instrText>Zhengzhou Tobacco Res Inst, China Tobacco Gene Res Ctr, Zhengzhou 450001, Henan, Peoples R China</w:instrText>
      </w:r>
    </w:p>
    <w:p w14:paraId="6B7E7297" w14:textId="77777777" w:rsidR="00807999" w:rsidRDefault="00807999" w:rsidP="00C85EA1">
      <w:r>
        <w:instrText>Univ Calif Berkeley, Dept Chem &amp;amp; Biomol Engn, Dept Bioengn, Berkeley, CA 94720 USA&lt;/institution&gt;&lt;number&gt;4&lt;/number&gt;&lt;subtype&gt;400&lt;/subtype&gt;&lt;endpage&gt;1633&lt;/endpage&gt;&lt;bundle&gt;&lt;publication&gt;&lt;publisher&gt;American Society of Plant Physiologists&lt;/publisher&gt;&lt;title&gt;Plant physiology&lt;/title&gt;&lt;type&gt;-100&lt;/type&gt;&lt;subtype&gt;-100&lt;/subtype&gt;&lt;uuid&gt;B97DA55A-D50B-4A35-A621-F9088F5658CB&lt;/uuid&gt;&lt;/publication&gt;&lt;/bundle&gt;&lt;authors&gt;&lt;author&gt;&lt;firstName&gt;Laura&lt;/firstName&gt;&lt;middleNames&gt;E&lt;/middleNames&gt;&lt;lastName&gt;Bartley&lt;/lastName&gt;&lt;/author&gt;&lt;author&gt;&lt;firstName&gt;Matthew&lt;/firstName&gt;&lt;middleNames&gt;L&lt;/middleNames&gt;&lt;lastName&gt;Peck&lt;/lastName&gt;&lt;/author&gt;&lt;author&gt;&lt;firstName&gt;Sung-Ryul&lt;/firstName&gt;&lt;lastName&gt;Kim&lt;/lastName&gt;&lt;/author&gt;&lt;author&gt;&lt;firstName&gt;B&lt;/firstName&gt;&lt;lastName&gt;Ebert&lt;/lastName&gt;&lt;/author&gt;&lt;author&gt;&lt;firstName&gt;Chithra&lt;/firstName&gt;&lt;lastName&gt;Manisseri&lt;/lastName&gt;&lt;/author&gt;&lt;author&gt;&lt;firstName&gt;D&lt;/firstName&gt;&lt;middleNames&gt;M&lt;/middleNames&gt;&lt;lastName&gt;Chiniquy&lt;/lastName&gt;&lt;/author&gt;&lt;author&gt;&lt;firstName&gt;R&lt;/firstName&gt;&lt;lastName&gt;Sykes&lt;/lastName&gt;&lt;/author&gt;&lt;author&gt;&lt;firstName&gt;L&lt;/firstName&gt;&lt;middleNames&gt;F&lt;/middleNames&gt;&lt;lastName&gt;Gao&lt;/lastName&gt;&lt;/author&gt;&lt;author&gt;&lt;firstName&gt;Carsten&lt;/firstName&gt;&lt;lastName&gt;Rautengarten&lt;/lastName&gt;&lt;/author&gt;&lt;author&gt;&lt;firstName&gt;Miguel&lt;/firstName&gt;&lt;middleNames&gt;E&lt;/middleNames&gt;&lt;lastName&gt;Vega-Sánchez&lt;/lastName&gt;&lt;/author&gt;&lt;author&gt;&lt;firstName&gt;P&lt;/firstName&gt;&lt;middleNames&gt;I&lt;/middleNames&gt;&lt;lastName&gt;Benke&lt;/lastName&gt;&lt;/author&gt;&lt;author&gt;&lt;firstName&gt;P&lt;/firstName&gt;&lt;middleNames&gt;E&lt;/middleNames&gt;&lt;lastName&gt;Canlas&lt;/lastName&gt;&lt;/author&gt;&lt;author&gt;&lt;firstName&gt;P&lt;/firstName&gt;&lt;middleNames&gt;J&lt;/middleNames&gt;&lt;lastName&gt;Cao&lt;/lastName&gt;&lt;/author&gt;&lt;author&gt;&lt;firstName&gt;S&lt;/firstName&gt;&lt;lastName&gt;Brewer&lt;/lastName&gt;&lt;/author&gt;&lt;author&gt;&lt;firstName&gt;F&lt;/firstName&gt;&lt;lastName&gt;Lin&lt;/lastName&gt;&lt;/author&gt;&lt;author&gt;&lt;firstName&gt;W&lt;/firstName&gt;&lt;middleNames&gt;L&lt;/middleNames&gt;&lt;lastName&gt;Smith&lt;/lastName&gt;&lt;/author&gt;&lt;author&gt;&lt;firstName&gt;X&lt;/firstName&gt;&lt;middleNames&gt;H&lt;/middleNames&gt;&lt;lastName&gt;Zhang&lt;/lastName&gt;&lt;/author&gt;&lt;author&gt;&lt;firstName&gt;J&lt;/firstName&gt;&lt;middleNames&gt;D&lt;/middleNames&gt;&lt;lastName&gt;Keasling&lt;/lastName&gt;&lt;/author&gt;&lt;author&gt;&lt;firstName&gt;R&lt;/firstName&gt;&lt;middleNames&gt;E&lt;/middleNames&gt;&lt;lastName&gt;Jentoff&lt;/lastName&gt;&lt;/author&gt;&lt;author&gt;&lt;firstName&gt;S&lt;/firstName&gt;&lt;middleNames&gt;B&lt;/middleNames&gt;&lt;lastName&gt;Foster&lt;/lastName&gt;&lt;/author&gt;&lt;author&gt;&lt;firstName&gt;J&lt;/firstName&gt;&lt;middleNames&gt;Z&lt;/middleNames&gt;&lt;lastName&gt;Zhou&lt;/lastName&gt;&lt;/author&gt;&lt;author&gt;&lt;firstName&gt;A&lt;/firstName&gt;&lt;lastName&gt;Ziebell&lt;/lastName&gt;&lt;/author&gt;&lt;author&gt;&lt;firstName&gt;G&lt;/firstName&gt;&lt;lastName&gt;An&lt;/lastName&gt;&lt;/author&gt;&lt;author&gt;&lt;firstName&gt;H&lt;/firstName&gt;&lt;middleNames&gt;V&lt;/middleNames&gt;&lt;lastName&gt;Scheller&lt;/lastName&gt;&lt;/author&gt;&lt;author&gt;&lt;firstName&gt;Pamela&lt;/firstName&gt;&lt;middleNames&gt;C&lt;/middleNames&gt;&lt;lastName&gt;Ronald&lt;/lastName&gt;&lt;/author&gt;&lt;/authors&gt;&lt;/publication&gt;&lt;publication&gt;&lt;uuid&gt;DBD1E649-09CC-4B63-A687-4AA42E1E1DE5&lt;/uuid&gt;&lt;volume&gt;167&lt;/volume&gt;&lt;doi&gt;10.1104/pp.114.256479&lt;/doi&gt;&lt;startpage&gt;1271&lt;/startpage&gt;&lt;publication_date&gt;99201504001200000000220000&lt;/publication_date&gt;&lt;url&gt;http://www.plantphysiol.org/content/167/4/1271.full&lt;/url&gt;&lt;type&gt;400&lt;/type&gt;&lt;title&gt;The role of the plant-specific ALTERED XYLOGLUCAN9 protein in Arabidopsis cell wall polysaccharide O-acetylation.&lt;/title&gt;&lt;publisher&gt;American Society of Plant Biologists&lt;/publisher&gt;&lt;institution&gt;Department of Plant and Microbial Biology (A.S., D.N., M.P.) and Energy Biosciences Institute (M.D., M.P.), University of California, Berkeley, California 94720.&lt;/institution&gt;&lt;number&gt;4&lt;/number&gt;&lt;subtype&gt;400&lt;/subtype&gt;&lt;endpage&gt;1283&lt;/endpage&gt;&lt;bundle&gt;&lt;publication&gt;&lt;publisher&gt;American Society of Plant Physiologists&lt;/publisher&gt;&lt;title&gt;Plant physiology&lt;/title&gt;&lt;type&gt;-100&lt;/type&gt;&lt;subtype&gt;-100&lt;/subtype&gt;&lt;uuid&gt;B97DA55A-D50B-4A35-A621-F9088F5658CB&lt;/uuid&gt;&lt;/publication&gt;&lt;/bundle&gt;&lt;authors&gt;&lt;author&gt;&lt;firstName&gt;Alex&lt;/firstName&gt;&lt;lastName&gt;Schultink&lt;/lastName&gt;&lt;/author&gt;&lt;author&gt;&lt;firstName&gt;Dan&lt;/firstName&gt;&lt;lastName&gt;Naylor&lt;/lastName&gt;&lt;/author&gt;&lt;author&gt;&lt;firstName&gt;Murali&lt;/firstName&gt;&lt;lastName&gt;Dama&lt;/lastName&gt;&lt;/author&gt;&lt;author&gt;&lt;firstName&gt;Markus&lt;/firstName&gt;&lt;lastName&gt;Pauly&lt;/lastName&gt;&lt;/author&gt;&lt;/authors&gt;&lt;/publication&gt;&lt;/publications&gt;&lt;cites&gt;&lt;/cites&gt;&lt;/citation&gt;</w:instrText>
      </w:r>
      <w:r w:rsidR="00190B56">
        <w:fldChar w:fldCharType="separate"/>
      </w:r>
      <w:r w:rsidR="001C1AAC">
        <w:t>(</w:t>
      </w:r>
      <w:r w:rsidR="001C1AAC">
        <w:rPr>
          <w:i/>
          <w:iCs/>
        </w:rPr>
        <w:t>119</w:t>
      </w:r>
      <w:r w:rsidR="001C1AAC">
        <w:t>-</w:t>
      </w:r>
      <w:r w:rsidR="001C1AAC">
        <w:rPr>
          <w:i/>
          <w:iCs/>
        </w:rPr>
        <w:lastRenderedPageBreak/>
        <w:t>121</w:t>
      </w:r>
      <w:r w:rsidR="001C1AAC">
        <w:t>)</w:t>
      </w:r>
      <w:r w:rsidR="00190B56">
        <w:fldChar w:fldCharType="end"/>
      </w:r>
      <w:r w:rsidR="00C85EA1">
        <w:t>); regulation of expression of the cell wall biosynthesis genes</w:t>
      </w:r>
      <w:r w:rsidR="00190B56">
        <w:t xml:space="preserve"> </w:t>
      </w:r>
      <w:r w:rsidR="00190B56">
        <w:fldChar w:fldCharType="begin"/>
      </w:r>
      <w:r>
        <w:instrText xml:space="preserve"> ADDIN PAPERS2_CITATIONS &lt;citation&gt;&lt;uuid&gt;1C3DC1C0-2801-4289-AD84-DEAC7BC9CEF6&lt;/uuid&gt;&lt;priority&gt;0&lt;/priority&gt;&lt;publications&gt;&lt;publication&gt;&lt;volume&gt;16&lt;/volume&gt;&lt;publication_date&gt;99201104001200000000220000&lt;/publication_date&gt;&lt;number&gt;4&lt;/number&gt;&lt;doi&gt;10.1016/j.tplants.2010.12.005&lt;/doi&gt;&lt;startpage&gt;227&lt;/startpage&gt;&lt;title&gt;Transcriptional networks for lignin biosynthesis: more complex than we thought?&lt;/title&gt;&lt;uuid&gt;702392F3-6580-4557-AA02-80DE3D16CF6B&lt;/uuid&gt;&lt;subtype&gt;400&lt;/subtype&gt;&lt;endpage&gt;233&lt;/endpage&gt;&lt;type&gt;400&lt;/type&gt;&lt;url&gt;http://linkinghub.elsevier.com/retrieve/pii/S136013851000258X&lt;/url&gt;&lt;bundle&gt;&lt;publication&gt;&lt;title&gt;Trends in plant science&lt;/title&gt;&lt;type&gt;-100&lt;/type&gt;&lt;subtype&gt;-100&lt;/subtype&gt;&lt;uuid&gt;C2BE2158-AA29-483D-BFA3-6739A24512CC&lt;/uuid&gt;&lt;/publication&gt;&lt;/bundle&gt;&lt;authors&gt;&lt;author&gt;&lt;firstName&gt;Qiao&lt;/firstName&gt;&lt;lastName&gt;Zhao&lt;/lastName&gt;&lt;/author&gt;&lt;author&gt;&lt;firstName&gt;Richard&lt;/firstName&gt;&lt;middleNames&gt;A&lt;/middleNames&gt;&lt;lastName&gt;Dixon&lt;/lastName&gt;&lt;/author&gt;&lt;/authors&gt;&lt;/publication&gt;&lt;/publications&gt;&lt;cites&gt;&lt;/cites&gt;&lt;/citation&gt;</w:instrText>
      </w:r>
      <w:r w:rsidR="00190B56">
        <w:fldChar w:fldCharType="separate"/>
      </w:r>
      <w:r w:rsidR="001C1AAC">
        <w:t>(</w:t>
      </w:r>
      <w:r w:rsidR="001C1AAC">
        <w:rPr>
          <w:i/>
          <w:iCs/>
        </w:rPr>
        <w:t>122</w:t>
      </w:r>
      <w:r w:rsidR="001C1AAC">
        <w:t>)</w:t>
      </w:r>
      <w:r w:rsidR="00190B56">
        <w:fldChar w:fldCharType="end"/>
      </w:r>
      <w:r w:rsidR="00C85EA1">
        <w:t>; and metal ion transport proteins that determine the abundance and distribution of plant mineral content</w:t>
      </w:r>
      <w:r w:rsidR="00190B56">
        <w:t xml:space="preserve"> </w:t>
      </w:r>
      <w:r w:rsidR="00190B56">
        <w:fldChar w:fldCharType="begin"/>
      </w:r>
      <w:r>
        <w:instrText xml:space="preserve"> ADDIN PAPERS2_CITATIONS &lt;citation&gt;&lt;uuid&gt;0B770E09-BC35-4533-A295-3818E4002611&lt;/uuid&gt;&lt;priority&gt;0&lt;/priority&gt;&lt;publications&gt;&lt;publication&gt;&lt;uuid&gt;C407C3AF-555E-4DC6-B59F-DD1A48B27260&lt;/uuid&gt;&lt;volume&gt;440&lt;/volume&gt;&lt;doi&gt;10.1038/Nature04590&lt;/doi&gt;&lt;startpage&gt;688&lt;/startpage&gt;&lt;publication_date&gt;99200603301200000000222000&lt;/publication_date&gt;&lt;url&gt;http://www.nature.com/nature/journal/v440/n7084/full/nature04590.html&lt;/url&gt;&lt;type&gt;400&lt;/type&gt;&lt;title&gt;A silicon transporter in rice&lt;/title&gt;&lt;institution&gt;Ma, Jf</w:instrText>
      </w:r>
    </w:p>
    <w:p w14:paraId="785FA0BC" w14:textId="77777777" w:rsidR="00807999" w:rsidRDefault="00807999" w:rsidP="00C85EA1">
      <w:r>
        <w:instrText>Okayama Univ, Bioresources Res Inst, Chuo 2-20-1, Kurashiki, Okayama 7100046, Japan</w:instrText>
      </w:r>
    </w:p>
    <w:p w14:paraId="0FCF1353" w14:textId="77777777" w:rsidR="00807999" w:rsidRDefault="00807999" w:rsidP="00C85EA1">
      <w:r>
        <w:instrText>Okayama Univ, Bioresources Res Inst, Chuo 2-20-1, Kurashiki, Okayama 7100046, Japan</w:instrText>
      </w:r>
    </w:p>
    <w:p w14:paraId="2754A5CF" w14:textId="77777777" w:rsidR="00807999" w:rsidRDefault="00807999" w:rsidP="00C85EA1">
      <w:r>
        <w:instrText>Okayama Univ, Bioresources Res Inst, Kurashiki, Okayama 7100046, Japan</w:instrText>
      </w:r>
    </w:p>
    <w:p w14:paraId="3836252C" w14:textId="77777777" w:rsidR="00807999" w:rsidRDefault="00807999" w:rsidP="00C85EA1">
      <w:r>
        <w:instrText>Inst Soc Technoinnovat Agr Forestry &amp;amp; Fisheries, Tsukuba, Ibaraki 3050854, Japan</w:instrText>
      </w:r>
    </w:p>
    <w:p w14:paraId="0C017CE1" w14:textId="77777777" w:rsidR="00807999" w:rsidRDefault="00807999" w:rsidP="00C85EA1">
      <w:r>
        <w:instrText>Suntory Inst Bioorgan Res, Shimamoto, Osaka 6188503, Japan</w:instrText>
      </w:r>
    </w:p>
    <w:p w14:paraId="2BCC25B8" w14:textId="77777777" w:rsidR="00807999" w:rsidRDefault="00807999" w:rsidP="00C85EA1">
      <w:r>
        <w:instrText>Natl Inst Agrobiol Sci, Dept Mol Genet, Tsukuba, Ibaraki 3058602, Japan&lt;/institution&gt;&lt;number&gt;7084&lt;/number&gt;&lt;subtype&gt;400&lt;/subtype&gt;&lt;endpage&gt;691&lt;/endpage&gt;&lt;bundle&gt;&lt;publication&gt;&lt;url&gt;http://www.nature.com/nature&lt;/url&gt;&lt;title&gt;Nature&lt;/title&gt;&lt;type&gt;-100&lt;/type&gt;&lt;subtype&gt;-100&lt;/subtype&gt;&lt;uuid&gt;573997D1-3646-499E-A705-94A4257CD71A&lt;/uuid&gt;&lt;/publication&gt;&lt;/bundle&gt;&lt;authors&gt;&lt;author&gt;&lt;firstName&gt;J&lt;/firstName&gt;&lt;middleNames&gt;F&lt;/middleNames&gt;&lt;lastName&gt;Ma&lt;/lastName&gt;&lt;/author&gt;&lt;author&gt;&lt;firstName&gt;K&lt;/firstName&gt;&lt;lastName&gt;Tamai&lt;/lastName&gt;&lt;/author&gt;&lt;author&gt;&lt;firstName&gt;N&lt;/firstName&gt;&lt;lastName&gt;Yamaji&lt;/lastName&gt;&lt;/author&gt;&lt;author&gt;&lt;firstName&gt;N&lt;/firstName&gt;&lt;lastName&gt;Mitani&lt;/lastName&gt;&lt;/author&gt;&lt;author&gt;&lt;firstName&gt;S&lt;/firstName&gt;&lt;lastName&gt;Konishi&lt;/lastName&gt;&lt;/author&gt;&lt;author&gt;&lt;firstName&gt;M&lt;/firstName&gt;&lt;lastName&gt;Katsuhara&lt;/lastName&gt;&lt;/author&gt;&lt;author&gt;&lt;firstName&gt;M&lt;/firstName&gt;&lt;lastName&gt;Ishiguro&lt;/lastName&gt;&lt;/author&gt;&lt;author&gt;&lt;firstName&gt;Y&lt;/firstName&gt;&lt;lastName&gt;Murata&lt;/lastName&gt;&lt;/author&gt;&lt;author&gt;&lt;firstName&gt;M&lt;/firstName&gt;&lt;lastName&gt;Yano&lt;/lastName&gt;&lt;/author&gt;&lt;/authors&gt;&lt;/publication&gt;&lt;publication&gt;&lt;volume&gt;21&lt;/volume&gt;&lt;number&gt;9&lt;/number&gt;&lt;doi&gt;10.1105/tpc.109.069831&lt;/doi&gt;&lt;institution&gt;Ma, Jf</w:instrText>
      </w:r>
    </w:p>
    <w:p w14:paraId="400EC505" w14:textId="77777777" w:rsidR="00807999" w:rsidRDefault="00807999" w:rsidP="00C85EA1">
      <w:r>
        <w:instrText>Okayama Univ, Bioresources Res Inst, Kurashiki, Okayama 7100046, Japan</w:instrText>
      </w:r>
    </w:p>
    <w:p w14:paraId="1FEAB6D2" w14:textId="77777777" w:rsidR="00807999" w:rsidRDefault="00807999" w:rsidP="00C85EA1">
      <w:r>
        <w:instrText>Okayama Univ, Bioresources Res Inst, Kurashiki, Okayama 7100046, Japan</w:instrText>
      </w:r>
    </w:p>
    <w:p w14:paraId="7A98EF9A" w14:textId="472AEF21" w:rsidR="00C85EA1" w:rsidRDefault="00807999" w:rsidP="00C85EA1">
      <w:r>
        <w:instrText>Okayama Univ, Bioresources Res Inst, Kurashiki, Okayama 7100046, Japan&lt;/institution&gt;&lt;startpage&gt;2878&lt;/startpage&gt;&lt;title&gt;A Transporter at the Node Responsible for Intervascular Transfer of Silicon in Rice&lt;/title&gt;&lt;uuid&gt;855E7019-A935-4BC1-9A43-CF427B657F7B&lt;/uuid&gt;&lt;subtype&gt;400&lt;/subtype&gt;&lt;endpage&gt;2883&lt;/endpage&gt;&lt;type&gt;400&lt;/type&gt;&lt;publication_date&gt;99200909001200000000220000&lt;/publication_date&gt;&lt;bundle&gt;&lt;publication&gt;&lt;title&gt;Plant Cell&lt;/title&gt;&lt;type&gt;-100&lt;/type&gt;&lt;subtype&gt;-100&lt;/subtype&gt;&lt;uuid&gt;C8CB775A-9886-4F7A-9CA2-D704E6297029&lt;/uuid&gt;&lt;/publication&gt;&lt;/bundle&gt;&lt;authors&gt;&lt;author&gt;&lt;firstName&gt;N&lt;/firstName&gt;&lt;lastName&gt;Yamaji&lt;/lastName&gt;&lt;/author&gt;&lt;author&gt;&lt;firstName&gt;J&lt;/firstName&gt;&lt;middleNames&gt;F&lt;/middleNames&gt;&lt;lastName&gt;Ma&lt;/lastName&gt;&lt;/author&gt;&lt;/authors&gt;&lt;/publication&gt;&lt;publication&gt;&lt;uuid&gt;B8E75FC6-E9A3-450F-B5EF-187A491AD74C&lt;/uuid&gt;&lt;volume&gt;56&lt;/volume&gt;&lt;doi&gt;10.1093/pcp/pcu140&lt;/doi&gt;&lt;startpage&gt;195&lt;/startpage&gt;&lt;publication_date&gt;99201502111200000000222000&lt;/publication_date&gt;&lt;url&gt;http://pcp.oxfordjournals.org/cgi/doi/10.1093/pcp/pcu140&lt;/url&gt;&lt;type&gt;400&lt;/type&gt;&lt;title&gt;Secondary Cell Walls: Biosynthesis, Patterned Deposition and Transcriptional Regulation&lt;/title&gt;&lt;publisher&gt;Oxford University Press&lt;/publisher&gt;&lt;institution&gt;Department of Plant Biology, University of Georgia, Athens, GA 30602, USA.&lt;/institution&gt;&lt;number&gt;2&lt;/number&gt;&lt;subtype&gt;400&lt;/subtype&gt;&lt;endpage&gt;214&lt;/endpage&gt;&lt;bundle&gt;&lt;publication&gt;&lt;title&gt;Plant Cell Physiol&lt;/title&gt;&lt;type&gt;-100&lt;/type&gt;&lt;subtype&gt;-100&lt;/subtype&gt;&lt;uuid&gt;84D1328F-A38E-444F-B0F6-5D4BC951CFBD&lt;/uuid&gt;&lt;/publication&gt;&lt;/bundle&gt;&lt;authors&gt;&lt;author&gt;&lt;firstName&gt;R&lt;/firstName&gt;&lt;lastName&gt;Zhong&lt;/lastName&gt;&lt;/author&gt;&lt;author&gt;&lt;firstName&gt;Z&lt;/firstName&gt;&lt;middleNames&gt;H&lt;/middleNames&gt;&lt;lastName&gt;Ye&lt;/lastName&gt;&lt;/author&gt;&lt;/authors&gt;&lt;/publication&gt;&lt;/publications&gt;&lt;cites&gt;&lt;/cites&gt;&lt;/citation&gt;</w:instrText>
      </w:r>
      <w:r w:rsidR="00190B56">
        <w:fldChar w:fldCharType="separate"/>
      </w:r>
      <w:r w:rsidR="001C1AAC">
        <w:t>(</w:t>
      </w:r>
      <w:r w:rsidR="001C1AAC">
        <w:rPr>
          <w:i/>
          <w:iCs/>
        </w:rPr>
        <w:t>123</w:t>
      </w:r>
      <w:r w:rsidR="001C1AAC">
        <w:t>-</w:t>
      </w:r>
      <w:r w:rsidR="001C1AAC">
        <w:rPr>
          <w:i/>
          <w:iCs/>
        </w:rPr>
        <w:t>125</w:t>
      </w:r>
      <w:r w:rsidR="001C1AAC">
        <w:t>)</w:t>
      </w:r>
      <w:r w:rsidR="00190B56">
        <w:fldChar w:fldCharType="end"/>
      </w:r>
      <w:r w:rsidR="00190B56">
        <w:t>,</w:t>
      </w:r>
      <w:r w:rsidR="00C85EA1">
        <w:t xml:space="preserve"> lay the foundation for genetically engineering bioenergy crop cell wall content and structure. For example, lignin is an important target for genetic engineering for pyrolysis since the major lignin-derived products have a lower O:C ratio, a higher energy value, and are more stable than sugar-derived products </w:t>
      </w:r>
      <w:r w:rsidR="00190B56">
        <w:fldChar w:fldCharType="begin"/>
      </w:r>
      <w:r>
        <w:instrText xml:space="preserve"> ADDIN PAPERS2_CITATIONS &lt;citation&gt;&lt;uuid&gt;0441E40A-4E20-469F-A7FD-7F13E6AEBB20&lt;/uuid&gt;&lt;priority&gt;0&lt;/priority&gt;&lt;publications&gt;&lt;publication&gt;&lt;volume&gt;4&lt;/volume&gt;&lt;publication_date&gt;99201300001200000000200000&lt;/publication_date&gt;&lt;doi&gt;10.3389/fpls.2013.00218&lt;/doi&gt;&lt;title&gt;Biomass for thermochemical conversion: targets and challenges&lt;/title&gt;&lt;uuid&gt;5E8CD48A-E79C-4FEE-93B5-2479E71E4AEE&lt;/uuid&gt;&lt;subtype&gt;400&lt;/subtype&gt;&lt;type&gt;400&lt;/type&gt;&lt;citekey&gt;Tanger:2013cz&lt;/citekey&gt;&lt;url&gt;http://journal.frontiersin.org/article/10.3389/fpls.2013.00218/abstract&lt;/url&gt;&lt;bundle&gt;&lt;publication&gt;&lt;publisher&gt;&lt;/publisher&gt;&lt;title&gt;Frontiers in Plant Science&lt;/title&gt;&lt;type&gt;-100&lt;/type&gt;&lt;subtype&gt;-100&lt;/subtype&gt;&lt;uuid&gt;8AA6A00A-CE07-44F2-813A-4FD9FCE7A180&lt;/uuid&gt;&lt;/publication&gt;&lt;/bundle&gt;&lt;authors&gt;&lt;author&gt;&lt;firstName&gt;Paul&lt;/firstName&gt;&lt;lastName&gt;Tanger&lt;/lastName&gt;&lt;/author&gt;&lt;author&gt;&lt;firstName&gt;John&lt;/firstName&gt;&lt;middleNames&gt;L&lt;/middleNames&gt;&lt;lastName&gt;Field&lt;/lastName&gt;&lt;/author&gt;&lt;author&gt;&lt;firstName&gt;Courtney&lt;/firstName&gt;&lt;middleNames&gt;E&lt;/middleNames&gt;&lt;lastName&gt;Jahn&lt;/lastName&gt;&lt;/author&gt;&lt;author&gt;&lt;firstName&gt;Morgan&lt;/firstName&gt;&lt;middleNames&gt;W&lt;/middleNames&gt;&lt;lastName&gt;DeFoort&lt;/lastName&gt;&lt;/author&gt;&lt;author&gt;&lt;firstName&gt;Jan&lt;/firstName&gt;&lt;middleNames&gt;E&lt;/middleNames&gt;&lt;lastName&gt;Leach&lt;/lastName&gt;&lt;/author&gt;&lt;/authors&gt;&lt;/publication&gt;&lt;publication&gt;&lt;volume&gt;108&lt;/volume&gt;&lt;publication_date&gt;99201407001200000000220000&lt;/publication_date&gt;&lt;doi&gt;10.1016/j.jaap.2014.05.016&lt;/doi&gt;&lt;startpage&gt;56&lt;/startpage&gt;&lt;title&gt;A comprehensive study on relating cell-wall components of lignocellulosic biomass to oxygenated species formed during pyrolysis&lt;/title&gt;&lt;uuid&gt;7FED9759-6353-4731-8DD7-7EE86258EDA2&lt;/uuid&gt;&lt;subtype&gt;400&lt;/subtype&gt;&lt;endpage&gt;67&lt;/endpage&gt;&lt;type&gt;400&lt;/type&gt;&lt;citekey&gt;Mante:2014eu&lt;/citekey&gt;&lt;url&gt;http://linkinghub.elsevier.com/retrieve/pii/S0165237014001223&lt;/url&gt;&lt;bundle&gt;&lt;publication&gt;&lt;publisher&gt;Elsevier B.V.&lt;/publisher&gt;&lt;title&gt;Journal of Analytical and Applied Pyrolysis&lt;/title&gt;&lt;type&gt;-100&lt;/type&gt;&lt;subtype&gt;-100&lt;/subtype&gt;&lt;uuid&gt;D2B451F2-ABD5-4B2D-92A4-9DB1FFA0C21E&lt;/uuid&gt;&lt;/publication&gt;&lt;/bundle&gt;&lt;authors&gt;&lt;author&gt;&lt;firstName&gt;Ofei&lt;/firstName&gt;&lt;middleNames&gt;D&lt;/middleNames&gt;&lt;lastName&gt;Mante&lt;/lastName&gt;&lt;/author&gt;&lt;author&gt;&lt;firstName&gt;Suresh&lt;/firstName&gt;&lt;middleNames&gt;P&lt;/middleNames&gt;&lt;lastName&gt;Babu&lt;/lastName&gt;&lt;/author&gt;&lt;author&gt;&lt;firstName&gt;Thomas&lt;/firstName&gt;&lt;middleNames&gt;E&lt;/middleNames&gt;&lt;lastName&gt;Amidon&lt;/lastName&gt;&lt;/author&gt;&lt;/authors&gt;&lt;/publication&gt;&lt;/publications&gt;&lt;cites&gt;&lt;/cites&gt;&lt;/citation&gt;</w:instrText>
      </w:r>
      <w:r w:rsidR="00190B56">
        <w:fldChar w:fldCharType="separate"/>
      </w:r>
      <w:r w:rsidR="001C1AAC">
        <w:t>(</w:t>
      </w:r>
      <w:r w:rsidR="001C1AAC">
        <w:rPr>
          <w:i/>
          <w:iCs/>
        </w:rPr>
        <w:t>33</w:t>
      </w:r>
      <w:r w:rsidR="001C1AAC">
        <w:t xml:space="preserve">, </w:t>
      </w:r>
      <w:r w:rsidR="001C1AAC">
        <w:rPr>
          <w:i/>
          <w:iCs/>
        </w:rPr>
        <w:t>48</w:t>
      </w:r>
      <w:r w:rsidR="001C1AAC">
        <w:t>)</w:t>
      </w:r>
      <w:r w:rsidR="00190B56">
        <w:fldChar w:fldCharType="end"/>
      </w:r>
      <w:r w:rsidR="00C85EA1">
        <w:t xml:space="preserve">. Some important genes that participate in or regulate lignin synthesis have already been modified in energy crops without major interference with plant biomass yield (e.g., </w:t>
      </w:r>
      <w:r w:rsidR="00190B56">
        <w:fldChar w:fldCharType="begin"/>
      </w:r>
      <w:r>
        <w:instrText xml:space="preserve"> ADDIN PAPERS2_CITATIONS &lt;citation&gt;&lt;uuid&gt;C3AEC347-FCF3-4F8F-9981-C6D360523B2A&lt;/uuid&gt;&lt;priority&gt;0&lt;/priority&gt;&lt;publications&gt;&lt;publication&gt;&lt;uuid&gt;4F43DF83-A400-4C0E-9DEF-9920207ACBBC&lt;/uuid&gt;&lt;volume&gt;12&lt;/volume&gt;&lt;doi&gt;10.1111/pbi.12195&lt;/doi&gt;&lt;startpage&gt;914&lt;/startpage&gt;&lt;publication_date&gt;99201404211200000000222000&lt;/publication_date&gt;&lt;url&gt;http://doi.wiley.com/10.1111/pbi.12195&lt;/url&gt;&lt;citekey&gt;Baxter:2014bk&lt;/citekey&gt;&lt;type&gt;400&lt;/type&gt;&lt;title&gt;Two-year field analysis of reduced recalcitrance transgenic switchgrass&lt;/title&gt;&lt;number&gt;7&lt;/number&gt;&lt;subtype&gt;400&lt;/subtype&gt;&lt;endpage&gt;924&lt;/endpage&gt;&lt;bundle&gt;&lt;publication&gt;&lt;title&gt;Plant Biotechnology Journal&lt;/title&gt;&lt;type&gt;-100&lt;/type&gt;&lt;subtype&gt;-100&lt;/subtype&gt;&lt;uuid&gt;14FDD847-5EC1-4E33-9A3E-8C68E290860B&lt;/uuid&gt;&lt;/publication&gt;&lt;/bundle&gt;&lt;authors&gt;&lt;author&gt;&lt;firstName&gt;Holly&lt;/firstName&gt;&lt;middleNames&gt;L&lt;/middleNames&gt;&lt;lastName&gt;Baxter&lt;/lastName&gt;&lt;/author&gt;&lt;author&gt;&lt;firstName&gt;Mitra&lt;/firstName&gt;&lt;lastName&gt;Mazarei&lt;/lastName&gt;&lt;/author&gt;&lt;author&gt;&lt;firstName&gt;Nicole&lt;/firstName&gt;&lt;lastName&gt;Labbé&lt;/lastName&gt;&lt;/author&gt;&lt;author&gt;&lt;firstName&gt;Lindsey&lt;/firstName&gt;&lt;middleNames&gt;M&lt;/middleNames&gt;&lt;lastName&gt;Kline&lt;/lastName&gt;&lt;/author&gt;&lt;author&gt;&lt;firstName&gt;Qunkang&lt;/firstName&gt;&lt;lastName&gt;Cheng&lt;/lastName&gt;&lt;/author&gt;&lt;author&gt;&lt;firstName&gt;Mark&lt;/firstName&gt;&lt;middleNames&gt;T&lt;/middleNames&gt;&lt;lastName&gt;Windham&lt;/lastName&gt;&lt;/author&gt;&lt;author&gt;&lt;firstName&gt;David&lt;/firstName&gt;&lt;middleNames&gt;G J&lt;/middleNames&gt;&lt;lastName&gt;Mann&lt;/lastName&gt;&lt;/author&gt;&lt;author&gt;&lt;firstName&gt;Chunxiang&lt;/firstName&gt;&lt;lastName&gt;Fu&lt;/lastName&gt;&lt;/author&gt;&lt;author&gt;&lt;firstName&gt;Angela&lt;/firstName&gt;&lt;lastName&gt;Ziebell&lt;/lastName&gt;&lt;/author&gt;&lt;author&gt;&lt;firstName&gt;Robert&lt;/firstName&gt;&lt;middleNames&gt;W&lt;/middleNames&gt;&lt;lastName&gt;Sykes&lt;/lastName&gt;&lt;/author&gt;&lt;author&gt;&lt;firstName&gt;Miguel&lt;/firstName&gt;&lt;suffix&gt;Jr&lt;/suffix&gt;&lt;lastName&gt;Rodriguez&lt;/lastName&gt;&lt;/author&gt;&lt;author&gt;&lt;firstName&gt;Mark&lt;/firstName&gt;&lt;middleNames&gt;F&lt;/middleNames&gt;&lt;lastName&gt;Davis&lt;/lastName&gt;&lt;/author&gt;&lt;author&gt;&lt;firstName&gt;Jonathan&lt;/firstName&gt;&lt;middleNames&gt;R&lt;/middleNames&gt;&lt;lastName&gt;Mielenz&lt;/lastName&gt;&lt;/author&gt;&lt;author&gt;&lt;firstName&gt;Richard&lt;/firstName&gt;&lt;middleNames&gt;A&lt;/middleNames&gt;&lt;lastName&gt;Dixon&lt;/lastName&gt;&lt;/author&gt;&lt;author&gt;&lt;firstName&gt;Zeng-Yu&lt;/firstName&gt;&lt;lastName&gt;Wang&lt;/lastName&gt;&lt;/author&gt;&lt;author&gt;&lt;lastName&gt;Stewart&lt;/lastName&gt;&lt;firstName&gt;C&lt;/firstName&gt;&lt;middleNames&gt;Neal&lt;/middleNames&gt;&lt;suffix&gt;Jr&lt;/suffix&gt;&lt;/author&gt;&lt;/authors&gt;&lt;/publication&gt;&lt;publication&gt;&lt;publication_date&gt;992015000012000000002100002015/01/07&lt;/publication_date&gt;&lt;startpage&gt;1&lt;/startpage&gt;&lt;doi&gt;10.1007/s12155-014-9570-1&lt;/doi&gt;&lt;title&gt;Field Evaluation of Transgenic Switchgrass Plants Overexpressing PvMYB4 for Reduced Biomass Recalcitrance&lt;/title&gt;&lt;uuid&gt;1031180A-A4FB-42B3-8FDD-94EE35CE7E8E&lt;/uuid&gt;&lt;subtype&gt;400&lt;/subtype&gt;&lt;publisher&gt;Springer US&lt;/publisher&gt;&lt;type&gt;400&lt;/type&gt;&lt;endpage&gt;12&lt;/endpage&gt;&lt;url&gt;http://dx.doi.org/10.1007/s12155-014-9570-1&lt;/url&gt;&lt;bundle&gt;&lt;publication&gt;&lt;publisher&gt;Springer US&lt;/publisher&gt;&lt;title&gt;BioEnergy Research&lt;/title&gt;&lt;type&gt;-100&lt;/type&gt;&lt;subtype&gt;-100&lt;/subtype&gt;&lt;uuid&gt;10F75356-9E4C-4774-98A2-0C658827ED32&lt;/uuid&gt;&lt;/publication&gt;&lt;/bundle&gt;&lt;authors&gt;&lt;author&gt;&lt;firstName&gt;HollyL&lt;/firstName&gt;&lt;lastName&gt;Baxter&lt;/lastName&gt;&lt;/author&gt;&lt;author&gt;&lt;firstName&gt;CharlesonR&lt;/firstName&gt;&lt;lastName&gt;Poovaiah&lt;/lastName&gt;&lt;/author&gt;&lt;author&gt;&lt;firstName&gt;KelseyL&lt;/firstName&gt;&lt;lastName&gt;Yee&lt;/lastName&gt;&lt;/author&gt;&lt;author&gt;&lt;firstName&gt;Mitra&lt;/firstName&gt;&lt;lastName&gt;Mazarei&lt;/lastName&gt;&lt;/author&gt;&lt;author&gt;&lt;firstName&gt;Miguel&lt;/firstName&gt;&lt;middleNames&gt;Jr&lt;/middleNames&gt;&lt;lastName&gt;Rodriguez&lt;/lastName&gt;&lt;/author&gt;&lt;author&gt;&lt;firstName&gt;OliviaA&lt;/firstName&gt;&lt;lastName&gt;Thompson&lt;/lastName&gt;&lt;/author&gt;&lt;author&gt;&lt;firstName&gt;Hui&lt;/firstName&gt;&lt;lastName&gt;Shen&lt;/lastName&gt;&lt;/author&gt;&lt;author&gt;&lt;firstName&gt;GeoffreyB&lt;/firstName&gt;&lt;lastName&gt;Turner&lt;/lastName&gt;&lt;/author&gt;&lt;author&gt;&lt;firstName&gt;StephenR&lt;/firstName&gt;&lt;lastName&gt;Decker&lt;/lastName&gt;&lt;/author&gt;&lt;author&gt;&lt;firstName&gt;RobertW&lt;/firstName&gt;&lt;lastName&gt;Sykes&lt;/lastName&gt;&lt;/author&gt;&lt;author&gt;&lt;firstName&gt;Fang&lt;/firstName&gt;&lt;lastName&gt;Chen&lt;/lastName&gt;&lt;/author&gt;&lt;author&gt;&lt;firstName&gt;MarkF&lt;/firstName&gt;&lt;lastName&gt;Davis&lt;/lastName&gt;&lt;/author&gt;&lt;author&gt;&lt;firstName&gt;JonathanR&lt;/firstName&gt;&lt;lastName&gt;Mielenz&lt;/lastName&gt;&lt;/author&gt;&lt;author&gt;&lt;firstName&gt;BrianH&lt;/firstName&gt;&lt;lastName&gt;Davison&lt;/lastName&gt;&lt;/author&gt;&lt;author&gt;&lt;firstName&gt;RichardA&lt;/firstName&gt;&lt;lastName&gt;Dixon&lt;/lastName&gt;&lt;/author&gt;&lt;author&gt;&lt;firstName&gt;C&lt;/firstName&gt;&lt;middleNames&gt;Neal Jr&lt;/middleNames&gt;&lt;lastName&gt;Stewart&lt;/lastName&gt;&lt;/author&gt;&lt;/authors&gt;&lt;/publication&gt;&lt;/publications&gt;&lt;cites&gt;&lt;/cites&gt;&lt;/citation&gt;</w:instrText>
      </w:r>
      <w:r w:rsidR="00190B56">
        <w:fldChar w:fldCharType="separate"/>
      </w:r>
      <w:r w:rsidR="001C1AAC">
        <w:t>(</w:t>
      </w:r>
      <w:r w:rsidR="001C1AAC">
        <w:rPr>
          <w:i/>
          <w:iCs/>
        </w:rPr>
        <w:t>126</w:t>
      </w:r>
      <w:r w:rsidR="001C1AAC">
        <w:t xml:space="preserve">, </w:t>
      </w:r>
      <w:r w:rsidR="001C1AAC">
        <w:rPr>
          <w:i/>
          <w:iCs/>
        </w:rPr>
        <w:t>127</w:t>
      </w:r>
      <w:r w:rsidR="001C1AAC">
        <w:t>)</w:t>
      </w:r>
      <w:r w:rsidR="00190B56">
        <w:fldChar w:fldCharType="end"/>
      </w:r>
      <w:r w:rsidR="00C85EA1">
        <w:t>, reviewed in:</w:t>
      </w:r>
      <w:r w:rsidR="00190B56">
        <w:t xml:space="preserve"> </w:t>
      </w:r>
      <w:r w:rsidR="00CF47D7">
        <w:fldChar w:fldCharType="begin"/>
      </w:r>
      <w:r>
        <w:instrText xml:space="preserve"> ADDIN PAPERS2_CITATIONS &lt;citation&gt;&lt;uuid&gt;21AFEB97-9B00-483B-8173-0AE18D29B2DD&lt;/uuid&gt;&lt;priority&gt;0&lt;/priority&gt;&lt;publications&gt;&lt;publication&gt;&lt;publication_date&gt;99201400001200000000200000&lt;/publication_date&gt;&lt;number&gt;4&lt;/number&gt;&lt;startpage&gt;109&lt;/startpage&gt;&lt;title&gt;Switchgrass Biomass Content, Synthesis, and Biochemical Conversion to Biofuels&lt;/title&gt;&lt;uuid&gt;A4182BF2-E914-404B-9877-D96BEA071063&lt;/uuid&gt;&lt;subtype&gt;-1000&lt;/subtype&gt;&lt;publisher&gt;… of Bioenergy Plants: …&lt;/publisher&gt;&lt;type&gt;-1000&lt;/type&gt;&lt;url&gt;http://books.google.com/books?hl=en&amp;amp;lr=&amp;amp;id=CwMNAwAAQBAJ&amp;amp;oi=fnd&amp;amp;pg=PA109&amp;amp;dq=Switchgrass+Biomass+Content+Synthesis+and+Biochemical+Conversion+to+Biofuels&amp;amp;ots=BRjVnVsk7Q&amp;amp;sig=9D3lG0m1_wCVeFBukM0Bv6i2vXw&lt;/url&gt;&lt;bundle&gt;&lt;publication&gt;&lt;title&gt;Compendium of Bioenergy Plants Switchgrass&lt;/title&gt;&lt;type&gt;0&lt;/type&gt;&lt;subtype&gt;0&lt;/subtype&gt;&lt;uuid&gt;95BC128A-C015-481A-B804-D4AEEDC3ADA9&lt;/uuid&gt;&lt;/publication&gt;&lt;/bundle&gt;&lt;authors&gt;&lt;author&gt;&lt;firstName&gt;Laura&lt;/firstName&gt;&lt;middleNames&gt;E&lt;/middleNames&gt;&lt;lastName&gt;Bartley&lt;/lastName&gt;&lt;/author&gt;&lt;author&gt;&lt;firstName&gt;X&lt;/firstName&gt;&lt;lastName&gt;Tao&lt;/lastName&gt;&lt;/author&gt;&lt;author&gt;&lt;firstName&gt;C&lt;/firstName&gt;&lt;lastName&gt;Zhang&lt;/lastName&gt;&lt;/author&gt;&lt;author&gt;&lt;firstName&gt;H&lt;/firstName&gt;&lt;lastName&gt;Nguyen&lt;/lastName&gt;&lt;/author&gt;&lt;/authors&gt;&lt;/publication&gt;&lt;/publications&gt;&lt;cites&gt;&lt;/cites&gt;&lt;/citation&gt;</w:instrText>
      </w:r>
      <w:r w:rsidR="00CF47D7">
        <w:fldChar w:fldCharType="separate"/>
      </w:r>
      <w:r w:rsidR="001C1AAC">
        <w:t>(</w:t>
      </w:r>
      <w:r w:rsidR="001C1AAC">
        <w:rPr>
          <w:i/>
          <w:iCs/>
        </w:rPr>
        <w:t>128</w:t>
      </w:r>
      <w:r w:rsidR="001C1AAC">
        <w:t>)</w:t>
      </w:r>
      <w:r w:rsidR="00CF47D7">
        <w:fldChar w:fldCharType="end"/>
      </w:r>
      <w:r w:rsidR="00CF47D7">
        <w:t xml:space="preserve">). </w:t>
      </w:r>
      <w:r w:rsidR="00C85EA1">
        <w:t>However, current genetic engineering strategies are focused on developing low lignin biomass for saccharification and biochemical conversion to fuels. Therefore, more work is required to develop biomass with high lignin content for thermal conversion. Producing co</w:t>
      </w:r>
      <w:r w:rsidR="00190B56">
        <w:t xml:space="preserve">rrosive acetic acid in bio-oil </w:t>
      </w:r>
      <w:r w:rsidR="00190B56">
        <w:fldChar w:fldCharType="begin"/>
      </w:r>
      <w:r>
        <w:instrText xml:space="preserve"> ADDIN PAPERS2_CITATIONS &lt;citation&gt;&lt;uuid&gt;B15D6D55-3CFE-4D69-9E89-73C0D8E0AB6E&lt;/uuid&gt;&lt;priority&gt;0&lt;/priority&gt;&lt;publications&gt;&lt;publication&gt;&lt;volume&gt;108&lt;/volume&gt;&lt;publication_date&gt;99201407001200000000220000&lt;/publication_date&gt;&lt;doi&gt;10.1016/j.jaap.2014.05.016&lt;/doi&gt;&lt;startpage&gt;56&lt;/startpage&gt;&lt;title&gt;A comprehensive study on relating cell-wall components of lignocellulosic biomass to oxygenated species formed during pyrolysis&lt;/title&gt;&lt;uuid&gt;7FED9759-6353-4731-8DD7-7EE86258EDA2&lt;/uuid&gt;&lt;subtype&gt;400&lt;/subtype&gt;&lt;endpage&gt;67&lt;/endpage&gt;&lt;type&gt;400&lt;/type&gt;&lt;citekey&gt;Mante:2014eu&lt;/citekey&gt;&lt;url&gt;http://linkinghub.elsevier.com/retrieve/pii/S0165237014001223&lt;/url&gt;&lt;bundle&gt;&lt;publication&gt;&lt;publisher&gt;Elsevier B.V.&lt;/publisher&gt;&lt;title&gt;Journal of Analytical and Applied Pyrolysis&lt;/title&gt;&lt;type&gt;-100&lt;/type&gt;&lt;subtype&gt;-100&lt;/subtype&gt;&lt;uuid&gt;D2B451F2-ABD5-4B2D-92A4-9DB1FFA0C21E&lt;/uuid&gt;&lt;/publication&gt;&lt;/bundle&gt;&lt;authors&gt;&lt;author&gt;&lt;firstName&gt;Ofei&lt;/firstName&gt;&lt;middleNames&gt;D&lt;/middleNames&gt;&lt;lastName&gt;Mante&lt;/lastName&gt;&lt;/author&gt;&lt;author&gt;&lt;firstName&gt;Suresh&lt;/firstName&gt;&lt;middleNames&gt;P&lt;/middleNames&gt;&lt;lastName&gt;Babu&lt;/lastName&gt;&lt;/author&gt;&lt;author&gt;&lt;firstName&gt;Thomas&lt;/firstName&gt;&lt;middleNames&gt;E&lt;/middleNames&gt;&lt;lastName&gt;Amidon&lt;/lastName&gt;&lt;/author&gt;&lt;/authors&gt;&lt;/publication&gt;&lt;/publications&gt;&lt;cites&gt;&lt;/cites&gt;&lt;/citation&gt;</w:instrText>
      </w:r>
      <w:r w:rsidR="00190B56">
        <w:fldChar w:fldCharType="separate"/>
      </w:r>
      <w:r w:rsidR="001C1AAC">
        <w:t>(</w:t>
      </w:r>
      <w:r w:rsidR="001C1AAC">
        <w:rPr>
          <w:i/>
          <w:iCs/>
        </w:rPr>
        <w:t>48</w:t>
      </w:r>
      <w:r w:rsidR="001C1AAC">
        <w:t>)</w:t>
      </w:r>
      <w:r w:rsidR="00190B56">
        <w:fldChar w:fldCharType="end"/>
      </w:r>
      <w:r w:rsidR="00C85EA1">
        <w:t xml:space="preserve">, acetyl groups on cell wall polymers are another potential target for genetic engineering of “pyrolysis crops.” Three enzyme classes, including the Reduced Wall Acetylation (RWA) proteins, acetylate cell wall polysaccharides </w:t>
      </w:r>
      <w:r w:rsidR="00F16D5B">
        <w:fldChar w:fldCharType="begin"/>
      </w:r>
      <w:r>
        <w:instrText xml:space="preserve"> ADDIN PAPERS2_CITATIONS &lt;citation&gt;&lt;uuid&gt;46279FED-3AB7-422B-9CEA-9446DD44B8A5&lt;/uuid&gt;&lt;priority&gt;0&lt;/priority&gt;&lt;publications&gt;&lt;publication&gt;&lt;uuid&gt;46E591EA-2863-4772-8F0C-102D55168FE4&lt;/uuid&gt;&lt;volume&gt;52&lt;/volume&gt;&lt;doi&gt;10.1093/pcp/pcr075&lt;/doi&gt;&lt;startpage&gt;1289&lt;/startpage&gt;&lt;publication_date&gt;99201108001200000000220000&lt;/publication_date&gt;&lt;url&gt;http://pcp.oxfordjournals.org.ezproxy.lib.ou.edu/content/52/8/1289.full&lt;/url&gt;&lt;type&gt;400&lt;/type&gt;&lt;title&gt;The four Arabidopsis reduced wall acetylation genes are expressed in secondary wall-containing cells and required for the acetylation of xylan.&lt;/title&gt;&lt;publisher&gt;Oxford University Press&lt;/publisher&gt;&lt;institution&gt;Department of Plant Biology, University of Georgia, Athens, GA 30602, USA.&lt;/institution&gt;&lt;number&gt;8&lt;/number&gt;&lt;subtype&gt;400&lt;/subtype&gt;&lt;endpage&gt;1301&lt;/endpage&gt;&lt;bundle&gt;&lt;publication&gt;&lt;title&gt;Plant Cell Physiol&lt;/title&gt;&lt;type&gt;-100&lt;/type&gt;&lt;subtype&gt;-100&lt;/subtype&gt;&lt;uuid&gt;84D1328F-A38E-444F-B0F6-5D4BC951CFBD&lt;/uuid&gt;&lt;/publication&gt;&lt;/bundle&gt;&lt;authors&gt;&lt;author&gt;&lt;firstName&gt;Chanhui&lt;/firstName&gt;&lt;lastName&gt;Lee&lt;/lastName&gt;&lt;/author&gt;&lt;author&gt;&lt;firstName&gt;Quincy&lt;/firstName&gt;&lt;lastName&gt;Teng&lt;/lastName&gt;&lt;/author&gt;&lt;author&gt;&lt;firstName&gt;Ruiqin&lt;/firstName&gt;&lt;lastName&gt;Zhong&lt;/lastName&gt;&lt;/author&gt;&lt;author&gt;&lt;firstName&gt;Zheng-Hua&lt;/firstName&gt;&lt;lastName&gt;Ye&lt;/lastName&gt;&lt;/author&gt;&lt;/authors&gt;&lt;/publication&gt;&lt;publication&gt;&lt;volume&gt;6&lt;/volume&gt;&lt;publication_date&gt;99201300001200000000200000&lt;/publication_date&gt;&lt;number&gt;4&lt;/number&gt;&lt;doi&gt;10.1093/mp/sst014&lt;/doi&gt;&lt;startpage&gt;1373&lt;/startpage&gt;&lt;title&gt;Xylan O-Acetylation Impacts Xylem Development and Enzymatic Recalcitrance as Indicated by the Arabidopsis Mutant tbl29&lt;/title&gt;&lt;uuid&gt;71A387BD-F3B4-468A-B5F5-CB7DA86B7CF7&lt;/uuid&gt;&lt;subtype&gt;400&lt;/subtype&gt;&lt;endpage&gt;1375&lt;/endpage&gt;&lt;type&gt;400&lt;/type&gt;&lt;url&gt;http://linkinghub.elsevier.com/retrieve/pii/S1674205214609278&lt;/url&gt;&lt;bundle&gt;&lt;publication&gt;&lt;title&gt;Molecular Plant&lt;/title&gt;&lt;type&gt;-100&lt;/type&gt;&lt;subtype&gt;-100&lt;/subtype&gt;&lt;uuid&gt;ABA0F1D3-967E-4AD6-B8F7-55D0B9DCC85D&lt;/uuid&gt;&lt;/publication&gt;&lt;/bundle&gt;&lt;authors&gt;&lt;author&gt;&lt;firstName&gt;Guangyan&lt;/firstName&gt;&lt;lastName&gt;Xiong&lt;/lastName&gt;&lt;/author&gt;&lt;author&gt;&lt;firstName&gt;Kun&lt;/firstName&gt;&lt;lastName&gt;Cheng&lt;/lastName&gt;&lt;/author&gt;&lt;author&gt;&lt;firstName&gt;Markus&lt;/firstName&gt;&lt;lastName&gt;Pauly&lt;/lastName&gt;&lt;/author&gt;&lt;/authors&gt;&lt;/publication&gt;&lt;publication&gt;&lt;uuid&gt;DBD1E649-09CC-4B63-A687-4AA42E1E1DE5&lt;/uuid&gt;&lt;volume&gt;167&lt;/volume&gt;&lt;doi&gt;10.1104/pp.114.256479&lt;/doi&gt;&lt;startpage&gt;1271&lt;/startpage&gt;&lt;publication_date&gt;99201504001200000000220000&lt;/publication_date&gt;&lt;url&gt;http://www.plantphysiol.org/content/167/4/1271.full&lt;/url&gt;&lt;type&gt;400&lt;/type&gt;&lt;title&gt;The role of the plant-specific ALTERED XYLOGLUCAN9 protein in Arabidopsis cell wall polysaccharide O-acetylation.&lt;/title&gt;&lt;publisher&gt;American Society of Plant Biologists&lt;/publisher&gt;&lt;institution&gt;Department of Plant and Microbial Biology (A.S., D.N., M.P.) and Energy Biosciences Institute (M.D., M.P.), University of California, Berkeley, California 94720.&lt;/institution&gt;&lt;number&gt;4&lt;/number&gt;&lt;subtype&gt;400&lt;/subtype&gt;&lt;endpage&gt;1283&lt;/endpage&gt;&lt;bundle&gt;&lt;publication&gt;&lt;publisher&gt;American Society of Plant Physiologists&lt;/publisher&gt;&lt;title&gt;Plant physiology&lt;/title&gt;&lt;type&gt;-100&lt;/type&gt;&lt;subtype&gt;-100&lt;/subtype&gt;&lt;uuid&gt;B97DA55A-D50B-4A35-A621-F9088F5658CB&lt;/uuid&gt;&lt;/publication&gt;&lt;/bundle&gt;&lt;authors&gt;&lt;author&gt;&lt;firstName&gt;Alex&lt;/firstName&gt;&lt;lastName&gt;Schultink&lt;/lastName&gt;&lt;/author&gt;&lt;author&gt;&lt;firstName&gt;Dan&lt;/firstName&gt;&lt;lastName&gt;Naylor&lt;/lastName&gt;&lt;/author&gt;&lt;author&gt;&lt;firstName&gt;Murali&lt;/firstName&gt;&lt;lastName&gt;Dama&lt;/lastName&gt;&lt;/author&gt;&lt;author&gt;&lt;firstName&gt;Markus&lt;/firstName&gt;&lt;lastName&gt;Pauly&lt;/lastName&gt;&lt;/author&gt;&lt;/authors&gt;&lt;/publication&gt;&lt;/publications&gt;&lt;cites&gt;&lt;/cites&gt;&lt;/citation&gt;</w:instrText>
      </w:r>
      <w:r w:rsidR="00F16D5B">
        <w:fldChar w:fldCharType="separate"/>
      </w:r>
      <w:r w:rsidR="001C1AAC">
        <w:t>(</w:t>
      </w:r>
      <w:r w:rsidR="001C1AAC">
        <w:rPr>
          <w:i/>
          <w:iCs/>
        </w:rPr>
        <w:t>121</w:t>
      </w:r>
      <w:r w:rsidR="001C1AAC">
        <w:t xml:space="preserve">, </w:t>
      </w:r>
      <w:r w:rsidR="001C1AAC">
        <w:rPr>
          <w:i/>
          <w:iCs/>
        </w:rPr>
        <w:t>129</w:t>
      </w:r>
      <w:r w:rsidR="001C1AAC">
        <w:t xml:space="preserve">, </w:t>
      </w:r>
      <w:r w:rsidR="001C1AAC">
        <w:rPr>
          <w:i/>
          <w:iCs/>
        </w:rPr>
        <w:t>130</w:t>
      </w:r>
      <w:r w:rsidR="001C1AAC">
        <w:t>)</w:t>
      </w:r>
      <w:r w:rsidR="00F16D5B">
        <w:fldChar w:fldCharType="end"/>
      </w:r>
      <w:r w:rsidR="00F16D5B">
        <w:t xml:space="preserve">. </w:t>
      </w:r>
      <w:r w:rsidR="00C85EA1">
        <w:t>A mutant of the dicot reference plant, Arabidopsis thaliana, that lacks expression of all four RWA genes, shows a 40% reduction in secondary</w:t>
      </w:r>
      <w:r w:rsidR="00F16D5B">
        <w:t xml:space="preserve"> wall associated acetyl groups </w:t>
      </w:r>
      <w:r w:rsidR="00F16D5B">
        <w:fldChar w:fldCharType="begin"/>
      </w:r>
      <w:r>
        <w:instrText xml:space="preserve"> ADDIN PAPERS2_CITATIONS &lt;citation&gt;&lt;uuid&gt;3B058B62-FFE7-4249-AC12-248F8CA86102&lt;/uuid&gt;&lt;priority&gt;0&lt;/priority&gt;&lt;publications&gt;&lt;publication&gt;&lt;uuid&gt;46E591EA-2863-4772-8F0C-102D55168FE4&lt;/uuid&gt;&lt;volume&gt;52&lt;/volume&gt;&lt;doi&gt;10.1093/pcp/pcr075&lt;/doi&gt;&lt;startpage&gt;1289&lt;/startpage&gt;&lt;publication_date&gt;99201108001200000000220000&lt;/publication_date&gt;&lt;url&gt;http://pcp.oxfordjournals.org.ezproxy.lib.ou.edu/content/52/8/1289.full&lt;/url&gt;&lt;type&gt;400&lt;/type&gt;&lt;title&gt;The four Arabidopsis reduced wall acetylation genes are expressed in secondary wall-containing cells and required for the acetylation of xylan.&lt;/title&gt;&lt;publisher&gt;Oxford University Press&lt;/publisher&gt;&lt;institution&gt;Department of Plant Biology, University of Georgia, Athens, GA 30602, USA.&lt;/institution&gt;&lt;number&gt;8&lt;/number&gt;&lt;subtype&gt;400&lt;/subtype&gt;&lt;endpage&gt;1301&lt;/endpage&gt;&lt;bundle&gt;&lt;publication&gt;&lt;title&gt;Plant Cell Physiol&lt;/title&gt;&lt;type&gt;-100&lt;/type&gt;&lt;subtype&gt;-100&lt;/subtype&gt;&lt;uuid&gt;84D1328F-A38E-444F-B0F6-5D4BC951CFBD&lt;/uuid&gt;&lt;/publication&gt;&lt;/bundle&gt;&lt;authors&gt;&lt;author&gt;&lt;firstName&gt;Chanhui&lt;/firstName&gt;&lt;lastName&gt;Lee&lt;/lastName&gt;&lt;/author&gt;&lt;author&gt;&lt;firstName&gt;Quincy&lt;/firstName&gt;&lt;lastName&gt;Teng&lt;/lastName&gt;&lt;/author&gt;&lt;author&gt;&lt;firstName&gt;Ruiqin&lt;/firstName&gt;&lt;lastName&gt;Zhong&lt;/lastName&gt;&lt;/author&gt;&lt;author&gt;&lt;firstName&gt;Zheng-Hua&lt;/firstName&gt;&lt;lastName&gt;Ye&lt;/lastName&gt;&lt;/author&gt;&lt;/authors&gt;&lt;/publication&gt;&lt;/publications&gt;&lt;cites&gt;&lt;/cites&gt;&lt;/citation&gt;</w:instrText>
      </w:r>
      <w:r w:rsidR="00F16D5B">
        <w:fldChar w:fldCharType="separate"/>
      </w:r>
      <w:r w:rsidR="001C1AAC">
        <w:t>(</w:t>
      </w:r>
      <w:r w:rsidR="001C1AAC">
        <w:rPr>
          <w:i/>
          <w:iCs/>
        </w:rPr>
        <w:t>129</w:t>
      </w:r>
      <w:r w:rsidR="001C1AAC">
        <w:t>)</w:t>
      </w:r>
      <w:r w:rsidR="00F16D5B">
        <w:fldChar w:fldCharType="end"/>
      </w:r>
      <w:r w:rsidR="00C85EA1">
        <w:t xml:space="preserve">. Reducing expression of this family of genes in bioenergy crops may be help solve the problems caused by acetic acid in bio-oil produced from such plants. </w:t>
      </w:r>
    </w:p>
    <w:p w14:paraId="582CEF2A" w14:textId="1EF08A81" w:rsidR="00C85EA1" w:rsidRDefault="00C85EA1" w:rsidP="00C85EA1">
      <w:r>
        <w:t>Pretreatments such as washing/leaching and torrefaction are another class of strategies to improve biomass quality by changing biomass composition</w:t>
      </w:r>
      <w:r w:rsidR="00F16D5B">
        <w:t xml:space="preserve"> </w:t>
      </w:r>
      <w:r w:rsidR="00F16D5B">
        <w:fldChar w:fldCharType="begin"/>
      </w:r>
      <w:r w:rsidR="00807999">
        <w:instrText xml:space="preserve"> ADDIN PAPERS2_CITATIONS &lt;citation&gt;&lt;uuid&gt;D06BB921-20A2-41A7-A03C-593A56A4AB91&lt;/uuid&gt;&lt;priority&gt;0&lt;/priority&gt;&lt;publications&gt;&lt;publication&gt;&lt;volume&gt;128&lt;/volume&gt;&lt;publication_date&gt;99201301001200000000220000&lt;/publication_date&gt;&lt;doi&gt;10.1016/j.biortech.2012.10.067&lt;/doi&gt;&lt;startpage&gt;370&lt;/startpage&gt;&lt;title&gt;Effect of torrefaction on structure and fast pyrolysis behavior of corncobs&lt;/title&gt;&lt;uuid&gt;5699FDAA-DDF8-4B8B-833D-77934203C7EE&lt;/uuid&gt;&lt;subtype&gt;400&lt;/subtype&gt;&lt;endpage&gt;377&lt;/endpage&gt;&lt;type&gt;400&lt;/type&gt;&lt;url&gt;http://linkinghub.elsevier.com/retrieve/pii/S0960852412015696&lt;/url&gt;&lt;bundle&gt;&lt;publication&gt;&lt;publisher&gt;Elsevier Ltd&lt;/publisher&gt;&lt;title&gt;Bioresource technology&lt;/title&gt;&lt;type&gt;-100&lt;/type&gt;&lt;subtype&gt;-100&lt;/subtype&gt;&lt;uuid&gt;20FABC45-BAD7-4D11-A180-BCA66580D347&lt;/uuid&gt;&lt;/publication&gt;&lt;/bundle&gt;&lt;authors&gt;&lt;author&gt;&lt;firstName&gt;Anqing&lt;/firstName&gt;&lt;lastName&gt;Zheng&lt;/lastName&gt;&lt;/author&gt;&lt;author&gt;&lt;firstName&gt;Zengli&lt;/firstName&gt;&lt;lastName&gt;Zhao&lt;/lastName&gt;&lt;/author&gt;&lt;author&gt;&lt;firstName&gt;Sheng&lt;/firstName&gt;&lt;lastName&gt;Chang&lt;/lastName&gt;&lt;/author&gt;&lt;author&gt;&lt;firstName&gt;Zhen&lt;/firstName&gt;&lt;lastName&gt;Huang&lt;/lastName&gt;&lt;/author&gt;&lt;author&gt;&lt;firstName&gt;Xiaobo&lt;/firstName&gt;&lt;lastName&gt;Wang&lt;/lastName&gt;&lt;/author&gt;&lt;author&gt;&lt;firstName&gt;Fang&lt;/firstName&gt;&lt;lastName&gt;He&lt;/lastName&gt;&lt;/author&gt;&lt;author&gt;&lt;firstName&gt;Haibin&lt;/firstName&gt;&lt;lastName&gt;Li&lt;/lastName&gt;&lt;/author&gt;&lt;/authors&gt;&lt;/publication&gt;&lt;publication&gt;&lt;volume&gt;128&lt;/volume&gt;&lt;publication_date&gt;99201412001200000000220000&lt;/publication_date&gt;&lt;doi&gt;10.1016/j.fuproc.2014.07.005&lt;/doi&gt;&lt;startpage&gt;94&lt;/startpage&gt;&lt;title&gt;Fast pyrolysis processing of surfactant washed Miscanthus&lt;/title&gt;&lt;uuid&gt;DB2AEB51-61E7-4DA8-92A9-9141895CC25A&lt;/uuid&gt;&lt;subtype&gt;400&lt;/subtype&gt;&lt;endpage&gt;103&lt;/endpage&gt;&lt;type&gt;400&lt;/type&gt;&lt;url&gt;http://linkinghub.elsevier.com/retrieve/pii/S0378382014002872&lt;/url&gt;&lt;bundle&gt;&lt;publication&gt;&lt;publisher&gt;Elsevier B.V.&lt;/publisher&gt;&lt;title&gt;Fuel Processing Technology&lt;/title&gt;&lt;type&gt;-100&lt;/type&gt;&lt;subtype&gt;-100&lt;/subtype&gt;&lt;uuid&gt;6044786F-8102-4C37-A3E2-8121AC18A87A&lt;/uuid&gt;&lt;/publication&gt;&lt;/bundle&gt;&lt;authors&gt;&lt;author&gt;&lt;firstName&gt;S&lt;/firstName&gt;&lt;middleNames&gt;W&lt;/middleNames&gt;&lt;lastName&gt;Banks&lt;/lastName&gt;&lt;/author&gt;&lt;author&gt;&lt;firstName&gt;D&lt;/firstName&gt;&lt;middleNames&gt;J&lt;/middleNames&gt;&lt;lastName&gt;Nowakowski&lt;/lastName&gt;&lt;/author&gt;&lt;author&gt;&lt;firstName&gt;Anthony&lt;/firstName&gt;&lt;middleNames&gt;V&lt;/middleNames&gt;&lt;lastName&gt;Bridgwater&lt;/lastName&gt;&lt;/author&gt;&lt;/authors&gt;&lt;/publication&gt;&lt;/publications&gt;&lt;cites&gt;&lt;/cites&gt;&lt;/citation&gt;</w:instrText>
      </w:r>
      <w:r w:rsidR="00F16D5B">
        <w:fldChar w:fldCharType="separate"/>
      </w:r>
      <w:r w:rsidR="001C1AAC">
        <w:t>(</w:t>
      </w:r>
      <w:r w:rsidR="001C1AAC">
        <w:rPr>
          <w:i/>
          <w:iCs/>
        </w:rPr>
        <w:t>131</w:t>
      </w:r>
      <w:r w:rsidR="001C1AAC">
        <w:t xml:space="preserve">, </w:t>
      </w:r>
      <w:r w:rsidR="001C1AAC">
        <w:rPr>
          <w:i/>
          <w:iCs/>
        </w:rPr>
        <w:t>132</w:t>
      </w:r>
      <w:r w:rsidR="001C1AAC">
        <w:t>)</w:t>
      </w:r>
      <w:r w:rsidR="00F16D5B">
        <w:fldChar w:fldCharType="end"/>
      </w:r>
      <w:r>
        <w:t xml:space="preserve">. For example, by washing biomass with detergent (Triton) or acid to remove minerals, the yield of bio-oil is increased and reaction water content is reduced </w:t>
      </w:r>
      <w:r w:rsidR="00F16D5B">
        <w:fldChar w:fldCharType="begin"/>
      </w:r>
      <w:r w:rsidR="00807999">
        <w:instrText xml:space="preserve"> ADDIN PAPERS2_CITATIONS &lt;citation&gt;&lt;uuid&gt;286FCD4D-EC4A-465C-9C65-7B778AD1A1DF&lt;/uuid&gt;&lt;priority&gt;0&lt;/priority&gt;&lt;publications&gt;&lt;publication&gt;&lt;volume&gt;128&lt;/volume&gt;&lt;publication_date&gt;99201412001200000000220000&lt;/publication_date&gt;&lt;doi&gt;10.1016/j.fuproc.2014.07.005&lt;/doi&gt;&lt;startpage&gt;94&lt;/startpage&gt;&lt;title&gt;Fast pyrolysis processing of surfactant washed Miscanthus&lt;/title&gt;&lt;uuid&gt;DB2AEB51-61E7-4DA8-92A9-9141895CC25A&lt;/uuid&gt;&lt;subtype&gt;400&lt;/subtype&gt;&lt;endpage&gt;103&lt;/endpage&gt;&lt;type&gt;400&lt;/type&gt;&lt;url&gt;http://linkinghub.elsevier.com/retrieve/pii/S0378382014002872&lt;/url&gt;&lt;bundle&gt;&lt;publication&gt;&lt;publisher&gt;Elsevier B.V.&lt;/publisher&gt;&lt;title&gt;Fuel Processing Technology&lt;/title&gt;&lt;type&gt;-100&lt;/type&gt;&lt;subtype&gt;-100&lt;/subtype&gt;&lt;uuid&gt;6044786F-8102-4C37-A3E2-8121AC18A87A&lt;/uuid&gt;&lt;/publication&gt;&lt;/bundle&gt;&lt;authors&gt;&lt;author&gt;&lt;firstName&gt;S&lt;/firstName&gt;&lt;middleNames&gt;W&lt;/middleNames&gt;&lt;lastName&gt;Banks&lt;/lastName&gt;&lt;/author&gt;&lt;author&gt;&lt;firstName&gt;D&lt;/firstName&gt;&lt;middleNames&gt;J&lt;/middleNames&gt;&lt;lastName&gt;Nowakowski&lt;/lastName&gt;&lt;/author&gt;&lt;author&gt;&lt;firstName&gt;Anthony&lt;/firstName&gt;&lt;middleNames&gt;V&lt;/middleNames&gt;&lt;lastName&gt;Bridgwater&lt;/lastName&gt;&lt;/author&gt;&lt;/authors&gt;&lt;/publication&gt;&lt;/publications&gt;&lt;cites&gt;&lt;/cites&gt;&lt;/citation&gt;</w:instrText>
      </w:r>
      <w:r w:rsidR="00F16D5B">
        <w:fldChar w:fldCharType="separate"/>
      </w:r>
      <w:r w:rsidR="001C1AAC">
        <w:t>(</w:t>
      </w:r>
      <w:r w:rsidR="001C1AAC">
        <w:rPr>
          <w:i/>
          <w:iCs/>
        </w:rPr>
        <w:t>132</w:t>
      </w:r>
      <w:r w:rsidR="001C1AAC">
        <w:t>)</w:t>
      </w:r>
      <w:r w:rsidR="00F16D5B">
        <w:fldChar w:fldCharType="end"/>
      </w:r>
      <w:r>
        <w:t xml:space="preserve">. Coupling biochemical </w:t>
      </w:r>
      <w:r>
        <w:lastRenderedPageBreak/>
        <w:t>conversion of biomass, which depletes the polysaccharide fraction, with pyrolysis of the resulting residue, or bagasse, is another avenue to explore further</w:t>
      </w:r>
      <w:r w:rsidR="00F16D5B">
        <w:t xml:space="preserve"> </w:t>
      </w:r>
      <w:r w:rsidR="00F16D5B">
        <w:fldChar w:fldCharType="begin"/>
      </w:r>
      <w:r w:rsidR="00807999">
        <w:instrText xml:space="preserve"> ADDIN PAPERS2_CITATIONS &lt;citation&gt;&lt;uuid&gt;3685F7BB-BECF-40F2-A287-00351519DC9E&lt;/uuid&gt;&lt;priority&gt;0&lt;/priority&gt;&lt;publications&gt;&lt;publication&gt;&lt;uuid&gt;46362434-8F46-42CE-B76A-FD984C01FF23&lt;/uuid&gt;&lt;volume&gt;93&lt;/volume&gt;&lt;doi&gt;10.1002/jsfa.6155&lt;/doi&gt;&lt;subtitle&gt;Torrefaction improves saccharification for ethanol fermentation&lt;/subtitle&gt;&lt;startpage&gt;3198&lt;/startpage&gt;&lt;publication_date&gt;99201305081200000000222000&lt;/publication_date&gt;&lt;url&gt;http://doi.wiley.com/10.1002/jsfa.6155&lt;/url&gt;&lt;citekey&gt;Sheikh:2013ht&lt;/citekey&gt;&lt;type&gt;400&lt;/type&gt;&lt;title&gt;Effect of torrefaction for the pretreatment of rice straw for ethanol production&lt;/title&gt;&lt;number&gt;13&lt;/number&gt;&lt;subtype&gt;400&lt;/subtype&gt;&lt;endpage&gt;3204&lt;/endpage&gt;&lt;bundle&gt;&lt;publication&gt;&lt;title&gt;Journal of the Science of Food and Agriculture&lt;/title&gt;&lt;type&gt;-100&lt;/type&gt;&lt;subtype&gt;-100&lt;/subtype&gt;&lt;uuid&gt;F23F9854-F605-4BE0-8338-37D38352DCBD&lt;/uuid&gt;&lt;/publication&gt;&lt;/bundle&gt;&lt;authors&gt;&lt;author&gt;&lt;firstName&gt;Md&lt;/firstName&gt;&lt;middleNames&gt;Mominul Islam&lt;/middleNames&gt;&lt;lastName&gt;Sheikh&lt;/lastName&gt;&lt;/author&gt;&lt;author&gt;&lt;firstName&gt;Chul-Hwan&lt;/firstName&gt;&lt;lastName&gt;Kim&lt;/lastName&gt;&lt;/author&gt;&lt;author&gt;&lt;firstName&gt;Hyeon-Jin&lt;/firstName&gt;&lt;lastName&gt;Park&lt;/lastName&gt;&lt;/author&gt;&lt;author&gt;&lt;firstName&gt;Sung-Ho&lt;/firstName&gt;&lt;lastName&gt;Kim&lt;/lastName&gt;&lt;/author&gt;&lt;author&gt;&lt;firstName&gt;Gyeong-Chul&lt;/firstName&gt;&lt;lastName&gt;Kim&lt;/lastName&gt;&lt;/author&gt;&lt;author&gt;&lt;firstName&gt;Ji-Young&lt;/firstName&gt;&lt;lastName&gt;Lee&lt;/lastName&gt;&lt;/author&gt;&lt;author&gt;&lt;firstName&gt;Sung-Woong&lt;/firstName&gt;&lt;lastName&gt;Sim&lt;/lastName&gt;&lt;/author&gt;&lt;author&gt;&lt;firstName&gt;Jae&lt;/firstName&gt;&lt;middleNames&gt;Won&lt;/middleNames&gt;&lt;lastName&gt;Kim&lt;/lastName&gt;&lt;/author&gt;&lt;/authors&gt;&lt;/publication&gt;&lt;publication&gt;&lt;volume&gt;35&lt;/volume&gt;&lt;publication_date&gt;99201105001200000000220000&lt;/publication_date&gt;&lt;number&gt;5&lt;/number&gt;&lt;doi&gt;10.1016/j.biombioe.2011.02.019&lt;/doi&gt;&lt;startpage&gt;2106&lt;/startpage&gt;&lt;title&gt;Waste biomass to liquids: Low temperature conversion of sugarcane bagasse to bio-oil. The effect of combined hydrolysis treatments&lt;/title&gt;&lt;uuid&gt;9A83D1C1-5108-4C64-B4C2-D261C22DE076&lt;/uuid&gt;&lt;subtype&gt;400&lt;/subtype&gt;&lt;endpage&gt;2116&lt;/endpage&gt;&lt;type&gt;400&lt;/type&gt;&lt;url&gt;http://linkinghub.elsevier.com/retrieve/pii/S0961953411000948&lt;/url&gt;&lt;bundle&gt;&lt;publication&gt;&lt;publisher&gt;Elsevier Ltd&lt;/publisher&gt;&lt;title&gt;Biomass and bioenergy&lt;/title&gt;&lt;type&gt;-100&lt;/type&gt;&lt;subtype&gt;-100&lt;/subtype&gt;&lt;uuid&gt;061A0FBA-C147-4B37-8BD5-0E9D81EA124C&lt;/uuid&gt;&lt;/publication&gt;&lt;/bundle&gt;&lt;authors&gt;&lt;author&gt;&lt;firstName&gt;Josilaine&lt;/firstName&gt;&lt;middleNames&gt;A&lt;/middleNames&gt;&lt;lastName&gt;Cunha&lt;/lastName&gt;&lt;/author&gt;&lt;author&gt;&lt;firstName&gt;Marcelo&lt;/firstName&gt;&lt;middleNames&gt;M&lt;/middleNames&gt;&lt;lastName&gt;Pereira&lt;/lastName&gt;&lt;/author&gt;&lt;author&gt;&lt;firstName&gt;Ligia&lt;/firstName&gt;&lt;middleNames&gt;M M&lt;/middleNames&gt;&lt;lastName&gt;Valente&lt;/lastName&gt;&lt;/author&gt;&lt;author&gt;&lt;lastName&gt;Piscina&lt;/lastName&gt;&lt;nonDroppingParticle&gt;la&lt;/nonDroppingParticle&gt;&lt;firstName&gt;Pilar&lt;/firstName&gt;&lt;middleNames&gt;Ramírez&lt;/middleNames&gt;&lt;droppingParticle&gt;de&lt;/droppingParticle&gt;&lt;/author&gt;&lt;author&gt;&lt;firstName&gt;Narcís&lt;/firstName&gt;&lt;lastName&gt;Homs&lt;/lastName&gt;&lt;/author&gt;&lt;author&gt;&lt;firstName&gt;Margareth&lt;/firstName&gt;&lt;middleNames&gt;Rose L&lt;/middleNames&gt;&lt;lastName&gt;Santos&lt;/lastName&gt;&lt;/author&gt;&lt;/authors&gt;&lt;/publication&gt;&lt;/publications&gt;&lt;cites&gt;&lt;/cites&gt;&lt;/citation&gt;</w:instrText>
      </w:r>
      <w:r w:rsidR="00F16D5B">
        <w:fldChar w:fldCharType="separate"/>
      </w:r>
      <w:r w:rsidR="001C1AAC">
        <w:t>(</w:t>
      </w:r>
      <w:r w:rsidR="001C1AAC">
        <w:rPr>
          <w:i/>
          <w:iCs/>
        </w:rPr>
        <w:t>133</w:t>
      </w:r>
      <w:r w:rsidR="001C1AAC">
        <w:t xml:space="preserve">, </w:t>
      </w:r>
      <w:r w:rsidR="001C1AAC">
        <w:rPr>
          <w:i/>
          <w:iCs/>
        </w:rPr>
        <w:t>134</w:t>
      </w:r>
      <w:r w:rsidR="001C1AAC">
        <w:t>)</w:t>
      </w:r>
      <w:r w:rsidR="00F16D5B">
        <w:fldChar w:fldCharType="end"/>
      </w:r>
      <w:r>
        <w:t xml:space="preserve">. Torrefaction is a low-temperature (200 to 400°C) thermal pretreatment that decomposes hemicellulose and may segregate disfavored products such as water and acid into intermediate streams before the next stage of pyrolysis </w:t>
      </w:r>
      <w:r w:rsidR="00F16D5B">
        <w:fldChar w:fldCharType="begin"/>
      </w:r>
      <w:r w:rsidR="00807999">
        <w:instrText xml:space="preserve"> ADDIN PAPERS2_CITATIONS &lt;citation&gt;&lt;uuid&gt;C4C6B9C8-6B20-4A70-8EAA-1DAF4F0AE586&lt;/uuid&gt;&lt;priority&gt;0&lt;/priority&gt;&lt;publications&gt;&lt;publication&gt;&lt;volume&gt;128&lt;/volume&gt;&lt;publication_date&gt;99201301001200000000220000&lt;/publication_date&gt;&lt;doi&gt;10.1016/j.biortech.2012.10.067&lt;/doi&gt;&lt;startpage&gt;370&lt;/startpage&gt;&lt;title&gt;Effect of torrefaction on structure and fast pyrolysis behavior of corncobs&lt;/title&gt;&lt;uuid&gt;5699FDAA-DDF8-4B8B-833D-77934203C7EE&lt;/uuid&gt;&lt;subtype&gt;400&lt;/subtype&gt;&lt;endpage&gt;377&lt;/endpage&gt;&lt;type&gt;400&lt;/type&gt;&lt;url&gt;http://linkinghub.elsevier.com/retrieve/pii/S0960852412015696&lt;/url&gt;&lt;bundle&gt;&lt;publication&gt;&lt;publisher&gt;Elsevier Ltd&lt;/publisher&gt;&lt;title&gt;Bioresource technology&lt;/title&gt;&lt;type&gt;-100&lt;/type&gt;&lt;subtype&gt;-100&lt;/subtype&gt;&lt;uuid&gt;20FABC45-BAD7-4D11-A180-BCA66580D347&lt;/uuid&gt;&lt;/publication&gt;&lt;/bundle&gt;&lt;authors&gt;&lt;author&gt;&lt;firstName&gt;Anqing&lt;/firstName&gt;&lt;lastName&gt;Zheng&lt;/lastName&gt;&lt;/author&gt;&lt;author&gt;&lt;firstName&gt;Zengli&lt;/firstName&gt;&lt;lastName&gt;Zhao&lt;/lastName&gt;&lt;/author&gt;&lt;author&gt;&lt;firstName&gt;Sheng&lt;/firstName&gt;&lt;lastName&gt;Chang&lt;/lastName&gt;&lt;/author&gt;&lt;author&gt;&lt;firstName&gt;Zhen&lt;/firstName&gt;&lt;lastName&gt;Huang&lt;/lastName&gt;&lt;/author&gt;&lt;author&gt;&lt;firstName&gt;Xiaobo&lt;/firstName&gt;&lt;lastName&gt;Wang&lt;/lastName&gt;&lt;/author&gt;&lt;author&gt;&lt;firstName&gt;Fang&lt;/firstName&gt;&lt;lastName&gt;He&lt;/lastName&gt;&lt;/author&gt;&lt;author&gt;&lt;firstName&gt;Haibin&lt;/firstName&gt;&lt;lastName&gt;Li&lt;/lastName&gt;&lt;/author&gt;&lt;/authors&gt;&lt;/publication&gt;&lt;/publications&gt;&lt;cites&gt;&lt;/cites&gt;&lt;/citation&gt;</w:instrText>
      </w:r>
      <w:r w:rsidR="00F16D5B">
        <w:fldChar w:fldCharType="separate"/>
      </w:r>
      <w:r w:rsidR="001C1AAC">
        <w:t>(</w:t>
      </w:r>
      <w:r w:rsidR="001C1AAC">
        <w:rPr>
          <w:i/>
          <w:iCs/>
        </w:rPr>
        <w:t>131</w:t>
      </w:r>
      <w:r w:rsidR="001C1AAC">
        <w:t>)</w:t>
      </w:r>
      <w:r w:rsidR="00F16D5B">
        <w:fldChar w:fldCharType="end"/>
      </w:r>
      <w:r>
        <w:t xml:space="preserve">. More efficient torrefaction may be achieved by changing the composition or chemical structure of hemicellulose through genetic methods to further separate the decomposition temperatures of hemicellulose from lignin and cellulose. By identifying and studying the roles of key biomass components during thermal conversion, it will be possible to maximize the economic and environmental benefits of plant biomass derived biofuels in the future. </w:t>
      </w:r>
    </w:p>
    <w:p w14:paraId="13768C25" w14:textId="6D571D18" w:rsidR="00C85EA1" w:rsidRDefault="00C85EA1" w:rsidP="00C85EA1">
      <w:r w:rsidRPr="00C85EA1">
        <w:br w:type="page"/>
      </w:r>
    </w:p>
    <w:p w14:paraId="3CB03EDD" w14:textId="45912C23" w:rsidR="0074036B" w:rsidRPr="000F56FF" w:rsidRDefault="0074036B" w:rsidP="00610540">
      <w:pPr>
        <w:pStyle w:val="Chapter"/>
      </w:pPr>
      <w:bookmarkStart w:id="30" w:name="_Toc449964838"/>
      <w:r>
        <w:lastRenderedPageBreak/>
        <w:t>Experimental Methods</w:t>
      </w:r>
      <w:bookmarkEnd w:id="30"/>
    </w:p>
    <w:p w14:paraId="516CBD1D" w14:textId="6F8F6880" w:rsidR="001B25DE" w:rsidRPr="00395CF5" w:rsidRDefault="001B25DE" w:rsidP="005C7E19">
      <w:pPr>
        <w:pStyle w:val="Heading2"/>
      </w:pPr>
      <w:bookmarkStart w:id="31" w:name="_Toc449964839"/>
      <w:r w:rsidRPr="00395CF5">
        <w:t>Bench scale torrefaction system</w:t>
      </w:r>
      <w:bookmarkEnd w:id="31"/>
    </w:p>
    <w:p w14:paraId="24EC4DB3" w14:textId="1836D9CB" w:rsidR="005C0AD1" w:rsidRDefault="001B25DE" w:rsidP="005765A0">
      <w:r>
        <w:t xml:space="preserve">A bench scale </w:t>
      </w:r>
      <w:r w:rsidR="003D1518">
        <w:t>torrefaction</w:t>
      </w:r>
      <w:r>
        <w:t xml:space="preserve"> reactor (</w:t>
      </w:r>
      <w:r w:rsidRPr="00A7123D">
        <w:t>Figure 3</w:t>
      </w:r>
      <w:r w:rsidR="00A7123D" w:rsidRPr="00A7123D">
        <w:t>.1</w:t>
      </w:r>
      <w:r w:rsidRPr="00A7123D">
        <w:t>),</w:t>
      </w:r>
      <w:r>
        <w:t xml:space="preserve"> as described in Wan et al.</w:t>
      </w:r>
      <w:r w:rsidR="00F16D5B">
        <w:t xml:space="preserve"> </w:t>
      </w:r>
      <w:r w:rsidR="00F16D5B">
        <w:fldChar w:fldCharType="begin"/>
      </w:r>
      <w:r w:rsidR="00807999">
        <w:instrText xml:space="preserve"> ADDIN PAPERS2_CITATIONS &lt;citation&gt;&lt;uuid&gt;BA07A7F6-33CA-4C47-BA3E-5122143D928B&lt;/uuid&gt;&lt;priority&gt;0&lt;/priority&gt;&lt;publications&gt;&lt;publication&gt;&lt;publication_date&gt;99201300001200000000200000&lt;/publication_date&gt;&lt;doi&gt;10.1002/aic.14038&lt;/doi&gt;&lt;title&gt;Direct catalytic upgrading of biomass pyrolysis vapors by a dual function Ru/TiO2 catalyst&lt;/title&gt;&lt;uuid&gt;DC94A6D5-1A72-49AC-8E9C-843CC7058A35&lt;/uuid&gt;&lt;subtype&gt;400&lt;/subtype&gt;&lt;publisher&gt;Wiley Online Library&lt;/publisher&gt;&lt;type&gt;400&lt;/type&gt;&lt;citekey&gt;Wan:2013jp&lt;/citekey&gt;&lt;url&gt;http://onlinelibrary.wiley.com/doi/10.1002/aic.14038/full&lt;/url&gt;&lt;bundle&gt;&lt;publication&gt;&lt;title&gt;AIChE Journal&lt;/title&gt;&lt;type&gt;-100&lt;/type&gt;&lt;subtype&gt;-100&lt;/subtype&gt;&lt;uuid&gt;4439A400-0C12-4F4D-B6FC-D94CAF45915B&lt;/uuid&gt;&lt;/publication&gt;&lt;/bundle&gt;&lt;authors&gt;&lt;author&gt;&lt;firstName&gt;Shaolong&lt;/firstName&gt;&lt;lastName&gt;Wan&lt;/lastName&gt;&lt;/author&gt;&lt;author&gt;&lt;firstName&gt;Trung&lt;/firstName&gt;&lt;lastName&gt;Pham&lt;/lastName&gt;&lt;/author&gt;&lt;author&gt;&lt;firstName&gt;Sarah&lt;/firstName&gt;&lt;lastName&gt;Zhang&lt;/lastName&gt;&lt;/author&gt;&lt;author&gt;&lt;firstName&gt;Lance&lt;/firstName&gt;&lt;lastName&gt;Lobban&lt;/lastName&gt;&lt;/author&gt;&lt;author&gt;&lt;firstName&gt;D&lt;/firstName&gt;&lt;middleNames&gt;E&lt;/middleNames&gt;&lt;lastName&gt;Resasco&lt;/lastName&gt;&lt;/author&gt;&lt;author&gt;&lt;firstName&gt;R&lt;/firstName&gt;&lt;middleNames&gt;G&lt;/middleNames&gt;&lt;lastName&gt;Mallinson&lt;/lastName&gt;&lt;/author&gt;&lt;/authors&gt;&lt;/publication&gt;&lt;/publications&gt;&lt;cites&gt;&lt;/cites&gt;&lt;/citation&gt;</w:instrText>
      </w:r>
      <w:r w:rsidR="00F16D5B">
        <w:fldChar w:fldCharType="separate"/>
      </w:r>
      <w:r w:rsidR="001C1AAC">
        <w:t>(</w:t>
      </w:r>
      <w:r w:rsidR="001C1AAC">
        <w:rPr>
          <w:i/>
          <w:iCs/>
        </w:rPr>
        <w:t>135</w:t>
      </w:r>
      <w:r w:rsidR="001C1AAC">
        <w:t>)</w:t>
      </w:r>
      <w:r w:rsidR="00F16D5B">
        <w:fldChar w:fldCharType="end"/>
      </w:r>
      <w:r>
        <w:t xml:space="preserve">, </w:t>
      </w:r>
      <w:r w:rsidR="00586157">
        <w:t>was</w:t>
      </w:r>
      <w:r>
        <w:t xml:space="preserve"> used </w:t>
      </w:r>
      <w:r w:rsidR="00987538">
        <w:t>to perform torrefaction experiments as described in this text</w:t>
      </w:r>
      <w:r>
        <w:t>.</w:t>
      </w:r>
      <w:r w:rsidR="00A012B3">
        <w:t xml:space="preserve"> </w:t>
      </w:r>
    </w:p>
    <w:p w14:paraId="20C0B27B" w14:textId="1DA783F7" w:rsidR="005765A0" w:rsidRDefault="005765A0" w:rsidP="001B25DE">
      <w:r>
        <w:t>The reactor was made of a stainless steel tube with an ID of</w:t>
      </w:r>
      <w:r w:rsidR="005C0AD1">
        <w:t xml:space="preserve"> 0.930 in. and length of 12 in. </w:t>
      </w:r>
      <w:r w:rsidR="00A012B3">
        <w:t>The reactor was</w:t>
      </w:r>
      <w:r>
        <w:t xml:space="preserve"> externally heated with a one-zone electric furnace, where the actual pyrolysis temperature was monitored by a Type K thermocouple inserted in the center of the reactor tube. </w:t>
      </w:r>
      <w:r w:rsidR="00A012B3">
        <w:t>Biomass was fed via a Coperion loss-in-weight twin screw auger feeder (</w:t>
      </w:r>
      <w:r w:rsidR="00A012B3" w:rsidRPr="00F207D5">
        <w:rPr>
          <w:i/>
        </w:rPr>
        <w:t>Coperion K Tron Pitman Inc., Sewell NJ</w:t>
      </w:r>
      <w:r w:rsidR="00A012B3">
        <w:t>) over the course of one minute</w:t>
      </w:r>
      <w:r w:rsidR="005C0AD1" w:rsidRPr="005C0AD1">
        <w:t xml:space="preserve"> </w:t>
      </w:r>
      <w:r w:rsidR="005C0AD1">
        <w:t>through a 1/2 inch stainless steel transport tube</w:t>
      </w:r>
      <w:r w:rsidR="00A012B3">
        <w:t>.</w:t>
      </w:r>
      <w:r w:rsidR="005C0AD1">
        <w:t xml:space="preserve"> </w:t>
      </w:r>
      <w:r>
        <w:t xml:space="preserve">A carrier gas, </w:t>
      </w:r>
      <w:r w:rsidR="00A012B3">
        <w:t>nitrogen at 300 mL/min</w:t>
      </w:r>
      <w:r>
        <w:t xml:space="preserve">, was introduced in the upper part of the transport tube to </w:t>
      </w:r>
      <w:r w:rsidR="005C0AD1">
        <w:t xml:space="preserve">ensure good transport to the reactor, and to ensure no air was able to get into the reaction zone. </w:t>
      </w:r>
      <w:r w:rsidR="00A012B3">
        <w:t>A second</w:t>
      </w:r>
      <w:r>
        <w:t xml:space="preserve"> flow of </w:t>
      </w:r>
      <w:r w:rsidR="00A012B3">
        <w:t>nitrogen</w:t>
      </w:r>
      <w:r>
        <w:t xml:space="preserve"> preheated to </w:t>
      </w:r>
      <w:r w:rsidR="00A012B3">
        <w:t>270°C</w:t>
      </w:r>
      <w:r>
        <w:t xml:space="preserve"> was fed from the bottom of the reactor tube at </w:t>
      </w:r>
      <w:r w:rsidR="00A012B3" w:rsidRPr="00A012B3">
        <w:t>585</w:t>
      </w:r>
      <w:r w:rsidRPr="00A012B3">
        <w:t xml:space="preserve"> </w:t>
      </w:r>
      <w:r w:rsidR="00A012B3" w:rsidRPr="00A012B3">
        <w:t>mL/min,</w:t>
      </w:r>
      <w:r w:rsidR="00A012B3">
        <w:t xml:space="preserve"> for a total carrier flow rate of 885 mL/min, and a space-time of approximately 2 seconds</w:t>
      </w:r>
      <w:r>
        <w:t>. The reactor</w:t>
      </w:r>
      <w:r w:rsidR="00A012B3">
        <w:t xml:space="preserve"> pressure was approximately 1 atm.</w:t>
      </w:r>
      <w:r>
        <w:t xml:space="preserve"> </w:t>
      </w:r>
    </w:p>
    <w:p w14:paraId="539FEB1C" w14:textId="6D69D713" w:rsidR="001B25DE" w:rsidRDefault="001B25DE" w:rsidP="001B25DE">
      <w:r>
        <w:t xml:space="preserve">Biomass </w:t>
      </w:r>
      <w:r w:rsidR="00586157">
        <w:t>was</w:t>
      </w:r>
      <w:r>
        <w:t xml:space="preserve"> reacted for 20 minutes with a temperature ramp to achieve 270°C for the last five minutes.</w:t>
      </w:r>
      <w:r w:rsidR="00023814">
        <w:t xml:space="preserve"> When the biomass is introduced into this reactor, the measured temperature inside the reactor immediately decreases, and the temperature recovers to 270°C over the course of 15 minutes.</w:t>
      </w:r>
      <w:r>
        <w:t xml:space="preserve"> The volatiles that evolved </w:t>
      </w:r>
      <w:r w:rsidR="00586157">
        <w:t>were</w:t>
      </w:r>
      <w:r>
        <w:t xml:space="preserve"> condensed via an ice water trap followed by a liquid nitrogen trap. </w:t>
      </w:r>
      <w:r w:rsidR="00DA31D8">
        <w:t xml:space="preserve">A wet test meter was used to measure the flow rate for the post-condensation gas mixture, before its release to a vent. </w:t>
      </w:r>
      <w:r>
        <w:t>After 20 minutes</w:t>
      </w:r>
      <w:r w:rsidR="00586157">
        <w:t xml:space="preserve"> of reaction</w:t>
      </w:r>
      <w:r>
        <w:t xml:space="preserve">, the reactor </w:t>
      </w:r>
      <w:r w:rsidR="00586157">
        <w:t>wa</w:t>
      </w:r>
      <w:r>
        <w:t xml:space="preserve">s rapidly cooled and the residual solids </w:t>
      </w:r>
      <w:r w:rsidR="00586157">
        <w:t>we</w:t>
      </w:r>
      <w:r>
        <w:t xml:space="preserve">re removed. The liquids in the two traps </w:t>
      </w:r>
      <w:r w:rsidR="00586157">
        <w:t>we</w:t>
      </w:r>
      <w:r>
        <w:t>re collected and mixed thoroughly for analysis.</w:t>
      </w:r>
      <w:r w:rsidR="00DA31D8" w:rsidRPr="00DA31D8">
        <w:t xml:space="preserve"> </w:t>
      </w:r>
    </w:p>
    <w:p w14:paraId="35DFD6CA" w14:textId="74209B3D" w:rsidR="00734392" w:rsidRDefault="00585A28" w:rsidP="005B60FA">
      <w:pPr>
        <w:pStyle w:val="NoSpacing"/>
      </w:pPr>
      <w:r>
        <w:rPr>
          <w:noProof/>
        </w:rPr>
        <w:lastRenderedPageBreak/>
        <w:drawing>
          <wp:inline distT="0" distB="0" distL="0" distR="0" wp14:anchorId="2D3CB708" wp14:editId="63365731">
            <wp:extent cx="5208998" cy="2958424"/>
            <wp:effectExtent l="0" t="0" r="0" b="0"/>
            <wp:docPr id="44" name="Picture 44" descr="micro%20schematic%20diagram.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cro%20schematic%20diagram.pdf"/>
                    <pic:cNvPicPr>
                      <a:picLocks noChangeAspect="1" noChangeArrowheads="1"/>
                    </pic:cNvPicPr>
                  </pic:nvPicPr>
                  <pic:blipFill rotWithShape="1">
                    <a:blip r:embed="rId12">
                      <a:extLst>
                        <a:ext uri="{28A0092B-C50C-407E-A947-70E740481C1C}">
                          <a14:useLocalDpi xmlns:a14="http://schemas.microsoft.com/office/drawing/2010/main" val="0"/>
                        </a:ext>
                      </a:extLst>
                    </a:blip>
                    <a:srcRect l="2477" t="14073" r="916" b="14808"/>
                    <a:stretch/>
                  </pic:blipFill>
                  <pic:spPr bwMode="auto">
                    <a:xfrm>
                      <a:off x="0" y="0"/>
                      <a:ext cx="5210633" cy="2959353"/>
                    </a:xfrm>
                    <a:prstGeom prst="rect">
                      <a:avLst/>
                    </a:prstGeom>
                    <a:noFill/>
                    <a:ln>
                      <a:noFill/>
                    </a:ln>
                    <a:extLst>
                      <a:ext uri="{53640926-AAD7-44D8-BBD7-CCE9431645EC}">
                        <a14:shadowObscured xmlns:a14="http://schemas.microsoft.com/office/drawing/2010/main"/>
                      </a:ext>
                    </a:extLst>
                  </pic:spPr>
                </pic:pic>
              </a:graphicData>
            </a:graphic>
          </wp:inline>
        </w:drawing>
      </w:r>
    </w:p>
    <w:p w14:paraId="0E1E278C" w14:textId="3EB9CEFD" w:rsidR="00734392" w:rsidRPr="00672657" w:rsidRDefault="00734392" w:rsidP="00734392">
      <w:pPr>
        <w:pStyle w:val="Caption"/>
        <w:jc w:val="center"/>
        <w:rPr>
          <w:b w:val="0"/>
        </w:rPr>
      </w:pPr>
      <w:bookmarkStart w:id="32" w:name="_Toc449964955"/>
      <w:r>
        <w:t xml:space="preserve">Figure </w:t>
      </w:r>
      <w:fldSimple w:instr=" STYLEREF &quot;Chapter&quot; \s ">
        <w:r w:rsidR="00463F52">
          <w:rPr>
            <w:noProof/>
          </w:rPr>
          <w:t>3</w:t>
        </w:r>
      </w:fldSimple>
      <w:r>
        <w:t>.</w:t>
      </w:r>
      <w:fldSimple w:instr=" SEQ Figure \r 1 \* ARABIC \s 1 ">
        <w:r w:rsidR="00463F52">
          <w:rPr>
            <w:noProof/>
          </w:rPr>
          <w:t>1</w:t>
        </w:r>
      </w:fldSimple>
      <w:r>
        <w:rPr>
          <w:noProof/>
        </w:rPr>
        <w:t xml:space="preserve">. </w:t>
      </w:r>
      <w:r w:rsidR="003D1518">
        <w:rPr>
          <w:b w:val="0"/>
        </w:rPr>
        <w:t>Bench scale torrefaction reactor</w:t>
      </w:r>
      <w:bookmarkEnd w:id="32"/>
    </w:p>
    <w:p w14:paraId="06023C2F" w14:textId="77777777" w:rsidR="00734392" w:rsidRPr="001B25DE" w:rsidRDefault="00734392" w:rsidP="001B25DE"/>
    <w:p w14:paraId="23621404" w14:textId="5B4C4E62" w:rsidR="00AF327B" w:rsidRDefault="00AF327B" w:rsidP="005C7E19">
      <w:pPr>
        <w:pStyle w:val="Heading2"/>
      </w:pPr>
      <w:bookmarkStart w:id="33" w:name="_Toc449964840"/>
      <w:r>
        <w:t>Pyrolysis GCMS</w:t>
      </w:r>
      <w:r w:rsidR="009464DA">
        <w:t>/FID</w:t>
      </w:r>
      <w:bookmarkEnd w:id="33"/>
    </w:p>
    <w:p w14:paraId="51C5A5D1" w14:textId="26772EF9" w:rsidR="008F08A7" w:rsidRPr="008F08A7" w:rsidRDefault="008F08A7" w:rsidP="008F08A7">
      <w:pPr>
        <w:pStyle w:val="Heading3"/>
      </w:pPr>
      <w:bookmarkStart w:id="34" w:name="_Toc449964841"/>
      <w:r>
        <w:t>Sample Preparation</w:t>
      </w:r>
      <w:bookmarkEnd w:id="34"/>
    </w:p>
    <w:p w14:paraId="00F61813" w14:textId="2C4C6935" w:rsidR="008F08A7" w:rsidRDefault="008F08A7" w:rsidP="008F08A7">
      <w:r>
        <w:t xml:space="preserve">To prepare biomass samples for analytical pyrolysis or torrefaction between 0.5 mg and 1.5mg of biomass </w:t>
      </w:r>
      <w:r w:rsidR="00586157">
        <w:t>wa</w:t>
      </w:r>
      <w:r>
        <w:t xml:space="preserve">s loaded into a fire polished quartz tube </w:t>
      </w:r>
      <w:r w:rsidRPr="008F08A7">
        <w:rPr>
          <w:i/>
        </w:rPr>
        <w:t>(CDS Analytical, Oxford PA, Part No. 10A1-3015)</w:t>
      </w:r>
      <w:r>
        <w:t xml:space="preserve"> with a filler rod </w:t>
      </w:r>
      <w:r w:rsidRPr="008F08A7">
        <w:rPr>
          <w:i/>
        </w:rPr>
        <w:t>(CDS Analytical, Oxford PA, Part No. 10A1-3016S)</w:t>
      </w:r>
      <w:r>
        <w:t xml:space="preserve"> and quartz wool </w:t>
      </w:r>
      <w:r w:rsidRPr="008F08A7">
        <w:rPr>
          <w:i/>
        </w:rPr>
        <w:t>(CDS Analytical, Oxford PA, Part No. 0100-9014)</w:t>
      </w:r>
      <w:r>
        <w:t xml:space="preserve"> below to prevent the samples from falling out of the bottom (</w:t>
      </w:r>
      <w:r w:rsidRPr="00A7123D">
        <w:t xml:space="preserve">figure </w:t>
      </w:r>
      <w:r w:rsidR="00A7123D" w:rsidRPr="00A7123D">
        <w:t>3.2</w:t>
      </w:r>
      <w:r>
        <w:t xml:space="preserve">). The quartz tubes </w:t>
      </w:r>
      <w:r w:rsidR="00586157">
        <w:t>we</w:t>
      </w:r>
      <w:r w:rsidR="00915448">
        <w:t>re</w:t>
      </w:r>
      <w:r>
        <w:t xml:space="preserve"> weighed before and after sample loading, and the difference </w:t>
      </w:r>
      <w:r w:rsidR="00586157">
        <w:t>wa</w:t>
      </w:r>
      <w:r w:rsidR="00915448">
        <w:t>s</w:t>
      </w:r>
      <w:r>
        <w:t xml:space="preserve"> taken as the mass of the sample in th</w:t>
      </w:r>
      <w:r w:rsidR="00915448">
        <w:t>e tube.</w:t>
      </w:r>
      <w:r w:rsidR="00122DF5">
        <w:t xml:space="preserve"> Larger sample masses (&gt; 1 mg) </w:t>
      </w:r>
      <w:r w:rsidR="00586157">
        <w:t>we</w:t>
      </w:r>
      <w:r w:rsidR="00122DF5">
        <w:t>re used in lower temperature experiments</w:t>
      </w:r>
      <w:r w:rsidR="00586157">
        <w:t xml:space="preserve"> (below 4</w:t>
      </w:r>
      <w:r w:rsidR="00092785">
        <w:t>5</w:t>
      </w:r>
      <w:r w:rsidR="00586157">
        <w:t>0°C)</w:t>
      </w:r>
      <w:r w:rsidR="00122DF5">
        <w:t xml:space="preserve"> in order to ensure a sufficient amount of material </w:t>
      </w:r>
      <w:r w:rsidR="00586157">
        <w:t>wa</w:t>
      </w:r>
      <w:r w:rsidR="00122DF5">
        <w:t>s detected.</w:t>
      </w:r>
    </w:p>
    <w:p w14:paraId="004A66CE" w14:textId="3AB4CFF8" w:rsidR="002B2DFA" w:rsidRDefault="00730081" w:rsidP="005B60FA">
      <w:pPr>
        <w:pStyle w:val="NoSpacing"/>
        <w:jc w:val="center"/>
      </w:pPr>
      <w:r>
        <w:rPr>
          <w:noProof/>
        </w:rPr>
        <w:lastRenderedPageBreak/>
        <w:drawing>
          <wp:inline distT="0" distB="0" distL="0" distR="0" wp14:anchorId="47DCD40A" wp14:editId="4C57980B">
            <wp:extent cx="4019550" cy="2858529"/>
            <wp:effectExtent l="0" t="0" r="0" b="12065"/>
            <wp:docPr id="70" name="Picture 70" descr="tube%20cartoon.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ube%20cartoon.pdf"/>
                    <pic:cNvPicPr>
                      <a:picLocks noChangeAspect="1" noChangeArrowheads="1"/>
                    </pic:cNvPicPr>
                  </pic:nvPicPr>
                  <pic:blipFill rotWithShape="1">
                    <a:blip r:embed="rId13">
                      <a:extLst>
                        <a:ext uri="{28A0092B-C50C-407E-A947-70E740481C1C}">
                          <a14:useLocalDpi xmlns:a14="http://schemas.microsoft.com/office/drawing/2010/main" val="0"/>
                        </a:ext>
                      </a:extLst>
                    </a:blip>
                    <a:srcRect l="9633" t="14032" r="15734" b="17367"/>
                    <a:stretch/>
                  </pic:blipFill>
                  <pic:spPr bwMode="auto">
                    <a:xfrm>
                      <a:off x="0" y="0"/>
                      <a:ext cx="4020720" cy="2859361"/>
                    </a:xfrm>
                    <a:prstGeom prst="rect">
                      <a:avLst/>
                    </a:prstGeom>
                    <a:noFill/>
                    <a:ln>
                      <a:noFill/>
                    </a:ln>
                    <a:extLst>
                      <a:ext uri="{53640926-AAD7-44D8-BBD7-CCE9431645EC}">
                        <a14:shadowObscured xmlns:a14="http://schemas.microsoft.com/office/drawing/2010/main"/>
                      </a:ext>
                    </a:extLst>
                  </pic:spPr>
                </pic:pic>
              </a:graphicData>
            </a:graphic>
          </wp:inline>
        </w:drawing>
      </w:r>
    </w:p>
    <w:p w14:paraId="12A42056" w14:textId="5606B033" w:rsidR="002B2DFA" w:rsidRPr="00672657" w:rsidRDefault="002B2DFA" w:rsidP="00A86108">
      <w:pPr>
        <w:pStyle w:val="Caption"/>
        <w:jc w:val="center"/>
        <w:rPr>
          <w:b w:val="0"/>
        </w:rPr>
      </w:pPr>
      <w:bookmarkStart w:id="35" w:name="_Toc449964956"/>
      <w:r>
        <w:t xml:space="preserve">Figure </w:t>
      </w:r>
      <w:fldSimple w:instr=" STYLEREF &quot;Chapter&quot; \s ">
        <w:r w:rsidR="00463F52">
          <w:rPr>
            <w:noProof/>
          </w:rPr>
          <w:t>3</w:t>
        </w:r>
      </w:fldSimple>
      <w:r>
        <w:t>.</w:t>
      </w:r>
      <w:r w:rsidR="00714B85">
        <w:fldChar w:fldCharType="begin"/>
      </w:r>
      <w:r w:rsidR="00A7123D">
        <w:instrText xml:space="preserve"> SEQ Figure</w:instrText>
      </w:r>
      <w:r w:rsidR="00714B85">
        <w:instrText xml:space="preserve"> \* ARABIC \s 1 </w:instrText>
      </w:r>
      <w:r w:rsidR="00714B85">
        <w:fldChar w:fldCharType="separate"/>
      </w:r>
      <w:r w:rsidR="00463F52">
        <w:rPr>
          <w:noProof/>
        </w:rPr>
        <w:t>2</w:t>
      </w:r>
      <w:r w:rsidR="00714B85">
        <w:rPr>
          <w:noProof/>
        </w:rPr>
        <w:fldChar w:fldCharType="end"/>
      </w:r>
      <w:r>
        <w:rPr>
          <w:noProof/>
        </w:rPr>
        <w:t xml:space="preserve">. </w:t>
      </w:r>
      <w:r w:rsidRPr="002B2DFA">
        <w:rPr>
          <w:b w:val="0"/>
        </w:rPr>
        <w:t>Quartz sample tube diagram</w:t>
      </w:r>
      <w:r w:rsidR="00722761">
        <w:rPr>
          <w:b w:val="0"/>
        </w:rPr>
        <w:t xml:space="preserve"> (not to scale)</w:t>
      </w:r>
      <w:bookmarkEnd w:id="35"/>
    </w:p>
    <w:p w14:paraId="0FC84A36" w14:textId="77777777" w:rsidR="002B2DFA" w:rsidRDefault="002B2DFA" w:rsidP="008F08A7"/>
    <w:p w14:paraId="3AC1A0BA" w14:textId="3D2C11DC" w:rsidR="002B2DFA" w:rsidRDefault="00915448" w:rsidP="008F08A7">
      <w:pPr>
        <w:pStyle w:val="Heading3"/>
      </w:pPr>
      <w:bookmarkStart w:id="36" w:name="_Toc449964842"/>
      <w:r>
        <w:t>Pyroprobe Apparatus</w:t>
      </w:r>
      <w:bookmarkEnd w:id="36"/>
    </w:p>
    <w:p w14:paraId="066005AA" w14:textId="179A63F6" w:rsidR="00992FBE" w:rsidRDefault="008F08A7" w:rsidP="008F08A7">
      <w:r>
        <w:t>A CDS Analytical Pyroprobe 5250T apparatus</w:t>
      </w:r>
      <w:r w:rsidR="00915448">
        <w:t xml:space="preserve"> with autosampler</w:t>
      </w:r>
      <w:r>
        <w:t xml:space="preserve"> </w:t>
      </w:r>
      <w:r w:rsidR="00915448" w:rsidRPr="00D73E05">
        <w:t>(figur</w:t>
      </w:r>
      <w:r w:rsidR="00D73E05" w:rsidRPr="00D73E05">
        <w:t>e</w:t>
      </w:r>
      <w:r w:rsidR="00D73E05">
        <w:t>s</w:t>
      </w:r>
      <w:r w:rsidR="00D73E05" w:rsidRPr="00D73E05">
        <w:t xml:space="preserve"> 3.3</w:t>
      </w:r>
      <w:r w:rsidR="00D73E05">
        <w:t xml:space="preserve"> &amp; 3.4</w:t>
      </w:r>
      <w:r>
        <w:t xml:space="preserve">) </w:t>
      </w:r>
      <w:r w:rsidR="00586157">
        <w:t>wa</w:t>
      </w:r>
      <w:r w:rsidR="00915448">
        <w:t>s</w:t>
      </w:r>
      <w:r>
        <w:t xml:space="preserve"> used to perform thermal decomposition experiments on </w:t>
      </w:r>
      <w:r w:rsidR="00915448">
        <w:t>raw and thermally pretreated biomasses</w:t>
      </w:r>
      <w:r>
        <w:t xml:space="preserve">. </w:t>
      </w:r>
      <w:r w:rsidR="00BD44C4">
        <w:t xml:space="preserve">Samples </w:t>
      </w:r>
      <w:r w:rsidR="00586157">
        <w:t>we</w:t>
      </w:r>
      <w:r w:rsidR="00BD44C4">
        <w:t xml:space="preserve">re placed in the autosampler carousel and the software </w:t>
      </w:r>
      <w:r w:rsidR="00586157">
        <w:t>wa</w:t>
      </w:r>
      <w:r w:rsidR="00BD44C4">
        <w:t xml:space="preserve">s configured to select the appropriate calibrated temperature and desired final hold time. </w:t>
      </w:r>
    </w:p>
    <w:p w14:paraId="01768769" w14:textId="47B839DE" w:rsidR="00992FBE" w:rsidRDefault="00992FBE" w:rsidP="005B60FA">
      <w:pPr>
        <w:pStyle w:val="NoSpacing"/>
        <w:jc w:val="center"/>
      </w:pPr>
      <w:r w:rsidRPr="00992FBE">
        <w:rPr>
          <w:noProof/>
        </w:rPr>
        <w:lastRenderedPageBreak/>
        <w:drawing>
          <wp:inline distT="0" distB="0" distL="0" distR="0" wp14:anchorId="0CC521EA" wp14:editId="7815B387">
            <wp:extent cx="2514600" cy="3338570"/>
            <wp:effectExtent l="0" t="0" r="0" b="0"/>
            <wp:docPr id="58" name="Picture 58" descr="C:\current work\group meeting\pyroprobe\pyroprobe over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current work\group meeting\pyroprobe\pyroprobe overall.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43510"/>
                    <a:stretch/>
                  </pic:blipFill>
                  <pic:spPr bwMode="auto">
                    <a:xfrm>
                      <a:off x="0" y="0"/>
                      <a:ext cx="2514600" cy="3338570"/>
                    </a:xfrm>
                    <a:prstGeom prst="rect">
                      <a:avLst/>
                    </a:prstGeom>
                    <a:noFill/>
                    <a:ln>
                      <a:noFill/>
                    </a:ln>
                    <a:extLst>
                      <a:ext uri="{53640926-AAD7-44D8-BBD7-CCE9431645EC}">
                        <a14:shadowObscured xmlns:a14="http://schemas.microsoft.com/office/drawing/2010/main"/>
                      </a:ext>
                    </a:extLst>
                  </pic:spPr>
                </pic:pic>
              </a:graphicData>
            </a:graphic>
          </wp:inline>
        </w:drawing>
      </w:r>
    </w:p>
    <w:p w14:paraId="2518077B" w14:textId="77E36234" w:rsidR="000516AB" w:rsidRDefault="000516AB" w:rsidP="00A86108">
      <w:pPr>
        <w:pStyle w:val="Caption"/>
        <w:jc w:val="center"/>
        <w:rPr>
          <w:b w:val="0"/>
        </w:rPr>
      </w:pPr>
      <w:bookmarkStart w:id="37" w:name="_Toc449964957"/>
      <w:r>
        <w:t xml:space="preserve">Figure </w:t>
      </w:r>
      <w:fldSimple w:instr=" STYLEREF &quot;Chapter&quot; \s ">
        <w:r w:rsidR="00463F52">
          <w:rPr>
            <w:noProof/>
          </w:rPr>
          <w:t>3</w:t>
        </w:r>
      </w:fldSimple>
      <w:r>
        <w:t>.</w:t>
      </w:r>
      <w:fldSimple w:instr=" SEQ Figure \* ARABIC \s 1 ">
        <w:r w:rsidR="00463F52">
          <w:rPr>
            <w:noProof/>
          </w:rPr>
          <w:t>3</w:t>
        </w:r>
      </w:fldSimple>
      <w:r>
        <w:rPr>
          <w:noProof/>
        </w:rPr>
        <w:t xml:space="preserve">. </w:t>
      </w:r>
      <w:r>
        <w:rPr>
          <w:b w:val="0"/>
        </w:rPr>
        <w:t>Pyroprobe apparatus.</w:t>
      </w:r>
      <w:bookmarkEnd w:id="37"/>
    </w:p>
    <w:p w14:paraId="42D55879" w14:textId="77777777" w:rsidR="000516AB" w:rsidRPr="000516AB" w:rsidRDefault="000516AB" w:rsidP="00A86108">
      <w:pPr>
        <w:jc w:val="center"/>
      </w:pPr>
    </w:p>
    <w:p w14:paraId="26461F9B" w14:textId="77777777" w:rsidR="000516AB" w:rsidRDefault="000516AB" w:rsidP="005B60FA">
      <w:pPr>
        <w:pStyle w:val="NoSpacing"/>
        <w:jc w:val="center"/>
      </w:pPr>
      <w:r w:rsidRPr="00992FBE">
        <w:rPr>
          <w:noProof/>
        </w:rPr>
        <w:drawing>
          <wp:inline distT="0" distB="0" distL="0" distR="0" wp14:anchorId="7BEB6AA1" wp14:editId="1348E245">
            <wp:extent cx="2514600" cy="1546467"/>
            <wp:effectExtent l="0" t="0" r="0" b="3175"/>
            <wp:docPr id="62" name="Content Placeholder 4" descr="photo.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 name="Content Placeholder 4" descr="photo.JPG"/>
                    <pic:cNvPicPr>
                      <a:picLocks noGrp="1" noChangeAspect="1"/>
                    </pic:cNvPicPr>
                  </pic:nvPicPr>
                  <pic:blipFill rotWithShape="1">
                    <a:blip r:embed="rId15" cstate="print">
                      <a:extLst>
                        <a:ext uri="{28A0092B-C50C-407E-A947-70E740481C1C}">
                          <a14:useLocalDpi xmlns:a14="http://schemas.microsoft.com/office/drawing/2010/main" val="0"/>
                        </a:ext>
                      </a:extLst>
                    </a:blip>
                    <a:srcRect/>
                    <a:stretch/>
                  </pic:blipFill>
                  <pic:spPr>
                    <a:xfrm rot="10800000">
                      <a:off x="0" y="0"/>
                      <a:ext cx="2514600" cy="1546467"/>
                    </a:xfrm>
                    <a:prstGeom prst="rect">
                      <a:avLst/>
                    </a:prstGeom>
                  </pic:spPr>
                </pic:pic>
              </a:graphicData>
            </a:graphic>
          </wp:inline>
        </w:drawing>
      </w:r>
    </w:p>
    <w:p w14:paraId="496D1913" w14:textId="6B374816" w:rsidR="000516AB" w:rsidRPr="00180D98" w:rsidRDefault="000516AB" w:rsidP="00180D98">
      <w:pPr>
        <w:pStyle w:val="Caption"/>
        <w:jc w:val="center"/>
      </w:pPr>
      <w:bookmarkStart w:id="38" w:name="_Toc449964958"/>
      <w:r w:rsidRPr="00180D98">
        <w:t xml:space="preserve">Figure </w:t>
      </w:r>
      <w:fldSimple w:instr=" STYLEREF &quot;Chapter&quot; \s ">
        <w:r w:rsidR="00463F52">
          <w:rPr>
            <w:noProof/>
          </w:rPr>
          <w:t>3</w:t>
        </w:r>
      </w:fldSimple>
      <w:r w:rsidRPr="00180D98">
        <w:t>.</w:t>
      </w:r>
      <w:fldSimple w:instr=" SEQ Figure \* ARABIC \s 1 ">
        <w:r w:rsidR="00463F52">
          <w:rPr>
            <w:noProof/>
          </w:rPr>
          <w:t>4</w:t>
        </w:r>
      </w:fldSimple>
      <w:r w:rsidRPr="00180D98">
        <w:t xml:space="preserve">. </w:t>
      </w:r>
      <w:r w:rsidRPr="00180D98">
        <w:rPr>
          <w:b w:val="0"/>
        </w:rPr>
        <w:t>Pyroprobe autosampler.</w:t>
      </w:r>
      <w:bookmarkEnd w:id="38"/>
    </w:p>
    <w:p w14:paraId="6E1D2F41" w14:textId="77777777" w:rsidR="000516AB" w:rsidRDefault="000516AB" w:rsidP="008F08A7"/>
    <w:p w14:paraId="10EC62A8" w14:textId="210B74EF" w:rsidR="00BD44C4" w:rsidRDefault="00BD44C4" w:rsidP="008F08A7">
      <w:r>
        <w:t xml:space="preserve">When the GC ready signal </w:t>
      </w:r>
      <w:r w:rsidR="00586157">
        <w:t>wa</w:t>
      </w:r>
      <w:r>
        <w:t xml:space="preserve">s given, the </w:t>
      </w:r>
      <w:r w:rsidR="00586157">
        <w:t>autosampler</w:t>
      </w:r>
      <w:r>
        <w:t xml:space="preserve"> carousel advance</w:t>
      </w:r>
      <w:r w:rsidR="00586157">
        <w:t>d</w:t>
      </w:r>
      <w:r>
        <w:t xml:space="preserve">, dropping </w:t>
      </w:r>
      <w:r w:rsidR="0089314D">
        <w:t>the sample</w:t>
      </w:r>
      <w:r>
        <w:t xml:space="preserve"> tube </w:t>
      </w:r>
      <w:r w:rsidR="0089314D">
        <w:t xml:space="preserve">onto the top of an isolation valve, which rotates to allow the tube to drop further </w:t>
      </w:r>
      <w:r>
        <w:t>into the pyrolysis chamber</w:t>
      </w:r>
      <w:r w:rsidR="0089314D">
        <w:t xml:space="preserve"> (resting on top of a</w:t>
      </w:r>
      <w:r w:rsidR="00586157">
        <w:t xml:space="preserve"> second,</w:t>
      </w:r>
      <w:r w:rsidR="0089314D">
        <w:t xml:space="preserve"> lower isolation valve)</w:t>
      </w:r>
      <w:r>
        <w:t>. Th</w:t>
      </w:r>
      <w:r w:rsidR="0089314D">
        <w:t xml:space="preserve">e top valves </w:t>
      </w:r>
      <w:r w:rsidR="00812DD3">
        <w:t>wa</w:t>
      </w:r>
      <w:r>
        <w:t>s</w:t>
      </w:r>
      <w:r w:rsidR="0089314D">
        <w:t xml:space="preserve"> closed and the</w:t>
      </w:r>
      <w:r>
        <w:t xml:space="preserve"> </w:t>
      </w:r>
      <w:r w:rsidR="00812DD3">
        <w:t xml:space="preserve">pyrolysis </w:t>
      </w:r>
      <w:r>
        <w:t xml:space="preserve">chamber </w:t>
      </w:r>
      <w:r w:rsidR="00812DD3">
        <w:t>wa</w:t>
      </w:r>
      <w:r>
        <w:t xml:space="preserve">s then </w:t>
      </w:r>
      <w:r w:rsidR="0089314D">
        <w:t xml:space="preserve">purged with helium for </w:t>
      </w:r>
      <w:r w:rsidR="00016945">
        <w:t>20</w:t>
      </w:r>
      <w:r w:rsidR="0089314D">
        <w:t xml:space="preserve"> seconds to remove any air which was introduced into the system. Following this purge, the platinum filament </w:t>
      </w:r>
      <w:r w:rsidR="00812DD3">
        <w:t>wa</w:t>
      </w:r>
      <w:r w:rsidR="0089314D">
        <w:t>s resistively heated to the instrument set point utilizing a 1000°C / second temperature ramp. The evolved vapors</w:t>
      </w:r>
      <w:r w:rsidR="00514233">
        <w:t xml:space="preserve"> pass</w:t>
      </w:r>
      <w:r w:rsidR="00812DD3">
        <w:t>ed</w:t>
      </w:r>
      <w:r w:rsidR="00514233">
        <w:t xml:space="preserve"> through a valve oven </w:t>
      </w:r>
      <w:r w:rsidR="00514233">
        <w:lastRenderedPageBreak/>
        <w:t>heated to 300°C, and</w:t>
      </w:r>
      <w:r w:rsidR="0089314D">
        <w:t xml:space="preserve"> </w:t>
      </w:r>
      <w:r w:rsidR="00812DD3">
        <w:t>we</w:t>
      </w:r>
      <w:r w:rsidR="0089314D">
        <w:t xml:space="preserve">re then swept into a </w:t>
      </w:r>
      <w:r w:rsidR="00023814">
        <w:t>1/16” Silcos</w:t>
      </w:r>
      <w:r w:rsidR="0089314D" w:rsidRPr="0089314D">
        <w:t>teel</w:t>
      </w:r>
      <w:r w:rsidR="00023814">
        <w:t>® (</w:t>
      </w:r>
      <w:r w:rsidR="00023814" w:rsidRPr="0064236D">
        <w:rPr>
          <w:i/>
        </w:rPr>
        <w:t>Restek Corporation, U.S., Bellefonte, PA</w:t>
      </w:r>
      <w:r w:rsidR="00023814">
        <w:t>)</w:t>
      </w:r>
      <w:r w:rsidR="0089314D" w:rsidRPr="0089314D">
        <w:t xml:space="preserve"> transfer line </w:t>
      </w:r>
      <w:r w:rsidR="0089314D">
        <w:t xml:space="preserve">heated to 300°C which is connected to the injection port of the attached </w:t>
      </w:r>
      <w:bookmarkStart w:id="39" w:name="OLE_LINK1"/>
      <w:bookmarkStart w:id="40" w:name="OLE_LINK2"/>
      <w:r w:rsidR="0089314D">
        <w:t xml:space="preserve">gas chromatograph </w:t>
      </w:r>
      <w:bookmarkEnd w:id="39"/>
      <w:bookmarkEnd w:id="40"/>
      <w:r w:rsidR="0089314D">
        <w:t xml:space="preserve">(described in detail below). </w:t>
      </w:r>
      <w:r w:rsidR="00812DD3">
        <w:t>After the final hold time</w:t>
      </w:r>
      <w:r w:rsidR="00514233">
        <w:t xml:space="preserve"> elapsed, the filament </w:t>
      </w:r>
      <w:r w:rsidR="00812DD3">
        <w:t>wa</w:t>
      </w:r>
      <w:r w:rsidR="00514233">
        <w:t>s deactivated and the lower isolation valve open</w:t>
      </w:r>
      <w:r w:rsidR="00812DD3">
        <w:t>ed</w:t>
      </w:r>
      <w:r w:rsidR="00514233">
        <w:t xml:space="preserve"> to allow the sample tube to be discharged from the instrument by gravity. For samples which </w:t>
      </w:r>
      <w:r w:rsidR="00812DD3">
        <w:t xml:space="preserve">have </w:t>
      </w:r>
      <w:r w:rsidR="00514233">
        <w:t>undergo</w:t>
      </w:r>
      <w:r w:rsidR="00812DD3">
        <w:t>ne</w:t>
      </w:r>
      <w:r w:rsidR="00514233">
        <w:t xml:space="preserve"> successive thermal treatment regimes, the tube </w:t>
      </w:r>
      <w:r w:rsidR="00812DD3">
        <w:t>wa</w:t>
      </w:r>
      <w:r w:rsidR="00514233">
        <w:t xml:space="preserve">s left in the pyrolysis chamber until the gas chromatography program </w:t>
      </w:r>
      <w:r w:rsidR="00812DD3">
        <w:t>wa</w:t>
      </w:r>
      <w:r w:rsidR="00514233">
        <w:t xml:space="preserve">s completed, at which time the sequence repeats, resuming from the purge step </w:t>
      </w:r>
      <w:r w:rsidR="00812DD3">
        <w:t>(</w:t>
      </w:r>
      <w:r w:rsidR="00514233">
        <w:t>as no new tube is loaded into the chamber</w:t>
      </w:r>
      <w:r w:rsidR="00812DD3">
        <w:t>)</w:t>
      </w:r>
      <w:r w:rsidR="00514233">
        <w:t>. After a tube ha</w:t>
      </w:r>
      <w:r w:rsidR="00812DD3">
        <w:t>d</w:t>
      </w:r>
      <w:r w:rsidR="00514233">
        <w:t xml:space="preserve"> been discharged from the pyrolysis chamber in this manner, the pyrolysis chamber </w:t>
      </w:r>
      <w:r w:rsidR="00812DD3">
        <w:t>wa</w:t>
      </w:r>
      <w:r w:rsidR="00514233">
        <w:t xml:space="preserve">s cleaned by reactivating the filament, which </w:t>
      </w:r>
      <w:r w:rsidR="00812DD3">
        <w:t>wa</w:t>
      </w:r>
      <w:r w:rsidR="00514233">
        <w:t>s held at a temperature of 1200°C for 20 seconds while a purge flow of approximately 30 mL/min of helium flow</w:t>
      </w:r>
      <w:r w:rsidR="00812DD3">
        <w:t>ed</w:t>
      </w:r>
      <w:r w:rsidR="00514233">
        <w:t xml:space="preserve"> through the chamber.</w:t>
      </w:r>
      <w:r w:rsidR="00BC2925">
        <w:t xml:space="preserve"> Samples were held online from 30 to 300 seconds depending on the experiment.</w:t>
      </w:r>
    </w:p>
    <w:p w14:paraId="4EB415EA" w14:textId="3C091913" w:rsidR="00514233" w:rsidRDefault="00514233" w:rsidP="008F08A7">
      <w:r>
        <w:t xml:space="preserve">Prior to the use of the pyroprobe apparatus, a calibration was performed with </w:t>
      </w:r>
      <w:r w:rsidRPr="00016945">
        <w:t xml:space="preserve">a </w:t>
      </w:r>
      <w:r w:rsidR="00016945" w:rsidRPr="00016945">
        <w:t>t</w:t>
      </w:r>
      <w:r w:rsidRPr="00016945">
        <w:t xml:space="preserve">ype K, </w:t>
      </w:r>
      <w:r w:rsidR="00016945" w:rsidRPr="00016945">
        <w:t>1/16" diameter, ungrounded, 6" long thermocouple (</w:t>
      </w:r>
      <w:r w:rsidR="00016945" w:rsidRPr="00016945">
        <w:rPr>
          <w:i/>
        </w:rPr>
        <w:t>Omega Engineering</w:t>
      </w:r>
      <w:r w:rsidR="00016945">
        <w:rPr>
          <w:i/>
        </w:rPr>
        <w:t>, Stamford, CT;</w:t>
      </w:r>
      <w:r w:rsidR="00016945" w:rsidRPr="00016945">
        <w:rPr>
          <w:i/>
        </w:rPr>
        <w:t xml:space="preserve"> </w:t>
      </w:r>
      <w:r w:rsidR="00016945">
        <w:rPr>
          <w:i/>
        </w:rPr>
        <w:t>P</w:t>
      </w:r>
      <w:r w:rsidR="00016945" w:rsidRPr="00016945">
        <w:rPr>
          <w:i/>
        </w:rPr>
        <w:t xml:space="preserve">art </w:t>
      </w:r>
      <w:r w:rsidR="00016945">
        <w:rPr>
          <w:i/>
        </w:rPr>
        <w:t>no.</w:t>
      </w:r>
      <w:r w:rsidR="00016945" w:rsidRPr="00016945">
        <w:rPr>
          <w:i/>
        </w:rPr>
        <w:t xml:space="preserve"> TJ36-CASS-116U-6</w:t>
      </w:r>
      <w:r w:rsidRPr="00016945">
        <w:t>)</w:t>
      </w:r>
      <w:r w:rsidRPr="00016945">
        <w:rPr>
          <w:i/>
        </w:rPr>
        <w:t xml:space="preserve"> </w:t>
      </w:r>
      <w:r>
        <w:t xml:space="preserve">to relate the instrument set point to the actual temperature in the chamber. </w:t>
      </w:r>
      <w:r w:rsidR="003A313A">
        <w:t xml:space="preserve">This </w:t>
      </w:r>
      <w:r w:rsidR="00812DD3">
        <w:t>wa</w:t>
      </w:r>
      <w:r w:rsidR="003A313A">
        <w:t>s necessary because the filament temperature is estimated by electrical resistivity</w:t>
      </w:r>
      <w:r w:rsidR="00812DD3">
        <w:t xml:space="preserve"> and not direct measurement</w:t>
      </w:r>
      <w:r w:rsidR="003A313A">
        <w:t xml:space="preserve">. </w:t>
      </w:r>
      <w:r w:rsidR="008A4990">
        <w:t xml:space="preserve">A plot of the calibration curve measured for the pyroprobe instrument taken approximately one year apart is shown in </w:t>
      </w:r>
      <w:r w:rsidR="00D73E05" w:rsidRPr="00D73E05">
        <w:t>figure 3.5</w:t>
      </w:r>
      <w:r w:rsidR="008A4990">
        <w:t>. The calibration curve is stable and has not changed appreciably with use over the course of the studies presented in this work.</w:t>
      </w:r>
    </w:p>
    <w:p w14:paraId="04C1EBA2" w14:textId="5ED56F02" w:rsidR="00BD44C4" w:rsidRDefault="003A313A" w:rsidP="005B60FA">
      <w:pPr>
        <w:pStyle w:val="NoSpacing"/>
      </w:pPr>
      <w:r>
        <w:rPr>
          <w:noProof/>
        </w:rPr>
        <w:lastRenderedPageBreak/>
        <w:drawing>
          <wp:inline distT="0" distB="0" distL="0" distR="0" wp14:anchorId="7FE26EED" wp14:editId="274C95A9">
            <wp:extent cx="5276164" cy="3792254"/>
            <wp:effectExtent l="0" t="0" r="7620" b="0"/>
            <wp:docPr id="46" name="Picture 46" descr="pp%20filament%20calibration.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p%20filament%20calibration.pdf"/>
                    <pic:cNvPicPr>
                      <a:picLocks noChangeAspect="1" noChangeArrowheads="1"/>
                    </pic:cNvPicPr>
                  </pic:nvPicPr>
                  <pic:blipFill rotWithShape="1">
                    <a:blip r:embed="rId16">
                      <a:extLst>
                        <a:ext uri="{28A0092B-C50C-407E-A947-70E740481C1C}">
                          <a14:useLocalDpi xmlns:a14="http://schemas.microsoft.com/office/drawing/2010/main" val="0"/>
                        </a:ext>
                      </a:extLst>
                    </a:blip>
                    <a:srcRect l="17948" t="32098" r="44063" b="32534"/>
                    <a:stretch/>
                  </pic:blipFill>
                  <pic:spPr bwMode="auto">
                    <a:xfrm>
                      <a:off x="0" y="0"/>
                      <a:ext cx="5277500" cy="3793214"/>
                    </a:xfrm>
                    <a:prstGeom prst="rect">
                      <a:avLst/>
                    </a:prstGeom>
                    <a:noFill/>
                    <a:ln>
                      <a:noFill/>
                    </a:ln>
                    <a:extLst>
                      <a:ext uri="{53640926-AAD7-44D8-BBD7-CCE9431645EC}">
                        <a14:shadowObscured xmlns:a14="http://schemas.microsoft.com/office/drawing/2010/main"/>
                      </a:ext>
                    </a:extLst>
                  </pic:spPr>
                </pic:pic>
              </a:graphicData>
            </a:graphic>
          </wp:inline>
        </w:drawing>
      </w:r>
    </w:p>
    <w:p w14:paraId="12A88688" w14:textId="6A252CE0" w:rsidR="00374765" w:rsidRDefault="00374765" w:rsidP="00374765">
      <w:pPr>
        <w:pStyle w:val="Caption"/>
        <w:rPr>
          <w:b w:val="0"/>
        </w:rPr>
      </w:pPr>
      <w:bookmarkStart w:id="41" w:name="_Toc449964959"/>
      <w:r>
        <w:t xml:space="preserve">Figure </w:t>
      </w:r>
      <w:fldSimple w:instr=" STYLEREF &quot;Chapter&quot; \s ">
        <w:r w:rsidR="00463F52">
          <w:rPr>
            <w:noProof/>
          </w:rPr>
          <w:t>3</w:t>
        </w:r>
      </w:fldSimple>
      <w:r>
        <w:t>.</w:t>
      </w:r>
      <w:fldSimple w:instr=" SEQ Figure \* ARABIC \s 1 ">
        <w:r w:rsidR="00463F52">
          <w:rPr>
            <w:noProof/>
          </w:rPr>
          <w:t>5</w:t>
        </w:r>
      </w:fldSimple>
      <w:r>
        <w:rPr>
          <w:noProof/>
        </w:rPr>
        <w:t xml:space="preserve">. </w:t>
      </w:r>
      <w:r>
        <w:rPr>
          <w:b w:val="0"/>
        </w:rPr>
        <w:t>Pyroprobe filament temperature calibration curve.</w:t>
      </w:r>
      <w:bookmarkEnd w:id="41"/>
    </w:p>
    <w:p w14:paraId="05BB5E45" w14:textId="77777777" w:rsidR="00374765" w:rsidRDefault="00374765" w:rsidP="008F08A7"/>
    <w:p w14:paraId="6F2A73BC" w14:textId="1E76178E" w:rsidR="008F08A7" w:rsidRDefault="008F08A7" w:rsidP="008F08A7">
      <w:r>
        <w:t xml:space="preserve">All </w:t>
      </w:r>
      <w:r w:rsidR="00194964">
        <w:t xml:space="preserve">pyrolysis and torrefaction </w:t>
      </w:r>
      <w:r>
        <w:t xml:space="preserve">reactions </w:t>
      </w:r>
      <w:r w:rsidR="00194964">
        <w:t xml:space="preserve">within the pyroprobe system </w:t>
      </w:r>
      <w:r w:rsidR="00812DD3">
        <w:t>we</w:t>
      </w:r>
      <w:r w:rsidR="00915448">
        <w:t>re</w:t>
      </w:r>
      <w:r>
        <w:t xml:space="preserve"> carried out in a helium carrier gas at one atmosphere</w:t>
      </w:r>
      <w:r w:rsidR="00915448">
        <w:t xml:space="preserve">. </w:t>
      </w:r>
      <w:r w:rsidR="00D761BF">
        <w:t xml:space="preserve">Flow </w:t>
      </w:r>
      <w:r w:rsidR="00092785">
        <w:t>wa</w:t>
      </w:r>
      <w:r w:rsidR="00D761BF">
        <w:t>s controlled by the gas chromatograph attached to the</w:t>
      </w:r>
      <w:r w:rsidR="00092785">
        <w:t xml:space="preserve"> pyroprobe</w:t>
      </w:r>
      <w:r w:rsidR="00D761BF">
        <w:t xml:space="preserve"> instrument. </w:t>
      </w:r>
      <w:r w:rsidR="00915448">
        <w:t xml:space="preserve">For experimental temperatures below 450°C, the helium flow rate </w:t>
      </w:r>
      <w:r w:rsidR="006F07B7">
        <w:t>wa</w:t>
      </w:r>
      <w:r w:rsidR="00915448">
        <w:t xml:space="preserve">s 14 mL/min total flow; above 450°C, the total helium flow rate </w:t>
      </w:r>
      <w:r w:rsidR="006F07B7">
        <w:t>wa</w:t>
      </w:r>
      <w:r w:rsidR="00915448">
        <w:t xml:space="preserve">s </w:t>
      </w:r>
      <w:r>
        <w:t>94 mL/min.</w:t>
      </w:r>
      <w:r w:rsidR="00915448">
        <w:t xml:space="preserve"> This </w:t>
      </w:r>
      <w:r w:rsidR="006F07B7">
        <w:t>wa</w:t>
      </w:r>
      <w:r w:rsidR="00915448">
        <w:t xml:space="preserve">s to ensure a sufficient amount of thermochemical products </w:t>
      </w:r>
      <w:r w:rsidR="006F07B7">
        <w:t>we</w:t>
      </w:r>
      <w:r w:rsidR="00915448">
        <w:t>re able to be detected</w:t>
      </w:r>
      <w:r w:rsidR="00D761BF">
        <w:t xml:space="preserve">, and is determined by the GC flow controller split ratio. A split ratio of 10:1 </w:t>
      </w:r>
      <w:r w:rsidR="002B799B">
        <w:t>wa</w:t>
      </w:r>
      <w:r w:rsidR="00D761BF">
        <w:t xml:space="preserve">s used for lower temperature experiments, and a split ratio of 90:1 </w:t>
      </w:r>
      <w:r w:rsidR="002B799B">
        <w:t>wa</w:t>
      </w:r>
      <w:r w:rsidR="00D761BF">
        <w:t>s used for higher temperature experiments</w:t>
      </w:r>
      <w:r w:rsidR="00915448">
        <w:t>.</w:t>
      </w:r>
      <w:r>
        <w:t xml:space="preserve"> </w:t>
      </w:r>
    </w:p>
    <w:p w14:paraId="13CCCCF1" w14:textId="32DEF725" w:rsidR="00086F2F" w:rsidRDefault="00086F2F" w:rsidP="00086F2F">
      <w:pPr>
        <w:pStyle w:val="Heading3"/>
      </w:pPr>
      <w:bookmarkStart w:id="42" w:name="_Toc449964843"/>
      <w:r>
        <w:t>Gas chromatography</w:t>
      </w:r>
      <w:bookmarkEnd w:id="42"/>
    </w:p>
    <w:p w14:paraId="6005E6D2" w14:textId="5AC3073B" w:rsidR="008F08A7" w:rsidRDefault="008F08A7" w:rsidP="008F08A7">
      <w:r>
        <w:t xml:space="preserve">Evolved vapors </w:t>
      </w:r>
      <w:r w:rsidR="00075EEF">
        <w:t xml:space="preserve">from the pyroprobe apparatus </w:t>
      </w:r>
      <w:r w:rsidR="002B799B">
        <w:t>we</w:t>
      </w:r>
      <w:r w:rsidR="00075EEF">
        <w:t>re</w:t>
      </w:r>
      <w:r>
        <w:t xml:space="preserve"> transported via </w:t>
      </w:r>
      <w:r w:rsidR="00075EEF" w:rsidRPr="0089314D">
        <w:t xml:space="preserve">1/16” </w:t>
      </w:r>
      <w:r w:rsidR="00023814">
        <w:t>Silcos</w:t>
      </w:r>
      <w:r w:rsidR="00023814" w:rsidRPr="0089314D">
        <w:t>teel</w:t>
      </w:r>
      <w:r w:rsidR="00023814">
        <w:t>® (</w:t>
      </w:r>
      <w:r w:rsidR="00023814" w:rsidRPr="0064236D">
        <w:rPr>
          <w:i/>
        </w:rPr>
        <w:t>Restek Corporation, U.S., Bellefonte, PA</w:t>
      </w:r>
      <w:r w:rsidR="00023814">
        <w:t xml:space="preserve">) </w:t>
      </w:r>
      <w:r w:rsidR="00075EEF" w:rsidRPr="0089314D">
        <w:t>transfer line</w:t>
      </w:r>
      <w:r w:rsidR="00023814">
        <w:t>s</w:t>
      </w:r>
      <w:r w:rsidR="00075EEF" w:rsidRPr="0089314D">
        <w:t xml:space="preserve"> </w:t>
      </w:r>
      <w:r w:rsidR="00075EEF">
        <w:t xml:space="preserve">heated to 300°C which </w:t>
      </w:r>
      <w:r w:rsidR="002B799B">
        <w:t>wa</w:t>
      </w:r>
      <w:r w:rsidR="00075EEF">
        <w:t xml:space="preserve">s </w:t>
      </w:r>
      <w:r w:rsidR="00075EEF">
        <w:lastRenderedPageBreak/>
        <w:t xml:space="preserve">connected to the injection port of </w:t>
      </w:r>
      <w:r>
        <w:t xml:space="preserve">a Shimadzu QP-2010+ GC/MS-FID system </w:t>
      </w:r>
      <w:r w:rsidR="00B61464" w:rsidRPr="00B61464">
        <w:rPr>
          <w:i/>
        </w:rPr>
        <w:t xml:space="preserve">(Shimadzu Corporation, Kyoto, Japan) </w:t>
      </w:r>
      <w:r>
        <w:t xml:space="preserve">with a 60m semi-polar </w:t>
      </w:r>
      <w:r w:rsidR="00B61464">
        <w:t xml:space="preserve">Restek </w:t>
      </w:r>
      <w:r w:rsidR="00B61464" w:rsidRPr="0064236D">
        <w:rPr>
          <w:i/>
        </w:rPr>
        <w:t>(</w:t>
      </w:r>
      <w:r w:rsidR="0064236D" w:rsidRPr="0064236D">
        <w:rPr>
          <w:i/>
        </w:rPr>
        <w:t>Restek Corporation, U.S., Bellefonte, PA</w:t>
      </w:r>
      <w:r w:rsidR="00B61464" w:rsidRPr="0064236D">
        <w:rPr>
          <w:i/>
        </w:rPr>
        <w:t>)</w:t>
      </w:r>
      <w:r w:rsidR="00B61464">
        <w:t xml:space="preserve"> </w:t>
      </w:r>
      <w:r>
        <w:t xml:space="preserve">RTX-1701 column (250µm diameter, 0.25µm film thickness). </w:t>
      </w:r>
      <w:r w:rsidR="00D761BF">
        <w:t xml:space="preserve">The injection port temperature </w:t>
      </w:r>
      <w:r w:rsidR="002B799B">
        <w:t>wa</w:t>
      </w:r>
      <w:r w:rsidR="00D761BF">
        <w:t>s held at 280°C. All analysis presented in this paper use</w:t>
      </w:r>
      <w:r w:rsidR="002B799B">
        <w:t>d</w:t>
      </w:r>
      <w:r w:rsidR="00D761BF">
        <w:t xml:space="preserve"> the same column temperature program, mass spectrometer settings, and FID settings</w:t>
      </w:r>
      <w:r w:rsidR="000A2118">
        <w:t xml:space="preserve">, with the difference in split ratio </w:t>
      </w:r>
      <w:r w:rsidR="002B799B">
        <w:t>(</w:t>
      </w:r>
      <w:r w:rsidR="000A2118">
        <w:t>as noted before</w:t>
      </w:r>
      <w:r w:rsidR="002B799B">
        <w:t>)</w:t>
      </w:r>
      <w:r w:rsidR="000A2118">
        <w:t xml:space="preserve"> for different temperature regimes in the pyroprobe</w:t>
      </w:r>
      <w:r w:rsidR="00D761BF">
        <w:t xml:space="preserve">. </w:t>
      </w:r>
      <w:r>
        <w:t>The temperature program on the column beg</w:t>
      </w:r>
      <w:r w:rsidR="00924274">
        <w:t>an</w:t>
      </w:r>
      <w:r w:rsidR="00F726CD">
        <w:t xml:space="preserve"> </w:t>
      </w:r>
      <w:r>
        <w:t>at 45°C for 2 minutes, then increase</w:t>
      </w:r>
      <w:r w:rsidR="00924274">
        <w:t>d</w:t>
      </w:r>
      <w:r>
        <w:t xml:space="preserve"> at a rat</w:t>
      </w:r>
      <w:r w:rsidR="00C93401">
        <w:t>e of 3K</w:t>
      </w:r>
      <w:r>
        <w:t xml:space="preserve"> min</w:t>
      </w:r>
      <w:r w:rsidR="00C93401" w:rsidRPr="00C93401">
        <w:rPr>
          <w:vertAlign w:val="superscript"/>
        </w:rPr>
        <w:t>-1</w:t>
      </w:r>
      <w:r>
        <w:t xml:space="preserve"> for 78.33 minutes to a final </w:t>
      </w:r>
      <w:r w:rsidR="00F726CD">
        <w:t xml:space="preserve">temperature of 280°C, where it </w:t>
      </w:r>
      <w:r w:rsidR="00924274">
        <w:t>wa</w:t>
      </w:r>
      <w:r w:rsidR="00F726CD">
        <w:t>s</w:t>
      </w:r>
      <w:r>
        <w:t xml:space="preserve"> held for 20 minut</w:t>
      </w:r>
      <w:r w:rsidR="00F726CD">
        <w:t>es. The mass spectrometer sca</w:t>
      </w:r>
      <w:r w:rsidR="00924274">
        <w:t>nned</w:t>
      </w:r>
      <w:r>
        <w:t xml:space="preserve"> masses 35.00 to 250.00 at 0.5 seconds per scan. The resulting ion chromatogram </w:t>
      </w:r>
      <w:r w:rsidR="00924274">
        <w:t>wa</w:t>
      </w:r>
      <w:r w:rsidR="00F726CD">
        <w:t>s</w:t>
      </w:r>
      <w:r>
        <w:t xml:space="preserve"> used to identify signifi</w:t>
      </w:r>
      <w:r w:rsidR="00C21813">
        <w:t>cant peaks in the chromatogram.</w:t>
      </w:r>
      <w:r w:rsidR="00B61464">
        <w:t xml:space="preserve"> The software used </w:t>
      </w:r>
      <w:r w:rsidR="00C52A05">
        <w:t>wa</w:t>
      </w:r>
      <w:r w:rsidR="00B61464">
        <w:t>s Shima</w:t>
      </w:r>
      <w:r w:rsidR="00FF3B6D">
        <w:t>dzu GCMS Solutions version 4.11</w:t>
      </w:r>
      <w:r w:rsidR="00B61464">
        <w:t xml:space="preserve"> </w:t>
      </w:r>
      <w:bookmarkStart w:id="43" w:name="OLE_LINK3"/>
      <w:bookmarkStart w:id="44" w:name="OLE_LINK4"/>
      <w:r w:rsidR="00FF3B6D">
        <w:t>(</w:t>
      </w:r>
      <w:r w:rsidR="00B61464">
        <w:t>copyright © 1999-2013, Shimadzu corporation</w:t>
      </w:r>
      <w:r w:rsidR="00FF3B6D">
        <w:t>)</w:t>
      </w:r>
      <w:r w:rsidR="00B61464">
        <w:t xml:space="preserve"> </w:t>
      </w:r>
      <w:bookmarkEnd w:id="43"/>
      <w:bookmarkEnd w:id="44"/>
      <w:r w:rsidR="00B61464">
        <w:t>and GCsolution Postrun</w:t>
      </w:r>
      <w:r w:rsidR="00FF3B6D">
        <w:t xml:space="preserve"> version 2.41</w:t>
      </w:r>
      <w:r w:rsidR="00B61464">
        <w:t xml:space="preserve"> </w:t>
      </w:r>
      <w:r w:rsidR="00FF3B6D">
        <w:t>(</w:t>
      </w:r>
      <w:r w:rsidR="00B61464">
        <w:t>copyright © 2000-2010, Shimadzu corporation</w:t>
      </w:r>
      <w:r w:rsidR="00FF3B6D">
        <w:t>).</w:t>
      </w:r>
    </w:p>
    <w:p w14:paraId="53EF294C" w14:textId="19101976" w:rsidR="00A36E0A" w:rsidRDefault="00A36E0A" w:rsidP="00A36E0A">
      <w:pPr>
        <w:pStyle w:val="Heading3"/>
      </w:pPr>
      <w:bookmarkStart w:id="45" w:name="_Toc449964844"/>
      <w:r>
        <w:t>Compound Identification</w:t>
      </w:r>
      <w:bookmarkEnd w:id="45"/>
    </w:p>
    <w:p w14:paraId="07548DD3" w14:textId="3147B643" w:rsidR="00BB5653" w:rsidRDefault="008F08A7" w:rsidP="008F08A7">
      <w:r>
        <w:t>Two publications by Faix et al</w:t>
      </w:r>
      <w:r w:rsidR="00B902B7">
        <w:t xml:space="preserve"> </w:t>
      </w:r>
      <w:r w:rsidR="00B902B7">
        <w:fldChar w:fldCharType="begin"/>
      </w:r>
      <w:r w:rsidR="00807999">
        <w:instrText xml:space="preserve"> ADDIN PAPERS2_CITATIONS &lt;citation&gt;&lt;uuid&gt;7FB71418-DECF-4685-AF53-802065CAAF43&lt;/uuid&gt;&lt;priority&gt;0&lt;/priority&gt;&lt;publications&gt;&lt;publication&gt;&lt;volume&gt;49&lt;/volume&gt;&lt;publication_date&gt;99199100001200000000200000&lt;/publication_date&gt;&lt;subtitle&gt;Springer-Verlag&lt;/subtitle&gt;&lt;startpage&gt;213&lt;/startpage&gt;&lt;title&gt;Thermal degradation products of wood&lt;/title&gt;&lt;uuid&gt;30CABDCA-A410-408D-A932-F79222634B66&lt;/uuid&gt;&lt;subtype&gt;520&lt;/subtype&gt;&lt;endpage&gt;219&lt;/endpage&gt;&lt;type&gt;500&lt;/type&gt;&lt;url&gt;http://link.springer.com/10.1007/BF02613278&lt;/url&gt;&lt;bundle&gt;&lt;publication&gt;&lt;title&gt;Holz als Roh-und Werkstoff&lt;/title&gt;&lt;type&gt;-100&lt;/type&gt;&lt;subtype&gt;-100&lt;/subtype&gt;&lt;uuid&gt;EB67A997-9027-4D5A-9CB3-E7672245200F&lt;/uuid&gt;&lt;/publication&gt;&lt;/bundle&gt;&lt;authors&gt;&lt;author&gt;&lt;firstName&gt;O&lt;/firstName&gt;&lt;lastName&gt;Faix&lt;/lastName&gt;&lt;/author&gt;&lt;author&gt;&lt;firstName&gt;I&lt;/firstName&gt;&lt;lastName&gt;Fortmann&lt;/lastName&gt;&lt;/author&gt;&lt;author&gt;&lt;firstName&gt;J&lt;/firstName&gt;&lt;lastName&gt;Bremer&lt;/lastName&gt;&lt;/author&gt;&lt;author&gt;&lt;firstName&gt;Dietrich&lt;/firstName&gt;&lt;lastName&gt;Meier&lt;/lastName&gt;&lt;/author&gt;&lt;/authors&gt;&lt;/publication&gt;&lt;publication&gt;&lt;uuid&gt;C483BC82-E788-489B-BE2F-FA75770E7884&lt;/uuid&gt;&lt;volume&gt;49&lt;/volume&gt;&lt;doi&gt;10.1007/BF02613278&lt;/doi&gt;&lt;subtitle&gt;Gas chromatographic separation and mass spectrometric characterization of polysaccharide derived products&lt;/subtitle&gt;&lt;startpage&gt;213&lt;/startpage&gt;&lt;publication_date&gt;99199100001200000000200000&lt;/publication_date&gt;&lt;url&gt;http://link.springer.com/10.1007/BF02613278&lt;/url&gt;&lt;citekey&gt;Faix:1991hk&lt;/citekey&gt;&lt;type&gt;400&lt;/type&gt;&lt;title&gt;Thermal degradation products of wood&lt;/title&gt;&lt;publisher&gt;Springer-Verlag&lt;/publisher&gt;&lt;number&gt;5&lt;/number&gt;&lt;subtype&gt;400&lt;/subtype&gt;&lt;endpage&gt;219&lt;/endpage&gt;&lt;bundle&gt;&lt;publication&gt;&lt;title&gt;Holz als Roh-und Werkstoff&lt;/title&gt;&lt;type&gt;-100&lt;/type&gt;&lt;subtype&gt;-100&lt;/subtype&gt;&lt;uuid&gt;EB67A997-9027-4D5A-9CB3-E7672245200F&lt;/uuid&gt;&lt;/publication&gt;&lt;/bundle&gt;&lt;authors&gt;&lt;author&gt;&lt;firstName&gt;O&lt;/firstName&gt;&lt;lastName&gt;Faix&lt;/lastName&gt;&lt;/author&gt;&lt;author&gt;&lt;firstName&gt;I&lt;/firstName&gt;&lt;lastName&gt;Fortmann&lt;/lastName&gt;&lt;/author&gt;&lt;author&gt;&lt;firstName&gt;J&lt;/firstName&gt;&lt;lastName&gt;Bremer&lt;/lastName&gt;&lt;/author&gt;&lt;author&gt;&lt;firstName&gt;Dietrich&lt;/firstName&gt;&lt;lastName&gt;Meier&lt;/lastName&gt;&lt;/author&gt;&lt;/authors&gt;&lt;/publication&gt;&lt;/publications&gt;&lt;cites&gt;&lt;/cites&gt;&lt;/citation&gt;</w:instrText>
      </w:r>
      <w:r w:rsidR="00B902B7">
        <w:fldChar w:fldCharType="separate"/>
      </w:r>
      <w:r w:rsidR="00980B82">
        <w:t>(</w:t>
      </w:r>
      <w:r w:rsidR="00980B82">
        <w:rPr>
          <w:i/>
          <w:iCs/>
        </w:rPr>
        <w:t>8</w:t>
      </w:r>
      <w:r w:rsidR="00980B82">
        <w:t xml:space="preserve">, </w:t>
      </w:r>
      <w:r w:rsidR="00980B82">
        <w:rPr>
          <w:i/>
          <w:iCs/>
        </w:rPr>
        <w:t>9</w:t>
      </w:r>
      <w:r w:rsidR="00980B82">
        <w:t>)</w:t>
      </w:r>
      <w:r w:rsidR="00B902B7">
        <w:fldChar w:fldCharType="end"/>
      </w:r>
      <w:r>
        <w:t xml:space="preserve"> </w:t>
      </w:r>
      <w:r w:rsidR="00C52A05">
        <w:t>we</w:t>
      </w:r>
      <w:r w:rsidR="00B6596A">
        <w:t>re</w:t>
      </w:r>
      <w:r>
        <w:t xml:space="preserve"> used as the primary means of compound identification. As Faix et al. used a 15m RTX-1701 column, the retention order (but not absolute time) of the pyrolysis products they observed are the same as in this work, and additionally they list the base peak masses with relative abundances of observed masses for the products</w:t>
      </w:r>
      <w:r w:rsidR="00C52A05">
        <w:t xml:space="preserve">, facilitating easy </w:t>
      </w:r>
      <w:r w:rsidR="00E35433">
        <w:t>identification</w:t>
      </w:r>
      <w:r>
        <w:t xml:space="preserve">. In the case that a peak </w:t>
      </w:r>
      <w:r w:rsidR="00E35433">
        <w:t>wa</w:t>
      </w:r>
      <w:r w:rsidR="00EE69C7">
        <w:t>s</w:t>
      </w:r>
      <w:r>
        <w:t xml:space="preserve"> unable to be identified using these two publications, the peaks </w:t>
      </w:r>
      <w:r w:rsidR="00E35433">
        <w:t>we</w:t>
      </w:r>
      <w:r w:rsidR="00EE69C7">
        <w:t>re</w:t>
      </w:r>
      <w:r>
        <w:t xml:space="preserve"> either assigned identifications based on NIST library searches, assigned to compound lumps based on major ions, or left unidentified.</w:t>
      </w:r>
      <w:r w:rsidR="005C451D">
        <w:t xml:space="preserve"> </w:t>
      </w:r>
      <w:r w:rsidR="00636A7C" w:rsidRPr="00636A7C">
        <w:t>Figure 3.6</w:t>
      </w:r>
      <w:r w:rsidR="005C451D">
        <w:t xml:space="preserve"> shows a flowchart of the methodology used to identify compounds.</w:t>
      </w:r>
    </w:p>
    <w:p w14:paraId="5D74F09C" w14:textId="517D1650" w:rsidR="008F08A7" w:rsidRDefault="003B5CFC" w:rsidP="005B60FA">
      <w:pPr>
        <w:pStyle w:val="NoSpacing"/>
      </w:pPr>
      <w:r>
        <w:rPr>
          <w:noProof/>
        </w:rPr>
        <w:lastRenderedPageBreak/>
        <w:drawing>
          <wp:inline distT="0" distB="0" distL="0" distR="0" wp14:anchorId="53DB2509" wp14:editId="730FAD2E">
            <wp:extent cx="5386970" cy="3327623"/>
            <wp:effectExtent l="0" t="0" r="0" b="0"/>
            <wp:docPr id="69" name="Picture 69" descr="workflow%20diagram%20-%20ids.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orkflow%20diagram%20-%20ids.pdf"/>
                    <pic:cNvPicPr>
                      <a:picLocks noChangeAspect="1" noChangeArrowheads="1"/>
                    </pic:cNvPicPr>
                  </pic:nvPicPr>
                  <pic:blipFill rotWithShape="1">
                    <a:blip r:embed="rId17">
                      <a:extLst>
                        <a:ext uri="{28A0092B-C50C-407E-A947-70E740481C1C}">
                          <a14:useLocalDpi xmlns:a14="http://schemas.microsoft.com/office/drawing/2010/main" val="0"/>
                        </a:ext>
                      </a:extLst>
                    </a:blip>
                    <a:srcRect t="20160"/>
                    <a:stretch/>
                  </pic:blipFill>
                  <pic:spPr bwMode="auto">
                    <a:xfrm>
                      <a:off x="0" y="0"/>
                      <a:ext cx="5387340" cy="3327852"/>
                    </a:xfrm>
                    <a:prstGeom prst="rect">
                      <a:avLst/>
                    </a:prstGeom>
                    <a:noFill/>
                    <a:ln>
                      <a:noFill/>
                    </a:ln>
                    <a:extLst>
                      <a:ext uri="{53640926-AAD7-44D8-BBD7-CCE9431645EC}">
                        <a14:shadowObscured xmlns:a14="http://schemas.microsoft.com/office/drawing/2010/main"/>
                      </a:ext>
                    </a:extLst>
                  </pic:spPr>
                </pic:pic>
              </a:graphicData>
            </a:graphic>
          </wp:inline>
        </w:drawing>
      </w:r>
    </w:p>
    <w:p w14:paraId="7C4B30C0" w14:textId="14C172A7" w:rsidR="005C451D" w:rsidRDefault="005C451D" w:rsidP="005C451D">
      <w:pPr>
        <w:pStyle w:val="Caption"/>
        <w:rPr>
          <w:b w:val="0"/>
        </w:rPr>
      </w:pPr>
      <w:bookmarkStart w:id="46" w:name="_Toc449964960"/>
      <w:r>
        <w:t xml:space="preserve">Figure </w:t>
      </w:r>
      <w:fldSimple w:instr=" STYLEREF &quot;Chapter&quot; \s ">
        <w:r w:rsidR="00463F52">
          <w:rPr>
            <w:noProof/>
          </w:rPr>
          <w:t>3</w:t>
        </w:r>
      </w:fldSimple>
      <w:r>
        <w:t>.</w:t>
      </w:r>
      <w:fldSimple w:instr=" SEQ Figure \* ARABIC \s 1 ">
        <w:r w:rsidR="00463F52">
          <w:rPr>
            <w:noProof/>
          </w:rPr>
          <w:t>6</w:t>
        </w:r>
      </w:fldSimple>
      <w:r>
        <w:rPr>
          <w:noProof/>
        </w:rPr>
        <w:t xml:space="preserve">. </w:t>
      </w:r>
      <w:r>
        <w:rPr>
          <w:b w:val="0"/>
        </w:rPr>
        <w:t>Flowchart showing compound identification methodology.</w:t>
      </w:r>
      <w:bookmarkEnd w:id="46"/>
    </w:p>
    <w:p w14:paraId="5E3BDE6E" w14:textId="6F2F5059" w:rsidR="00E35433" w:rsidRPr="00FF1BCB" w:rsidRDefault="00E35433" w:rsidP="00FF1BCB">
      <w:pPr>
        <w:pStyle w:val="Caption"/>
        <w:rPr>
          <w:b w:val="0"/>
        </w:rPr>
      </w:pPr>
      <w:r w:rsidRPr="00FF1BCB">
        <w:rPr>
          <w:b w:val="0"/>
        </w:rPr>
        <w:t>“Landmark” peaks include but are not limited to: furfural, acetic acid, and levoglucosan.</w:t>
      </w:r>
    </w:p>
    <w:p w14:paraId="66E1B78B" w14:textId="77777777" w:rsidR="005C451D" w:rsidRDefault="005C451D" w:rsidP="008F08A7"/>
    <w:p w14:paraId="32A49E81" w14:textId="42F55C9C" w:rsidR="003B1C48" w:rsidRDefault="008F08A7" w:rsidP="008F08A7">
      <w:r>
        <w:t xml:space="preserve">The identified peaks from the ion chromatogram </w:t>
      </w:r>
      <w:r w:rsidR="00FF1BCB">
        <w:t>we</w:t>
      </w:r>
      <w:r w:rsidR="00B35803">
        <w:t>re</w:t>
      </w:r>
      <w:r>
        <w:t xml:space="preserve"> then matched to the corresponding peaks from the FID chromatogram. The areas of these peaks </w:t>
      </w:r>
      <w:r w:rsidR="00FF1BCB">
        <w:t>we</w:t>
      </w:r>
      <w:r w:rsidR="00B35803">
        <w:t>re</w:t>
      </w:r>
      <w:r>
        <w:t xml:space="preserve"> then determined by integration</w:t>
      </w:r>
      <w:r w:rsidR="00B6596A">
        <w:t xml:space="preserve"> using the Shimadzu GCsolutions software</w:t>
      </w:r>
      <w:r>
        <w:t xml:space="preserve">. Each integrated peak area </w:t>
      </w:r>
      <w:r w:rsidR="00FF1BCB">
        <w:t>wa</w:t>
      </w:r>
      <w:r w:rsidR="00122DF5">
        <w:t>s</w:t>
      </w:r>
      <w:r>
        <w:t xml:space="preserve"> then divided by the total mass of </w:t>
      </w:r>
      <w:r w:rsidR="004A08A7">
        <w:t xml:space="preserve">the </w:t>
      </w:r>
      <w:r w:rsidR="002900CC">
        <w:t>material</w:t>
      </w:r>
      <w:r>
        <w:t xml:space="preserve"> in the sample tube, thereby normalizing each experiment to the initial amount of </w:t>
      </w:r>
      <w:r w:rsidR="002900CC">
        <w:t xml:space="preserve">sample </w:t>
      </w:r>
      <w:r>
        <w:t xml:space="preserve">fed into the pyroprobe. </w:t>
      </w:r>
    </w:p>
    <w:p w14:paraId="59B275CD" w14:textId="69993B6C" w:rsidR="00D92EFD" w:rsidRDefault="00D92EFD" w:rsidP="00D92EFD">
      <w:pPr>
        <w:pStyle w:val="Heading3"/>
      </w:pPr>
      <w:bookmarkStart w:id="47" w:name="_Toc449964845"/>
      <w:r>
        <w:t>Lumping approach</w:t>
      </w:r>
      <w:bookmarkEnd w:id="47"/>
    </w:p>
    <w:p w14:paraId="2232E3BB" w14:textId="4014F41C" w:rsidR="008F08A7" w:rsidRDefault="008F08A7" w:rsidP="00D92EFD">
      <w:r>
        <w:t xml:space="preserve">Identified compounds were assigned into lumps of compounds based on organic functionalities, in a similar manner as described by </w:t>
      </w:r>
      <w:r w:rsidR="002B1F8D">
        <w:t>Dauenhauer</w:t>
      </w:r>
      <w:r>
        <w:t xml:space="preserve"> et al</w:t>
      </w:r>
      <w:r w:rsidR="00FF1BCB">
        <w:t>.</w:t>
      </w:r>
      <w:r w:rsidR="002B1F8D">
        <w:t xml:space="preserve"> </w:t>
      </w:r>
      <w:r w:rsidR="002B1F8D">
        <w:fldChar w:fldCharType="begin"/>
      </w:r>
      <w:r w:rsidR="00807999">
        <w:instrText xml:space="preserve"> ADDIN PAPERS2_CITATIONS &lt;citation&gt;&lt;uuid&gt;F501B2BE-4989-445A-89F8-A4709DA2C241&lt;/uuid&gt;&lt;priority&gt;0&lt;/priority&gt;&lt;publications&gt;&lt;publication&gt;&lt;uuid&gt;1176AF92-2EFA-44C8-AD6F-648174344E77&lt;/uuid&gt;&lt;volume&gt;27&lt;/volume&gt;&lt;doi&gt;10.1021/ef302117j&lt;/doi&gt;&lt;startpage&gt;2126&lt;/startpage&gt;&lt;publication_date&gt;99201300001200000000200000&lt;/publication_date&gt;&lt;url&gt;http://pubs.acs.org/doi/full/10.1021/ef302117j&lt;/url&gt;&lt;citekey&gt;Dauenhauer:2013ik&lt;/citekey&gt;&lt;type&gt;400&lt;/type&gt;&lt;title&gt;The Role of Sample Dimension and Temperature in Cellulose Pyrolysis&lt;/title&gt;&lt;publisher&gt;ACS Publications&lt;/publisher&gt;&lt;number&gt;4&lt;/number&gt;&lt;subtype&gt;400&lt;/subtype&gt;&lt;endpage&gt;2134&lt;/endpage&gt;&lt;bundle&gt;&lt;publication&gt;&lt;publisher&gt;American Chemical Society&lt;/publisher&gt;&lt;title&gt;Energy &amp;amp; Fuels&lt;/title&gt;&lt;type&gt;-100&lt;/type&gt;&lt;subtype&gt;-100&lt;/subtype&gt;&lt;uuid&gt;DCD2A25C-F261-4333-B749-6E6DAB1F820E&lt;/uuid&gt;&lt;/publication&gt;&lt;/bundle&gt;&lt;authors&gt;&lt;author&gt;&lt;firstName&gt;Paul&lt;/firstName&gt;&lt;middleNames&gt;J&lt;/middleNames&gt;&lt;lastName&gt;Dauenhauer&lt;/lastName&gt;&lt;/author&gt;&lt;author&gt;&lt;firstName&gt;Alex&lt;/firstName&gt;&lt;middleNames&gt;D&lt;/middleNames&gt;&lt;lastName&gt;Paulsen&lt;/lastName&gt;&lt;/author&gt;&lt;author&gt;&lt;firstName&gt;Matthew&lt;/firstName&gt;&lt;middleNames&gt;S&lt;/middleNames&gt;&lt;lastName&gt;Mettler&lt;/lastName&gt;&lt;/author&gt;&lt;/authors&gt;&lt;/publication&gt;&lt;/publications&gt;&lt;cites&gt;&lt;/cites&gt;&lt;/citation&gt;</w:instrText>
      </w:r>
      <w:r w:rsidR="002B1F8D">
        <w:fldChar w:fldCharType="separate"/>
      </w:r>
      <w:r w:rsidR="001C1AAC">
        <w:t>(</w:t>
      </w:r>
      <w:r w:rsidR="001C1AAC">
        <w:rPr>
          <w:i/>
          <w:iCs/>
        </w:rPr>
        <w:t>136</w:t>
      </w:r>
      <w:r w:rsidR="001C1AAC">
        <w:t>)</w:t>
      </w:r>
      <w:r w:rsidR="002B1F8D">
        <w:fldChar w:fldCharType="end"/>
      </w:r>
      <w:r>
        <w:t xml:space="preserve">. </w:t>
      </w:r>
      <w:r w:rsidR="00D92EFD">
        <w:t xml:space="preserve">The total peak area or carbon content (depending on what is reported) </w:t>
      </w:r>
      <w:r w:rsidR="00FF1BCB">
        <w:t>wa</w:t>
      </w:r>
      <w:r w:rsidR="00D92EFD">
        <w:t>s summed for each of the compounds in the lump.</w:t>
      </w:r>
      <w:r>
        <w:t xml:space="preserve"> The mean values of these compound lumps across the </w:t>
      </w:r>
      <w:r w:rsidR="00D92EFD">
        <w:t>technical</w:t>
      </w:r>
      <w:r>
        <w:t xml:space="preserve"> replicate experiments performed are </w:t>
      </w:r>
      <w:r w:rsidR="00D92EFD">
        <w:t>reported throughout this work as ‘yield’</w:t>
      </w:r>
      <w:r>
        <w:t>.</w:t>
      </w:r>
    </w:p>
    <w:p w14:paraId="426B32BE" w14:textId="77777777" w:rsidR="00EA7CC4" w:rsidRDefault="00EA7CC4" w:rsidP="00EA7CC4">
      <w:pPr>
        <w:pStyle w:val="Heading3"/>
      </w:pPr>
      <w:bookmarkStart w:id="48" w:name="_Toc449964846"/>
      <w:r>
        <w:lastRenderedPageBreak/>
        <w:t>FID Calibration</w:t>
      </w:r>
      <w:bookmarkEnd w:id="48"/>
    </w:p>
    <w:p w14:paraId="7DE9F2C7" w14:textId="611AC8DF" w:rsidR="0097150C" w:rsidRDefault="00EA7CC4" w:rsidP="00D92EFD">
      <w:r>
        <w:t xml:space="preserve">Calibration of the FID area was performed by injection of varying concentrations of phenol in methanol at known quantities to develop a response curve. For each identified </w:t>
      </w:r>
      <w:r w:rsidR="00FF1BCB">
        <w:t>thermochemical product in the chromatograms</w:t>
      </w:r>
      <w:r>
        <w:t>, relative response factors in the literature were used</w:t>
      </w:r>
      <w:r w:rsidR="0097150C">
        <w:t xml:space="preserve"> (when available)</w:t>
      </w:r>
      <w:r>
        <w:t xml:space="preserve"> in tandem with this calibration curve to calculate the carbon content of each compound. </w:t>
      </w:r>
    </w:p>
    <w:p w14:paraId="4BA03C49" w14:textId="5E6DBAB3" w:rsidR="0097150C" w:rsidRDefault="0097150C" w:rsidP="00D92EFD">
      <w:r>
        <w:t>When response factors were unavailable in the literature, a</w:t>
      </w:r>
      <w:r w:rsidR="00AD223B">
        <w:t xml:space="preserve"> quantitative</w:t>
      </w:r>
      <w:r>
        <w:t xml:space="preserve"> structure</w:t>
      </w:r>
      <w:r w:rsidR="00AD223B">
        <w:t xml:space="preserve"> </w:t>
      </w:r>
      <w:r>
        <w:t>property</w:t>
      </w:r>
      <w:r w:rsidR="00AD223B">
        <w:t xml:space="preserve"> relationship (QSPR)</w:t>
      </w:r>
      <w:r>
        <w:t xml:space="preserve"> model was used to predict</w:t>
      </w:r>
      <w:r w:rsidR="00AD223B">
        <w:t xml:space="preserve"> the e</w:t>
      </w:r>
      <w:r w:rsidR="00596128">
        <w:t xml:space="preserve">ffective carbon number (ECN) </w:t>
      </w:r>
      <w:r w:rsidR="00AD223B">
        <w:t>for each compound</w:t>
      </w:r>
      <w:r w:rsidR="00B77DB9">
        <w:t>;</w:t>
      </w:r>
      <w:r w:rsidR="00AD223B">
        <w:t xml:space="preserve"> from this,</w:t>
      </w:r>
      <w:r>
        <w:t xml:space="preserve"> the</w:t>
      </w:r>
      <w:r w:rsidR="00AD223B">
        <w:t xml:space="preserve"> unknown</w:t>
      </w:r>
      <w:r>
        <w:t xml:space="preserve"> response factor</w:t>
      </w:r>
      <w:r w:rsidR="00AD223B">
        <w:t>s were calculated</w:t>
      </w:r>
      <w:r>
        <w:t xml:space="preserve">. This model is described in detail in </w:t>
      </w:r>
      <w:r w:rsidR="002B1F8D">
        <w:rPr>
          <w:highlight w:val="yellow"/>
        </w:rPr>
        <w:fldChar w:fldCharType="begin"/>
      </w:r>
      <w:r w:rsidR="00807999">
        <w:rPr>
          <w:highlight w:val="yellow"/>
        </w:rPr>
        <w:instrText xml:space="preserve"> ADDIN PAPERS2_CITATIONS &lt;citation&gt;&lt;uuid&gt;1D81CD76-DBE1-4412-AC62-179CF336A7A4&lt;/uuid&gt;&lt;priority&gt;0&lt;/priority&gt;&lt;publications&gt;&lt;publication&gt;&lt;institution&gt;University of Oklahoma&lt;/institution&gt;&lt;title&gt;Analysis and catalytic upgrading of different bio-oil fractions&lt;/title&gt;&lt;uuid&gt;DFFEB849-29C3-4C27-B2DC-6BE1FA634F72&lt;/uuid&gt;&lt;subtype&gt;10&lt;/subtype&gt;&lt;type&gt;0&lt;/type&gt;&lt;place&gt;Norman, OK&lt;/place&gt;&lt;citekey&gt;Duong:2016uv&lt;/citekey&gt;&lt;publication_date&gt;99201400001200000000200000&lt;/publication_date&gt;&lt;authors&gt;&lt;author&gt;&lt;firstName&gt;Nhung&lt;/firstName&gt;&lt;lastName&gt;Duong&lt;/lastName&gt;&lt;/author&gt;&lt;/authors&gt;&lt;/publication&gt;&lt;/publications&gt;&lt;cites&gt;&lt;/cites&gt;&lt;/citation&gt;</w:instrText>
      </w:r>
      <w:r w:rsidR="002B1F8D">
        <w:rPr>
          <w:highlight w:val="yellow"/>
        </w:rPr>
        <w:fldChar w:fldCharType="separate"/>
      </w:r>
      <w:r w:rsidR="001C1AAC">
        <w:t>(</w:t>
      </w:r>
      <w:r w:rsidR="001C1AAC">
        <w:rPr>
          <w:i/>
          <w:iCs/>
        </w:rPr>
        <w:t>137</w:t>
      </w:r>
      <w:r w:rsidR="001C1AAC">
        <w:t>)</w:t>
      </w:r>
      <w:r w:rsidR="002B1F8D">
        <w:rPr>
          <w:highlight w:val="yellow"/>
        </w:rPr>
        <w:fldChar w:fldCharType="end"/>
      </w:r>
      <w:r w:rsidR="00AD223B">
        <w:t>. Briefly, response factors for many organic molecules were gathered from literature sources, and each carbon atom was assigned a type (</w:t>
      </w:r>
      <w:r w:rsidR="00596128">
        <w:t>i.e.</w:t>
      </w:r>
      <w:r w:rsidR="00AD223B">
        <w:t>, aliphatic, carbonyl, ether, primary/secondary/tertiary</w:t>
      </w:r>
      <w:r w:rsidR="005831E2">
        <w:t xml:space="preserve"> alcohol</w:t>
      </w:r>
      <w:r w:rsidR="00AD223B">
        <w:t>, etc</w:t>
      </w:r>
      <w:r w:rsidR="00A94D76">
        <w:t>.</w:t>
      </w:r>
      <w:r w:rsidR="00AD223B">
        <w:t>).</w:t>
      </w:r>
      <w:r w:rsidR="00596128">
        <w:t xml:space="preserve"> A linear model was fit to predict the ECN from the number of each type of carbon atom, and this model was experimentally tested. Measured values were found to be in good agreement with predicted values.</w:t>
      </w:r>
    </w:p>
    <w:p w14:paraId="20211688" w14:textId="252FB6B8" w:rsidR="00D92EFD" w:rsidRDefault="00D92EFD" w:rsidP="005C7E19">
      <w:pPr>
        <w:pStyle w:val="Heading2"/>
      </w:pPr>
      <w:bookmarkStart w:id="49" w:name="_Toc449964847"/>
      <w:r>
        <w:t>Water content analysis</w:t>
      </w:r>
      <w:bookmarkEnd w:id="49"/>
    </w:p>
    <w:p w14:paraId="185FD719" w14:textId="62E93BFB" w:rsidR="009464DA" w:rsidRDefault="008F08A7" w:rsidP="00AF327B">
      <w:r>
        <w:t xml:space="preserve">Water content analysis (reported as liquid weight percent) was carried out using a TitroLine Karl-Fischer analyzer (TitroLine KF, SCHOTT Instruments). Typically, liquid samples </w:t>
      </w:r>
      <w:r w:rsidR="00441D82">
        <w:t>we</w:t>
      </w:r>
      <w:r>
        <w:t xml:space="preserve">re injected through a septum into the titration cell using a one-way syringe. </w:t>
      </w:r>
      <w:r w:rsidR="00441D82">
        <w:t>Before</w:t>
      </w:r>
      <w:r>
        <w:t xml:space="preserve"> measurement, a calibration titration was performed</w:t>
      </w:r>
      <w:r w:rsidR="00F3078F">
        <w:t xml:space="preserve"> using deionized water according to the instrument manual</w:t>
      </w:r>
      <w:r>
        <w:t>. Two drops of</w:t>
      </w:r>
      <w:r w:rsidR="00023814">
        <w:t xml:space="preserve"> each liquid sample (0.1 – 0.2g</w:t>
      </w:r>
      <w:r>
        <w:t xml:space="preserve">) were drawn by syringe and injected into the analyzer, then titrated with KF reagent for </w:t>
      </w:r>
      <w:r>
        <w:lastRenderedPageBreak/>
        <w:t xml:space="preserve">volumetric titration until all moisture in the analyzer was consumed. The water content percentage was determined from the KF reagent consumption. </w:t>
      </w:r>
    </w:p>
    <w:p w14:paraId="1967F59F" w14:textId="427F2FB1" w:rsidR="009464DA" w:rsidRDefault="009464DA" w:rsidP="005C7E19">
      <w:pPr>
        <w:pStyle w:val="Heading2"/>
      </w:pPr>
      <w:bookmarkStart w:id="50" w:name="_Toc449964848"/>
      <w:r>
        <w:t>Catalytic react</w:t>
      </w:r>
      <w:r w:rsidR="00982540">
        <w:t>ions</w:t>
      </w:r>
      <w:bookmarkEnd w:id="50"/>
    </w:p>
    <w:p w14:paraId="0046C57C" w14:textId="3612CF1C" w:rsidR="00982540" w:rsidRPr="00982540" w:rsidRDefault="00982540" w:rsidP="00982540">
      <w:pPr>
        <w:pStyle w:val="Heading3"/>
      </w:pPr>
      <w:bookmarkStart w:id="51" w:name="_Toc449964849"/>
      <w:r>
        <w:t>Catalytic reactor</w:t>
      </w:r>
      <w:bookmarkEnd w:id="51"/>
    </w:p>
    <w:p w14:paraId="31A8DA1A" w14:textId="6187DD45" w:rsidR="009464DA" w:rsidRDefault="009464DA" w:rsidP="009464DA">
      <w:r>
        <w:t>A CDS pyroprobe model 5250</w:t>
      </w:r>
      <w:r w:rsidR="00C93401" w:rsidRPr="00C93401">
        <w:t xml:space="preserve"> </w:t>
      </w:r>
      <w:r w:rsidR="00C93401">
        <w:t>with autosampler</w:t>
      </w:r>
      <w:r>
        <w:t xml:space="preserve"> </w:t>
      </w:r>
      <w:r w:rsidR="00584424">
        <w:t>(</w:t>
      </w:r>
      <w:r w:rsidR="003D5425" w:rsidRPr="003D5425">
        <w:t>figures 3.3 &amp; 3.4</w:t>
      </w:r>
      <w:r w:rsidR="00584424" w:rsidRPr="003D5425">
        <w:t>)</w:t>
      </w:r>
      <w:r w:rsidR="00584424">
        <w:t xml:space="preserve"> </w:t>
      </w:r>
      <w:r>
        <w:t>was fitted with a separately heated packed bed flow reactor following the pyrolysis chamber</w:t>
      </w:r>
      <w:r w:rsidR="00C93401">
        <w:t xml:space="preserve"> (</w:t>
      </w:r>
      <w:r w:rsidR="00C93401" w:rsidRPr="003D5425">
        <w:t xml:space="preserve">figure </w:t>
      </w:r>
      <w:r w:rsidR="003D5425" w:rsidRPr="003D5425">
        <w:t>3.7</w:t>
      </w:r>
      <w:r w:rsidR="00C93401">
        <w:t>)</w:t>
      </w:r>
      <w:r>
        <w:t>. The separate reactor consisted of 6” long stainless steel tube with ¼” O.D. and 6” l</w:t>
      </w:r>
      <w:r w:rsidR="002B1F8D">
        <w:t>ong inserted into a block oven.</w:t>
      </w:r>
      <w:r>
        <w:t xml:space="preserve"> </w:t>
      </w:r>
      <w:r w:rsidR="002B1F8D">
        <w:t>Typically,</w:t>
      </w:r>
      <w:r>
        <w:t xml:space="preserve"> less than 5mg catalyst would be loaded inside the reactor, mixed with 0.3g acid washed borosilicate glass beads obtained from </w:t>
      </w:r>
      <w:r w:rsidRPr="0036592E">
        <w:t>Sigma Aldrich (</w:t>
      </w:r>
      <w:r w:rsidR="0036592E" w:rsidRPr="0036592E">
        <w:rPr>
          <w:i/>
        </w:rPr>
        <w:t>Sigma Aldrich, St. Louis, MO, Part no. G1145</w:t>
      </w:r>
      <w:r w:rsidRPr="0036592E">
        <w:t>).</w:t>
      </w:r>
      <w:r>
        <w:t xml:space="preserve"> The zeolite catalyst was pelletized </w:t>
      </w:r>
      <w:r w:rsidR="00DE0946">
        <w:t>and sieved to a size of 150-212</w:t>
      </w:r>
      <w:r>
        <w:t xml:space="preserve">μm, </w:t>
      </w:r>
      <w:r w:rsidR="00DE0946">
        <w:t xml:space="preserve">within </w:t>
      </w:r>
      <w:r>
        <w:t>the same range as the glass beads, prior to mixing with the glass beads to prevent bypassing of the catalyst. The catalyst bed was sandwiched between 2 layers of 50mg quartz wool. The catalyst beds were positioned 2-4cm from the bottom of the reactor tube, which was measured to be the isothermal zone with an independent thermocouple. Product yields resulting from GCMS analysis are defined in terms of GCMS response, which has been defined as the integrated total ion count x 10</w:t>
      </w:r>
      <w:r w:rsidRPr="00A33EEA">
        <w:rPr>
          <w:vertAlign w:val="superscript"/>
        </w:rPr>
        <w:t>-7</w:t>
      </w:r>
      <w:r>
        <w:t xml:space="preserve"> for ease of presentation.</w:t>
      </w:r>
    </w:p>
    <w:p w14:paraId="42249CD4" w14:textId="00A2DFD2" w:rsidR="009464DA" w:rsidRDefault="00C93401" w:rsidP="005B60FA">
      <w:pPr>
        <w:pStyle w:val="NoSpacing"/>
        <w:jc w:val="center"/>
      </w:pPr>
      <w:r w:rsidRPr="00584424">
        <w:rPr>
          <w:noProof/>
        </w:rPr>
        <w:lastRenderedPageBreak/>
        <w:drawing>
          <wp:inline distT="0" distB="0" distL="0" distR="0" wp14:anchorId="42E63651" wp14:editId="14BE8803">
            <wp:extent cx="1002675" cy="236321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rotWithShape="1">
                    <a:blip r:embed="rId18">
                      <a:extLst>
                        <a:ext uri="{28A0092B-C50C-407E-A947-70E740481C1C}">
                          <a14:useLocalDpi xmlns:a14="http://schemas.microsoft.com/office/drawing/2010/main" val="0"/>
                        </a:ext>
                      </a:extLst>
                    </a:blip>
                    <a:srcRect/>
                    <a:stretch/>
                  </pic:blipFill>
                  <pic:spPr bwMode="auto">
                    <a:xfrm>
                      <a:off x="0" y="0"/>
                      <a:ext cx="1005802" cy="2370586"/>
                    </a:xfrm>
                    <a:prstGeom prst="rect">
                      <a:avLst/>
                    </a:prstGeom>
                    <a:noFill/>
                    <a:ln w="9525">
                      <a:noFill/>
                      <a:miter lim="800000"/>
                      <a:headEnd/>
                      <a:tailEnd/>
                    </a:ln>
                  </pic:spPr>
                </pic:pic>
              </a:graphicData>
            </a:graphic>
          </wp:inline>
        </w:drawing>
      </w:r>
    </w:p>
    <w:p w14:paraId="0525421C" w14:textId="0BE9257A" w:rsidR="0048442E" w:rsidRPr="00180D98" w:rsidRDefault="0048442E" w:rsidP="0048442E">
      <w:pPr>
        <w:pStyle w:val="Caption"/>
        <w:jc w:val="center"/>
      </w:pPr>
      <w:bookmarkStart w:id="52" w:name="_Toc449964961"/>
      <w:r w:rsidRPr="00180D98">
        <w:t xml:space="preserve">Figure </w:t>
      </w:r>
      <w:fldSimple w:instr=" STYLEREF &quot;Chapter&quot; \s ">
        <w:r w:rsidR="00463F52">
          <w:rPr>
            <w:noProof/>
          </w:rPr>
          <w:t>3</w:t>
        </w:r>
      </w:fldSimple>
      <w:r w:rsidRPr="00180D98">
        <w:t>.</w:t>
      </w:r>
      <w:fldSimple w:instr=" SEQ Figure \* ARABIC \s 1 ">
        <w:r w:rsidR="00463F52">
          <w:rPr>
            <w:noProof/>
          </w:rPr>
          <w:t>7</w:t>
        </w:r>
      </w:fldSimple>
      <w:r w:rsidRPr="00180D98">
        <w:t xml:space="preserve">. </w:t>
      </w:r>
      <w:r>
        <w:rPr>
          <w:b w:val="0"/>
        </w:rPr>
        <w:t>External catalytic reactor</w:t>
      </w:r>
      <w:r w:rsidRPr="00180D98">
        <w:rPr>
          <w:b w:val="0"/>
        </w:rPr>
        <w:t>.</w:t>
      </w:r>
      <w:bookmarkEnd w:id="52"/>
    </w:p>
    <w:p w14:paraId="33455045" w14:textId="77777777" w:rsidR="0048442E" w:rsidRPr="009464DA" w:rsidRDefault="0048442E" w:rsidP="009464DA"/>
    <w:p w14:paraId="22146037" w14:textId="7CA9004B" w:rsidR="00AF327B" w:rsidRDefault="00AF327B" w:rsidP="00982540">
      <w:pPr>
        <w:pStyle w:val="Heading3"/>
      </w:pPr>
      <w:bookmarkStart w:id="53" w:name="_Toc449964850"/>
      <w:r>
        <w:t>Catalyst characterization</w:t>
      </w:r>
      <w:bookmarkEnd w:id="53"/>
    </w:p>
    <w:p w14:paraId="02BBE6D1" w14:textId="77777777" w:rsidR="00AF327B" w:rsidRDefault="00AF327B" w:rsidP="00AF327B">
      <w:r>
        <w:t xml:space="preserve">The powder X-ray diffraction (XRD) pattern of the zeolite was recorded on a Rigaku automatic diffractor (Model D-MAX A) with a curved crystal monochromator and Cu Kα radiation operated at 40kV and 35mA. The morphology of the zeolite was evaluated by high resolution scanning electronic microscopy (SEM) using a Zeiss-NEON FEG-SEM system. </w:t>
      </w:r>
    </w:p>
    <w:p w14:paraId="789E4593" w14:textId="2E8EFA6C" w:rsidR="00AF327B" w:rsidRDefault="00AF327B" w:rsidP="00982540">
      <w:pPr>
        <w:pStyle w:val="Heading3"/>
      </w:pPr>
      <w:bookmarkStart w:id="54" w:name="_Toc449964851"/>
      <w:r>
        <w:t>Coke on spent catalyst</w:t>
      </w:r>
      <w:bookmarkEnd w:id="54"/>
    </w:p>
    <w:p w14:paraId="6AE01BC0" w14:textId="5EFEC0D9" w:rsidR="00AF327B" w:rsidRDefault="00AF327B" w:rsidP="00AF327B">
      <w:r>
        <w:t>The coke on the spent catalysts was estimated by temperature programmed oxidation using a Netzsch STA 449 F1 Jupiter attached to a Netzsch ZMS 403C Aeolos TGA system to analyze off gasses. Due to the presence of glass beads mixed with the spent catalyst bed, an e</w:t>
      </w:r>
      <w:r w:rsidR="00265A7C">
        <w:t>xtra layer of 150mg of alumina (γ</w:t>
      </w:r>
      <w:r>
        <w:t>-phase 99.97%, from Alfa Aesar) was placed in the crucible with the spent catalyst/glass beads mixture on top of the alumina such that at elevated temperatures, the glass would melt into the alumina and not adhere to the crucible.  The instrument was heated from room temperat</w:t>
      </w:r>
      <w:r w:rsidR="00265A7C">
        <w:t xml:space="preserve">ure to 1000°C at a rate of 10 K </w:t>
      </w:r>
      <w:r>
        <w:t>min</w:t>
      </w:r>
      <w:r w:rsidR="00265A7C" w:rsidRPr="00265A7C">
        <w:rPr>
          <w:vertAlign w:val="superscript"/>
        </w:rPr>
        <w:t>-1</w:t>
      </w:r>
      <w:r>
        <w:t xml:space="preserve"> under flow of 244.3 mL</w:t>
      </w:r>
      <w:r w:rsidR="00265A7C">
        <w:t xml:space="preserve"> </w:t>
      </w:r>
      <w:r>
        <w:t>min</w:t>
      </w:r>
      <w:r w:rsidR="00265A7C" w:rsidRPr="00265A7C">
        <w:rPr>
          <w:vertAlign w:val="superscript"/>
        </w:rPr>
        <w:t>-1</w:t>
      </w:r>
      <w:r>
        <w:t xml:space="preserve"> 50% air (grade zero) and </w:t>
      </w:r>
      <w:r>
        <w:lastRenderedPageBreak/>
        <w:t>Argon (ultra high purity) from Airgas. The total CO</w:t>
      </w:r>
      <w:r w:rsidRPr="00265A7C">
        <w:rPr>
          <w:vertAlign w:val="subscript"/>
        </w:rPr>
        <w:t>2</w:t>
      </w:r>
      <w:r>
        <w:t xml:space="preserve"> released during the burning was calculated based on calibration data and used to estimate the coke amount. Each spent catalyst was evaluated after contact with 10 pulses of biomass, corresponding to approximately 6.5mg. </w:t>
      </w:r>
    </w:p>
    <w:p w14:paraId="2C278CEE" w14:textId="3E29DF45" w:rsidR="00AF327B" w:rsidRDefault="00AF327B" w:rsidP="00982540">
      <w:pPr>
        <w:pStyle w:val="Heading3"/>
      </w:pPr>
      <w:bookmarkStart w:id="55" w:name="_Toc449964852"/>
      <w:r>
        <w:t>Permanent gas analysis</w:t>
      </w:r>
      <w:bookmarkEnd w:id="55"/>
    </w:p>
    <w:p w14:paraId="045640E9" w14:textId="77777777" w:rsidR="00AF327B" w:rsidRDefault="00AF327B" w:rsidP="00AF327B">
      <w:r>
        <w:t>Permanent gas analysis was conducted via online sampling of the vent line with a portable quadruple mass spectrometer (MKS Microvision Plus LM76). The MS was operated with a scan mode, with a range of mass/ion ratio from 1 to 60, and a speed of 2.5 second per scan period.  A series of standard gas mixtures consisting of 5% CO, CO</w:t>
      </w:r>
      <w:r w:rsidRPr="00236A3F">
        <w:rPr>
          <w:vertAlign w:val="subscript"/>
        </w:rPr>
        <w:t>2</w:t>
      </w:r>
      <w:r>
        <w:t>, and CH</w:t>
      </w:r>
      <w:r w:rsidRPr="00236A3F">
        <w:rPr>
          <w:vertAlign w:val="subscript"/>
        </w:rPr>
        <w:t>4</w:t>
      </w:r>
      <w:r>
        <w:t xml:space="preserve"> respectively obtained from Airgas were used for calibration. </w:t>
      </w:r>
    </w:p>
    <w:p w14:paraId="70607A64" w14:textId="40445114" w:rsidR="001B25DE" w:rsidRDefault="001B25DE" w:rsidP="005C7E19">
      <w:pPr>
        <w:pStyle w:val="Heading2"/>
      </w:pPr>
      <w:bookmarkStart w:id="56" w:name="_Toc449964853"/>
      <w:r>
        <w:t>Biomass characterization</w:t>
      </w:r>
      <w:bookmarkEnd w:id="56"/>
    </w:p>
    <w:p w14:paraId="11B568E1" w14:textId="77854A4A" w:rsidR="002B25A4" w:rsidRDefault="002B25A4" w:rsidP="002B25A4">
      <w:pPr>
        <w:pStyle w:val="Heading3"/>
      </w:pPr>
      <w:bookmarkStart w:id="57" w:name="_Toc449964854"/>
      <w:r>
        <w:t>Oak cell wall composition</w:t>
      </w:r>
      <w:bookmarkEnd w:id="57"/>
    </w:p>
    <w:p w14:paraId="5DBEAB26" w14:textId="77777777" w:rsidR="00807999" w:rsidRDefault="001B25DE" w:rsidP="001B25DE">
      <w:r>
        <w:t>Cell wall composition was measured for the oak samples using methods that were essentially described previously</w:t>
      </w:r>
      <w:r w:rsidR="006848B1">
        <w:t xml:space="preserve"> </w:t>
      </w:r>
      <w:r w:rsidR="00A07109">
        <w:fldChar w:fldCharType="begin"/>
      </w:r>
      <w:r w:rsidR="00807999">
        <w:instrText xml:space="preserve"> ADDIN PAPERS2_CITATIONS &lt;citation&gt;&lt;uuid&gt;F1E2797E-AC7C-4545-91B3-A99B8AA489E0&lt;/uuid&gt;&lt;priority&gt;0&lt;/priority&gt;&lt;publications&gt;&lt;publication&gt;&lt;uuid&gt;912EBC1B-1997-4751-AA6B-0E8DE4C9C206&lt;/uuid&gt;&lt;volume&gt;161&lt;/volume&gt;&lt;doi&gt;10.1104/pp.112.208694&lt;/doi&gt;&lt;startpage&gt;1615&lt;/startpage&gt;&lt;publication_date&gt;99201304001200000000220000&lt;/publication_date&gt;&lt;url&gt;http://www.plantphysiol.org/content/161/4/1615&lt;/url&gt;&lt;type&gt;400&lt;/type&gt;&lt;title&gt;Overexpression of a BAHD Acyltransferase, OsAt10, Alters Rice Cell Wall Hydroxycinnamic Acid Content and Saccharification&lt;/title&gt;&lt;institution&gt;Ronald, PC</w:instrText>
      </w:r>
    </w:p>
    <w:p w14:paraId="272F19D4" w14:textId="77777777" w:rsidR="00807999" w:rsidRDefault="00807999" w:rsidP="001B25DE">
      <w:r>
        <w:instrText>Univ Calif Davis, Dept Plant Pathol, Davis, CA 95616 USA</w:instrText>
      </w:r>
    </w:p>
    <w:p w14:paraId="47B747B7" w14:textId="77777777" w:rsidR="00807999" w:rsidRDefault="00807999" w:rsidP="001B25DE">
      <w:r>
        <w:instrText>Univ Calif Davis, Dept Plant Pathol, Davis, CA 95616 USA</w:instrText>
      </w:r>
    </w:p>
    <w:p w14:paraId="0D3368A6" w14:textId="77777777" w:rsidR="00807999" w:rsidRDefault="00807999" w:rsidP="001B25DE">
      <w:r>
        <w:instrText>Univ Oklahoma, Dept Microbiol &amp;amp; Plant Biol, Norman, OK 73019 USA</w:instrText>
      </w:r>
    </w:p>
    <w:p w14:paraId="4120656B" w14:textId="77777777" w:rsidR="00807999" w:rsidRDefault="00807999" w:rsidP="001B25DE">
      <w:r>
        <w:instrText>Univ Oklahoma, Dept Chem &amp;amp; Biochem, Norman, OK 73019 USA</w:instrText>
      </w:r>
    </w:p>
    <w:p w14:paraId="2363DF1F" w14:textId="77777777" w:rsidR="00807999" w:rsidRDefault="00807999" w:rsidP="001B25DE">
      <w:r>
        <w:instrText>Univ Oklahoma, Dept Chem Biol &amp;amp; Mat Engn, Norman, OK 73019 USA</w:instrText>
      </w:r>
    </w:p>
    <w:p w14:paraId="6E6CFB76" w14:textId="77777777" w:rsidR="00807999" w:rsidRDefault="00807999" w:rsidP="001B25DE">
      <w:r>
        <w:instrText>Univ Calif Davis, Dept Plant Pathol, Davis, CA 95616 USA</w:instrText>
      </w:r>
    </w:p>
    <w:p w14:paraId="6EA805F6" w14:textId="77777777" w:rsidR="00807999" w:rsidRDefault="00807999" w:rsidP="001B25DE">
      <w:r>
        <w:instrText>Univ Calif Davis, Genome Ctr, Davis, CA 95616 USA</w:instrText>
      </w:r>
    </w:p>
    <w:p w14:paraId="0E2220A2" w14:textId="77777777" w:rsidR="00807999" w:rsidRDefault="00807999" w:rsidP="001B25DE">
      <w:r>
        <w:instrText>Joint BioEnergy Inst, Emeryville, CA 94608 USA</w:instrText>
      </w:r>
    </w:p>
    <w:p w14:paraId="21DDF9DC" w14:textId="77777777" w:rsidR="00807999" w:rsidRDefault="00807999" w:rsidP="001B25DE">
      <w:r>
        <w:instrText>Kyung Hee Univ, Crop Biotech Inst, Yongin 446701, South Korea</w:instrText>
      </w:r>
    </w:p>
    <w:p w14:paraId="01F631F0" w14:textId="77777777" w:rsidR="00807999" w:rsidRDefault="00807999" w:rsidP="001B25DE">
      <w:r>
        <w:instrText>Kyung Hee Univ, Dept Genet Engn, Yongin 446701, South Korea</w:instrText>
      </w:r>
    </w:p>
    <w:p w14:paraId="0EB7DB63" w14:textId="77777777" w:rsidR="00807999" w:rsidRDefault="00807999" w:rsidP="001B25DE">
      <w:r>
        <w:instrText>Univ Calif Berkeley, Lawrence Berkeley Natl Lab, Phys Biosci Div, Berkeley, CA 94720 USA</w:instrText>
      </w:r>
    </w:p>
    <w:p w14:paraId="798A1924" w14:textId="77777777" w:rsidR="00807999" w:rsidRDefault="00807999" w:rsidP="001B25DE">
      <w:r>
        <w:instrText>Natl Renewable Energy Lab, BioEnergy Sci Ctr, Golden, CO 80401 USA</w:instrText>
      </w:r>
    </w:p>
    <w:p w14:paraId="32A1852F" w14:textId="77777777" w:rsidR="00807999" w:rsidRDefault="00807999" w:rsidP="001B25DE">
      <w:r>
        <w:instrText>Zhengzhou Tobacco Res Inst, China Tobacco Gene Res Ctr, Zhengzhou 450001, Henan, Peoples R China</w:instrText>
      </w:r>
    </w:p>
    <w:p w14:paraId="17E744C2" w14:textId="297ED85F" w:rsidR="001B25DE" w:rsidRDefault="00807999" w:rsidP="001B25DE">
      <w:r>
        <w:instrText>Univ Calif Berkeley, Dept Chem &amp;amp; Biomol Engn, Dept Bioengn, Berkeley, CA 94720 USA&lt;/institution&gt;&lt;number&gt;4&lt;/number&gt;&lt;subtype&gt;400&lt;/subtype&gt;&lt;endpage&gt;1633&lt;/endpage&gt;&lt;bundle&gt;&lt;publication&gt;&lt;publisher&gt;American Society of Plant Physiologists&lt;/publisher&gt;&lt;title&gt;Plant physiology&lt;/title&gt;&lt;type&gt;-100&lt;/type&gt;&lt;subtype&gt;-100&lt;/subtype&gt;&lt;uuid&gt;B97DA55A-D50B-4A35-A621-F9088F5658CB&lt;/uuid&gt;&lt;/publication&gt;&lt;/bundle&gt;&lt;authors&gt;&lt;author&gt;&lt;firstName&gt;Laura&lt;/firstName&gt;&lt;middleNames&gt;E&lt;/middleNames&gt;&lt;lastName&gt;Bartley&lt;/lastName&gt;&lt;/author&gt;&lt;author&gt;&lt;firstName&gt;Matthew&lt;/firstName&gt;&lt;middleNames&gt;L&lt;/middleNames&gt;&lt;lastName&gt;Peck&lt;/lastName&gt;&lt;/author&gt;&lt;author&gt;&lt;firstName&gt;Sung-Ryul&lt;/firstName&gt;&lt;lastName&gt;Kim&lt;/lastName&gt;&lt;/author&gt;&lt;author&gt;&lt;firstName&gt;B&lt;/firstName&gt;&lt;lastName&gt;Ebert&lt;/lastName&gt;&lt;/author&gt;&lt;author&gt;&lt;firstName&gt;Chithra&lt;/firstName&gt;&lt;lastName&gt;Manisseri&lt;/lastName&gt;&lt;/author&gt;&lt;author&gt;&lt;firstName&gt;D&lt;/firstName&gt;&lt;middleNames&gt;M&lt;/middleNames&gt;&lt;lastName&gt;Chiniquy&lt;/lastName&gt;&lt;/author&gt;&lt;author&gt;&lt;firstName&gt;R&lt;/firstName&gt;&lt;lastName&gt;Sykes&lt;/lastName&gt;&lt;/author&gt;&lt;author&gt;&lt;firstName&gt;L&lt;/firstName&gt;&lt;middleNames&gt;F&lt;/middleNames&gt;&lt;lastName&gt;Gao&lt;/lastName&gt;&lt;/author&gt;&lt;author&gt;&lt;firstName&gt;Carsten&lt;/firstName&gt;&lt;lastName&gt;Rautengarten&lt;/lastName&gt;&lt;/author&gt;&lt;author&gt;&lt;firstName&gt;Miguel&lt;/firstName&gt;&lt;middleNames&gt;E&lt;/middleNames&gt;&lt;lastName&gt;Vega-Sánchez&lt;/lastName&gt;&lt;/author&gt;&lt;author&gt;&lt;firstName&gt;P&lt;/firstName&gt;&lt;middleNames&gt;I&lt;/middleNames&gt;&lt;lastName&gt;Benke&lt;/lastName&gt;&lt;/author&gt;&lt;author&gt;&lt;firstName&gt;P&lt;/firstName&gt;&lt;middleNames&gt;E&lt;/middleNames&gt;&lt;lastName&gt;Canlas&lt;/lastName&gt;&lt;/author&gt;&lt;author&gt;&lt;firstName&gt;P&lt;/firstName&gt;&lt;middleNames&gt;J&lt;/middleNames&gt;&lt;lastName&gt;Cao&lt;/lastName&gt;&lt;/author&gt;&lt;author&gt;&lt;firstName&gt;S&lt;/firstName&gt;&lt;lastName&gt;Brewer&lt;/lastName&gt;&lt;/author&gt;&lt;author&gt;&lt;firstName&gt;F&lt;/firstName&gt;&lt;lastName&gt;Lin&lt;/lastName&gt;&lt;/author&gt;&lt;author&gt;&lt;firstName&gt;W&lt;/firstName&gt;&lt;middleNames&gt;L&lt;/middleNames&gt;&lt;lastName&gt;Smith&lt;/lastName&gt;&lt;/author&gt;&lt;author&gt;&lt;firstName&gt;X&lt;/firstName&gt;&lt;middleNames&gt;H&lt;/middleNames&gt;&lt;lastName&gt;Zhang&lt;/lastName&gt;&lt;/author&gt;&lt;author&gt;&lt;firstName&gt;J&lt;/firstName&gt;&lt;middleNames&gt;D&lt;/middleNames&gt;&lt;lastName&gt;Keasling&lt;/lastName&gt;&lt;/author&gt;&lt;author&gt;&lt;firstName&gt;R&lt;/firstName&gt;&lt;middleNames&gt;E&lt;/middleNames&gt;&lt;lastName&gt;Jentoff&lt;/lastName&gt;&lt;/author&gt;&lt;author&gt;&lt;firstName&gt;S&lt;/firstName&gt;&lt;middleNames&gt;B&lt;/middleNames&gt;&lt;lastName&gt;Foster&lt;/lastName&gt;&lt;/author&gt;&lt;author&gt;&lt;firstName&gt;J&lt;/firstName&gt;&lt;middleNames&gt;Z&lt;/middleNames&gt;&lt;lastName&gt;Zhou&lt;/lastName&gt;&lt;/author&gt;&lt;author&gt;&lt;firstName&gt;A&lt;/firstName&gt;&lt;lastName&gt;Ziebell&lt;/lastName&gt;&lt;/author&gt;&lt;author&gt;&lt;firstName&gt;G&lt;/firstName&gt;&lt;lastName&gt;An&lt;/lastName&gt;&lt;/author&gt;&lt;author&gt;&lt;firstName&gt;H&lt;/firstName&gt;&lt;middleNames&gt;V&lt;/middleNames&gt;&lt;lastName&gt;Scheller&lt;/lastName&gt;&lt;/author&gt;&lt;author&gt;&lt;firstName&gt;Pamela&lt;/firstName&gt;&lt;middleNames&gt;C&lt;/middleNames&gt;&lt;lastName&gt;Ronald&lt;/lastName&gt;&lt;/author&gt;&lt;/authors&gt;&lt;/publication&gt;&lt;/publications&gt;&lt;cites&gt;&lt;/cites&gt;&lt;/citation&gt;</w:instrText>
      </w:r>
      <w:r w:rsidR="00A07109">
        <w:fldChar w:fldCharType="separate"/>
      </w:r>
      <w:r w:rsidR="001C1AAC">
        <w:t>(</w:t>
      </w:r>
      <w:r w:rsidR="001C1AAC">
        <w:rPr>
          <w:i/>
          <w:iCs/>
        </w:rPr>
        <w:t>120</w:t>
      </w:r>
      <w:r w:rsidR="001C1AAC">
        <w:t>)</w:t>
      </w:r>
      <w:r w:rsidR="00A07109">
        <w:fldChar w:fldCharType="end"/>
      </w:r>
      <w:r w:rsidR="00B35977">
        <w:t xml:space="preserve">. </w:t>
      </w:r>
      <w:r w:rsidR="001B25DE">
        <w:t>All measurements were made in triplicate. Briefly, matrix polysaccharides (hemicellulose and pectin) were depolymerized with 2 M trifluoracetate (TFA), diluted in weak base, and quantified relative to standards by high performance anion exchange chromatography. The TFA-insoluble pellet was dissolved with sulfuric acid and quantified via anthrone assay. Acetyl bromide soluble lignin determination utilized the extinction coefficient for aspen wood</w:t>
      </w:r>
      <w:r w:rsidR="00A07109">
        <w:t xml:space="preserve"> </w:t>
      </w:r>
      <w:r w:rsidR="00A07109">
        <w:fldChar w:fldCharType="begin"/>
      </w:r>
      <w:r>
        <w:instrText xml:space="preserve"> ADDIN PAPERS2_CITATIONS &lt;citation&gt;&lt;uuid&gt;6DD80D10-FC06-4ADD-8B1F-2C04B31B0032&lt;/uuid&gt;&lt;priority&gt;0&lt;/priority&gt;&lt;publications&gt;&lt;publication&gt;&lt;uuid&gt;4188D201-D4DD-4854-A00F-14219145FD91&lt;/uuid&gt;&lt;volume&gt;49&lt;/volume&gt;&lt;doi&gt;10.1021/jf010449r&lt;/doi&gt;&lt;startpage&gt;3133&lt;/startpage&gt;&lt;publication_date&gt;99200106201200000000222000&lt;/publication_date&gt;&lt;url&gt;http://pubs.acs.org/doi/abs/10.1021/jf010449r&lt;/url&gt;&lt;type&gt;400&lt;/type&gt;&lt;title&gt;Extraction and Isolation of Lignin for Utilization as a Standard to Determine Lignin Concentration Using the Acetyl Bromide Spectrophotometric Method&lt;/title&gt;&lt;publisher&gt;American Chemical Society&lt;/publisher&gt;&lt;number&gt;7&lt;/number&gt;&lt;subtype&gt;400&lt;/subtype&gt;&lt;endpage&gt;3139&lt;/endpage&gt;&lt;bundle&gt;&lt;publication&gt;&lt;title&gt;Journal of agricultural and food chemistry&lt;/title&gt;&lt;type&gt;-100&lt;/type&gt;&lt;subtype&gt;-100&lt;/subtype&gt;&lt;uuid&gt;79D9744C-A749-4DAD-BBCF-DFFD654CDEDA&lt;/uuid&gt;&lt;/publication&gt;&lt;/bundle&gt;&lt;authors&gt;&lt;author&gt;&lt;firstName&gt;and&lt;/firstName&gt;&lt;lastName&gt;Romualdo S Fukushima&lt;/lastName&gt;&lt;/author&gt;&lt;author&gt;&lt;firstName&gt;Ronald&lt;/firstName&gt;&lt;middleNames&gt;D&lt;/middleNames&gt;&lt;lastName&gt;Hatfield&lt;/lastName&gt;&lt;/author&gt;&lt;/authors&gt;&lt;/publication&gt;&lt;/publications&gt;&lt;cites&gt;&lt;/cites&gt;&lt;/citation&gt;</w:instrText>
      </w:r>
      <w:r w:rsidR="00A07109">
        <w:fldChar w:fldCharType="separate"/>
      </w:r>
      <w:r w:rsidR="001C1AAC">
        <w:t>(</w:t>
      </w:r>
      <w:r w:rsidR="001C1AAC">
        <w:rPr>
          <w:i/>
          <w:iCs/>
        </w:rPr>
        <w:t>138</w:t>
      </w:r>
      <w:r w:rsidR="001C1AAC">
        <w:t>)</w:t>
      </w:r>
      <w:r w:rsidR="00A07109">
        <w:fldChar w:fldCharType="end"/>
      </w:r>
      <w:r w:rsidR="001B25DE">
        <w:t>.</w:t>
      </w:r>
      <w:r w:rsidR="003A19A8">
        <w:t xml:space="preserve"> (This information provided by Fan Lin who performed the characterization.)</w:t>
      </w:r>
    </w:p>
    <w:p w14:paraId="6FB19EC5" w14:textId="5A863C01" w:rsidR="002B25A4" w:rsidRDefault="002B25A4" w:rsidP="002B25A4">
      <w:pPr>
        <w:pStyle w:val="Heading3"/>
      </w:pPr>
      <w:bookmarkStart w:id="58" w:name="_Toc449964855"/>
      <w:r>
        <w:t xml:space="preserve">Switchgrass </w:t>
      </w:r>
      <w:r w:rsidR="008C1096">
        <w:t>NIRS</w:t>
      </w:r>
      <w:r>
        <w:t xml:space="preserve"> Characterization</w:t>
      </w:r>
      <w:bookmarkEnd w:id="58"/>
    </w:p>
    <w:p w14:paraId="5562A0F7" w14:textId="06F93A7A" w:rsidR="00807999" w:rsidRDefault="002B25A4" w:rsidP="002B25A4">
      <w:r>
        <w:t xml:space="preserve">Dry switchgrass biomass was ground with a Thomas Wiley® Mini-Mill with 20-mesh. </w:t>
      </w:r>
      <w:r w:rsidR="00A07109">
        <w:t>The samples were directly used for NIRS analysis</w:t>
      </w:r>
      <w:r>
        <w:t>. Two NIRS models previous</w:t>
      </w:r>
      <w:r w:rsidR="00023814">
        <w:t>ly</w:t>
      </w:r>
      <w:r>
        <w:t xml:space="preserve"> </w:t>
      </w:r>
      <w:r>
        <w:lastRenderedPageBreak/>
        <w:t xml:space="preserve">reported are used for NIRS analysis. One NIRS model is built on switchgrass samples and the other </w:t>
      </w:r>
      <w:r w:rsidR="00C4470F">
        <w:t xml:space="preserve">one is built on forage samples </w:t>
      </w:r>
      <w:r w:rsidR="00C4470F">
        <w:fldChar w:fldCharType="begin"/>
      </w:r>
      <w:r w:rsidR="00807999">
        <w:instrText xml:space="preserve"> ADDIN PAPERS2_CITATIONS &lt;citation&gt;&lt;uuid&gt;3787D2B9-30F2-44F6-8F86-F58820CA40A8&lt;/uuid&gt;&lt;priority&gt;0&lt;/priority&gt;&lt;publications&gt;&lt;publication&gt;&lt;uuid&gt;C9E3D121-0421-4692-8A6E-43BCA947E167&lt;/uuid&gt;&lt;volume&gt;4&lt;/volume&gt;&lt;doi&gt;10.1007/s12155-010-9104-4&lt;/doi&gt;&lt;startpage&gt;96&lt;/startpage&gt;&lt;publication_date&gt;99201106001200000000220000&lt;/publication_date&gt;&lt;url&gt;http://link.springer.com/article/10.1007%2Fs12155-010-9104-4&lt;/url&gt;&lt;type&gt;400&lt;/type&gt;&lt;title&gt;Quantifying Actual and Theoretical Ethanol Yields for Switchgrass Strains Using NIRS Analyses&lt;/title&gt;&lt;institution&gt;Vogel, KP</w:instrText>
      </w:r>
    </w:p>
    <w:p w14:paraId="1F2A49DE" w14:textId="77777777" w:rsidR="00807999" w:rsidRDefault="00807999" w:rsidP="002B25A4">
      <w:r>
        <w:instrText>Univ Nebraska, Grain Forage &amp;amp; Bioenergy Res Unit, USDA ARS, 137 Keim Hall,POB 830937, Lincoln, NE 68583 USA</w:instrText>
      </w:r>
    </w:p>
    <w:p w14:paraId="5BF229D0" w14:textId="77777777" w:rsidR="00807999" w:rsidRDefault="00807999" w:rsidP="002B25A4">
      <w:r>
        <w:instrText>Univ Nebraska, Grain Forage &amp;amp; Bioenergy Res Unit, USDA ARS, 137 Keim Hall,POB 830937, Lincoln, NE 68583 USA</w:instrText>
      </w:r>
    </w:p>
    <w:p w14:paraId="163BE0B1" w14:textId="77777777" w:rsidR="00807999" w:rsidRDefault="00807999" w:rsidP="002B25A4">
      <w:r>
        <w:instrText>Univ Nebraska, Grain Forage &amp;amp; Bioenergy Res Unit, USDA ARS, Lincoln, NE 68583 USA</w:instrText>
      </w:r>
    </w:p>
    <w:p w14:paraId="16A49D8D" w14:textId="77777777" w:rsidR="00807999" w:rsidRDefault="00807999" w:rsidP="002B25A4">
      <w:r>
        <w:instrText>USDA ARS, Fermentat Biotechnol Res Unit, Natl Ctr Agr Utilizat Res, Peoria, IL 61604 USA</w:instrText>
      </w:r>
    </w:p>
    <w:p w14:paraId="6F4E1F79" w14:textId="77777777" w:rsidR="00807999" w:rsidRDefault="00807999" w:rsidP="002B25A4">
      <w:r>
        <w:instrText>USDA ARS, Plant Sci Res Unit, St Paul, MN 55108 USA</w:instrText>
      </w:r>
    </w:p>
    <w:p w14:paraId="7DD00C43" w14:textId="7D127786" w:rsidR="00C4470F" w:rsidRDefault="00807999" w:rsidP="002B25A4">
      <w:r>
        <w:instrText>US Dairy Forage Res Ctr, Madison, WI 53706 USA&lt;/institution&gt;&lt;number&gt;2&lt;/number&gt;&lt;subtype&gt;400&lt;/subtype&gt;&lt;endpage&gt;110&lt;/endpage&gt;&lt;bundle&gt;&lt;publication&gt;&lt;publisher&gt;Springer US&lt;/publisher&gt;&lt;title&gt;BioEnergy Research&lt;/title&gt;&lt;type&gt;-100&lt;/type&gt;&lt;subtype&gt;-100&lt;/subtype&gt;&lt;uuid&gt;10F75356-9E4C-4774-98A2-0C658827ED32&lt;/uuid&gt;&lt;/publication&gt;&lt;/bundle&gt;&lt;authors&gt;&lt;author&gt;&lt;firstName&gt;K&lt;/firstName&gt;&lt;middleNames&gt;P&lt;/middleNames&gt;&lt;lastName&gt;Vogel&lt;/lastName&gt;&lt;/author&gt;&lt;author&gt;&lt;firstName&gt;B&lt;/firstName&gt;&lt;middleNames&gt;S&lt;/middleNames&gt;&lt;lastName&gt;Dien&lt;/lastName&gt;&lt;/author&gt;&lt;author&gt;&lt;firstName&gt;Hans-Joachim&lt;/firstName&gt;&lt;middleNames&gt;G&lt;/middleNames&gt;&lt;lastName&gt;Jung&lt;/lastName&gt;&lt;/author&gt;&lt;author&gt;&lt;firstName&gt;Michael&lt;/firstName&gt;&lt;middleNames&gt;D&lt;/middleNames&gt;&lt;lastName&gt;Casler&lt;/lastName&gt;&lt;/author&gt;&lt;author&gt;&lt;firstName&gt;S&lt;/firstName&gt;&lt;middleNames&gt;D&lt;/middleNames&gt;&lt;lastName&gt;Masterson&lt;/lastName&gt;&lt;/author&gt;&lt;author&gt;&lt;firstName&gt;R&lt;/firstName&gt;&lt;middleNames&gt;B&lt;/middleNames&gt;&lt;lastName&gt;Mitchell&lt;/lastName&gt;&lt;/author&gt;&lt;/authors&gt;&lt;/publication&gt;&lt;/publications&gt;&lt;cites&gt;&lt;/cites&gt;&lt;/citation&gt;</w:instrText>
      </w:r>
      <w:r w:rsidR="00C4470F">
        <w:fldChar w:fldCharType="separate"/>
      </w:r>
      <w:r w:rsidR="001C1AAC">
        <w:t>(</w:t>
      </w:r>
      <w:r w:rsidR="001C1AAC">
        <w:rPr>
          <w:i/>
          <w:iCs/>
        </w:rPr>
        <w:t>35</w:t>
      </w:r>
      <w:r w:rsidR="001C1AAC">
        <w:t>)</w:t>
      </w:r>
      <w:r w:rsidR="00C4470F">
        <w:fldChar w:fldCharType="end"/>
      </w:r>
      <w:r w:rsidR="002B25A4">
        <w:t>. The same switchgrass assays were used for high throughput assays including pyrolysis molecular-beam mass spectrometry (</w:t>
      </w:r>
      <w:r w:rsidR="002B25A4" w:rsidRPr="00C4470F">
        <w:t>PyMBMS)</w:t>
      </w:r>
      <w:r w:rsidR="00C4470F">
        <w:t xml:space="preserve"> </w:t>
      </w:r>
      <w:r w:rsidR="00C4470F">
        <w:fldChar w:fldCharType="begin"/>
      </w:r>
      <w:r>
        <w:instrText xml:space="preserve"> ADDIN PAPERS2_CITATIONS &lt;citation&gt;&lt;uuid&gt;47D13A17-C192-4934-B732-1CEAC09BCC66&lt;/uuid&gt;&lt;priority&gt;0&lt;/priority&gt;&lt;publications&gt;&lt;publication&gt;&lt;volume&gt;7&lt;/volume&gt;&lt;publication_date&gt;99201401301200000000222000&lt;/publication_date&gt;&lt;number&gt;3&lt;/number&gt;&lt;doi&gt;10.1007/s12155-014-9410-3&lt;/doi&gt;&lt;startpage&gt;899&lt;/startpage&gt;&lt;title&gt;Validation of PyMBMS as a High-throughput Screen for Lignin Abundance in Lignocellulosic Biomass of Grasses&lt;/title&gt;&lt;uuid&gt;44F4FA3C-5F21-4B7E-A18A-05609FE41DD2&lt;/uuid&gt;&lt;subtype&gt;400&lt;/subtype&gt;&lt;endpage&gt;908&lt;/endpage&gt;&lt;type&gt;400&lt;/type&gt;&lt;url&gt;http://link.springer.com/10.1007/s12155-014-9410-3&lt;/url&gt;&lt;bundle&gt;&lt;publication&gt;&lt;publisher&gt;Springer US&lt;/publisher&gt;&lt;title&gt;BioEnergy Research&lt;/title&gt;&lt;type&gt;-100&lt;/type&gt;&lt;subtype&gt;-100&lt;/subtype&gt;&lt;uuid&gt;10F75356-9E4C-4774-98A2-0C658827ED32&lt;/uuid&gt;&lt;/publication&gt;&lt;/bundle&gt;&lt;authors&gt;&lt;author&gt;&lt;firstName&gt;Bryan&lt;/firstName&gt;&lt;middleNames&gt;W&lt;/middleNames&gt;&lt;lastName&gt;Penning&lt;/lastName&gt;&lt;/author&gt;&lt;author&gt;&lt;firstName&gt;Robert&lt;/firstName&gt;&lt;middleNames&gt;W&lt;/middleNames&gt;&lt;lastName&gt;Sykes&lt;/lastName&gt;&lt;/author&gt;&lt;author&gt;&lt;firstName&gt;Nicholas&lt;/firstName&gt;&lt;middleNames&gt;C&lt;/middleNames&gt;&lt;lastName&gt;Babcock&lt;/lastName&gt;&lt;/author&gt;&lt;author&gt;&lt;firstName&gt;Christopher&lt;/firstName&gt;&lt;middleNames&gt;K&lt;/middleNames&gt;&lt;lastName&gt;Dugard&lt;/lastName&gt;&lt;/author&gt;&lt;author&gt;&lt;firstName&gt;John&lt;/firstName&gt;&lt;middleNames&gt;F&lt;/middleNames&gt;&lt;lastName&gt;Klimek&lt;/lastName&gt;&lt;/author&gt;&lt;author&gt;&lt;firstName&gt;David&lt;/firstName&gt;&lt;lastName&gt;Gamblin&lt;/lastName&gt;&lt;/author&gt;&lt;author&gt;&lt;firstName&gt;Mark&lt;/firstName&gt;&lt;lastName&gt;Davis&lt;/lastName&gt;&lt;/author&gt;&lt;author&gt;&lt;firstName&gt;Timothy&lt;/firstName&gt;&lt;middleNames&gt;R&lt;/middleNames&gt;&lt;lastName&gt;Filley&lt;/lastName&gt;&lt;/author&gt;&lt;author&gt;&lt;firstName&gt;Nathan&lt;/firstName&gt;&lt;middleNames&gt;S&lt;/middleNames&gt;&lt;lastName&gt;Mosier&lt;/lastName&gt;&lt;/author&gt;&lt;author&gt;&lt;firstName&gt;Clifford&lt;/firstName&gt;&lt;middleNames&gt;F&lt;/middleNames&gt;&lt;lastName&gt;Weil&lt;/lastName&gt;&lt;/author&gt;&lt;author&gt;&lt;firstName&gt;Maureen&lt;/firstName&gt;&lt;middleNames&gt;C&lt;/middleNames&gt;&lt;lastName&gt;McCann&lt;/lastName&gt;&lt;/author&gt;&lt;author&gt;&lt;firstName&gt;Nicholas&lt;/firstName&gt;&lt;middleNames&gt;C&lt;/middleNames&gt;&lt;lastName&gt;Carpita&lt;/lastName&gt;&lt;/author&gt;&lt;/authors&gt;&lt;/publication&gt;&lt;/publications&gt;&lt;cites&gt;&lt;/cites&gt;&lt;/citation&gt;</w:instrText>
      </w:r>
      <w:r w:rsidR="00C4470F">
        <w:fldChar w:fldCharType="separate"/>
      </w:r>
      <w:r w:rsidR="001C1AAC">
        <w:t>(</w:t>
      </w:r>
      <w:r w:rsidR="001C1AAC">
        <w:rPr>
          <w:i/>
          <w:iCs/>
        </w:rPr>
        <w:t>99</w:t>
      </w:r>
      <w:r w:rsidR="001C1AAC">
        <w:t>)</w:t>
      </w:r>
      <w:r w:rsidR="00C4470F">
        <w:fldChar w:fldCharType="end"/>
      </w:r>
      <w:r w:rsidR="002B25A4">
        <w:t xml:space="preserve"> and</w:t>
      </w:r>
      <w:r w:rsidR="00C4470F">
        <w:t xml:space="preserve"> enzymatic sugar release </w:t>
      </w:r>
      <w:r w:rsidR="00C4470F">
        <w:rPr>
          <w:highlight w:val="yellow"/>
        </w:rPr>
        <w:fldChar w:fldCharType="begin"/>
      </w:r>
      <w:r>
        <w:rPr>
          <w:highlight w:val="yellow"/>
        </w:rPr>
        <w:instrText xml:space="preserve"> ADDIN PAPERS2_CITATIONS &lt;citation&gt;&lt;uuid&gt;7F560E18-824C-4308-843B-DF74AA776C26&lt;/uuid&gt;&lt;priority&gt;0&lt;/priority&gt;&lt;publications&gt;&lt;publication&gt;&lt;volume&gt;3&lt;/volume&gt;&lt;publication_date&gt;99201001201200000000222000&lt;/publication_date&gt;&lt;number&gt;1&lt;/number&gt;&lt;doi&gt;10.1007/s12155-009-9074-6&lt;/doi&gt;&lt;startpage&gt;93&lt;/startpage&gt;&lt;title&gt;A High-Throughput Platform for Screening Milligram Quantities of Plant Biomass for Lignocellulose Digestibility&lt;/title&gt;&lt;uuid&gt;0202ABD8-1484-4D9D-9883-906F13C4AF53&lt;/uuid&gt;&lt;subtype&gt;400&lt;/subtype&gt;&lt;endpage&gt;102&lt;/endpage&gt;&lt;type&gt;400&lt;/type&gt;&lt;url&gt;http://link.springer.com/10.1007/s12155-009-9074-6&lt;/url&gt;&lt;bundle&gt;&lt;publication&gt;&lt;publisher&gt;Springer US&lt;/publisher&gt;&lt;title&gt;BioEnergy Research&lt;/title&gt;&lt;type&gt;-100&lt;/type&gt;&lt;subtype&gt;-100&lt;/subtype&gt;&lt;uuid&gt;10F75356-9E4C-4774-98A2-0C658827ED32&lt;/uuid&gt;&lt;/publication&gt;&lt;/bundle&gt;&lt;authors&gt;&lt;author&gt;&lt;firstName&gt;Nicholas&lt;/firstName&gt;&lt;lastName&gt;Santoro&lt;/lastName&gt;&lt;/author&gt;&lt;author&gt;&lt;firstName&gt;Shane&lt;/firstName&gt;&lt;middleNames&gt;L&lt;/middleNames&gt;&lt;lastName&gt;Cantu&lt;/lastName&gt;&lt;/author&gt;&lt;author&gt;&lt;firstName&gt;Carl-Erik&lt;/firstName&gt;&lt;lastName&gt;Tornqvist&lt;/lastName&gt;&lt;/author&gt;&lt;author&gt;&lt;firstName&gt;Tanya&lt;/firstName&gt;&lt;middleNames&gt;G&lt;/middleNames&gt;&lt;lastName&gt;Falbel&lt;/lastName&gt;&lt;/author&gt;&lt;author&gt;&lt;firstName&gt;Jenny&lt;/firstName&gt;&lt;middleNames&gt;L&lt;/middleNames&gt;&lt;lastName&gt;Bolivar&lt;/lastName&gt;&lt;/author&gt;&lt;author&gt;&lt;firstName&gt;Sara&lt;/firstName&gt;&lt;middleNames&gt;E&lt;/middleNames&gt;&lt;lastName&gt;Patterson&lt;/lastName&gt;&lt;/author&gt;&lt;author&gt;&lt;firstName&gt;Markus&lt;/firstName&gt;&lt;lastName&gt;Pauly&lt;/lastName&gt;&lt;/author&gt;&lt;author&gt;&lt;firstName&gt;Jonathan&lt;/firstName&gt;&lt;middleNames&gt;D&lt;/middleNames&gt;&lt;lastName&gt;Walton&lt;/lastName&gt;&lt;/author&gt;&lt;/authors&gt;&lt;/publication&gt;&lt;/publications&gt;&lt;cites&gt;&lt;/cites&gt;&lt;/citation&gt;</w:instrText>
      </w:r>
      <w:r w:rsidR="00C4470F">
        <w:rPr>
          <w:highlight w:val="yellow"/>
        </w:rPr>
        <w:fldChar w:fldCharType="separate"/>
      </w:r>
      <w:r w:rsidR="001C1AAC">
        <w:t>(</w:t>
      </w:r>
      <w:r w:rsidR="001C1AAC">
        <w:rPr>
          <w:i/>
          <w:iCs/>
        </w:rPr>
        <w:t>139</w:t>
      </w:r>
      <w:r w:rsidR="001C1AAC">
        <w:t>)</w:t>
      </w:r>
      <w:r w:rsidR="00C4470F">
        <w:rPr>
          <w:highlight w:val="yellow"/>
        </w:rPr>
        <w:fldChar w:fldCharType="end"/>
      </w:r>
      <w:r w:rsidR="005D7E12">
        <w:t xml:space="preserve">. </w:t>
      </w:r>
      <w:r w:rsidR="009664F0" w:rsidRPr="00C4470F">
        <w:t>Table 3.1</w:t>
      </w:r>
      <w:r w:rsidR="005D7E12" w:rsidRPr="00C4470F">
        <w:t xml:space="preserve"> lists the </w:t>
      </w:r>
      <w:r w:rsidR="001A0A99" w:rsidRPr="00C4470F">
        <w:t>variables measured</w:t>
      </w:r>
      <w:r w:rsidR="005D7E12" w:rsidRPr="00C4470F">
        <w:t>.</w:t>
      </w:r>
    </w:p>
    <w:tbl>
      <w:tblPr>
        <w:tblW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0"/>
        <w:gridCol w:w="5688"/>
        <w:gridCol w:w="923"/>
      </w:tblGrid>
      <w:tr w:rsidR="00E148D7" w:rsidRPr="00E148D7" w14:paraId="4F7B4D83" w14:textId="77777777" w:rsidTr="004470C5">
        <w:trPr>
          <w:trHeight w:val="320"/>
        </w:trPr>
        <w:tc>
          <w:tcPr>
            <w:tcW w:w="236" w:type="dxa"/>
            <w:shd w:val="clear" w:color="auto" w:fill="auto"/>
            <w:noWrap/>
            <w:vAlign w:val="bottom"/>
            <w:hideMark/>
          </w:tcPr>
          <w:p w14:paraId="07FE4D46" w14:textId="77777777" w:rsidR="00C4470F" w:rsidRPr="009C3752" w:rsidRDefault="00C4470F" w:rsidP="00E148D7">
            <w:pPr>
              <w:pStyle w:val="Tables"/>
              <w:rPr>
                <w:rFonts w:asciiTheme="minorHAnsi" w:hAnsiTheme="minorHAnsi" w:cstheme="minorHAnsi"/>
                <w:b/>
              </w:rPr>
            </w:pPr>
            <w:r w:rsidRPr="009C3752">
              <w:rPr>
                <w:rFonts w:asciiTheme="minorHAnsi" w:hAnsiTheme="minorHAnsi" w:cstheme="minorHAnsi"/>
                <w:b/>
              </w:rPr>
              <w:t>Variable</w:t>
            </w:r>
          </w:p>
        </w:tc>
        <w:tc>
          <w:tcPr>
            <w:tcW w:w="236" w:type="dxa"/>
            <w:shd w:val="clear" w:color="auto" w:fill="auto"/>
            <w:vAlign w:val="bottom"/>
            <w:hideMark/>
          </w:tcPr>
          <w:p w14:paraId="41E7220A" w14:textId="77777777" w:rsidR="00C4470F" w:rsidRPr="009C3752" w:rsidRDefault="00C4470F" w:rsidP="00E148D7">
            <w:pPr>
              <w:pStyle w:val="Tables"/>
              <w:rPr>
                <w:rFonts w:asciiTheme="minorHAnsi" w:hAnsiTheme="minorHAnsi" w:cstheme="minorHAnsi"/>
                <w:b/>
              </w:rPr>
            </w:pPr>
            <w:r w:rsidRPr="009C3752">
              <w:rPr>
                <w:rFonts w:asciiTheme="minorHAnsi" w:hAnsiTheme="minorHAnsi" w:cstheme="minorHAnsi"/>
                <w:b/>
              </w:rPr>
              <w:t>Description</w:t>
            </w:r>
          </w:p>
        </w:tc>
        <w:tc>
          <w:tcPr>
            <w:tcW w:w="236" w:type="dxa"/>
            <w:shd w:val="clear" w:color="auto" w:fill="auto"/>
            <w:noWrap/>
            <w:vAlign w:val="bottom"/>
            <w:hideMark/>
          </w:tcPr>
          <w:p w14:paraId="5B11A888" w14:textId="77777777" w:rsidR="00C4470F" w:rsidRPr="009C3752" w:rsidRDefault="00C4470F" w:rsidP="00E148D7">
            <w:pPr>
              <w:pStyle w:val="Tables"/>
              <w:rPr>
                <w:rFonts w:asciiTheme="minorHAnsi" w:hAnsiTheme="minorHAnsi" w:cstheme="minorHAnsi"/>
                <w:b/>
              </w:rPr>
            </w:pPr>
            <w:r w:rsidRPr="009C3752">
              <w:rPr>
                <w:rFonts w:asciiTheme="minorHAnsi" w:hAnsiTheme="minorHAnsi" w:cstheme="minorHAnsi"/>
                <w:b/>
              </w:rPr>
              <w:t>Source</w:t>
            </w:r>
          </w:p>
        </w:tc>
      </w:tr>
      <w:tr w:rsidR="00E148D7" w:rsidRPr="00E148D7" w14:paraId="1777CFB0" w14:textId="77777777" w:rsidTr="004470C5">
        <w:trPr>
          <w:trHeight w:val="320"/>
        </w:trPr>
        <w:tc>
          <w:tcPr>
            <w:tcW w:w="236" w:type="dxa"/>
            <w:shd w:val="clear" w:color="auto" w:fill="auto"/>
            <w:noWrap/>
            <w:vAlign w:val="bottom"/>
            <w:hideMark/>
          </w:tcPr>
          <w:p w14:paraId="485967D7" w14:textId="77777777" w:rsidR="00C4470F" w:rsidRPr="00E148D7" w:rsidRDefault="00C4470F" w:rsidP="00E148D7">
            <w:pPr>
              <w:pStyle w:val="Tables"/>
              <w:rPr>
                <w:rFonts w:asciiTheme="minorHAnsi" w:hAnsiTheme="minorHAnsi" w:cstheme="minorHAnsi"/>
              </w:rPr>
            </w:pPr>
            <w:r w:rsidRPr="00E148D7">
              <w:rPr>
                <w:rFonts w:asciiTheme="minorHAnsi" w:hAnsiTheme="minorHAnsi" w:cstheme="minorHAnsi"/>
              </w:rPr>
              <w:t>ADF</w:t>
            </w:r>
          </w:p>
        </w:tc>
        <w:tc>
          <w:tcPr>
            <w:tcW w:w="236" w:type="dxa"/>
            <w:shd w:val="clear" w:color="auto" w:fill="auto"/>
            <w:vAlign w:val="bottom"/>
            <w:hideMark/>
          </w:tcPr>
          <w:p w14:paraId="28F1875C" w14:textId="77777777" w:rsidR="00C4470F" w:rsidRPr="00E148D7" w:rsidRDefault="00C4470F" w:rsidP="00E148D7">
            <w:pPr>
              <w:pStyle w:val="Tables"/>
              <w:rPr>
                <w:rFonts w:asciiTheme="minorHAnsi" w:hAnsiTheme="minorHAnsi" w:cstheme="minorHAnsi"/>
                <w:color w:val="111111"/>
              </w:rPr>
            </w:pPr>
            <w:r w:rsidRPr="00E148D7">
              <w:rPr>
                <w:rFonts w:asciiTheme="minorHAnsi" w:hAnsiTheme="minorHAnsi" w:cstheme="minorHAnsi"/>
                <w:color w:val="111111"/>
              </w:rPr>
              <w:t xml:space="preserve">Acid detergent fiber </w:t>
            </w:r>
          </w:p>
        </w:tc>
        <w:tc>
          <w:tcPr>
            <w:tcW w:w="236" w:type="dxa"/>
            <w:shd w:val="clear" w:color="auto" w:fill="auto"/>
            <w:noWrap/>
            <w:vAlign w:val="bottom"/>
            <w:hideMark/>
          </w:tcPr>
          <w:p w14:paraId="54E2AF9C" w14:textId="4C00C054" w:rsidR="00C4470F" w:rsidRPr="00E148D7" w:rsidRDefault="00681286" w:rsidP="00E148D7">
            <w:pPr>
              <w:pStyle w:val="Tables"/>
              <w:rPr>
                <w:rFonts w:asciiTheme="minorHAnsi" w:hAnsiTheme="minorHAnsi" w:cstheme="minorHAnsi"/>
              </w:rPr>
            </w:pPr>
            <w:r>
              <w:rPr>
                <w:rFonts w:asciiTheme="minorHAnsi" w:hAnsiTheme="minorHAnsi" w:cstheme="minorHAnsi"/>
              </w:rPr>
              <w:fldChar w:fldCharType="begin"/>
            </w:r>
            <w:r w:rsidR="00807999">
              <w:rPr>
                <w:rFonts w:asciiTheme="minorHAnsi" w:hAnsiTheme="minorHAnsi" w:cstheme="minorHAnsi"/>
              </w:rPr>
              <w:instrText xml:space="preserve"> ADDIN PAPERS2_CITATIONS &lt;citation&gt;&lt;uuid&gt;824EF906-5ABC-45A3-B8CA-C53780B6A4FD&lt;/uuid&gt;&lt;priority&gt;0&lt;/priority&gt;&lt;publications&gt;&lt;publication&gt;&lt;uuid&gt;93C97861-B53D-446A-8CC8-C2BD026AD337&lt;/uuid&gt;&lt;volume&gt;4&lt;/volume&gt;&lt;doi&gt;10.1007/s12155-010-9104-4&lt;/doi&gt;&lt;startpage&gt;96&lt;/startpage&gt;&lt;publication_date&gt;99201008211200000000222000&lt;/publication_date&gt;&lt;url&gt;http://link.springer.com/10.1007/s12155-010-9104-4&lt;/url&gt;&lt;citekey&gt;Vogel:2011bw&lt;/citekey&gt;&lt;type&gt;400&lt;/type&gt;&lt;title&gt;Quantifying Actual and Theoretical Ethanol Yields for Switchgrass Strains Using NIRS Analyses&lt;/title&gt;&lt;number&gt;2&lt;/number&gt;&lt;subtype&gt;400&lt;/subtype&gt;&lt;endpage&gt;110&lt;/endpage&gt;&lt;bundle&gt;&lt;publication&gt;&lt;publisher&gt;Springer US&lt;/publisher&gt;&lt;title&gt;BioEnergy Research&lt;/title&gt;&lt;type&gt;-100&lt;/type&gt;&lt;subtype&gt;-100&lt;/subtype&gt;&lt;uuid&gt;10F75356-9E4C-4774-98A2-0C658827ED32&lt;/uuid&gt;&lt;/publication&gt;&lt;/bundle&gt;&lt;authors&gt;&lt;author&gt;&lt;firstName&gt;Kenneth&lt;/firstName&gt;&lt;middleNames&gt;P&lt;/middleNames&gt;&lt;lastName&gt;Vogel&lt;/lastName&gt;&lt;/author&gt;&lt;author&gt;&lt;firstName&gt;Bruce&lt;/firstName&gt;&lt;middleNames&gt;S&lt;/middleNames&gt;&lt;lastName&gt;Dien&lt;/lastName&gt;&lt;/author&gt;&lt;author&gt;&lt;firstName&gt;Hans&lt;/firstName&gt;&lt;middleNames&gt;G&lt;/middleNames&gt;&lt;lastName&gt;Jung&lt;/lastName&gt;&lt;/author&gt;&lt;author&gt;&lt;firstName&gt;Michael&lt;/firstName&gt;&lt;middleNames&gt;D&lt;/middleNames&gt;&lt;lastName&gt;Casler&lt;/lastName&gt;&lt;/author&gt;&lt;author&gt;&lt;firstName&gt;Steven&lt;/firstName&gt;&lt;middleNames&gt;D&lt;/middleNames&gt;&lt;lastName&gt;Masterson&lt;/lastName&gt;&lt;/author&gt;&lt;author&gt;&lt;firstName&gt;Robert&lt;/firstName&gt;&lt;middleNames&gt;B&lt;/middleNames&gt;&lt;lastName&gt;Mitchell&lt;/lastName&gt;&lt;/author&gt;&lt;/authors&gt;&lt;/publication&gt;&lt;/publications&gt;&lt;cites&gt;&lt;/cites&gt;&lt;/citation&gt;</w:instrText>
            </w:r>
            <w:r>
              <w:rPr>
                <w:rFonts w:asciiTheme="minorHAnsi" w:hAnsiTheme="minorHAnsi" w:cstheme="minorHAnsi"/>
              </w:rPr>
              <w:fldChar w:fldCharType="separate"/>
            </w:r>
            <w:r w:rsidR="001C1AAC">
              <w:t>(</w:t>
            </w:r>
            <w:r w:rsidR="001C1AAC">
              <w:rPr>
                <w:i/>
                <w:iCs/>
              </w:rPr>
              <w:t>140</w:t>
            </w:r>
            <w:r w:rsidR="001C1AAC">
              <w:t>)</w:t>
            </w:r>
            <w:r>
              <w:rPr>
                <w:rFonts w:asciiTheme="minorHAnsi" w:hAnsiTheme="minorHAnsi" w:cstheme="minorHAnsi"/>
              </w:rPr>
              <w:fldChar w:fldCharType="end"/>
            </w:r>
          </w:p>
        </w:tc>
      </w:tr>
      <w:tr w:rsidR="00E148D7" w:rsidRPr="00E148D7" w14:paraId="76EB3158" w14:textId="77777777" w:rsidTr="004470C5">
        <w:trPr>
          <w:trHeight w:val="320"/>
        </w:trPr>
        <w:tc>
          <w:tcPr>
            <w:tcW w:w="236" w:type="dxa"/>
            <w:shd w:val="clear" w:color="auto" w:fill="auto"/>
            <w:noWrap/>
            <w:vAlign w:val="bottom"/>
            <w:hideMark/>
          </w:tcPr>
          <w:p w14:paraId="6A674882" w14:textId="77777777" w:rsidR="00C4470F" w:rsidRPr="00E148D7" w:rsidRDefault="00C4470F" w:rsidP="00E148D7">
            <w:pPr>
              <w:pStyle w:val="Tables"/>
              <w:rPr>
                <w:rFonts w:asciiTheme="minorHAnsi" w:hAnsiTheme="minorHAnsi" w:cstheme="minorHAnsi"/>
              </w:rPr>
            </w:pPr>
            <w:r w:rsidRPr="00E148D7">
              <w:rPr>
                <w:rFonts w:asciiTheme="minorHAnsi" w:hAnsiTheme="minorHAnsi" w:cstheme="minorHAnsi"/>
              </w:rPr>
              <w:t>ADF.forage</w:t>
            </w:r>
          </w:p>
        </w:tc>
        <w:tc>
          <w:tcPr>
            <w:tcW w:w="236" w:type="dxa"/>
            <w:shd w:val="clear" w:color="auto" w:fill="auto"/>
            <w:vAlign w:val="bottom"/>
            <w:hideMark/>
          </w:tcPr>
          <w:p w14:paraId="17559E90" w14:textId="77777777" w:rsidR="00C4470F" w:rsidRPr="00E148D7" w:rsidRDefault="00C4470F" w:rsidP="00E148D7">
            <w:pPr>
              <w:pStyle w:val="Tables"/>
              <w:rPr>
                <w:rFonts w:asciiTheme="minorHAnsi" w:hAnsiTheme="minorHAnsi" w:cstheme="minorHAnsi"/>
                <w:color w:val="111111"/>
              </w:rPr>
            </w:pPr>
            <w:r w:rsidRPr="00E148D7">
              <w:rPr>
                <w:rFonts w:asciiTheme="minorHAnsi" w:hAnsiTheme="minorHAnsi" w:cstheme="minorHAnsi"/>
                <w:color w:val="111111"/>
              </w:rPr>
              <w:t>Acid detergent fiber (forage equation)</w:t>
            </w:r>
          </w:p>
        </w:tc>
        <w:tc>
          <w:tcPr>
            <w:tcW w:w="236" w:type="dxa"/>
            <w:shd w:val="clear" w:color="auto" w:fill="auto"/>
            <w:noWrap/>
            <w:vAlign w:val="bottom"/>
            <w:hideMark/>
          </w:tcPr>
          <w:p w14:paraId="4AB0AD0A" w14:textId="2F151642" w:rsidR="00C4470F" w:rsidRPr="00E148D7" w:rsidRDefault="00681286" w:rsidP="00E148D7">
            <w:pPr>
              <w:pStyle w:val="Tables"/>
              <w:rPr>
                <w:rFonts w:asciiTheme="minorHAnsi" w:hAnsiTheme="minorHAnsi" w:cstheme="minorHAnsi"/>
              </w:rPr>
            </w:pPr>
            <w:r>
              <w:rPr>
                <w:rFonts w:asciiTheme="minorHAnsi" w:hAnsiTheme="minorHAnsi" w:cstheme="minorHAnsi"/>
              </w:rPr>
              <w:fldChar w:fldCharType="begin"/>
            </w:r>
            <w:r w:rsidR="00807999">
              <w:rPr>
                <w:rFonts w:asciiTheme="minorHAnsi" w:hAnsiTheme="minorHAnsi" w:cstheme="minorHAnsi"/>
              </w:rPr>
              <w:instrText xml:space="preserve"> ADDIN PAPERS2_CITATIONS &lt;citation&gt;&lt;uuid&gt;B4D37B26-CD87-4745-962C-1A4618044DB9&lt;/uuid&gt;&lt;priority&gt;0&lt;/priority&gt;&lt;publications&gt;&lt;publication&gt;&lt;volume&gt;339&lt;/volume&gt;&lt;publication_date&gt;99201004151200000000222000&lt;/publication_date&gt;&lt;number&gt;1-2&lt;/number&gt;&lt;doi&gt;10.1007/s11104-010-0376-4&lt;/doi&gt;&lt;startpage&gt;69&lt;/startpage&gt;&lt;title&gt;Switchgrass for forage and bioenergy: harvest and nitrogen rate effects on biomass yields and nutrient composition&lt;/title&gt;&lt;uuid&gt;D1F74A81-1B28-432B-854D-4742B2C12C0C&lt;/uuid&gt;&lt;subtype&gt;400&lt;/subtype&gt;&lt;endpage&gt;81&lt;/endpage&gt;&lt;type&gt;400&lt;/type&gt;&lt;url&gt;http://link.springer.com/10.1007/s11104-010-0376-4&lt;/url&gt;&lt;bundle&gt;&lt;publication&gt;&lt;title&gt;Plant and Soil&lt;/title&gt;&lt;type&gt;-100&lt;/type&gt;&lt;subtype&gt;-100&lt;/subtype&gt;&lt;uuid&gt;4D2157D4-F2F2-4179-B289-12F735F40749&lt;/uuid&gt;&lt;/publication&gt;&lt;/bundle&gt;&lt;authors&gt;&lt;author&gt;&lt;firstName&gt;John&lt;/firstName&gt;&lt;middleNames&gt;A&lt;/middleNames&gt;&lt;lastName&gt;Guretzky&lt;/lastName&gt;&lt;/author&gt;&lt;author&gt;&lt;firstName&gt;Jon&lt;/firstName&gt;&lt;middleNames&gt;T&lt;/middleNames&gt;&lt;lastName&gt;Biermacher&lt;/lastName&gt;&lt;/author&gt;&lt;author&gt;&lt;firstName&gt;Billy&lt;/firstName&gt;&lt;middleNames&gt;J&lt;/middleNames&gt;&lt;lastName&gt;Cook&lt;/lastName&gt;&lt;/author&gt;&lt;author&gt;&lt;firstName&gt;Maru&lt;/firstName&gt;&lt;middleNames&gt;K&lt;/middleNames&gt;&lt;lastName&gt;Kering&lt;/lastName&gt;&lt;/author&gt;&lt;author&gt;&lt;firstName&gt;Jagadeesh&lt;/firstName&gt;&lt;lastName&gt;Mosali&lt;/lastName&gt;&lt;/author&gt;&lt;/authors&gt;&lt;/publication&gt;&lt;/publications&gt;&lt;cites&gt;&lt;/cites&gt;&lt;/citation&gt;</w:instrText>
            </w:r>
            <w:r>
              <w:rPr>
                <w:rFonts w:asciiTheme="minorHAnsi" w:hAnsiTheme="minorHAnsi" w:cstheme="minorHAnsi"/>
              </w:rPr>
              <w:fldChar w:fldCharType="separate"/>
            </w:r>
            <w:r w:rsidR="001C1AAC">
              <w:t>(</w:t>
            </w:r>
            <w:r w:rsidR="001C1AAC">
              <w:rPr>
                <w:i/>
                <w:iCs/>
              </w:rPr>
              <w:t>141</w:t>
            </w:r>
            <w:r w:rsidR="001C1AAC">
              <w:t>)</w:t>
            </w:r>
            <w:r>
              <w:rPr>
                <w:rFonts w:asciiTheme="minorHAnsi" w:hAnsiTheme="minorHAnsi" w:cstheme="minorHAnsi"/>
              </w:rPr>
              <w:fldChar w:fldCharType="end"/>
            </w:r>
          </w:p>
        </w:tc>
      </w:tr>
      <w:tr w:rsidR="00A7753D" w:rsidRPr="00E148D7" w14:paraId="4620FDD7" w14:textId="77777777" w:rsidTr="004470C5">
        <w:trPr>
          <w:trHeight w:val="320"/>
        </w:trPr>
        <w:tc>
          <w:tcPr>
            <w:tcW w:w="236" w:type="dxa"/>
            <w:shd w:val="clear" w:color="auto" w:fill="auto"/>
            <w:noWrap/>
            <w:vAlign w:val="bottom"/>
            <w:hideMark/>
          </w:tcPr>
          <w:p w14:paraId="37D0FF92" w14:textId="77777777" w:rsidR="00A7753D" w:rsidRPr="00E148D7" w:rsidRDefault="00A7753D" w:rsidP="00E148D7">
            <w:pPr>
              <w:pStyle w:val="Tables"/>
              <w:rPr>
                <w:rFonts w:asciiTheme="minorHAnsi" w:hAnsiTheme="minorHAnsi" w:cstheme="minorHAnsi"/>
              </w:rPr>
            </w:pPr>
            <w:r w:rsidRPr="00E148D7">
              <w:rPr>
                <w:rFonts w:asciiTheme="minorHAnsi" w:hAnsiTheme="minorHAnsi" w:cstheme="minorHAnsi"/>
              </w:rPr>
              <w:t>ADL</w:t>
            </w:r>
          </w:p>
        </w:tc>
        <w:tc>
          <w:tcPr>
            <w:tcW w:w="236" w:type="dxa"/>
            <w:shd w:val="clear" w:color="auto" w:fill="auto"/>
            <w:vAlign w:val="bottom"/>
            <w:hideMark/>
          </w:tcPr>
          <w:p w14:paraId="67E94E97" w14:textId="77777777" w:rsidR="00A7753D" w:rsidRPr="00E148D7" w:rsidRDefault="00A7753D" w:rsidP="00E148D7">
            <w:pPr>
              <w:pStyle w:val="Tables"/>
              <w:rPr>
                <w:rFonts w:asciiTheme="minorHAnsi" w:hAnsiTheme="minorHAnsi" w:cstheme="minorHAnsi"/>
                <w:color w:val="111111"/>
              </w:rPr>
            </w:pPr>
            <w:r w:rsidRPr="00E148D7">
              <w:rPr>
                <w:rFonts w:asciiTheme="minorHAnsi" w:hAnsiTheme="minorHAnsi" w:cstheme="minorHAnsi"/>
                <w:color w:val="111111"/>
              </w:rPr>
              <w:t xml:space="preserve">Acid detergent lignin </w:t>
            </w:r>
          </w:p>
        </w:tc>
        <w:tc>
          <w:tcPr>
            <w:tcW w:w="236" w:type="dxa"/>
            <w:shd w:val="clear" w:color="auto" w:fill="auto"/>
            <w:noWrap/>
            <w:vAlign w:val="bottom"/>
            <w:hideMark/>
          </w:tcPr>
          <w:p w14:paraId="7C78ECCA" w14:textId="08F159F5" w:rsidR="00A7753D" w:rsidRPr="00E148D7" w:rsidRDefault="00A7753D" w:rsidP="00E148D7">
            <w:pPr>
              <w:pStyle w:val="Tables"/>
              <w:rPr>
                <w:rFonts w:asciiTheme="minorHAnsi" w:hAnsiTheme="minorHAnsi" w:cstheme="minorHAnsi"/>
              </w:rPr>
            </w:pPr>
            <w:r>
              <w:rPr>
                <w:rFonts w:asciiTheme="minorHAnsi" w:hAnsiTheme="minorHAnsi" w:cstheme="minorHAnsi"/>
              </w:rPr>
              <w:fldChar w:fldCharType="begin"/>
            </w:r>
            <w:r w:rsidR="00807999">
              <w:rPr>
                <w:rFonts w:asciiTheme="minorHAnsi" w:hAnsiTheme="minorHAnsi" w:cstheme="minorHAnsi"/>
              </w:rPr>
              <w:instrText xml:space="preserve"> ADDIN PAPERS2_CITATIONS &lt;citation&gt;&lt;uuid&gt;0510DFAF-5104-4C13-B204-16C09F6B37DF&lt;/uuid&gt;&lt;priority&gt;0&lt;/priority&gt;&lt;publications&gt;&lt;publication&gt;&lt;uuid&gt;93C97861-B53D-446A-8CC8-C2BD026AD337&lt;/uuid&gt;&lt;volume&gt;4&lt;/volume&gt;&lt;doi&gt;10.1007/s12155-010-9104-4&lt;/doi&gt;&lt;startpage&gt;96&lt;/startpage&gt;&lt;publication_date&gt;99201008211200000000222000&lt;/publication_date&gt;&lt;url&gt;http://link.springer.com/10.1007/s12155-010-9104-4&lt;/url&gt;&lt;citekey&gt;Vogel:2011bw&lt;/citekey&gt;&lt;type&gt;400&lt;/type&gt;&lt;title&gt;Quantifying Actual and Theoretical Ethanol Yields for Switchgrass Strains Using NIRS Analyses&lt;/title&gt;&lt;number&gt;2&lt;/number&gt;&lt;subtype&gt;400&lt;/subtype&gt;&lt;endpage&gt;110&lt;/endpage&gt;&lt;bundle&gt;&lt;publication&gt;&lt;publisher&gt;Springer US&lt;/publisher&gt;&lt;title&gt;BioEnergy Research&lt;/title&gt;&lt;type&gt;-100&lt;/type&gt;&lt;subtype&gt;-100&lt;/subtype&gt;&lt;uuid&gt;10F75356-9E4C-4774-98A2-0C658827ED32&lt;/uuid&gt;&lt;/publication&gt;&lt;/bundle&gt;&lt;authors&gt;&lt;author&gt;&lt;firstName&gt;Kenneth&lt;/firstName&gt;&lt;middleNames&gt;P&lt;/middleNames&gt;&lt;lastName&gt;Vogel&lt;/lastName&gt;&lt;/author&gt;&lt;author&gt;&lt;firstName&gt;Bruce&lt;/firstName&gt;&lt;middleNames&gt;S&lt;/middleNames&gt;&lt;lastName&gt;Dien&lt;/lastName&gt;&lt;/author&gt;&lt;author&gt;&lt;firstName&gt;Hans&lt;/firstName&gt;&lt;middleNames&gt;G&lt;/middleNames&gt;&lt;lastName&gt;Jung&lt;/lastName&gt;&lt;/author&gt;&lt;author&gt;&lt;firstName&gt;Michael&lt;/firstName&gt;&lt;middleNames&gt;D&lt;/middleNames&gt;&lt;lastName&gt;Casler&lt;/lastName&gt;&lt;/author&gt;&lt;author&gt;&lt;firstName&gt;Steven&lt;/firstName&gt;&lt;middleNames&gt;D&lt;/middleNames&gt;&lt;lastName&gt;Masterson&lt;/lastName&gt;&lt;/author&gt;&lt;author&gt;&lt;firstName&gt;Robert&lt;/firstName&gt;&lt;middleNames&gt;B&lt;/middleNames&gt;&lt;lastName&gt;Mitchell&lt;/lastName&gt;&lt;/author&gt;&lt;/authors&gt;&lt;/publication&gt;&lt;/publications&gt;&lt;cites&gt;&lt;/cites&gt;&lt;/citation&gt;</w:instrText>
            </w:r>
            <w:r>
              <w:rPr>
                <w:rFonts w:asciiTheme="minorHAnsi" w:hAnsiTheme="minorHAnsi" w:cstheme="minorHAnsi"/>
              </w:rPr>
              <w:fldChar w:fldCharType="separate"/>
            </w:r>
            <w:r w:rsidR="001C1AAC">
              <w:t>(</w:t>
            </w:r>
            <w:r w:rsidR="001C1AAC">
              <w:rPr>
                <w:i/>
                <w:iCs/>
              </w:rPr>
              <w:t>140</w:t>
            </w:r>
            <w:r w:rsidR="001C1AAC">
              <w:t>)</w:t>
            </w:r>
            <w:r>
              <w:rPr>
                <w:rFonts w:asciiTheme="minorHAnsi" w:hAnsiTheme="minorHAnsi" w:cstheme="minorHAnsi"/>
              </w:rPr>
              <w:fldChar w:fldCharType="end"/>
            </w:r>
          </w:p>
        </w:tc>
      </w:tr>
      <w:tr w:rsidR="00A7753D" w:rsidRPr="00E148D7" w14:paraId="6E8C33E9" w14:textId="77777777" w:rsidTr="004470C5">
        <w:trPr>
          <w:trHeight w:val="320"/>
        </w:trPr>
        <w:tc>
          <w:tcPr>
            <w:tcW w:w="236" w:type="dxa"/>
            <w:shd w:val="clear" w:color="auto" w:fill="auto"/>
            <w:noWrap/>
            <w:vAlign w:val="bottom"/>
            <w:hideMark/>
          </w:tcPr>
          <w:p w14:paraId="7AB6EFB4" w14:textId="77777777" w:rsidR="00A7753D" w:rsidRPr="00E148D7" w:rsidRDefault="00A7753D" w:rsidP="00E148D7">
            <w:pPr>
              <w:pStyle w:val="Tables"/>
              <w:rPr>
                <w:rFonts w:asciiTheme="minorHAnsi" w:hAnsiTheme="minorHAnsi" w:cstheme="minorHAnsi"/>
              </w:rPr>
            </w:pPr>
            <w:r w:rsidRPr="00E148D7">
              <w:rPr>
                <w:rFonts w:asciiTheme="minorHAnsi" w:hAnsiTheme="minorHAnsi" w:cstheme="minorHAnsi"/>
              </w:rPr>
              <w:t>ARA</w:t>
            </w:r>
          </w:p>
        </w:tc>
        <w:tc>
          <w:tcPr>
            <w:tcW w:w="236" w:type="dxa"/>
            <w:shd w:val="clear" w:color="auto" w:fill="auto"/>
            <w:vAlign w:val="bottom"/>
            <w:hideMark/>
          </w:tcPr>
          <w:p w14:paraId="5716BAFC" w14:textId="77777777" w:rsidR="00A7753D" w:rsidRPr="00E148D7" w:rsidRDefault="00A7753D" w:rsidP="00E148D7">
            <w:pPr>
              <w:pStyle w:val="Tables"/>
              <w:rPr>
                <w:rFonts w:asciiTheme="minorHAnsi" w:hAnsiTheme="minorHAnsi" w:cstheme="minorHAnsi"/>
                <w:color w:val="111111"/>
              </w:rPr>
            </w:pPr>
            <w:r w:rsidRPr="00E148D7">
              <w:rPr>
                <w:rFonts w:asciiTheme="minorHAnsi" w:hAnsiTheme="minorHAnsi" w:cstheme="minorHAnsi"/>
                <w:color w:val="111111"/>
              </w:rPr>
              <w:t>Arabinose</w:t>
            </w:r>
          </w:p>
        </w:tc>
        <w:tc>
          <w:tcPr>
            <w:tcW w:w="236" w:type="dxa"/>
            <w:shd w:val="clear" w:color="auto" w:fill="auto"/>
            <w:noWrap/>
            <w:vAlign w:val="bottom"/>
            <w:hideMark/>
          </w:tcPr>
          <w:p w14:paraId="1E103349" w14:textId="2F6C0F32" w:rsidR="00A7753D" w:rsidRPr="00E148D7" w:rsidRDefault="00A7753D" w:rsidP="00E148D7">
            <w:pPr>
              <w:pStyle w:val="Tables"/>
              <w:rPr>
                <w:rFonts w:asciiTheme="minorHAnsi" w:hAnsiTheme="minorHAnsi" w:cstheme="minorHAnsi"/>
              </w:rPr>
            </w:pPr>
            <w:r>
              <w:rPr>
                <w:rFonts w:asciiTheme="minorHAnsi" w:hAnsiTheme="minorHAnsi" w:cstheme="minorHAnsi"/>
              </w:rPr>
              <w:fldChar w:fldCharType="begin"/>
            </w:r>
            <w:r w:rsidR="00807999">
              <w:rPr>
                <w:rFonts w:asciiTheme="minorHAnsi" w:hAnsiTheme="minorHAnsi" w:cstheme="minorHAnsi"/>
              </w:rPr>
              <w:instrText xml:space="preserve"> ADDIN PAPERS2_CITATIONS &lt;citation&gt;&lt;uuid&gt;80848810-69EA-452F-9C30-D453576822DA&lt;/uuid&gt;&lt;priority&gt;0&lt;/priority&gt;&lt;publications&gt;&lt;publication&gt;&lt;uuid&gt;93C97861-B53D-446A-8CC8-C2BD026AD337&lt;/uuid&gt;&lt;volume&gt;4&lt;/volume&gt;&lt;doi&gt;10.1007/s12155-010-9104-4&lt;/doi&gt;&lt;startpage&gt;96&lt;/startpage&gt;&lt;publication_date&gt;99201008211200000000222000&lt;/publication_date&gt;&lt;url&gt;http://link.springer.com/10.1007/s12155-010-9104-4&lt;/url&gt;&lt;citekey&gt;Vogel:2011bw&lt;/citekey&gt;&lt;type&gt;400&lt;/type&gt;&lt;title&gt;Quantifying Actual and Theoretical Ethanol Yields for Switchgrass Strains Using NIRS Analyses&lt;/title&gt;&lt;number&gt;2&lt;/number&gt;&lt;subtype&gt;400&lt;/subtype&gt;&lt;endpage&gt;110&lt;/endpage&gt;&lt;bundle&gt;&lt;publication&gt;&lt;publisher&gt;Springer US&lt;/publisher&gt;&lt;title&gt;BioEnergy Research&lt;/title&gt;&lt;type&gt;-100&lt;/type&gt;&lt;subtype&gt;-100&lt;/subtype&gt;&lt;uuid&gt;10F75356-9E4C-4774-98A2-0C658827ED32&lt;/uuid&gt;&lt;/publication&gt;&lt;/bundle&gt;&lt;authors&gt;&lt;author&gt;&lt;firstName&gt;Kenneth&lt;/firstName&gt;&lt;middleNames&gt;P&lt;/middleNames&gt;&lt;lastName&gt;Vogel&lt;/lastName&gt;&lt;/author&gt;&lt;author&gt;&lt;firstName&gt;Bruce&lt;/firstName&gt;&lt;middleNames&gt;S&lt;/middleNames&gt;&lt;lastName&gt;Dien&lt;/lastName&gt;&lt;/author&gt;&lt;author&gt;&lt;firstName&gt;Hans&lt;/firstName&gt;&lt;middleNames&gt;G&lt;/middleNames&gt;&lt;lastName&gt;Jung&lt;/lastName&gt;&lt;/author&gt;&lt;author&gt;&lt;firstName&gt;Michael&lt;/firstName&gt;&lt;middleNames&gt;D&lt;/middleNames&gt;&lt;lastName&gt;Casler&lt;/lastName&gt;&lt;/author&gt;&lt;author&gt;&lt;firstName&gt;Steven&lt;/firstName&gt;&lt;middleNames&gt;D&lt;/middleNames&gt;&lt;lastName&gt;Masterson&lt;/lastName&gt;&lt;/author&gt;&lt;author&gt;&lt;firstName&gt;Robert&lt;/firstName&gt;&lt;middleNames&gt;B&lt;/middleNames&gt;&lt;lastName&gt;Mitchell&lt;/lastName&gt;&lt;/author&gt;&lt;/authors&gt;&lt;/publication&gt;&lt;/publications&gt;&lt;cites&gt;&lt;/cites&gt;&lt;/citation&gt;</w:instrText>
            </w:r>
            <w:r>
              <w:rPr>
                <w:rFonts w:asciiTheme="minorHAnsi" w:hAnsiTheme="minorHAnsi" w:cstheme="minorHAnsi"/>
              </w:rPr>
              <w:fldChar w:fldCharType="separate"/>
            </w:r>
            <w:r w:rsidR="001C1AAC">
              <w:t>(</w:t>
            </w:r>
            <w:r w:rsidR="001C1AAC">
              <w:rPr>
                <w:i/>
                <w:iCs/>
              </w:rPr>
              <w:t>140</w:t>
            </w:r>
            <w:r w:rsidR="001C1AAC">
              <w:t>)</w:t>
            </w:r>
            <w:r>
              <w:rPr>
                <w:rFonts w:asciiTheme="minorHAnsi" w:hAnsiTheme="minorHAnsi" w:cstheme="minorHAnsi"/>
              </w:rPr>
              <w:fldChar w:fldCharType="end"/>
            </w:r>
          </w:p>
        </w:tc>
      </w:tr>
      <w:tr w:rsidR="00A7753D" w:rsidRPr="00E148D7" w14:paraId="107A88B0" w14:textId="77777777" w:rsidTr="004470C5">
        <w:trPr>
          <w:trHeight w:val="320"/>
        </w:trPr>
        <w:tc>
          <w:tcPr>
            <w:tcW w:w="236" w:type="dxa"/>
            <w:shd w:val="clear" w:color="auto" w:fill="auto"/>
            <w:noWrap/>
            <w:vAlign w:val="bottom"/>
            <w:hideMark/>
          </w:tcPr>
          <w:p w14:paraId="13B05AEC" w14:textId="77777777" w:rsidR="00A7753D" w:rsidRPr="00E148D7" w:rsidRDefault="00A7753D" w:rsidP="00E148D7">
            <w:pPr>
              <w:pStyle w:val="Tables"/>
              <w:rPr>
                <w:rFonts w:asciiTheme="minorHAnsi" w:hAnsiTheme="minorHAnsi" w:cstheme="minorHAnsi"/>
              </w:rPr>
            </w:pPr>
            <w:r w:rsidRPr="00E148D7">
              <w:rPr>
                <w:rFonts w:asciiTheme="minorHAnsi" w:hAnsiTheme="minorHAnsi" w:cstheme="minorHAnsi"/>
              </w:rPr>
              <w:t>ASH</w:t>
            </w:r>
          </w:p>
        </w:tc>
        <w:tc>
          <w:tcPr>
            <w:tcW w:w="236" w:type="dxa"/>
            <w:shd w:val="clear" w:color="auto" w:fill="auto"/>
            <w:vAlign w:val="bottom"/>
            <w:hideMark/>
          </w:tcPr>
          <w:p w14:paraId="6F9CCB26" w14:textId="77777777" w:rsidR="00A7753D" w:rsidRPr="00E148D7" w:rsidRDefault="00A7753D" w:rsidP="00E148D7">
            <w:pPr>
              <w:pStyle w:val="Tables"/>
              <w:rPr>
                <w:rFonts w:asciiTheme="minorHAnsi" w:hAnsiTheme="minorHAnsi" w:cstheme="minorHAnsi"/>
                <w:color w:val="111111"/>
              </w:rPr>
            </w:pPr>
            <w:r w:rsidRPr="00E148D7">
              <w:rPr>
                <w:rFonts w:asciiTheme="minorHAnsi" w:hAnsiTheme="minorHAnsi" w:cstheme="minorHAnsi"/>
                <w:color w:val="111111"/>
              </w:rPr>
              <w:t xml:space="preserve">Minerals (total ash) </w:t>
            </w:r>
          </w:p>
        </w:tc>
        <w:tc>
          <w:tcPr>
            <w:tcW w:w="236" w:type="dxa"/>
            <w:shd w:val="clear" w:color="auto" w:fill="auto"/>
            <w:noWrap/>
            <w:vAlign w:val="bottom"/>
            <w:hideMark/>
          </w:tcPr>
          <w:p w14:paraId="6D2A7294" w14:textId="7BEBB048" w:rsidR="00A7753D" w:rsidRPr="00E148D7" w:rsidRDefault="00A7753D" w:rsidP="00E148D7">
            <w:pPr>
              <w:pStyle w:val="Tables"/>
              <w:rPr>
                <w:rFonts w:asciiTheme="minorHAnsi" w:hAnsiTheme="minorHAnsi" w:cstheme="minorHAnsi"/>
              </w:rPr>
            </w:pPr>
            <w:r>
              <w:rPr>
                <w:rFonts w:asciiTheme="minorHAnsi" w:hAnsiTheme="minorHAnsi" w:cstheme="minorHAnsi"/>
              </w:rPr>
              <w:fldChar w:fldCharType="begin"/>
            </w:r>
            <w:r w:rsidR="00807999">
              <w:rPr>
                <w:rFonts w:asciiTheme="minorHAnsi" w:hAnsiTheme="minorHAnsi" w:cstheme="minorHAnsi"/>
              </w:rPr>
              <w:instrText xml:space="preserve"> ADDIN PAPERS2_CITATIONS &lt;citation&gt;&lt;uuid&gt;F509095A-09E5-4D4D-8E01-23C75459F424&lt;/uuid&gt;&lt;priority&gt;0&lt;/priority&gt;&lt;publications&gt;&lt;publication&gt;&lt;uuid&gt;93C97861-B53D-446A-8CC8-C2BD026AD337&lt;/uuid&gt;&lt;volume&gt;4&lt;/volume&gt;&lt;doi&gt;10.1007/s12155-010-9104-4&lt;/doi&gt;&lt;startpage&gt;96&lt;/startpage&gt;&lt;publication_date&gt;99201008211200000000222000&lt;/publication_date&gt;&lt;url&gt;http://link.springer.com/10.1007/s12155-010-9104-4&lt;/url&gt;&lt;citekey&gt;Vogel:2011bw&lt;/citekey&gt;&lt;type&gt;400&lt;/type&gt;&lt;title&gt;Quantifying Actual and Theoretical Ethanol Yields for Switchgrass Strains Using NIRS Analyses&lt;/title&gt;&lt;number&gt;2&lt;/number&gt;&lt;subtype&gt;400&lt;/subtype&gt;&lt;endpage&gt;110&lt;/endpage&gt;&lt;bundle&gt;&lt;publication&gt;&lt;publisher&gt;Springer US&lt;/publisher&gt;&lt;title&gt;BioEnergy Research&lt;/title&gt;&lt;type&gt;-100&lt;/type&gt;&lt;subtype&gt;-100&lt;/subtype&gt;&lt;uuid&gt;10F75356-9E4C-4774-98A2-0C658827ED32&lt;/uuid&gt;&lt;/publication&gt;&lt;/bundle&gt;&lt;authors&gt;&lt;author&gt;&lt;firstName&gt;Kenneth&lt;/firstName&gt;&lt;middleNames&gt;P&lt;/middleNames&gt;&lt;lastName&gt;Vogel&lt;/lastName&gt;&lt;/author&gt;&lt;author&gt;&lt;firstName&gt;Bruce&lt;/firstName&gt;&lt;middleNames&gt;S&lt;/middleNames&gt;&lt;lastName&gt;Dien&lt;/lastName&gt;&lt;/author&gt;&lt;author&gt;&lt;firstName&gt;Hans&lt;/firstName&gt;&lt;middleNames&gt;G&lt;/middleNames&gt;&lt;lastName&gt;Jung&lt;/lastName&gt;&lt;/author&gt;&lt;author&gt;&lt;firstName&gt;Michael&lt;/firstName&gt;&lt;middleNames&gt;D&lt;/middleNames&gt;&lt;lastName&gt;Casler&lt;/lastName&gt;&lt;/author&gt;&lt;author&gt;&lt;firstName&gt;Steven&lt;/firstName&gt;&lt;middleNames&gt;D&lt;/middleNames&gt;&lt;lastName&gt;Masterson&lt;/lastName&gt;&lt;/author&gt;&lt;author&gt;&lt;firstName&gt;Robert&lt;/firstName&gt;&lt;middleNames&gt;B&lt;/middleNames&gt;&lt;lastName&gt;Mitchell&lt;/lastName&gt;&lt;/author&gt;&lt;/authors&gt;&lt;/publication&gt;&lt;/publications&gt;&lt;cites&gt;&lt;/cites&gt;&lt;/citation&gt;</w:instrText>
            </w:r>
            <w:r>
              <w:rPr>
                <w:rFonts w:asciiTheme="minorHAnsi" w:hAnsiTheme="minorHAnsi" w:cstheme="minorHAnsi"/>
              </w:rPr>
              <w:fldChar w:fldCharType="separate"/>
            </w:r>
            <w:r w:rsidR="001C1AAC">
              <w:t>(</w:t>
            </w:r>
            <w:r w:rsidR="001C1AAC">
              <w:rPr>
                <w:i/>
                <w:iCs/>
              </w:rPr>
              <w:t>140</w:t>
            </w:r>
            <w:r w:rsidR="001C1AAC">
              <w:t>)</w:t>
            </w:r>
            <w:r>
              <w:rPr>
                <w:rFonts w:asciiTheme="minorHAnsi" w:hAnsiTheme="minorHAnsi" w:cstheme="minorHAnsi"/>
              </w:rPr>
              <w:fldChar w:fldCharType="end"/>
            </w:r>
          </w:p>
        </w:tc>
      </w:tr>
      <w:tr w:rsidR="00E148D7" w:rsidRPr="00E148D7" w14:paraId="5DAFD918" w14:textId="77777777" w:rsidTr="004470C5">
        <w:trPr>
          <w:trHeight w:val="320"/>
        </w:trPr>
        <w:tc>
          <w:tcPr>
            <w:tcW w:w="236" w:type="dxa"/>
            <w:shd w:val="clear" w:color="auto" w:fill="auto"/>
            <w:noWrap/>
            <w:vAlign w:val="bottom"/>
            <w:hideMark/>
          </w:tcPr>
          <w:p w14:paraId="47DA7139" w14:textId="77777777" w:rsidR="00C4470F" w:rsidRPr="00E148D7" w:rsidRDefault="00C4470F" w:rsidP="00E148D7">
            <w:pPr>
              <w:pStyle w:val="Tables"/>
              <w:rPr>
                <w:rFonts w:asciiTheme="minorHAnsi" w:hAnsiTheme="minorHAnsi" w:cstheme="minorHAnsi"/>
              </w:rPr>
            </w:pPr>
            <w:r w:rsidRPr="00E148D7">
              <w:rPr>
                <w:rFonts w:asciiTheme="minorHAnsi" w:hAnsiTheme="minorHAnsi" w:cstheme="minorHAnsi"/>
              </w:rPr>
              <w:t>Ash.forage</w:t>
            </w:r>
          </w:p>
        </w:tc>
        <w:tc>
          <w:tcPr>
            <w:tcW w:w="236" w:type="dxa"/>
            <w:shd w:val="clear" w:color="auto" w:fill="auto"/>
            <w:vAlign w:val="bottom"/>
            <w:hideMark/>
          </w:tcPr>
          <w:p w14:paraId="223674C5" w14:textId="77777777" w:rsidR="00C4470F" w:rsidRPr="00E148D7" w:rsidRDefault="00C4470F" w:rsidP="00E148D7">
            <w:pPr>
              <w:pStyle w:val="Tables"/>
              <w:rPr>
                <w:rFonts w:asciiTheme="minorHAnsi" w:hAnsiTheme="minorHAnsi" w:cstheme="minorHAnsi"/>
                <w:color w:val="111111"/>
              </w:rPr>
            </w:pPr>
            <w:r w:rsidRPr="00E148D7">
              <w:rPr>
                <w:rFonts w:asciiTheme="minorHAnsi" w:hAnsiTheme="minorHAnsi" w:cstheme="minorHAnsi"/>
                <w:color w:val="111111"/>
              </w:rPr>
              <w:t>Minerals (total ash) (forage equation)</w:t>
            </w:r>
          </w:p>
        </w:tc>
        <w:tc>
          <w:tcPr>
            <w:tcW w:w="236" w:type="dxa"/>
            <w:shd w:val="clear" w:color="auto" w:fill="auto"/>
            <w:noWrap/>
            <w:vAlign w:val="bottom"/>
            <w:hideMark/>
          </w:tcPr>
          <w:p w14:paraId="1E2A73F9" w14:textId="4738C8FA" w:rsidR="00C4470F" w:rsidRPr="00E148D7" w:rsidRDefault="00A7753D" w:rsidP="00E148D7">
            <w:pPr>
              <w:pStyle w:val="Tables"/>
              <w:rPr>
                <w:rFonts w:asciiTheme="minorHAnsi" w:hAnsiTheme="minorHAnsi" w:cstheme="minorHAnsi"/>
              </w:rPr>
            </w:pPr>
            <w:r>
              <w:rPr>
                <w:rFonts w:asciiTheme="minorHAnsi" w:hAnsiTheme="minorHAnsi" w:cstheme="minorHAnsi"/>
              </w:rPr>
              <w:fldChar w:fldCharType="begin"/>
            </w:r>
            <w:r w:rsidR="00807999">
              <w:rPr>
                <w:rFonts w:asciiTheme="minorHAnsi" w:hAnsiTheme="minorHAnsi" w:cstheme="minorHAnsi"/>
              </w:rPr>
              <w:instrText xml:space="preserve"> ADDIN PAPERS2_CITATIONS &lt;citation&gt;&lt;uuid&gt;CFE96D02-CE4E-4966-8A15-8E951FEC0161&lt;/uuid&gt;&lt;priority&gt;0&lt;/priority&gt;&lt;publications&gt;&lt;publication&gt;&lt;volume&gt;339&lt;/volume&gt;&lt;publication_date&gt;99201004151200000000222000&lt;/publication_date&gt;&lt;number&gt;1-2&lt;/number&gt;&lt;doi&gt;10.1007/s11104-010-0376-4&lt;/doi&gt;&lt;startpage&gt;69&lt;/startpage&gt;&lt;title&gt;Switchgrass for forage and bioenergy: harvest and nitrogen rate effects on biomass yields and nutrient composition&lt;/title&gt;&lt;uuid&gt;D1F74A81-1B28-432B-854D-4742B2C12C0C&lt;/uuid&gt;&lt;subtype&gt;400&lt;/subtype&gt;&lt;endpage&gt;81&lt;/endpage&gt;&lt;type&gt;400&lt;/type&gt;&lt;url&gt;http://link.springer.com/10.1007/s11104-010-0376-4&lt;/url&gt;&lt;bundle&gt;&lt;publication&gt;&lt;title&gt;Plant and Soil&lt;/title&gt;&lt;type&gt;-100&lt;/type&gt;&lt;subtype&gt;-100&lt;/subtype&gt;&lt;uuid&gt;4D2157D4-F2F2-4179-B289-12F735F40749&lt;/uuid&gt;&lt;/publication&gt;&lt;/bundle&gt;&lt;authors&gt;&lt;author&gt;&lt;firstName&gt;John&lt;/firstName&gt;&lt;middleNames&gt;A&lt;/middleNames&gt;&lt;lastName&gt;Guretzky&lt;/lastName&gt;&lt;/author&gt;&lt;author&gt;&lt;firstName&gt;Jon&lt;/firstName&gt;&lt;middleNames&gt;T&lt;/middleNames&gt;&lt;lastName&gt;Biermacher&lt;/lastName&gt;&lt;/author&gt;&lt;author&gt;&lt;firstName&gt;Billy&lt;/firstName&gt;&lt;middleNames&gt;J&lt;/middleNames&gt;&lt;lastName&gt;Cook&lt;/lastName&gt;&lt;/author&gt;&lt;author&gt;&lt;firstName&gt;Maru&lt;/firstName&gt;&lt;middleNames&gt;K&lt;/middleNames&gt;&lt;lastName&gt;Kering&lt;/lastName&gt;&lt;/author&gt;&lt;author&gt;&lt;firstName&gt;Jagadeesh&lt;/firstName&gt;&lt;lastName&gt;Mosali&lt;/lastName&gt;&lt;/author&gt;&lt;/authors&gt;&lt;/publication&gt;&lt;/publications&gt;&lt;cites&gt;&lt;/cites&gt;&lt;/citation&gt;</w:instrText>
            </w:r>
            <w:r>
              <w:rPr>
                <w:rFonts w:asciiTheme="minorHAnsi" w:hAnsiTheme="minorHAnsi" w:cstheme="minorHAnsi"/>
              </w:rPr>
              <w:fldChar w:fldCharType="separate"/>
            </w:r>
            <w:r w:rsidR="001C1AAC">
              <w:t>(</w:t>
            </w:r>
            <w:r w:rsidR="001C1AAC">
              <w:rPr>
                <w:i/>
                <w:iCs/>
              </w:rPr>
              <w:t>141</w:t>
            </w:r>
            <w:r w:rsidR="001C1AAC">
              <w:t>)</w:t>
            </w:r>
            <w:r>
              <w:rPr>
                <w:rFonts w:asciiTheme="minorHAnsi" w:hAnsiTheme="minorHAnsi" w:cstheme="minorHAnsi"/>
              </w:rPr>
              <w:fldChar w:fldCharType="end"/>
            </w:r>
          </w:p>
        </w:tc>
      </w:tr>
      <w:tr w:rsidR="00A7753D" w:rsidRPr="00E148D7" w14:paraId="799E258E" w14:textId="77777777" w:rsidTr="004470C5">
        <w:trPr>
          <w:trHeight w:val="320"/>
        </w:trPr>
        <w:tc>
          <w:tcPr>
            <w:tcW w:w="236" w:type="dxa"/>
            <w:shd w:val="clear" w:color="auto" w:fill="auto"/>
            <w:noWrap/>
            <w:vAlign w:val="bottom"/>
            <w:hideMark/>
          </w:tcPr>
          <w:p w14:paraId="3E284C0E" w14:textId="77777777" w:rsidR="00A7753D" w:rsidRPr="00E148D7" w:rsidRDefault="00A7753D" w:rsidP="00E148D7">
            <w:pPr>
              <w:pStyle w:val="Tables"/>
              <w:rPr>
                <w:rFonts w:asciiTheme="minorHAnsi" w:hAnsiTheme="minorHAnsi" w:cstheme="minorHAnsi"/>
              </w:rPr>
            </w:pPr>
            <w:r w:rsidRPr="00E148D7">
              <w:rPr>
                <w:rFonts w:asciiTheme="minorHAnsi" w:hAnsiTheme="minorHAnsi" w:cstheme="minorHAnsi"/>
              </w:rPr>
              <w:t>AX</w:t>
            </w:r>
          </w:p>
        </w:tc>
        <w:tc>
          <w:tcPr>
            <w:tcW w:w="236" w:type="dxa"/>
            <w:shd w:val="clear" w:color="auto" w:fill="auto"/>
            <w:vAlign w:val="bottom"/>
            <w:hideMark/>
          </w:tcPr>
          <w:p w14:paraId="2AFA82DD" w14:textId="77777777" w:rsidR="00A7753D" w:rsidRPr="00E148D7" w:rsidRDefault="00A7753D" w:rsidP="00E148D7">
            <w:pPr>
              <w:pStyle w:val="Tables"/>
              <w:rPr>
                <w:rFonts w:asciiTheme="minorHAnsi" w:hAnsiTheme="minorHAnsi" w:cstheme="minorHAnsi"/>
                <w:color w:val="111111"/>
              </w:rPr>
            </w:pPr>
            <w:r w:rsidRPr="00E148D7">
              <w:rPr>
                <w:rFonts w:asciiTheme="minorHAnsi" w:hAnsiTheme="minorHAnsi" w:cstheme="minorHAnsi"/>
                <w:color w:val="111111"/>
              </w:rPr>
              <w:t>ARA + XYL</w:t>
            </w:r>
          </w:p>
        </w:tc>
        <w:tc>
          <w:tcPr>
            <w:tcW w:w="236" w:type="dxa"/>
            <w:shd w:val="clear" w:color="auto" w:fill="auto"/>
            <w:noWrap/>
            <w:vAlign w:val="bottom"/>
            <w:hideMark/>
          </w:tcPr>
          <w:p w14:paraId="677B2097" w14:textId="657CF575" w:rsidR="00A7753D" w:rsidRPr="00E148D7" w:rsidRDefault="00A7753D" w:rsidP="00E148D7">
            <w:pPr>
              <w:pStyle w:val="Tables"/>
              <w:rPr>
                <w:rFonts w:asciiTheme="minorHAnsi" w:hAnsiTheme="minorHAnsi" w:cstheme="minorHAnsi"/>
              </w:rPr>
            </w:pPr>
            <w:r>
              <w:rPr>
                <w:rFonts w:asciiTheme="minorHAnsi" w:hAnsiTheme="minorHAnsi" w:cstheme="minorHAnsi"/>
              </w:rPr>
              <w:fldChar w:fldCharType="begin"/>
            </w:r>
            <w:r w:rsidR="00807999">
              <w:rPr>
                <w:rFonts w:asciiTheme="minorHAnsi" w:hAnsiTheme="minorHAnsi" w:cstheme="minorHAnsi"/>
              </w:rPr>
              <w:instrText xml:space="preserve"> ADDIN PAPERS2_CITATIONS &lt;citation&gt;&lt;uuid&gt;003AFB52-11FD-42F7-A374-C44D27744B32&lt;/uuid&gt;&lt;priority&gt;0&lt;/priority&gt;&lt;publications&gt;&lt;publication&gt;&lt;uuid&gt;93C97861-B53D-446A-8CC8-C2BD026AD337&lt;/uuid&gt;&lt;volume&gt;4&lt;/volume&gt;&lt;doi&gt;10.1007/s12155-010-9104-4&lt;/doi&gt;&lt;startpage&gt;96&lt;/startpage&gt;&lt;publication_date&gt;99201008211200000000222000&lt;/publication_date&gt;&lt;url&gt;http://link.springer.com/10.1007/s12155-010-9104-4&lt;/url&gt;&lt;citekey&gt;Vogel:2011bw&lt;/citekey&gt;&lt;type&gt;400&lt;/type&gt;&lt;title&gt;Quantifying Actual and Theoretical Ethanol Yields for Switchgrass Strains Using NIRS Analyses&lt;/title&gt;&lt;number&gt;2&lt;/number&gt;&lt;subtype&gt;400&lt;/subtype&gt;&lt;endpage&gt;110&lt;/endpage&gt;&lt;bundle&gt;&lt;publication&gt;&lt;publisher&gt;Springer US&lt;/publisher&gt;&lt;title&gt;BioEnergy Research&lt;/title&gt;&lt;type&gt;-100&lt;/type&gt;&lt;subtype&gt;-100&lt;/subtype&gt;&lt;uuid&gt;10F75356-9E4C-4774-98A2-0C658827ED32&lt;/uuid&gt;&lt;/publication&gt;&lt;/bundle&gt;&lt;authors&gt;&lt;author&gt;&lt;firstName&gt;Kenneth&lt;/firstName&gt;&lt;middleNames&gt;P&lt;/middleNames&gt;&lt;lastName&gt;Vogel&lt;/lastName&gt;&lt;/author&gt;&lt;author&gt;&lt;firstName&gt;Bruce&lt;/firstName&gt;&lt;middleNames&gt;S&lt;/middleNames&gt;&lt;lastName&gt;Dien&lt;/lastName&gt;&lt;/author&gt;&lt;author&gt;&lt;firstName&gt;Hans&lt;/firstName&gt;&lt;middleNames&gt;G&lt;/middleNames&gt;&lt;lastName&gt;Jung&lt;/lastName&gt;&lt;/author&gt;&lt;author&gt;&lt;firstName&gt;Michael&lt;/firstName&gt;&lt;middleNames&gt;D&lt;/middleNames&gt;&lt;lastName&gt;Casler&lt;/lastName&gt;&lt;/author&gt;&lt;author&gt;&lt;firstName&gt;Steven&lt;/firstName&gt;&lt;middleNames&gt;D&lt;/middleNames&gt;&lt;lastName&gt;Masterson&lt;/lastName&gt;&lt;/author&gt;&lt;author&gt;&lt;firstName&gt;Robert&lt;/firstName&gt;&lt;middleNames&gt;B&lt;/middleNames&gt;&lt;lastName&gt;Mitchell&lt;/lastName&gt;&lt;/author&gt;&lt;/authors&gt;&lt;/publication&gt;&lt;/publications&gt;&lt;cites&gt;&lt;/cites&gt;&lt;/citation&gt;</w:instrText>
            </w:r>
            <w:r>
              <w:rPr>
                <w:rFonts w:asciiTheme="minorHAnsi" w:hAnsiTheme="minorHAnsi" w:cstheme="minorHAnsi"/>
              </w:rPr>
              <w:fldChar w:fldCharType="separate"/>
            </w:r>
            <w:r w:rsidR="001C1AAC">
              <w:t>(</w:t>
            </w:r>
            <w:r w:rsidR="001C1AAC">
              <w:rPr>
                <w:i/>
                <w:iCs/>
              </w:rPr>
              <w:t>140</w:t>
            </w:r>
            <w:r w:rsidR="001C1AAC">
              <w:t>)</w:t>
            </w:r>
            <w:r>
              <w:rPr>
                <w:rFonts w:asciiTheme="minorHAnsi" w:hAnsiTheme="minorHAnsi" w:cstheme="minorHAnsi"/>
              </w:rPr>
              <w:fldChar w:fldCharType="end"/>
            </w:r>
          </w:p>
        </w:tc>
      </w:tr>
      <w:tr w:rsidR="00A7753D" w:rsidRPr="00E148D7" w14:paraId="15C61E6B" w14:textId="77777777" w:rsidTr="004470C5">
        <w:trPr>
          <w:trHeight w:val="320"/>
        </w:trPr>
        <w:tc>
          <w:tcPr>
            <w:tcW w:w="236" w:type="dxa"/>
            <w:shd w:val="clear" w:color="auto" w:fill="auto"/>
            <w:noWrap/>
            <w:vAlign w:val="bottom"/>
            <w:hideMark/>
          </w:tcPr>
          <w:p w14:paraId="4313BD95" w14:textId="77777777" w:rsidR="00A7753D" w:rsidRPr="00E148D7" w:rsidRDefault="00A7753D" w:rsidP="00E148D7">
            <w:pPr>
              <w:pStyle w:val="Tables"/>
              <w:rPr>
                <w:rFonts w:asciiTheme="minorHAnsi" w:hAnsiTheme="minorHAnsi" w:cstheme="minorHAnsi"/>
              </w:rPr>
            </w:pPr>
            <w:r w:rsidRPr="00E148D7">
              <w:rPr>
                <w:rFonts w:asciiTheme="minorHAnsi" w:hAnsiTheme="minorHAnsi" w:cstheme="minorHAnsi"/>
              </w:rPr>
              <w:t>AXMG</w:t>
            </w:r>
          </w:p>
        </w:tc>
        <w:tc>
          <w:tcPr>
            <w:tcW w:w="236" w:type="dxa"/>
            <w:shd w:val="clear" w:color="auto" w:fill="auto"/>
            <w:vAlign w:val="bottom"/>
            <w:hideMark/>
          </w:tcPr>
          <w:p w14:paraId="675CE6DA" w14:textId="77777777" w:rsidR="00A7753D" w:rsidRPr="00E148D7" w:rsidRDefault="00A7753D" w:rsidP="00E148D7">
            <w:pPr>
              <w:pStyle w:val="Tables"/>
              <w:rPr>
                <w:rFonts w:asciiTheme="minorHAnsi" w:hAnsiTheme="minorHAnsi" w:cstheme="minorHAnsi"/>
                <w:color w:val="111111"/>
              </w:rPr>
            </w:pPr>
            <w:r w:rsidRPr="00E148D7">
              <w:rPr>
                <w:rFonts w:asciiTheme="minorHAnsi" w:hAnsiTheme="minorHAnsi" w:cstheme="minorHAnsi"/>
                <w:color w:val="111111"/>
              </w:rPr>
              <w:t xml:space="preserve">ARA+XYL+Man+GAL </w:t>
            </w:r>
          </w:p>
        </w:tc>
        <w:tc>
          <w:tcPr>
            <w:tcW w:w="236" w:type="dxa"/>
            <w:shd w:val="clear" w:color="auto" w:fill="auto"/>
            <w:noWrap/>
            <w:vAlign w:val="bottom"/>
            <w:hideMark/>
          </w:tcPr>
          <w:p w14:paraId="72111E59" w14:textId="579EC608" w:rsidR="00A7753D" w:rsidRPr="00E148D7" w:rsidRDefault="00A7753D" w:rsidP="00E148D7">
            <w:pPr>
              <w:pStyle w:val="Tables"/>
              <w:rPr>
                <w:rFonts w:asciiTheme="minorHAnsi" w:hAnsiTheme="minorHAnsi" w:cstheme="minorHAnsi"/>
              </w:rPr>
            </w:pPr>
            <w:r>
              <w:rPr>
                <w:rFonts w:asciiTheme="minorHAnsi" w:hAnsiTheme="minorHAnsi" w:cstheme="minorHAnsi"/>
              </w:rPr>
              <w:fldChar w:fldCharType="begin"/>
            </w:r>
            <w:r w:rsidR="00807999">
              <w:rPr>
                <w:rFonts w:asciiTheme="minorHAnsi" w:hAnsiTheme="minorHAnsi" w:cstheme="minorHAnsi"/>
              </w:rPr>
              <w:instrText xml:space="preserve"> ADDIN PAPERS2_CITATIONS &lt;citation&gt;&lt;uuid&gt;AE760A1B-31A6-4D7D-9325-25E4CB8989B2&lt;/uuid&gt;&lt;priority&gt;0&lt;/priority&gt;&lt;publications&gt;&lt;publication&gt;&lt;uuid&gt;93C97861-B53D-446A-8CC8-C2BD026AD337&lt;/uuid&gt;&lt;volume&gt;4&lt;/volume&gt;&lt;doi&gt;10.1007/s12155-010-9104-4&lt;/doi&gt;&lt;startpage&gt;96&lt;/startpage&gt;&lt;publication_date&gt;99201008211200000000222000&lt;/publication_date&gt;&lt;url&gt;http://link.springer.com/10.1007/s12155-010-9104-4&lt;/url&gt;&lt;citekey&gt;Vogel:2011bw&lt;/citekey&gt;&lt;type&gt;400&lt;/type&gt;&lt;title&gt;Quantifying Actual and Theoretical Ethanol Yields for Switchgrass Strains Using NIRS Analyses&lt;/title&gt;&lt;number&gt;2&lt;/number&gt;&lt;subtype&gt;400&lt;/subtype&gt;&lt;endpage&gt;110&lt;/endpage&gt;&lt;bundle&gt;&lt;publication&gt;&lt;publisher&gt;Springer US&lt;/publisher&gt;&lt;title&gt;BioEnergy Research&lt;/title&gt;&lt;type&gt;-100&lt;/type&gt;&lt;subtype&gt;-100&lt;/subtype&gt;&lt;uuid&gt;10F75356-9E4C-4774-98A2-0C658827ED32&lt;/uuid&gt;&lt;/publication&gt;&lt;/bundle&gt;&lt;authors&gt;&lt;author&gt;&lt;firstName&gt;Kenneth&lt;/firstName&gt;&lt;middleNames&gt;P&lt;/middleNames&gt;&lt;lastName&gt;Vogel&lt;/lastName&gt;&lt;/author&gt;&lt;author&gt;&lt;firstName&gt;Bruce&lt;/firstName&gt;&lt;middleNames&gt;S&lt;/middleNames&gt;&lt;lastName&gt;Dien&lt;/lastName&gt;&lt;/author&gt;&lt;author&gt;&lt;firstName&gt;Hans&lt;/firstName&gt;&lt;middleNames&gt;G&lt;/middleNames&gt;&lt;lastName&gt;Jung&lt;/lastName&gt;&lt;/author&gt;&lt;author&gt;&lt;firstName&gt;Michael&lt;/firstName&gt;&lt;middleNames&gt;D&lt;/middleNames&gt;&lt;lastName&gt;Casler&lt;/lastName&gt;&lt;/author&gt;&lt;author&gt;&lt;firstName&gt;Steven&lt;/firstName&gt;&lt;middleNames&gt;D&lt;/middleNames&gt;&lt;lastName&gt;Masterson&lt;/lastName&gt;&lt;/author&gt;&lt;author&gt;&lt;firstName&gt;Robert&lt;/firstName&gt;&lt;middleNames&gt;B&lt;/middleNames&gt;&lt;lastName&gt;Mitchell&lt;/lastName&gt;&lt;/author&gt;&lt;/authors&gt;&lt;/publication&gt;&lt;/publications&gt;&lt;cites&gt;&lt;/cites&gt;&lt;/citation&gt;</w:instrText>
            </w:r>
            <w:r>
              <w:rPr>
                <w:rFonts w:asciiTheme="minorHAnsi" w:hAnsiTheme="minorHAnsi" w:cstheme="minorHAnsi"/>
              </w:rPr>
              <w:fldChar w:fldCharType="separate"/>
            </w:r>
            <w:r w:rsidR="001C1AAC">
              <w:t>(</w:t>
            </w:r>
            <w:r w:rsidR="001C1AAC">
              <w:rPr>
                <w:i/>
                <w:iCs/>
              </w:rPr>
              <w:t>140</w:t>
            </w:r>
            <w:r w:rsidR="001C1AAC">
              <w:t>)</w:t>
            </w:r>
            <w:r>
              <w:rPr>
                <w:rFonts w:asciiTheme="minorHAnsi" w:hAnsiTheme="minorHAnsi" w:cstheme="minorHAnsi"/>
              </w:rPr>
              <w:fldChar w:fldCharType="end"/>
            </w:r>
          </w:p>
        </w:tc>
      </w:tr>
      <w:tr w:rsidR="00A7753D" w:rsidRPr="00E148D7" w14:paraId="71E0F77C" w14:textId="77777777" w:rsidTr="004470C5">
        <w:trPr>
          <w:trHeight w:val="320"/>
        </w:trPr>
        <w:tc>
          <w:tcPr>
            <w:tcW w:w="236" w:type="dxa"/>
            <w:shd w:val="clear" w:color="auto" w:fill="auto"/>
            <w:noWrap/>
            <w:vAlign w:val="bottom"/>
            <w:hideMark/>
          </w:tcPr>
          <w:p w14:paraId="6C899981" w14:textId="77777777" w:rsidR="00A7753D" w:rsidRPr="00E148D7" w:rsidRDefault="00A7753D" w:rsidP="00E148D7">
            <w:pPr>
              <w:pStyle w:val="Tables"/>
              <w:rPr>
                <w:rFonts w:asciiTheme="minorHAnsi" w:hAnsiTheme="minorHAnsi" w:cstheme="minorHAnsi"/>
              </w:rPr>
            </w:pPr>
            <w:r w:rsidRPr="00E148D7">
              <w:rPr>
                <w:rFonts w:asciiTheme="minorHAnsi" w:hAnsiTheme="minorHAnsi" w:cstheme="minorHAnsi"/>
              </w:rPr>
              <w:t>C</w:t>
            </w:r>
          </w:p>
        </w:tc>
        <w:tc>
          <w:tcPr>
            <w:tcW w:w="236" w:type="dxa"/>
            <w:shd w:val="clear" w:color="auto" w:fill="auto"/>
            <w:vAlign w:val="bottom"/>
            <w:hideMark/>
          </w:tcPr>
          <w:p w14:paraId="75D2D143" w14:textId="77777777" w:rsidR="00A7753D" w:rsidRPr="00E148D7" w:rsidRDefault="00A7753D" w:rsidP="00E148D7">
            <w:pPr>
              <w:pStyle w:val="Tables"/>
              <w:rPr>
                <w:rFonts w:asciiTheme="minorHAnsi" w:hAnsiTheme="minorHAnsi" w:cstheme="minorHAnsi"/>
                <w:color w:val="111111"/>
              </w:rPr>
            </w:pPr>
            <w:r w:rsidRPr="00E148D7">
              <w:rPr>
                <w:rFonts w:asciiTheme="minorHAnsi" w:hAnsiTheme="minorHAnsi" w:cstheme="minorHAnsi"/>
                <w:color w:val="111111"/>
              </w:rPr>
              <w:t>Carbon</w:t>
            </w:r>
          </w:p>
        </w:tc>
        <w:tc>
          <w:tcPr>
            <w:tcW w:w="236" w:type="dxa"/>
            <w:shd w:val="clear" w:color="auto" w:fill="auto"/>
            <w:noWrap/>
            <w:vAlign w:val="bottom"/>
            <w:hideMark/>
          </w:tcPr>
          <w:p w14:paraId="33B2EAA8" w14:textId="1E1B10DF" w:rsidR="00A7753D" w:rsidRPr="00E148D7" w:rsidRDefault="00A7753D" w:rsidP="00E148D7">
            <w:pPr>
              <w:pStyle w:val="Tables"/>
              <w:rPr>
                <w:rFonts w:asciiTheme="minorHAnsi" w:hAnsiTheme="minorHAnsi" w:cstheme="minorHAnsi"/>
              </w:rPr>
            </w:pPr>
            <w:r>
              <w:rPr>
                <w:rFonts w:asciiTheme="minorHAnsi" w:hAnsiTheme="minorHAnsi" w:cstheme="minorHAnsi"/>
              </w:rPr>
              <w:fldChar w:fldCharType="begin"/>
            </w:r>
            <w:r w:rsidR="00807999">
              <w:rPr>
                <w:rFonts w:asciiTheme="minorHAnsi" w:hAnsiTheme="minorHAnsi" w:cstheme="minorHAnsi"/>
              </w:rPr>
              <w:instrText xml:space="preserve"> ADDIN PAPERS2_CITATIONS &lt;citation&gt;&lt;uuid&gt;A5FA01FB-99A3-4975-AB99-2E7E934253CC&lt;/uuid&gt;&lt;priority&gt;0&lt;/priority&gt;&lt;publications&gt;&lt;publication&gt;&lt;uuid&gt;93C97861-B53D-446A-8CC8-C2BD026AD337&lt;/uuid&gt;&lt;volume&gt;4&lt;/volume&gt;&lt;doi&gt;10.1007/s12155-010-9104-4&lt;/doi&gt;&lt;startpage&gt;96&lt;/startpage&gt;&lt;publication_date&gt;99201008211200000000222000&lt;/publication_date&gt;&lt;url&gt;http://link.springer.com/10.1007/s12155-010-9104-4&lt;/url&gt;&lt;citekey&gt;Vogel:2011bw&lt;/citekey&gt;&lt;type&gt;400&lt;/type&gt;&lt;title&gt;Quantifying Actual and Theoretical Ethanol Yields for Switchgrass Strains Using NIRS Analyses&lt;/title&gt;&lt;number&gt;2&lt;/number&gt;&lt;subtype&gt;400&lt;/subtype&gt;&lt;endpage&gt;110&lt;/endpage&gt;&lt;bundle&gt;&lt;publication&gt;&lt;publisher&gt;Springer US&lt;/publisher&gt;&lt;title&gt;BioEnergy Research&lt;/title&gt;&lt;type&gt;-100&lt;/type&gt;&lt;subtype&gt;-100&lt;/subtype&gt;&lt;uuid&gt;10F75356-9E4C-4774-98A2-0C658827ED32&lt;/uuid&gt;&lt;/publication&gt;&lt;/bundle&gt;&lt;authors&gt;&lt;author&gt;&lt;firstName&gt;Kenneth&lt;/firstName&gt;&lt;middleNames&gt;P&lt;/middleNames&gt;&lt;lastName&gt;Vogel&lt;/lastName&gt;&lt;/author&gt;&lt;author&gt;&lt;firstName&gt;Bruce&lt;/firstName&gt;&lt;middleNames&gt;S&lt;/middleNames&gt;&lt;lastName&gt;Dien&lt;/lastName&gt;&lt;/author&gt;&lt;author&gt;&lt;firstName&gt;Hans&lt;/firstName&gt;&lt;middleNames&gt;G&lt;/middleNames&gt;&lt;lastName&gt;Jung&lt;/lastName&gt;&lt;/author&gt;&lt;author&gt;&lt;firstName&gt;Michael&lt;/firstName&gt;&lt;middleNames&gt;D&lt;/middleNames&gt;&lt;lastName&gt;Casler&lt;/lastName&gt;&lt;/author&gt;&lt;author&gt;&lt;firstName&gt;Steven&lt;/firstName&gt;&lt;middleNames&gt;D&lt;/middleNames&gt;&lt;lastName&gt;Masterson&lt;/lastName&gt;&lt;/author&gt;&lt;author&gt;&lt;firstName&gt;Robert&lt;/firstName&gt;&lt;middleNames&gt;B&lt;/middleNames&gt;&lt;lastName&gt;Mitchell&lt;/lastName&gt;&lt;/author&gt;&lt;/authors&gt;&lt;/publication&gt;&lt;/publications&gt;&lt;cites&gt;&lt;/cites&gt;&lt;/citation&gt;</w:instrText>
            </w:r>
            <w:r>
              <w:rPr>
                <w:rFonts w:asciiTheme="minorHAnsi" w:hAnsiTheme="minorHAnsi" w:cstheme="minorHAnsi"/>
              </w:rPr>
              <w:fldChar w:fldCharType="separate"/>
            </w:r>
            <w:r w:rsidR="001C1AAC">
              <w:t>(</w:t>
            </w:r>
            <w:r w:rsidR="001C1AAC">
              <w:rPr>
                <w:i/>
                <w:iCs/>
              </w:rPr>
              <w:t>140</w:t>
            </w:r>
            <w:r w:rsidR="001C1AAC">
              <w:t>)</w:t>
            </w:r>
            <w:r>
              <w:rPr>
                <w:rFonts w:asciiTheme="minorHAnsi" w:hAnsiTheme="minorHAnsi" w:cstheme="minorHAnsi"/>
              </w:rPr>
              <w:fldChar w:fldCharType="end"/>
            </w:r>
          </w:p>
        </w:tc>
      </w:tr>
      <w:tr w:rsidR="00A7753D" w:rsidRPr="00E148D7" w14:paraId="71C7EC14" w14:textId="77777777" w:rsidTr="004470C5">
        <w:trPr>
          <w:trHeight w:val="320"/>
        </w:trPr>
        <w:tc>
          <w:tcPr>
            <w:tcW w:w="236" w:type="dxa"/>
            <w:shd w:val="clear" w:color="auto" w:fill="auto"/>
            <w:noWrap/>
            <w:vAlign w:val="bottom"/>
            <w:hideMark/>
          </w:tcPr>
          <w:p w14:paraId="5E8342B0" w14:textId="77777777" w:rsidR="00A7753D" w:rsidRPr="00E148D7" w:rsidRDefault="00A7753D" w:rsidP="00E148D7">
            <w:pPr>
              <w:pStyle w:val="Tables"/>
              <w:rPr>
                <w:rFonts w:asciiTheme="minorHAnsi" w:hAnsiTheme="minorHAnsi" w:cstheme="minorHAnsi"/>
              </w:rPr>
            </w:pPr>
            <w:r w:rsidRPr="00E148D7">
              <w:rPr>
                <w:rFonts w:asciiTheme="minorHAnsi" w:hAnsiTheme="minorHAnsi" w:cstheme="minorHAnsi"/>
              </w:rPr>
              <w:t>Ca</w:t>
            </w:r>
          </w:p>
        </w:tc>
        <w:tc>
          <w:tcPr>
            <w:tcW w:w="236" w:type="dxa"/>
            <w:shd w:val="clear" w:color="auto" w:fill="auto"/>
            <w:vAlign w:val="bottom"/>
            <w:hideMark/>
          </w:tcPr>
          <w:p w14:paraId="6CA2307A" w14:textId="77777777" w:rsidR="00A7753D" w:rsidRPr="00E148D7" w:rsidRDefault="00A7753D" w:rsidP="00E148D7">
            <w:pPr>
              <w:pStyle w:val="Tables"/>
              <w:rPr>
                <w:rFonts w:asciiTheme="minorHAnsi" w:hAnsiTheme="minorHAnsi" w:cstheme="minorHAnsi"/>
                <w:color w:val="111111"/>
              </w:rPr>
            </w:pPr>
            <w:r w:rsidRPr="00E148D7">
              <w:rPr>
                <w:rFonts w:asciiTheme="minorHAnsi" w:hAnsiTheme="minorHAnsi" w:cstheme="minorHAnsi"/>
                <w:color w:val="111111"/>
              </w:rPr>
              <w:t>Calcium</w:t>
            </w:r>
          </w:p>
        </w:tc>
        <w:tc>
          <w:tcPr>
            <w:tcW w:w="236" w:type="dxa"/>
            <w:shd w:val="clear" w:color="auto" w:fill="auto"/>
            <w:noWrap/>
            <w:vAlign w:val="bottom"/>
            <w:hideMark/>
          </w:tcPr>
          <w:p w14:paraId="252AB0A8" w14:textId="16A7B661" w:rsidR="00A7753D" w:rsidRPr="00E148D7" w:rsidRDefault="00A7753D" w:rsidP="00E148D7">
            <w:pPr>
              <w:pStyle w:val="Tables"/>
              <w:rPr>
                <w:rFonts w:asciiTheme="minorHAnsi" w:hAnsiTheme="minorHAnsi" w:cstheme="minorHAnsi"/>
              </w:rPr>
            </w:pPr>
            <w:r>
              <w:rPr>
                <w:rFonts w:asciiTheme="minorHAnsi" w:hAnsiTheme="minorHAnsi" w:cstheme="minorHAnsi"/>
              </w:rPr>
              <w:fldChar w:fldCharType="begin"/>
            </w:r>
            <w:r w:rsidR="00807999">
              <w:rPr>
                <w:rFonts w:asciiTheme="minorHAnsi" w:hAnsiTheme="minorHAnsi" w:cstheme="minorHAnsi"/>
              </w:rPr>
              <w:instrText xml:space="preserve"> ADDIN PAPERS2_CITATIONS &lt;citation&gt;&lt;uuid&gt;F8DC9EE4-DB18-439D-91D0-3FB0DAFE890E&lt;/uuid&gt;&lt;priority&gt;0&lt;/priority&gt;&lt;publications&gt;&lt;publication&gt;&lt;uuid&gt;93C97861-B53D-446A-8CC8-C2BD026AD337&lt;/uuid&gt;&lt;volume&gt;4&lt;/volume&gt;&lt;doi&gt;10.1007/s12155-010-9104-4&lt;/doi&gt;&lt;startpage&gt;96&lt;/startpage&gt;&lt;publication_date&gt;99201008211200000000222000&lt;/publication_date&gt;&lt;url&gt;http://link.springer.com/10.1007/s12155-010-9104-4&lt;/url&gt;&lt;citekey&gt;Vogel:2011bw&lt;/citekey&gt;&lt;type&gt;400&lt;/type&gt;&lt;title&gt;Quantifying Actual and Theoretical Ethanol Yields for Switchgrass Strains Using NIRS Analyses&lt;/title&gt;&lt;number&gt;2&lt;/number&gt;&lt;subtype&gt;400&lt;/subtype&gt;&lt;endpage&gt;110&lt;/endpage&gt;&lt;bundle&gt;&lt;publication&gt;&lt;publisher&gt;Springer US&lt;/publisher&gt;&lt;title&gt;BioEnergy Research&lt;/title&gt;&lt;type&gt;-100&lt;/type&gt;&lt;subtype&gt;-100&lt;/subtype&gt;&lt;uuid&gt;10F75356-9E4C-4774-98A2-0C658827ED32&lt;/uuid&gt;&lt;/publication&gt;&lt;/bundle&gt;&lt;authors&gt;&lt;author&gt;&lt;firstName&gt;Kenneth&lt;/firstName&gt;&lt;middleNames&gt;P&lt;/middleNames&gt;&lt;lastName&gt;Vogel&lt;/lastName&gt;&lt;/author&gt;&lt;author&gt;&lt;firstName&gt;Bruce&lt;/firstName&gt;&lt;middleNames&gt;S&lt;/middleNames&gt;&lt;lastName&gt;Dien&lt;/lastName&gt;&lt;/author&gt;&lt;author&gt;&lt;firstName&gt;Hans&lt;/firstName&gt;&lt;middleNames&gt;G&lt;/middleNames&gt;&lt;lastName&gt;Jung&lt;/lastName&gt;&lt;/author&gt;&lt;author&gt;&lt;firstName&gt;Michael&lt;/firstName&gt;&lt;middleNames&gt;D&lt;/middleNames&gt;&lt;lastName&gt;Casler&lt;/lastName&gt;&lt;/author&gt;&lt;author&gt;&lt;firstName&gt;Steven&lt;/firstName&gt;&lt;middleNames&gt;D&lt;/middleNames&gt;&lt;lastName&gt;Masterson&lt;/lastName&gt;&lt;/author&gt;&lt;author&gt;&lt;firstName&gt;Robert&lt;/firstName&gt;&lt;middleNames&gt;B&lt;/middleNames&gt;&lt;lastName&gt;Mitchell&lt;/lastName&gt;&lt;/author&gt;&lt;/authors&gt;&lt;/publication&gt;&lt;/publications&gt;&lt;cites&gt;&lt;/cites&gt;&lt;/citation&gt;</w:instrText>
            </w:r>
            <w:r>
              <w:rPr>
                <w:rFonts w:asciiTheme="minorHAnsi" w:hAnsiTheme="minorHAnsi" w:cstheme="minorHAnsi"/>
              </w:rPr>
              <w:fldChar w:fldCharType="separate"/>
            </w:r>
            <w:r w:rsidR="001C1AAC">
              <w:t>(</w:t>
            </w:r>
            <w:r w:rsidR="001C1AAC">
              <w:rPr>
                <w:i/>
                <w:iCs/>
              </w:rPr>
              <w:t>140</w:t>
            </w:r>
            <w:r w:rsidR="001C1AAC">
              <w:t>)</w:t>
            </w:r>
            <w:r>
              <w:rPr>
                <w:rFonts w:asciiTheme="minorHAnsi" w:hAnsiTheme="minorHAnsi" w:cstheme="minorHAnsi"/>
              </w:rPr>
              <w:fldChar w:fldCharType="end"/>
            </w:r>
          </w:p>
        </w:tc>
      </w:tr>
      <w:tr w:rsidR="00E148D7" w:rsidRPr="00E148D7" w14:paraId="4E5C4267" w14:textId="77777777" w:rsidTr="004470C5">
        <w:trPr>
          <w:trHeight w:val="320"/>
        </w:trPr>
        <w:tc>
          <w:tcPr>
            <w:tcW w:w="236" w:type="dxa"/>
            <w:shd w:val="clear" w:color="auto" w:fill="auto"/>
            <w:noWrap/>
            <w:vAlign w:val="bottom"/>
            <w:hideMark/>
          </w:tcPr>
          <w:p w14:paraId="1DB8AD4F" w14:textId="77777777" w:rsidR="00C4470F" w:rsidRPr="00E148D7" w:rsidRDefault="00C4470F" w:rsidP="00E148D7">
            <w:pPr>
              <w:pStyle w:val="Tables"/>
              <w:rPr>
                <w:rFonts w:asciiTheme="minorHAnsi" w:hAnsiTheme="minorHAnsi" w:cstheme="minorHAnsi"/>
              </w:rPr>
            </w:pPr>
            <w:r w:rsidRPr="00E148D7">
              <w:rPr>
                <w:rFonts w:asciiTheme="minorHAnsi" w:hAnsiTheme="minorHAnsi" w:cstheme="minorHAnsi"/>
              </w:rPr>
              <w:t>CA.forage</w:t>
            </w:r>
          </w:p>
        </w:tc>
        <w:tc>
          <w:tcPr>
            <w:tcW w:w="236" w:type="dxa"/>
            <w:shd w:val="clear" w:color="auto" w:fill="auto"/>
            <w:vAlign w:val="bottom"/>
            <w:hideMark/>
          </w:tcPr>
          <w:p w14:paraId="50DD74DB" w14:textId="77777777" w:rsidR="00C4470F" w:rsidRPr="00E148D7" w:rsidRDefault="00C4470F" w:rsidP="00E148D7">
            <w:pPr>
              <w:pStyle w:val="Tables"/>
              <w:rPr>
                <w:rFonts w:asciiTheme="minorHAnsi" w:hAnsiTheme="minorHAnsi" w:cstheme="minorHAnsi"/>
                <w:color w:val="111111"/>
              </w:rPr>
            </w:pPr>
            <w:r w:rsidRPr="00E148D7">
              <w:rPr>
                <w:rFonts w:asciiTheme="minorHAnsi" w:hAnsiTheme="minorHAnsi" w:cstheme="minorHAnsi"/>
                <w:color w:val="111111"/>
              </w:rPr>
              <w:t>Calcium (Forage equation)</w:t>
            </w:r>
          </w:p>
        </w:tc>
        <w:tc>
          <w:tcPr>
            <w:tcW w:w="236" w:type="dxa"/>
            <w:shd w:val="clear" w:color="auto" w:fill="auto"/>
            <w:noWrap/>
            <w:vAlign w:val="bottom"/>
            <w:hideMark/>
          </w:tcPr>
          <w:p w14:paraId="5AD8E87F" w14:textId="606F1B7C" w:rsidR="00C4470F" w:rsidRPr="00E148D7" w:rsidRDefault="00A7753D" w:rsidP="00E148D7">
            <w:pPr>
              <w:pStyle w:val="Tables"/>
              <w:rPr>
                <w:rFonts w:asciiTheme="minorHAnsi" w:hAnsiTheme="minorHAnsi" w:cstheme="minorHAnsi"/>
              </w:rPr>
            </w:pPr>
            <w:r>
              <w:rPr>
                <w:rFonts w:asciiTheme="minorHAnsi" w:hAnsiTheme="minorHAnsi" w:cstheme="minorHAnsi"/>
              </w:rPr>
              <w:fldChar w:fldCharType="begin"/>
            </w:r>
            <w:r w:rsidR="00807999">
              <w:rPr>
                <w:rFonts w:asciiTheme="minorHAnsi" w:hAnsiTheme="minorHAnsi" w:cstheme="minorHAnsi"/>
              </w:rPr>
              <w:instrText xml:space="preserve"> ADDIN PAPERS2_CITATIONS &lt;citation&gt;&lt;uuid&gt;E1E67B6F-48E8-4163-ADB7-856BFA25FF6A&lt;/uuid&gt;&lt;priority&gt;0&lt;/priority&gt;&lt;publications&gt;&lt;publication&gt;&lt;volume&gt;339&lt;/volume&gt;&lt;publication_date&gt;99201004151200000000222000&lt;/publication_date&gt;&lt;number&gt;1-2&lt;/number&gt;&lt;doi&gt;10.1007/s11104-010-0376-4&lt;/doi&gt;&lt;startpage&gt;69&lt;/startpage&gt;&lt;title&gt;Switchgrass for forage and bioenergy: harvest and nitrogen rate effects on biomass yields and nutrient composition&lt;/title&gt;&lt;uuid&gt;D1F74A81-1B28-432B-854D-4742B2C12C0C&lt;/uuid&gt;&lt;subtype&gt;400&lt;/subtype&gt;&lt;endpage&gt;81&lt;/endpage&gt;&lt;type&gt;400&lt;/type&gt;&lt;url&gt;http://link.springer.com/10.1007/s11104-010-0376-4&lt;/url&gt;&lt;bundle&gt;&lt;publication&gt;&lt;title&gt;Plant and Soil&lt;/title&gt;&lt;type&gt;-100&lt;/type&gt;&lt;subtype&gt;-100&lt;/subtype&gt;&lt;uuid&gt;4D2157D4-F2F2-4179-B289-12F735F40749&lt;/uuid&gt;&lt;/publication&gt;&lt;/bundle&gt;&lt;authors&gt;&lt;author&gt;&lt;firstName&gt;John&lt;/firstName&gt;&lt;middleNames&gt;A&lt;/middleNames&gt;&lt;lastName&gt;Guretzky&lt;/lastName&gt;&lt;/author&gt;&lt;author&gt;&lt;firstName&gt;Jon&lt;/firstName&gt;&lt;middleNames&gt;T&lt;/middleNames&gt;&lt;lastName&gt;Biermacher&lt;/lastName&gt;&lt;/author&gt;&lt;author&gt;&lt;firstName&gt;Billy&lt;/firstName&gt;&lt;middleNames&gt;J&lt;/middleNames&gt;&lt;lastName&gt;Cook&lt;/lastName&gt;&lt;/author&gt;&lt;author&gt;&lt;firstName&gt;Maru&lt;/firstName&gt;&lt;middleNames&gt;K&lt;/middleNames&gt;&lt;lastName&gt;Kering&lt;/lastName&gt;&lt;/author&gt;&lt;author&gt;&lt;firstName&gt;Jagadeesh&lt;/firstName&gt;&lt;lastName&gt;Mosali&lt;/lastName&gt;&lt;/author&gt;&lt;/authors&gt;&lt;/publication&gt;&lt;/publications&gt;&lt;cites&gt;&lt;/cites&gt;&lt;/citation&gt;</w:instrText>
            </w:r>
            <w:r>
              <w:rPr>
                <w:rFonts w:asciiTheme="minorHAnsi" w:hAnsiTheme="minorHAnsi" w:cstheme="minorHAnsi"/>
              </w:rPr>
              <w:fldChar w:fldCharType="separate"/>
            </w:r>
            <w:r w:rsidR="001C1AAC">
              <w:t>(</w:t>
            </w:r>
            <w:r w:rsidR="001C1AAC">
              <w:rPr>
                <w:i/>
                <w:iCs/>
              </w:rPr>
              <w:t>141</w:t>
            </w:r>
            <w:r w:rsidR="001C1AAC">
              <w:t>)</w:t>
            </w:r>
            <w:r>
              <w:rPr>
                <w:rFonts w:asciiTheme="minorHAnsi" w:hAnsiTheme="minorHAnsi" w:cstheme="minorHAnsi"/>
              </w:rPr>
              <w:fldChar w:fldCharType="end"/>
            </w:r>
          </w:p>
        </w:tc>
      </w:tr>
      <w:tr w:rsidR="00A7753D" w:rsidRPr="00E148D7" w14:paraId="4B886C17" w14:textId="77777777" w:rsidTr="004470C5">
        <w:trPr>
          <w:trHeight w:val="320"/>
        </w:trPr>
        <w:tc>
          <w:tcPr>
            <w:tcW w:w="236" w:type="dxa"/>
            <w:shd w:val="clear" w:color="auto" w:fill="auto"/>
            <w:noWrap/>
            <w:vAlign w:val="bottom"/>
            <w:hideMark/>
          </w:tcPr>
          <w:p w14:paraId="446C4355" w14:textId="66901C7F" w:rsidR="00A7753D" w:rsidRPr="00E148D7" w:rsidRDefault="00A7753D" w:rsidP="00E148D7">
            <w:pPr>
              <w:pStyle w:val="Tables"/>
              <w:rPr>
                <w:rFonts w:asciiTheme="minorHAnsi" w:hAnsiTheme="minorHAnsi" w:cstheme="minorHAnsi"/>
              </w:rPr>
            </w:pPr>
            <w:r>
              <w:rPr>
                <w:rFonts w:asciiTheme="minorHAnsi" w:hAnsiTheme="minorHAnsi" w:cstheme="minorHAnsi"/>
              </w:rPr>
              <w:t>CAL</w:t>
            </w:r>
          </w:p>
        </w:tc>
        <w:tc>
          <w:tcPr>
            <w:tcW w:w="236" w:type="dxa"/>
            <w:shd w:val="clear" w:color="auto" w:fill="auto"/>
            <w:vAlign w:val="bottom"/>
            <w:hideMark/>
          </w:tcPr>
          <w:p w14:paraId="085FEC86" w14:textId="41A22F3E" w:rsidR="00A7753D" w:rsidRPr="00E148D7" w:rsidRDefault="00A7753D" w:rsidP="00E148D7">
            <w:pPr>
              <w:pStyle w:val="Tables"/>
              <w:rPr>
                <w:rFonts w:asciiTheme="minorHAnsi" w:hAnsiTheme="minorHAnsi" w:cstheme="minorHAnsi"/>
              </w:rPr>
            </w:pPr>
            <w:r>
              <w:rPr>
                <w:rFonts w:asciiTheme="minorHAnsi" w:hAnsiTheme="minorHAnsi" w:cstheme="minorHAnsi"/>
              </w:rPr>
              <w:t>Calories</w:t>
            </w:r>
          </w:p>
        </w:tc>
        <w:tc>
          <w:tcPr>
            <w:tcW w:w="236" w:type="dxa"/>
            <w:shd w:val="clear" w:color="auto" w:fill="auto"/>
            <w:noWrap/>
            <w:vAlign w:val="bottom"/>
            <w:hideMark/>
          </w:tcPr>
          <w:p w14:paraId="63017F95" w14:textId="59717149" w:rsidR="00A7753D" w:rsidRPr="00E148D7" w:rsidRDefault="00A7753D" w:rsidP="00E148D7">
            <w:pPr>
              <w:pStyle w:val="Tables"/>
              <w:rPr>
                <w:rFonts w:asciiTheme="minorHAnsi" w:hAnsiTheme="minorHAnsi" w:cstheme="minorHAnsi"/>
              </w:rPr>
            </w:pPr>
            <w:r>
              <w:rPr>
                <w:rFonts w:asciiTheme="minorHAnsi" w:hAnsiTheme="minorHAnsi" w:cstheme="minorHAnsi"/>
              </w:rPr>
              <w:fldChar w:fldCharType="begin"/>
            </w:r>
            <w:r w:rsidR="00807999">
              <w:rPr>
                <w:rFonts w:asciiTheme="minorHAnsi" w:hAnsiTheme="minorHAnsi" w:cstheme="minorHAnsi"/>
              </w:rPr>
              <w:instrText xml:space="preserve"> ADDIN PAPERS2_CITATIONS &lt;citation&gt;&lt;uuid&gt;3A7867EE-B523-4511-8812-02A3E6C59E3B&lt;/uuid&gt;&lt;priority&gt;0&lt;/priority&gt;&lt;publications&gt;&lt;publication&gt;&lt;uuid&gt;93C97861-B53D-446A-8CC8-C2BD026AD337&lt;/uuid&gt;&lt;volume&gt;4&lt;/volume&gt;&lt;doi&gt;10.1007/s12155-010-9104-4&lt;/doi&gt;&lt;startpage&gt;96&lt;/startpage&gt;&lt;publication_date&gt;99201008211200000000222000&lt;/publication_date&gt;&lt;url&gt;http://link.springer.com/10.1007/s12155-010-9104-4&lt;/url&gt;&lt;citekey&gt;Vogel:2011bw&lt;/citekey&gt;&lt;type&gt;400&lt;/type&gt;&lt;title&gt;Quantifying Actual and Theoretical Ethanol Yields for Switchgrass Strains Using NIRS Analyses&lt;/title&gt;&lt;number&gt;2&lt;/number&gt;&lt;subtype&gt;400&lt;/subtype&gt;&lt;endpage&gt;110&lt;/endpage&gt;&lt;bundle&gt;&lt;publication&gt;&lt;publisher&gt;Springer US&lt;/publisher&gt;&lt;title&gt;BioEnergy Research&lt;/title&gt;&lt;type&gt;-100&lt;/type&gt;&lt;subtype&gt;-100&lt;/subtype&gt;&lt;uuid&gt;10F75356-9E4C-4774-98A2-0C658827ED32&lt;/uuid&gt;&lt;/publication&gt;&lt;/bundle&gt;&lt;authors&gt;&lt;author&gt;&lt;firstName&gt;Kenneth&lt;/firstName&gt;&lt;middleNames&gt;P&lt;/middleNames&gt;&lt;lastName&gt;Vogel&lt;/lastName&gt;&lt;/author&gt;&lt;author&gt;&lt;firstName&gt;Bruce&lt;/firstName&gt;&lt;middleNames&gt;S&lt;/middleNames&gt;&lt;lastName&gt;Dien&lt;/lastName&gt;&lt;/author&gt;&lt;author&gt;&lt;firstName&gt;Hans&lt;/firstName&gt;&lt;middleNames&gt;G&lt;/middleNames&gt;&lt;lastName&gt;Jung&lt;/lastName&gt;&lt;/author&gt;&lt;author&gt;&lt;firstName&gt;Michael&lt;/firstName&gt;&lt;middleNames&gt;D&lt;/middleNames&gt;&lt;lastName&gt;Casler&lt;/lastName&gt;&lt;/author&gt;&lt;author&gt;&lt;firstName&gt;Steven&lt;/firstName&gt;&lt;middleNames&gt;D&lt;/middleNames&gt;&lt;lastName&gt;Masterson&lt;/lastName&gt;&lt;/author&gt;&lt;author&gt;&lt;firstName&gt;Robert&lt;/firstName&gt;&lt;middleNames&gt;B&lt;/middleNames&gt;&lt;lastName&gt;Mitchell&lt;/lastName&gt;&lt;/author&gt;&lt;/authors&gt;&lt;/publication&gt;&lt;/publications&gt;&lt;cites&gt;&lt;/cites&gt;&lt;/citation&gt;</w:instrText>
            </w:r>
            <w:r>
              <w:rPr>
                <w:rFonts w:asciiTheme="minorHAnsi" w:hAnsiTheme="minorHAnsi" w:cstheme="minorHAnsi"/>
              </w:rPr>
              <w:fldChar w:fldCharType="separate"/>
            </w:r>
            <w:r w:rsidR="001C1AAC">
              <w:t>(</w:t>
            </w:r>
            <w:r w:rsidR="001C1AAC">
              <w:rPr>
                <w:i/>
                <w:iCs/>
              </w:rPr>
              <w:t>140</w:t>
            </w:r>
            <w:r w:rsidR="001C1AAC">
              <w:t>)</w:t>
            </w:r>
            <w:r>
              <w:rPr>
                <w:rFonts w:asciiTheme="minorHAnsi" w:hAnsiTheme="minorHAnsi" w:cstheme="minorHAnsi"/>
              </w:rPr>
              <w:fldChar w:fldCharType="end"/>
            </w:r>
          </w:p>
        </w:tc>
      </w:tr>
      <w:tr w:rsidR="00A7753D" w:rsidRPr="00E148D7" w14:paraId="5DA2BCE4" w14:textId="77777777" w:rsidTr="004470C5">
        <w:trPr>
          <w:trHeight w:val="320"/>
        </w:trPr>
        <w:tc>
          <w:tcPr>
            <w:tcW w:w="236" w:type="dxa"/>
            <w:shd w:val="clear" w:color="auto" w:fill="auto"/>
            <w:noWrap/>
            <w:vAlign w:val="bottom"/>
            <w:hideMark/>
          </w:tcPr>
          <w:p w14:paraId="4BA79CF3" w14:textId="77777777" w:rsidR="00A7753D" w:rsidRPr="00E148D7" w:rsidRDefault="00A7753D" w:rsidP="00E148D7">
            <w:pPr>
              <w:pStyle w:val="Tables"/>
              <w:rPr>
                <w:rFonts w:asciiTheme="minorHAnsi" w:hAnsiTheme="minorHAnsi" w:cstheme="minorHAnsi"/>
              </w:rPr>
            </w:pPr>
            <w:r w:rsidRPr="00E148D7">
              <w:rPr>
                <w:rFonts w:asciiTheme="minorHAnsi" w:hAnsiTheme="minorHAnsi" w:cstheme="minorHAnsi"/>
              </w:rPr>
              <w:t>CP</w:t>
            </w:r>
          </w:p>
        </w:tc>
        <w:tc>
          <w:tcPr>
            <w:tcW w:w="236" w:type="dxa"/>
            <w:shd w:val="clear" w:color="auto" w:fill="auto"/>
            <w:vAlign w:val="bottom"/>
            <w:hideMark/>
          </w:tcPr>
          <w:p w14:paraId="783CF402" w14:textId="77777777" w:rsidR="00A7753D" w:rsidRPr="00E148D7" w:rsidRDefault="00A7753D" w:rsidP="00E148D7">
            <w:pPr>
              <w:pStyle w:val="Tables"/>
              <w:rPr>
                <w:rFonts w:asciiTheme="minorHAnsi" w:hAnsiTheme="minorHAnsi" w:cstheme="minorHAnsi"/>
                <w:color w:val="111111"/>
              </w:rPr>
            </w:pPr>
            <w:r w:rsidRPr="00E148D7">
              <w:rPr>
                <w:rFonts w:asciiTheme="minorHAnsi" w:hAnsiTheme="minorHAnsi" w:cstheme="minorHAnsi"/>
                <w:color w:val="111111"/>
              </w:rPr>
              <w:t>Crude Protein</w:t>
            </w:r>
          </w:p>
        </w:tc>
        <w:tc>
          <w:tcPr>
            <w:tcW w:w="236" w:type="dxa"/>
            <w:shd w:val="clear" w:color="auto" w:fill="auto"/>
            <w:noWrap/>
            <w:vAlign w:val="bottom"/>
            <w:hideMark/>
          </w:tcPr>
          <w:p w14:paraId="5569F9D8" w14:textId="18155B0B" w:rsidR="00A7753D" w:rsidRPr="00E148D7" w:rsidRDefault="00A7753D" w:rsidP="00E148D7">
            <w:pPr>
              <w:pStyle w:val="Tables"/>
              <w:rPr>
                <w:rFonts w:asciiTheme="minorHAnsi" w:hAnsiTheme="minorHAnsi" w:cstheme="minorHAnsi"/>
              </w:rPr>
            </w:pPr>
            <w:r>
              <w:rPr>
                <w:rFonts w:asciiTheme="minorHAnsi" w:hAnsiTheme="minorHAnsi" w:cstheme="minorHAnsi"/>
              </w:rPr>
              <w:fldChar w:fldCharType="begin"/>
            </w:r>
            <w:r w:rsidR="00807999">
              <w:rPr>
                <w:rFonts w:asciiTheme="minorHAnsi" w:hAnsiTheme="minorHAnsi" w:cstheme="minorHAnsi"/>
              </w:rPr>
              <w:instrText xml:space="preserve"> ADDIN PAPERS2_CITATIONS &lt;citation&gt;&lt;uuid&gt;8EF4F52F-1375-4A86-A367-C7DBD851A678&lt;/uuid&gt;&lt;priority&gt;0&lt;/priority&gt;&lt;publications&gt;&lt;publication&gt;&lt;uuid&gt;93C97861-B53D-446A-8CC8-C2BD026AD337&lt;/uuid&gt;&lt;volume&gt;4&lt;/volume&gt;&lt;doi&gt;10.1007/s12155-010-9104-4&lt;/doi&gt;&lt;startpage&gt;96&lt;/startpage&gt;&lt;publication_date&gt;99201008211200000000222000&lt;/publication_date&gt;&lt;url&gt;http://link.springer.com/10.1007/s12155-010-9104-4&lt;/url&gt;&lt;citekey&gt;Vogel:2011bw&lt;/citekey&gt;&lt;type&gt;400&lt;/type&gt;&lt;title&gt;Quantifying Actual and Theoretical Ethanol Yields for Switchgrass Strains Using NIRS Analyses&lt;/title&gt;&lt;number&gt;2&lt;/number&gt;&lt;subtype&gt;400&lt;/subtype&gt;&lt;endpage&gt;110&lt;/endpage&gt;&lt;bundle&gt;&lt;publication&gt;&lt;publisher&gt;Springer US&lt;/publisher&gt;&lt;title&gt;BioEnergy Research&lt;/title&gt;&lt;type&gt;-100&lt;/type&gt;&lt;subtype&gt;-100&lt;/subtype&gt;&lt;uuid&gt;10F75356-9E4C-4774-98A2-0C658827ED32&lt;/uuid&gt;&lt;/publication&gt;&lt;/bundle&gt;&lt;authors&gt;&lt;author&gt;&lt;firstName&gt;Kenneth&lt;/firstName&gt;&lt;middleNames&gt;P&lt;/middleNames&gt;&lt;lastName&gt;Vogel&lt;/lastName&gt;&lt;/author&gt;&lt;author&gt;&lt;firstName&gt;Bruce&lt;/firstName&gt;&lt;middleNames&gt;S&lt;/middleNames&gt;&lt;lastName&gt;Dien&lt;/lastName&gt;&lt;/author&gt;&lt;author&gt;&lt;firstName&gt;Hans&lt;/firstName&gt;&lt;middleNames&gt;G&lt;/middleNames&gt;&lt;lastName&gt;Jung&lt;/lastName&gt;&lt;/author&gt;&lt;author&gt;&lt;firstName&gt;Michael&lt;/firstName&gt;&lt;middleNames&gt;D&lt;/middleNames&gt;&lt;lastName&gt;Casler&lt;/lastName&gt;&lt;/author&gt;&lt;author&gt;&lt;firstName&gt;Steven&lt;/firstName&gt;&lt;middleNames&gt;D&lt;/middleNames&gt;&lt;lastName&gt;Masterson&lt;/lastName&gt;&lt;/author&gt;&lt;author&gt;&lt;firstName&gt;Robert&lt;/firstName&gt;&lt;middleNames&gt;B&lt;/middleNames&gt;&lt;lastName&gt;Mitchell&lt;/lastName&gt;&lt;/author&gt;&lt;/authors&gt;&lt;/publication&gt;&lt;/publications&gt;&lt;cites&gt;&lt;/cites&gt;&lt;/citation&gt;</w:instrText>
            </w:r>
            <w:r>
              <w:rPr>
                <w:rFonts w:asciiTheme="minorHAnsi" w:hAnsiTheme="minorHAnsi" w:cstheme="minorHAnsi"/>
              </w:rPr>
              <w:fldChar w:fldCharType="separate"/>
            </w:r>
            <w:r w:rsidR="001C1AAC">
              <w:t>(</w:t>
            </w:r>
            <w:r w:rsidR="001C1AAC">
              <w:rPr>
                <w:i/>
                <w:iCs/>
              </w:rPr>
              <w:t>140</w:t>
            </w:r>
            <w:r w:rsidR="001C1AAC">
              <w:t>)</w:t>
            </w:r>
            <w:r>
              <w:rPr>
                <w:rFonts w:asciiTheme="minorHAnsi" w:hAnsiTheme="minorHAnsi" w:cstheme="minorHAnsi"/>
              </w:rPr>
              <w:fldChar w:fldCharType="end"/>
            </w:r>
          </w:p>
        </w:tc>
      </w:tr>
      <w:tr w:rsidR="00995B4B" w:rsidRPr="00E148D7" w14:paraId="21ED91F2" w14:textId="77777777" w:rsidTr="004470C5">
        <w:trPr>
          <w:trHeight w:val="320"/>
        </w:trPr>
        <w:tc>
          <w:tcPr>
            <w:tcW w:w="236" w:type="dxa"/>
            <w:shd w:val="clear" w:color="auto" w:fill="auto"/>
            <w:noWrap/>
            <w:vAlign w:val="bottom"/>
            <w:hideMark/>
          </w:tcPr>
          <w:p w14:paraId="47356679" w14:textId="77777777" w:rsidR="00995B4B" w:rsidRPr="00E148D7" w:rsidRDefault="00995B4B" w:rsidP="00E148D7">
            <w:pPr>
              <w:pStyle w:val="Tables"/>
              <w:rPr>
                <w:rFonts w:asciiTheme="minorHAnsi" w:hAnsiTheme="minorHAnsi" w:cstheme="minorHAnsi"/>
              </w:rPr>
            </w:pPr>
            <w:r w:rsidRPr="00E148D7">
              <w:rPr>
                <w:rFonts w:asciiTheme="minorHAnsi" w:hAnsiTheme="minorHAnsi" w:cstheme="minorHAnsi"/>
              </w:rPr>
              <w:t>CP.forage</w:t>
            </w:r>
          </w:p>
        </w:tc>
        <w:tc>
          <w:tcPr>
            <w:tcW w:w="236" w:type="dxa"/>
            <w:shd w:val="clear" w:color="auto" w:fill="auto"/>
            <w:vAlign w:val="bottom"/>
            <w:hideMark/>
          </w:tcPr>
          <w:p w14:paraId="66A8FC28" w14:textId="77777777" w:rsidR="00995B4B" w:rsidRPr="00E148D7" w:rsidRDefault="00995B4B" w:rsidP="00E148D7">
            <w:pPr>
              <w:pStyle w:val="Tables"/>
              <w:rPr>
                <w:rFonts w:asciiTheme="minorHAnsi" w:hAnsiTheme="minorHAnsi" w:cstheme="minorHAnsi"/>
                <w:color w:val="111111"/>
              </w:rPr>
            </w:pPr>
            <w:r w:rsidRPr="00E148D7">
              <w:rPr>
                <w:rFonts w:asciiTheme="minorHAnsi" w:hAnsiTheme="minorHAnsi" w:cstheme="minorHAnsi"/>
                <w:color w:val="111111"/>
              </w:rPr>
              <w:t>Crude Protein (Forage equation)</w:t>
            </w:r>
          </w:p>
        </w:tc>
        <w:tc>
          <w:tcPr>
            <w:tcW w:w="236" w:type="dxa"/>
            <w:shd w:val="clear" w:color="auto" w:fill="auto"/>
            <w:noWrap/>
            <w:vAlign w:val="bottom"/>
            <w:hideMark/>
          </w:tcPr>
          <w:p w14:paraId="7BDE8051" w14:textId="681A986B" w:rsidR="00995B4B" w:rsidRPr="00E148D7" w:rsidRDefault="00995B4B" w:rsidP="00E148D7">
            <w:pPr>
              <w:pStyle w:val="Tables"/>
              <w:rPr>
                <w:rFonts w:asciiTheme="minorHAnsi" w:hAnsiTheme="minorHAnsi" w:cstheme="minorHAnsi"/>
              </w:rPr>
            </w:pPr>
            <w:r>
              <w:rPr>
                <w:rFonts w:asciiTheme="minorHAnsi" w:hAnsiTheme="minorHAnsi" w:cstheme="minorHAnsi"/>
              </w:rPr>
              <w:fldChar w:fldCharType="begin"/>
            </w:r>
            <w:r w:rsidR="00807999">
              <w:rPr>
                <w:rFonts w:asciiTheme="minorHAnsi" w:hAnsiTheme="minorHAnsi" w:cstheme="minorHAnsi"/>
              </w:rPr>
              <w:instrText xml:space="preserve"> ADDIN PAPERS2_CITATIONS &lt;citation&gt;&lt;uuid&gt;477D828C-5852-4AFB-980F-C771E54B42E5&lt;/uuid&gt;&lt;priority&gt;0&lt;/priority&gt;&lt;publications&gt;&lt;publication&gt;&lt;volume&gt;339&lt;/volume&gt;&lt;publication_date&gt;99201004151200000000222000&lt;/publication_date&gt;&lt;number&gt;1-2&lt;/number&gt;&lt;doi&gt;10.1007/s11104-010-0376-4&lt;/doi&gt;&lt;startpage&gt;69&lt;/startpage&gt;&lt;title&gt;Switchgrass for forage and bioenergy: harvest and nitrogen rate effects on biomass yields and nutrient composition&lt;/title&gt;&lt;uuid&gt;D1F74A81-1B28-432B-854D-4742B2C12C0C&lt;/uuid&gt;&lt;subtype&gt;400&lt;/subtype&gt;&lt;endpage&gt;81&lt;/endpage&gt;&lt;type&gt;400&lt;/type&gt;&lt;url&gt;http://link.springer.com/10.1007/s11104-010-0376-4&lt;/url&gt;&lt;bundle&gt;&lt;publication&gt;&lt;title&gt;Plant and Soil&lt;/title&gt;&lt;type&gt;-100&lt;/type&gt;&lt;subtype&gt;-100&lt;/subtype&gt;&lt;uuid&gt;4D2157D4-F2F2-4179-B289-12F735F40749&lt;/uuid&gt;&lt;/publication&gt;&lt;/bundle&gt;&lt;authors&gt;&lt;author&gt;&lt;firstName&gt;John&lt;/firstName&gt;&lt;middleNames&gt;A&lt;/middleNames&gt;&lt;lastName&gt;Guretzky&lt;/lastName&gt;&lt;/author&gt;&lt;author&gt;&lt;firstName&gt;Jon&lt;/firstName&gt;&lt;middleNames&gt;T&lt;/middleNames&gt;&lt;lastName&gt;Biermacher&lt;/lastName&gt;&lt;/author&gt;&lt;author&gt;&lt;firstName&gt;Billy&lt;/firstName&gt;&lt;middleNames&gt;J&lt;/middleNames&gt;&lt;lastName&gt;Cook&lt;/lastName&gt;&lt;/author&gt;&lt;author&gt;&lt;firstName&gt;Maru&lt;/firstName&gt;&lt;middleNames&gt;K&lt;/middleNames&gt;&lt;lastName&gt;Kering&lt;/lastName&gt;&lt;/author&gt;&lt;author&gt;&lt;firstName&gt;Jagadeesh&lt;/firstName&gt;&lt;lastName&gt;Mosali&lt;/lastName&gt;&lt;/author&gt;&lt;/authors&gt;&lt;/publication&gt;&lt;/publications&gt;&lt;cites&gt;&lt;/cites&gt;&lt;/citation&gt;</w:instrText>
            </w:r>
            <w:r>
              <w:rPr>
                <w:rFonts w:asciiTheme="minorHAnsi" w:hAnsiTheme="minorHAnsi" w:cstheme="minorHAnsi"/>
              </w:rPr>
              <w:fldChar w:fldCharType="separate"/>
            </w:r>
            <w:r w:rsidR="001C1AAC">
              <w:t>(</w:t>
            </w:r>
            <w:r w:rsidR="001C1AAC">
              <w:rPr>
                <w:i/>
                <w:iCs/>
              </w:rPr>
              <w:t>141</w:t>
            </w:r>
            <w:r w:rsidR="001C1AAC">
              <w:t>)</w:t>
            </w:r>
            <w:r>
              <w:rPr>
                <w:rFonts w:asciiTheme="minorHAnsi" w:hAnsiTheme="minorHAnsi" w:cstheme="minorHAnsi"/>
              </w:rPr>
              <w:fldChar w:fldCharType="end"/>
            </w:r>
          </w:p>
        </w:tc>
      </w:tr>
      <w:tr w:rsidR="00A7753D" w:rsidRPr="00E148D7" w14:paraId="33D27156" w14:textId="77777777" w:rsidTr="00D057D7">
        <w:trPr>
          <w:trHeight w:val="960"/>
        </w:trPr>
        <w:tc>
          <w:tcPr>
            <w:tcW w:w="236" w:type="dxa"/>
            <w:shd w:val="clear" w:color="auto" w:fill="auto"/>
            <w:noWrap/>
            <w:vAlign w:val="center"/>
            <w:hideMark/>
          </w:tcPr>
          <w:p w14:paraId="3204C7C2" w14:textId="77777777" w:rsidR="00A7753D" w:rsidRPr="00E148D7" w:rsidRDefault="00A7753D" w:rsidP="00D057D7">
            <w:pPr>
              <w:pStyle w:val="Tables"/>
              <w:rPr>
                <w:rFonts w:asciiTheme="minorHAnsi" w:hAnsiTheme="minorHAnsi" w:cstheme="minorHAnsi"/>
              </w:rPr>
            </w:pPr>
            <w:r w:rsidRPr="00E148D7">
              <w:rPr>
                <w:rFonts w:asciiTheme="minorHAnsi" w:hAnsiTheme="minorHAnsi" w:cstheme="minorHAnsi"/>
              </w:rPr>
              <w:t>CWC</w:t>
            </w:r>
          </w:p>
        </w:tc>
        <w:tc>
          <w:tcPr>
            <w:tcW w:w="236" w:type="dxa"/>
            <w:shd w:val="clear" w:color="auto" w:fill="auto"/>
            <w:vAlign w:val="bottom"/>
            <w:hideMark/>
          </w:tcPr>
          <w:p w14:paraId="7C7024F4" w14:textId="77777777" w:rsidR="00A7753D" w:rsidRPr="00E148D7" w:rsidRDefault="00A7753D" w:rsidP="00E148D7">
            <w:pPr>
              <w:pStyle w:val="Tables"/>
              <w:rPr>
                <w:rFonts w:asciiTheme="minorHAnsi" w:hAnsiTheme="minorHAnsi" w:cstheme="minorHAnsi"/>
                <w:color w:val="111111"/>
              </w:rPr>
            </w:pPr>
            <w:r w:rsidRPr="00E148D7">
              <w:rPr>
                <w:rFonts w:asciiTheme="minorHAnsi" w:hAnsiTheme="minorHAnsi" w:cstheme="minorHAnsi"/>
                <w:color w:val="111111"/>
              </w:rPr>
              <w:t>Cell wall concentration  (KL+UA+RHA+FUC+ARA+XYL+MAN+GAL+GLC+ PCA + FEST + FETH)</w:t>
            </w:r>
          </w:p>
        </w:tc>
        <w:tc>
          <w:tcPr>
            <w:tcW w:w="236" w:type="dxa"/>
            <w:shd w:val="clear" w:color="auto" w:fill="auto"/>
            <w:noWrap/>
            <w:vAlign w:val="bottom"/>
            <w:hideMark/>
          </w:tcPr>
          <w:p w14:paraId="7546AFC8" w14:textId="72684F4B" w:rsidR="00A7753D" w:rsidRPr="00E148D7" w:rsidRDefault="00A7753D" w:rsidP="00E148D7">
            <w:pPr>
              <w:pStyle w:val="Tables"/>
              <w:rPr>
                <w:rFonts w:asciiTheme="minorHAnsi" w:hAnsiTheme="minorHAnsi" w:cstheme="minorHAnsi"/>
              </w:rPr>
            </w:pPr>
            <w:r>
              <w:rPr>
                <w:rFonts w:asciiTheme="minorHAnsi" w:hAnsiTheme="minorHAnsi" w:cstheme="minorHAnsi"/>
              </w:rPr>
              <w:fldChar w:fldCharType="begin"/>
            </w:r>
            <w:r w:rsidR="00807999">
              <w:rPr>
                <w:rFonts w:asciiTheme="minorHAnsi" w:hAnsiTheme="minorHAnsi" w:cstheme="minorHAnsi"/>
              </w:rPr>
              <w:instrText xml:space="preserve"> ADDIN PAPERS2_CITATIONS &lt;citation&gt;&lt;uuid&gt;857E530B-A10E-471B-9FCD-FE02F37E4602&lt;/uuid&gt;&lt;priority&gt;0&lt;/priority&gt;&lt;publications&gt;&lt;publication&gt;&lt;uuid&gt;93C97861-B53D-446A-8CC8-C2BD026AD337&lt;/uuid&gt;&lt;volume&gt;4&lt;/volume&gt;&lt;doi&gt;10.1007/s12155-010-9104-4&lt;/doi&gt;&lt;startpage&gt;96&lt;/startpage&gt;&lt;publication_date&gt;99201008211200000000222000&lt;/publication_date&gt;&lt;url&gt;http://link.springer.com/10.1007/s12155-010-9104-4&lt;/url&gt;&lt;citekey&gt;Vogel:2011bw&lt;/citekey&gt;&lt;type&gt;400&lt;/type&gt;&lt;title&gt;Quantifying Actual and Theoretical Ethanol Yields for Switchgrass Strains Using NIRS Analyses&lt;/title&gt;&lt;number&gt;2&lt;/number&gt;&lt;subtype&gt;400&lt;/subtype&gt;&lt;endpage&gt;110&lt;/endpage&gt;&lt;bundle&gt;&lt;publication&gt;&lt;publisher&gt;Springer US&lt;/publisher&gt;&lt;title&gt;BioEnergy Research&lt;/title&gt;&lt;type&gt;-100&lt;/type&gt;&lt;subtype&gt;-100&lt;/subtype&gt;&lt;uuid&gt;10F75356-9E4C-4774-98A2-0C658827ED32&lt;/uuid&gt;&lt;/publication&gt;&lt;/bundle&gt;&lt;authors&gt;&lt;author&gt;&lt;firstName&gt;Kenneth&lt;/firstName&gt;&lt;middleNames&gt;P&lt;/middleNames&gt;&lt;lastName&gt;Vogel&lt;/lastName&gt;&lt;/author&gt;&lt;author&gt;&lt;firstName&gt;Bruce&lt;/firstName&gt;&lt;middleNames&gt;S&lt;/middleNames&gt;&lt;lastName&gt;Dien&lt;/lastName&gt;&lt;/author&gt;&lt;author&gt;&lt;firstName&gt;Hans&lt;/firstName&gt;&lt;middleNames&gt;G&lt;/middleNames&gt;&lt;lastName&gt;Jung&lt;/lastName&gt;&lt;/author&gt;&lt;author&gt;&lt;firstName&gt;Michael&lt;/firstName&gt;&lt;middleNames&gt;D&lt;/middleNames&gt;&lt;lastName&gt;Casler&lt;/lastName&gt;&lt;/author&gt;&lt;author&gt;&lt;firstName&gt;Steven&lt;/firstName&gt;&lt;middleNames&gt;D&lt;/middleNames&gt;&lt;lastName&gt;Masterson&lt;/lastName&gt;&lt;/author&gt;&lt;author&gt;&lt;firstName&gt;Robert&lt;/firstName&gt;&lt;middleNames&gt;B&lt;/middleNames&gt;&lt;lastName&gt;Mitchell&lt;/lastName&gt;&lt;/author&gt;&lt;/authors&gt;&lt;/publication&gt;&lt;/publications&gt;&lt;cites&gt;&lt;/cites&gt;&lt;/citation&gt;</w:instrText>
            </w:r>
            <w:r>
              <w:rPr>
                <w:rFonts w:asciiTheme="minorHAnsi" w:hAnsiTheme="minorHAnsi" w:cstheme="minorHAnsi"/>
              </w:rPr>
              <w:fldChar w:fldCharType="separate"/>
            </w:r>
            <w:r w:rsidR="001C1AAC">
              <w:t>(</w:t>
            </w:r>
            <w:r w:rsidR="001C1AAC">
              <w:rPr>
                <w:i/>
                <w:iCs/>
              </w:rPr>
              <w:t>140</w:t>
            </w:r>
            <w:r w:rsidR="001C1AAC">
              <w:t>)</w:t>
            </w:r>
            <w:r>
              <w:rPr>
                <w:rFonts w:asciiTheme="minorHAnsi" w:hAnsiTheme="minorHAnsi" w:cstheme="minorHAnsi"/>
              </w:rPr>
              <w:fldChar w:fldCharType="end"/>
            </w:r>
          </w:p>
        </w:tc>
      </w:tr>
      <w:tr w:rsidR="00A7753D" w:rsidRPr="00E148D7" w14:paraId="07E080E4" w14:textId="77777777" w:rsidTr="00D057D7">
        <w:trPr>
          <w:trHeight w:val="320"/>
        </w:trPr>
        <w:tc>
          <w:tcPr>
            <w:tcW w:w="236" w:type="dxa"/>
            <w:shd w:val="clear" w:color="auto" w:fill="auto"/>
            <w:noWrap/>
            <w:vAlign w:val="center"/>
            <w:hideMark/>
          </w:tcPr>
          <w:p w14:paraId="2B52B674" w14:textId="77777777" w:rsidR="00A7753D" w:rsidRPr="00E148D7" w:rsidRDefault="00A7753D" w:rsidP="00D057D7">
            <w:pPr>
              <w:pStyle w:val="Tables"/>
              <w:rPr>
                <w:rFonts w:asciiTheme="minorHAnsi" w:hAnsiTheme="minorHAnsi" w:cstheme="minorHAnsi"/>
              </w:rPr>
            </w:pPr>
            <w:r w:rsidRPr="00E148D7">
              <w:rPr>
                <w:rFonts w:asciiTheme="minorHAnsi" w:hAnsiTheme="minorHAnsi" w:cstheme="minorHAnsi"/>
              </w:rPr>
              <w:t>CWE</w:t>
            </w:r>
          </w:p>
        </w:tc>
        <w:tc>
          <w:tcPr>
            <w:tcW w:w="236" w:type="dxa"/>
            <w:shd w:val="clear" w:color="auto" w:fill="auto"/>
            <w:vAlign w:val="bottom"/>
            <w:hideMark/>
          </w:tcPr>
          <w:p w14:paraId="1F2E3B30" w14:textId="77777777" w:rsidR="00A7753D" w:rsidRPr="00E148D7" w:rsidRDefault="00A7753D" w:rsidP="00E148D7">
            <w:pPr>
              <w:pStyle w:val="Tables"/>
              <w:rPr>
                <w:rFonts w:asciiTheme="minorHAnsi" w:hAnsiTheme="minorHAnsi" w:cstheme="minorHAnsi"/>
                <w:color w:val="111111"/>
              </w:rPr>
            </w:pPr>
            <w:r w:rsidRPr="00E148D7">
              <w:rPr>
                <w:rFonts w:asciiTheme="minorHAnsi" w:hAnsiTheme="minorHAnsi" w:cstheme="minorHAnsi"/>
                <w:color w:val="111111"/>
              </w:rPr>
              <w:t xml:space="preserve">Cell wall ethanol </w:t>
            </w:r>
          </w:p>
        </w:tc>
        <w:tc>
          <w:tcPr>
            <w:tcW w:w="236" w:type="dxa"/>
            <w:shd w:val="clear" w:color="auto" w:fill="auto"/>
            <w:noWrap/>
            <w:vAlign w:val="bottom"/>
            <w:hideMark/>
          </w:tcPr>
          <w:p w14:paraId="4BA15902" w14:textId="46738369" w:rsidR="00A7753D" w:rsidRPr="00E148D7" w:rsidRDefault="00A7753D" w:rsidP="00E148D7">
            <w:pPr>
              <w:pStyle w:val="Tables"/>
              <w:rPr>
                <w:rFonts w:asciiTheme="minorHAnsi" w:hAnsiTheme="minorHAnsi" w:cstheme="minorHAnsi"/>
              </w:rPr>
            </w:pPr>
            <w:r>
              <w:rPr>
                <w:rFonts w:asciiTheme="minorHAnsi" w:hAnsiTheme="minorHAnsi" w:cstheme="minorHAnsi"/>
              </w:rPr>
              <w:fldChar w:fldCharType="begin"/>
            </w:r>
            <w:r w:rsidR="00807999">
              <w:rPr>
                <w:rFonts w:asciiTheme="minorHAnsi" w:hAnsiTheme="minorHAnsi" w:cstheme="minorHAnsi"/>
              </w:rPr>
              <w:instrText xml:space="preserve"> ADDIN PAPERS2_CITATIONS &lt;citation&gt;&lt;uuid&gt;94BEEDFD-C034-4E00-BB1A-4D93BA78E80A&lt;/uuid&gt;&lt;priority&gt;0&lt;/priority&gt;&lt;publications&gt;&lt;publication&gt;&lt;uuid&gt;93C97861-B53D-446A-8CC8-C2BD026AD337&lt;/uuid&gt;&lt;volume&gt;4&lt;/volume&gt;&lt;doi&gt;10.1007/s12155-010-9104-4&lt;/doi&gt;&lt;startpage&gt;96&lt;/startpage&gt;&lt;publication_date&gt;99201008211200000000222000&lt;/publication_date&gt;&lt;url&gt;http://link.springer.com/10.1007/s12155-010-9104-4&lt;/url&gt;&lt;citekey&gt;Vogel:2011bw&lt;/citekey&gt;&lt;type&gt;400&lt;/type&gt;&lt;title&gt;Quantifying Actual and Theoretical Ethanol Yields for Switchgrass Strains Using NIRS Analyses&lt;/title&gt;&lt;number&gt;2&lt;/number&gt;&lt;subtype&gt;400&lt;/subtype&gt;&lt;endpage&gt;110&lt;/endpage&gt;&lt;bundle&gt;&lt;publication&gt;&lt;publisher&gt;Springer US&lt;/publisher&gt;&lt;title&gt;BioEnergy Research&lt;/title&gt;&lt;type&gt;-100&lt;/type&gt;&lt;subtype&gt;-100&lt;/subtype&gt;&lt;uuid&gt;10F75356-9E4C-4774-98A2-0C658827ED32&lt;/uuid&gt;&lt;/publication&gt;&lt;/bundle&gt;&lt;authors&gt;&lt;author&gt;&lt;firstName&gt;Kenneth&lt;/firstName&gt;&lt;middleNames&gt;P&lt;/middleNames&gt;&lt;lastName&gt;Vogel&lt;/lastName&gt;&lt;/author&gt;&lt;author&gt;&lt;firstName&gt;Bruce&lt;/firstName&gt;&lt;middleNames&gt;S&lt;/middleNames&gt;&lt;lastName&gt;Dien&lt;/lastName&gt;&lt;/author&gt;&lt;author&gt;&lt;firstName&gt;Hans&lt;/firstName&gt;&lt;middleNames&gt;G&lt;/middleNames&gt;&lt;lastName&gt;Jung&lt;/lastName&gt;&lt;/author&gt;&lt;author&gt;&lt;firstName&gt;Michael&lt;/firstName&gt;&lt;middleNames&gt;D&lt;/middleNames&gt;&lt;lastName&gt;Casler&lt;/lastName&gt;&lt;/author&gt;&lt;author&gt;&lt;firstName&gt;Steven&lt;/firstName&gt;&lt;middleNames&gt;D&lt;/middleNames&gt;&lt;lastName&gt;Masterson&lt;/lastName&gt;&lt;/author&gt;&lt;author&gt;&lt;firstName&gt;Robert&lt;/firstName&gt;&lt;middleNames&gt;B&lt;/middleNames&gt;&lt;lastName&gt;Mitchell&lt;/lastName&gt;&lt;/author&gt;&lt;/authors&gt;&lt;/publication&gt;&lt;/publications&gt;&lt;cites&gt;&lt;/cites&gt;&lt;/citation&gt;</w:instrText>
            </w:r>
            <w:r>
              <w:rPr>
                <w:rFonts w:asciiTheme="minorHAnsi" w:hAnsiTheme="minorHAnsi" w:cstheme="minorHAnsi"/>
              </w:rPr>
              <w:fldChar w:fldCharType="separate"/>
            </w:r>
            <w:r w:rsidR="001C1AAC">
              <w:t>(</w:t>
            </w:r>
            <w:r w:rsidR="001C1AAC">
              <w:rPr>
                <w:i/>
                <w:iCs/>
              </w:rPr>
              <w:t>140</w:t>
            </w:r>
            <w:r w:rsidR="001C1AAC">
              <w:t>)</w:t>
            </w:r>
            <w:r>
              <w:rPr>
                <w:rFonts w:asciiTheme="minorHAnsi" w:hAnsiTheme="minorHAnsi" w:cstheme="minorHAnsi"/>
              </w:rPr>
              <w:fldChar w:fldCharType="end"/>
            </w:r>
          </w:p>
        </w:tc>
      </w:tr>
      <w:tr w:rsidR="00A7753D" w:rsidRPr="00E148D7" w14:paraId="098C4247" w14:textId="77777777" w:rsidTr="00D057D7">
        <w:trPr>
          <w:trHeight w:val="640"/>
        </w:trPr>
        <w:tc>
          <w:tcPr>
            <w:tcW w:w="236" w:type="dxa"/>
            <w:shd w:val="clear" w:color="auto" w:fill="auto"/>
            <w:noWrap/>
            <w:vAlign w:val="center"/>
            <w:hideMark/>
          </w:tcPr>
          <w:p w14:paraId="4ABD522A" w14:textId="77777777" w:rsidR="00A7753D" w:rsidRPr="00E148D7" w:rsidRDefault="00A7753D" w:rsidP="00D057D7">
            <w:pPr>
              <w:pStyle w:val="Tables"/>
              <w:rPr>
                <w:rFonts w:asciiTheme="minorHAnsi" w:hAnsiTheme="minorHAnsi" w:cstheme="minorHAnsi"/>
              </w:rPr>
            </w:pPr>
            <w:r w:rsidRPr="00E148D7">
              <w:rPr>
                <w:rFonts w:asciiTheme="minorHAnsi" w:hAnsiTheme="minorHAnsi" w:cstheme="minorHAnsi"/>
              </w:rPr>
              <w:t>CWEP</w:t>
            </w:r>
          </w:p>
        </w:tc>
        <w:tc>
          <w:tcPr>
            <w:tcW w:w="236" w:type="dxa"/>
            <w:shd w:val="clear" w:color="auto" w:fill="auto"/>
            <w:vAlign w:val="bottom"/>
            <w:hideMark/>
          </w:tcPr>
          <w:p w14:paraId="5C05FCF5" w14:textId="77777777" w:rsidR="00A7753D" w:rsidRPr="00E148D7" w:rsidRDefault="00A7753D" w:rsidP="00E148D7">
            <w:pPr>
              <w:pStyle w:val="Tables"/>
              <w:rPr>
                <w:rFonts w:asciiTheme="minorHAnsi" w:hAnsiTheme="minorHAnsi" w:cstheme="minorHAnsi"/>
                <w:color w:val="111111"/>
              </w:rPr>
            </w:pPr>
            <w:r w:rsidRPr="00E148D7">
              <w:rPr>
                <w:rFonts w:asciiTheme="minorHAnsi" w:hAnsiTheme="minorHAnsi" w:cstheme="minorHAnsi"/>
                <w:color w:val="111111"/>
              </w:rPr>
              <w:t>Theoretical ethanol conversion efficiency from cell wall hexosans</w:t>
            </w:r>
          </w:p>
        </w:tc>
        <w:tc>
          <w:tcPr>
            <w:tcW w:w="236" w:type="dxa"/>
            <w:shd w:val="clear" w:color="auto" w:fill="auto"/>
            <w:noWrap/>
            <w:vAlign w:val="bottom"/>
            <w:hideMark/>
          </w:tcPr>
          <w:p w14:paraId="6CC62BD4" w14:textId="03E02A63" w:rsidR="00A7753D" w:rsidRPr="00E148D7" w:rsidRDefault="00A7753D" w:rsidP="00E148D7">
            <w:pPr>
              <w:pStyle w:val="Tables"/>
              <w:rPr>
                <w:rFonts w:asciiTheme="minorHAnsi" w:hAnsiTheme="minorHAnsi" w:cstheme="minorHAnsi"/>
              </w:rPr>
            </w:pPr>
            <w:r>
              <w:rPr>
                <w:rFonts w:asciiTheme="minorHAnsi" w:hAnsiTheme="minorHAnsi" w:cstheme="minorHAnsi"/>
              </w:rPr>
              <w:fldChar w:fldCharType="begin"/>
            </w:r>
            <w:r w:rsidR="00807999">
              <w:rPr>
                <w:rFonts w:asciiTheme="minorHAnsi" w:hAnsiTheme="minorHAnsi" w:cstheme="minorHAnsi"/>
              </w:rPr>
              <w:instrText xml:space="preserve"> ADDIN PAPERS2_CITATIONS &lt;citation&gt;&lt;uuid&gt;A70925E1-FE12-49A3-828B-9115208DEDF3&lt;/uuid&gt;&lt;priority&gt;0&lt;/priority&gt;&lt;publications&gt;&lt;publication&gt;&lt;uuid&gt;93C97861-B53D-446A-8CC8-C2BD026AD337&lt;/uuid&gt;&lt;volume&gt;4&lt;/volume&gt;&lt;doi&gt;10.1007/s12155-010-9104-4&lt;/doi&gt;&lt;startpage&gt;96&lt;/startpage&gt;&lt;publication_date&gt;99201008211200000000222000&lt;/publication_date&gt;&lt;url&gt;http://link.springer.com/10.1007/s12155-010-9104-4&lt;/url&gt;&lt;citekey&gt;Vogel:2011bw&lt;/citekey&gt;&lt;type&gt;400&lt;/type&gt;&lt;title&gt;Quantifying Actual and Theoretical Ethanol Yields for Switchgrass Strains Using NIRS Analyses&lt;/title&gt;&lt;number&gt;2&lt;/number&gt;&lt;subtype&gt;400&lt;/subtype&gt;&lt;endpage&gt;110&lt;/endpage&gt;&lt;bundle&gt;&lt;publication&gt;&lt;publisher&gt;Springer US&lt;/publisher&gt;&lt;title&gt;BioEnergy Research&lt;/title&gt;&lt;type&gt;-100&lt;/type&gt;&lt;subtype&gt;-100&lt;/subtype&gt;&lt;uuid&gt;10F75356-9E4C-4774-98A2-0C658827ED32&lt;/uuid&gt;&lt;/publication&gt;&lt;/bundle&gt;&lt;authors&gt;&lt;author&gt;&lt;firstName&gt;Kenneth&lt;/firstName&gt;&lt;middleNames&gt;P&lt;/middleNames&gt;&lt;lastName&gt;Vogel&lt;/lastName&gt;&lt;/author&gt;&lt;author&gt;&lt;firstName&gt;Bruce&lt;/firstName&gt;&lt;middleNames&gt;S&lt;/middleNames&gt;&lt;lastName&gt;Dien&lt;/lastName&gt;&lt;/author&gt;&lt;author&gt;&lt;firstName&gt;Hans&lt;/firstName&gt;&lt;middleNames&gt;G&lt;/middleNames&gt;&lt;lastName&gt;Jung&lt;/lastName&gt;&lt;/author&gt;&lt;author&gt;&lt;firstName&gt;Michael&lt;/firstName&gt;&lt;middleNames&gt;D&lt;/middleNames&gt;&lt;lastName&gt;Casler&lt;/lastName&gt;&lt;/author&gt;&lt;author&gt;&lt;firstName&gt;Steven&lt;/firstName&gt;&lt;middleNames&gt;D&lt;/middleNames&gt;&lt;lastName&gt;Masterson&lt;/lastName&gt;&lt;/author&gt;&lt;author&gt;&lt;firstName&gt;Robert&lt;/firstName&gt;&lt;middleNames&gt;B&lt;/middleNames&gt;&lt;lastName&gt;Mitchell&lt;/lastName&gt;&lt;/author&gt;&lt;/authors&gt;&lt;/publication&gt;&lt;/publications&gt;&lt;cites&gt;&lt;/cites&gt;&lt;/citation&gt;</w:instrText>
            </w:r>
            <w:r>
              <w:rPr>
                <w:rFonts w:asciiTheme="minorHAnsi" w:hAnsiTheme="minorHAnsi" w:cstheme="minorHAnsi"/>
              </w:rPr>
              <w:fldChar w:fldCharType="separate"/>
            </w:r>
            <w:r w:rsidR="001C1AAC">
              <w:t>(</w:t>
            </w:r>
            <w:r w:rsidR="001C1AAC">
              <w:rPr>
                <w:i/>
                <w:iCs/>
              </w:rPr>
              <w:t>140</w:t>
            </w:r>
            <w:r w:rsidR="001C1AAC">
              <w:t>)</w:t>
            </w:r>
            <w:r>
              <w:rPr>
                <w:rFonts w:asciiTheme="minorHAnsi" w:hAnsiTheme="minorHAnsi" w:cstheme="minorHAnsi"/>
              </w:rPr>
              <w:fldChar w:fldCharType="end"/>
            </w:r>
          </w:p>
        </w:tc>
      </w:tr>
      <w:tr w:rsidR="00A7753D" w:rsidRPr="00E148D7" w14:paraId="17402EAB" w14:textId="77777777" w:rsidTr="004470C5">
        <w:trPr>
          <w:trHeight w:val="320"/>
        </w:trPr>
        <w:tc>
          <w:tcPr>
            <w:tcW w:w="236" w:type="dxa"/>
            <w:shd w:val="clear" w:color="auto" w:fill="auto"/>
            <w:noWrap/>
            <w:vAlign w:val="bottom"/>
            <w:hideMark/>
          </w:tcPr>
          <w:p w14:paraId="64D764C0" w14:textId="77777777" w:rsidR="00A7753D" w:rsidRPr="00E148D7" w:rsidRDefault="00A7753D" w:rsidP="00E148D7">
            <w:pPr>
              <w:pStyle w:val="Tables"/>
              <w:rPr>
                <w:rFonts w:asciiTheme="minorHAnsi" w:hAnsiTheme="minorHAnsi" w:cstheme="minorHAnsi"/>
              </w:rPr>
            </w:pPr>
            <w:r w:rsidRPr="00E148D7">
              <w:rPr>
                <w:rFonts w:asciiTheme="minorHAnsi" w:hAnsiTheme="minorHAnsi" w:cstheme="minorHAnsi"/>
              </w:rPr>
              <w:t>DM</w:t>
            </w:r>
          </w:p>
        </w:tc>
        <w:tc>
          <w:tcPr>
            <w:tcW w:w="236" w:type="dxa"/>
            <w:shd w:val="clear" w:color="auto" w:fill="auto"/>
            <w:vAlign w:val="bottom"/>
            <w:hideMark/>
          </w:tcPr>
          <w:p w14:paraId="3640F41D" w14:textId="77777777" w:rsidR="00A7753D" w:rsidRPr="00E148D7" w:rsidRDefault="00A7753D" w:rsidP="00E148D7">
            <w:pPr>
              <w:pStyle w:val="Tables"/>
              <w:rPr>
                <w:rFonts w:asciiTheme="minorHAnsi" w:hAnsiTheme="minorHAnsi" w:cstheme="minorHAnsi"/>
                <w:color w:val="111111"/>
              </w:rPr>
            </w:pPr>
            <w:r w:rsidRPr="00E148D7">
              <w:rPr>
                <w:rFonts w:asciiTheme="minorHAnsi" w:hAnsiTheme="minorHAnsi" w:cstheme="minorHAnsi"/>
                <w:color w:val="111111"/>
              </w:rPr>
              <w:t>Dry Matter</w:t>
            </w:r>
          </w:p>
        </w:tc>
        <w:tc>
          <w:tcPr>
            <w:tcW w:w="236" w:type="dxa"/>
            <w:shd w:val="clear" w:color="auto" w:fill="auto"/>
            <w:noWrap/>
            <w:vAlign w:val="bottom"/>
            <w:hideMark/>
          </w:tcPr>
          <w:p w14:paraId="74E1D89E" w14:textId="4000993E" w:rsidR="00A7753D" w:rsidRPr="00E148D7" w:rsidRDefault="00A7753D" w:rsidP="00E148D7">
            <w:pPr>
              <w:pStyle w:val="Tables"/>
              <w:rPr>
                <w:rFonts w:asciiTheme="minorHAnsi" w:hAnsiTheme="minorHAnsi" w:cstheme="minorHAnsi"/>
              </w:rPr>
            </w:pPr>
            <w:r>
              <w:rPr>
                <w:rFonts w:asciiTheme="minorHAnsi" w:hAnsiTheme="minorHAnsi" w:cstheme="minorHAnsi"/>
              </w:rPr>
              <w:fldChar w:fldCharType="begin"/>
            </w:r>
            <w:r w:rsidR="00807999">
              <w:rPr>
                <w:rFonts w:asciiTheme="minorHAnsi" w:hAnsiTheme="minorHAnsi" w:cstheme="minorHAnsi"/>
              </w:rPr>
              <w:instrText xml:space="preserve"> ADDIN PAPERS2_CITATIONS &lt;citation&gt;&lt;uuid&gt;BE4A763A-A928-4513-95A3-6169B2B912DC&lt;/uuid&gt;&lt;priority&gt;0&lt;/priority&gt;&lt;publications&gt;&lt;publication&gt;&lt;uuid&gt;93C97861-B53D-446A-8CC8-C2BD026AD337&lt;/uuid&gt;&lt;volume&gt;4&lt;/volume&gt;&lt;doi&gt;10.1007/s12155-010-9104-4&lt;/doi&gt;&lt;startpage&gt;96&lt;/startpage&gt;&lt;publication_date&gt;99201008211200000000222000&lt;/publication_date&gt;&lt;url&gt;http://link.springer.com/10.1007/s12155-010-9104-4&lt;/url&gt;&lt;citekey&gt;Vogel:2011bw&lt;/citekey&gt;&lt;type&gt;400&lt;/type&gt;&lt;title&gt;Quantifying Actual and Theoretical Ethanol Yields for Switchgrass Strains Using NIRS Analyses&lt;/title&gt;&lt;number&gt;2&lt;/number&gt;&lt;subtype&gt;400&lt;/subtype&gt;&lt;endpage&gt;110&lt;/endpage&gt;&lt;bundle&gt;&lt;publication&gt;&lt;publisher&gt;Springer US&lt;/publisher&gt;&lt;title&gt;BioEnergy Research&lt;/title&gt;&lt;type&gt;-100&lt;/type&gt;&lt;subtype&gt;-100&lt;/subtype&gt;&lt;uuid&gt;10F75356-9E4C-4774-98A2-0C658827ED32&lt;/uuid&gt;&lt;/publication&gt;&lt;/bundle&gt;&lt;authors&gt;&lt;author&gt;&lt;firstName&gt;Kenneth&lt;/firstName&gt;&lt;middleNames&gt;P&lt;/middleNames&gt;&lt;lastName&gt;Vogel&lt;/lastName&gt;&lt;/author&gt;&lt;author&gt;&lt;firstName&gt;Bruce&lt;/firstName&gt;&lt;middleNames&gt;S&lt;/middleNames&gt;&lt;lastName&gt;Dien&lt;/lastName&gt;&lt;/author&gt;&lt;author&gt;&lt;firstName&gt;Hans&lt;/firstName&gt;&lt;middleNames&gt;G&lt;/middleNames&gt;&lt;lastName&gt;Jung&lt;/lastName&gt;&lt;/author&gt;&lt;author&gt;&lt;firstName&gt;Michael&lt;/firstName&gt;&lt;middleNames&gt;D&lt;/middleNames&gt;&lt;lastName&gt;Casler&lt;/lastName&gt;&lt;/author&gt;&lt;author&gt;&lt;firstName&gt;Steven&lt;/firstName&gt;&lt;middleNames&gt;D&lt;/middleNames&gt;&lt;lastName&gt;Masterson&lt;/lastName&gt;&lt;/author&gt;&lt;author&gt;&lt;firstName&gt;Robert&lt;/firstName&gt;&lt;middleNames&gt;B&lt;/middleNames&gt;&lt;lastName&gt;Mitchell&lt;/lastName&gt;&lt;/author&gt;&lt;/authors&gt;&lt;/publication&gt;&lt;/publications&gt;&lt;cites&gt;&lt;/cites&gt;&lt;/citation&gt;</w:instrText>
            </w:r>
            <w:r>
              <w:rPr>
                <w:rFonts w:asciiTheme="minorHAnsi" w:hAnsiTheme="minorHAnsi" w:cstheme="minorHAnsi"/>
              </w:rPr>
              <w:fldChar w:fldCharType="separate"/>
            </w:r>
            <w:r w:rsidR="001C1AAC">
              <w:t>(</w:t>
            </w:r>
            <w:r w:rsidR="001C1AAC">
              <w:rPr>
                <w:i/>
                <w:iCs/>
              </w:rPr>
              <w:t>140</w:t>
            </w:r>
            <w:r w:rsidR="001C1AAC">
              <w:t>)</w:t>
            </w:r>
            <w:r>
              <w:rPr>
                <w:rFonts w:asciiTheme="minorHAnsi" w:hAnsiTheme="minorHAnsi" w:cstheme="minorHAnsi"/>
              </w:rPr>
              <w:fldChar w:fldCharType="end"/>
            </w:r>
          </w:p>
        </w:tc>
      </w:tr>
      <w:tr w:rsidR="00A7753D" w:rsidRPr="00E148D7" w14:paraId="7D19C312" w14:textId="77777777" w:rsidTr="004470C5">
        <w:trPr>
          <w:trHeight w:val="320"/>
        </w:trPr>
        <w:tc>
          <w:tcPr>
            <w:tcW w:w="236" w:type="dxa"/>
            <w:shd w:val="clear" w:color="auto" w:fill="auto"/>
            <w:noWrap/>
            <w:vAlign w:val="bottom"/>
            <w:hideMark/>
          </w:tcPr>
          <w:p w14:paraId="144B26F9" w14:textId="77777777" w:rsidR="00A7753D" w:rsidRPr="00E148D7" w:rsidRDefault="00A7753D" w:rsidP="00E148D7">
            <w:pPr>
              <w:pStyle w:val="Tables"/>
              <w:rPr>
                <w:rFonts w:asciiTheme="minorHAnsi" w:hAnsiTheme="minorHAnsi" w:cstheme="minorHAnsi"/>
              </w:rPr>
            </w:pPr>
            <w:r w:rsidRPr="00E148D7">
              <w:rPr>
                <w:rFonts w:asciiTheme="minorHAnsi" w:hAnsiTheme="minorHAnsi" w:cstheme="minorHAnsi"/>
              </w:rPr>
              <w:t>DM.forage</w:t>
            </w:r>
          </w:p>
        </w:tc>
        <w:tc>
          <w:tcPr>
            <w:tcW w:w="236" w:type="dxa"/>
            <w:shd w:val="clear" w:color="auto" w:fill="auto"/>
            <w:vAlign w:val="bottom"/>
            <w:hideMark/>
          </w:tcPr>
          <w:p w14:paraId="2222D18F" w14:textId="77777777" w:rsidR="00A7753D" w:rsidRPr="00E148D7" w:rsidRDefault="00A7753D" w:rsidP="00E148D7">
            <w:pPr>
              <w:pStyle w:val="Tables"/>
              <w:rPr>
                <w:rFonts w:asciiTheme="minorHAnsi" w:hAnsiTheme="minorHAnsi" w:cstheme="minorHAnsi"/>
                <w:color w:val="111111"/>
              </w:rPr>
            </w:pPr>
            <w:r w:rsidRPr="00E148D7">
              <w:rPr>
                <w:rFonts w:asciiTheme="minorHAnsi" w:hAnsiTheme="minorHAnsi" w:cstheme="minorHAnsi"/>
                <w:color w:val="111111"/>
              </w:rPr>
              <w:t>Dry Matter (Forage equation)</w:t>
            </w:r>
          </w:p>
        </w:tc>
        <w:tc>
          <w:tcPr>
            <w:tcW w:w="236" w:type="dxa"/>
            <w:shd w:val="clear" w:color="auto" w:fill="auto"/>
            <w:noWrap/>
            <w:vAlign w:val="bottom"/>
            <w:hideMark/>
          </w:tcPr>
          <w:p w14:paraId="2CCE3025" w14:textId="3E6F3E60" w:rsidR="00A7753D" w:rsidRPr="00E148D7" w:rsidRDefault="00A7753D" w:rsidP="00E148D7">
            <w:pPr>
              <w:pStyle w:val="Tables"/>
              <w:rPr>
                <w:rFonts w:asciiTheme="minorHAnsi" w:hAnsiTheme="minorHAnsi" w:cstheme="minorHAnsi"/>
              </w:rPr>
            </w:pPr>
            <w:r>
              <w:rPr>
                <w:rFonts w:asciiTheme="minorHAnsi" w:hAnsiTheme="minorHAnsi" w:cstheme="minorHAnsi"/>
              </w:rPr>
              <w:fldChar w:fldCharType="begin"/>
            </w:r>
            <w:r w:rsidR="00807999">
              <w:rPr>
                <w:rFonts w:asciiTheme="minorHAnsi" w:hAnsiTheme="minorHAnsi" w:cstheme="minorHAnsi"/>
              </w:rPr>
              <w:instrText xml:space="preserve"> ADDIN PAPERS2_CITATIONS &lt;citation&gt;&lt;uuid&gt;C34824DB-FDAA-4DCE-A5B5-A597AF55AFFD&lt;/uuid&gt;&lt;priority&gt;0&lt;/priority&gt;&lt;publications&gt;&lt;publication&gt;&lt;uuid&gt;93C97861-B53D-446A-8CC8-C2BD026AD337&lt;/uuid&gt;&lt;volume&gt;4&lt;/volume&gt;&lt;doi&gt;10.1007/s12155-010-9104-4&lt;/doi&gt;&lt;startpage&gt;96&lt;/startpage&gt;&lt;publication_date&gt;99201008211200000000222000&lt;/publication_date&gt;&lt;url&gt;http://link.springer.com/10.1007/s12155-010-9104-4&lt;/url&gt;&lt;citekey&gt;Vogel:2011bw&lt;/citekey&gt;&lt;type&gt;400&lt;/type&gt;&lt;title&gt;Quantifying Actual and Theoretical Ethanol Yields for Switchgrass Strains Using NIRS Analyses&lt;/title&gt;&lt;number&gt;2&lt;/number&gt;&lt;subtype&gt;400&lt;/subtype&gt;&lt;endpage&gt;110&lt;/endpage&gt;&lt;bundle&gt;&lt;publication&gt;&lt;publisher&gt;Springer US&lt;/publisher&gt;&lt;title&gt;BioEnergy Research&lt;/title&gt;&lt;type&gt;-100&lt;/type&gt;&lt;subtype&gt;-100&lt;/subtype&gt;&lt;uuid&gt;10F75356-9E4C-4774-98A2-0C658827ED32&lt;/uuid&gt;&lt;/publication&gt;&lt;/bundle&gt;&lt;authors&gt;&lt;author&gt;&lt;firstName&gt;Kenneth&lt;/firstName&gt;&lt;middleNames&gt;P&lt;/middleNames&gt;&lt;lastName&gt;Vogel&lt;/lastName&gt;&lt;/author&gt;&lt;author&gt;&lt;firstName&gt;Bruce&lt;/firstName&gt;&lt;middleNames&gt;S&lt;/middleNames&gt;&lt;lastName&gt;Dien&lt;/lastName&gt;&lt;/author&gt;&lt;author&gt;&lt;firstName&gt;Hans&lt;/firstName&gt;&lt;middleNames&gt;G&lt;/middleNames&gt;&lt;lastName&gt;Jung&lt;/lastName&gt;&lt;/author&gt;&lt;author&gt;&lt;firstName&gt;Michael&lt;/firstName&gt;&lt;middleNames&gt;D&lt;/middleNames&gt;&lt;lastName&gt;Casler&lt;/lastName&gt;&lt;/author&gt;&lt;author&gt;&lt;firstName&gt;Steven&lt;/firstName&gt;&lt;middleNames&gt;D&lt;/middleNames&gt;&lt;lastName&gt;Masterson&lt;/lastName&gt;&lt;/author&gt;&lt;author&gt;&lt;firstName&gt;Robert&lt;/firstName&gt;&lt;middleNames&gt;B&lt;/middleNames&gt;&lt;lastName&gt;Mitchell&lt;/lastName&gt;&lt;/author&gt;&lt;/authors&gt;&lt;/publication&gt;&lt;/publications&gt;&lt;cites&gt;&lt;/cites&gt;&lt;/citation&gt;</w:instrText>
            </w:r>
            <w:r>
              <w:rPr>
                <w:rFonts w:asciiTheme="minorHAnsi" w:hAnsiTheme="minorHAnsi" w:cstheme="minorHAnsi"/>
              </w:rPr>
              <w:fldChar w:fldCharType="separate"/>
            </w:r>
            <w:r w:rsidR="001C1AAC">
              <w:t>(</w:t>
            </w:r>
            <w:r w:rsidR="001C1AAC">
              <w:rPr>
                <w:i/>
                <w:iCs/>
              </w:rPr>
              <w:t>140</w:t>
            </w:r>
            <w:r w:rsidR="001C1AAC">
              <w:t>)</w:t>
            </w:r>
            <w:r>
              <w:rPr>
                <w:rFonts w:asciiTheme="minorHAnsi" w:hAnsiTheme="minorHAnsi" w:cstheme="minorHAnsi"/>
              </w:rPr>
              <w:fldChar w:fldCharType="end"/>
            </w:r>
          </w:p>
        </w:tc>
      </w:tr>
      <w:tr w:rsidR="00A7753D" w:rsidRPr="00E148D7" w14:paraId="57D561DA" w14:textId="77777777" w:rsidTr="004470C5">
        <w:trPr>
          <w:trHeight w:val="350"/>
        </w:trPr>
        <w:tc>
          <w:tcPr>
            <w:tcW w:w="236" w:type="dxa"/>
            <w:shd w:val="clear" w:color="auto" w:fill="auto"/>
            <w:noWrap/>
            <w:vAlign w:val="bottom"/>
            <w:hideMark/>
          </w:tcPr>
          <w:p w14:paraId="605D7C41" w14:textId="77777777" w:rsidR="00A7753D" w:rsidRPr="00E148D7" w:rsidRDefault="00A7753D" w:rsidP="00E148D7">
            <w:pPr>
              <w:pStyle w:val="Tables"/>
              <w:rPr>
                <w:rFonts w:asciiTheme="minorHAnsi" w:hAnsiTheme="minorHAnsi" w:cstheme="minorHAnsi"/>
              </w:rPr>
            </w:pPr>
            <w:r w:rsidRPr="00E148D7">
              <w:rPr>
                <w:rFonts w:asciiTheme="minorHAnsi" w:hAnsiTheme="minorHAnsi" w:cstheme="minorHAnsi"/>
              </w:rPr>
              <w:t>dNDF48</w:t>
            </w:r>
          </w:p>
        </w:tc>
        <w:tc>
          <w:tcPr>
            <w:tcW w:w="236" w:type="dxa"/>
            <w:shd w:val="clear" w:color="auto" w:fill="auto"/>
            <w:vAlign w:val="bottom"/>
            <w:hideMark/>
          </w:tcPr>
          <w:p w14:paraId="7D74A70C" w14:textId="27C37121" w:rsidR="00A7753D" w:rsidRPr="00E148D7" w:rsidRDefault="00735B27" w:rsidP="00E148D7">
            <w:pPr>
              <w:pStyle w:val="Tables"/>
              <w:rPr>
                <w:rFonts w:asciiTheme="minorHAnsi" w:hAnsiTheme="minorHAnsi" w:cstheme="minorHAnsi"/>
              </w:rPr>
            </w:pPr>
            <w:r w:rsidRPr="00735B27">
              <w:rPr>
                <w:rFonts w:asciiTheme="minorHAnsi" w:hAnsiTheme="minorHAnsi" w:cstheme="minorHAnsi"/>
              </w:rPr>
              <w:t>Digestible NDF 48</w:t>
            </w:r>
          </w:p>
        </w:tc>
        <w:tc>
          <w:tcPr>
            <w:tcW w:w="236" w:type="dxa"/>
            <w:shd w:val="clear" w:color="auto" w:fill="auto"/>
            <w:noWrap/>
            <w:vAlign w:val="bottom"/>
            <w:hideMark/>
          </w:tcPr>
          <w:p w14:paraId="7F39649A" w14:textId="2CA900E8" w:rsidR="00A7753D" w:rsidRPr="00E148D7" w:rsidRDefault="00A7753D" w:rsidP="00E148D7">
            <w:pPr>
              <w:pStyle w:val="Tables"/>
              <w:rPr>
                <w:rFonts w:asciiTheme="minorHAnsi" w:hAnsiTheme="minorHAnsi" w:cstheme="minorHAnsi"/>
              </w:rPr>
            </w:pPr>
            <w:r>
              <w:rPr>
                <w:rFonts w:asciiTheme="minorHAnsi" w:hAnsiTheme="minorHAnsi" w:cstheme="minorHAnsi"/>
              </w:rPr>
              <w:fldChar w:fldCharType="begin"/>
            </w:r>
            <w:r w:rsidR="00807999">
              <w:rPr>
                <w:rFonts w:asciiTheme="minorHAnsi" w:hAnsiTheme="minorHAnsi" w:cstheme="minorHAnsi"/>
              </w:rPr>
              <w:instrText xml:space="preserve"> ADDIN PAPERS2_CITATIONS &lt;citation&gt;&lt;uuid&gt;FD073F76-6C41-4B57-B39A-84CFCE15A014&lt;/uuid&gt;&lt;priority&gt;0&lt;/priority&gt;&lt;publications&gt;&lt;publication&gt;&lt;uuid&gt;93C97861-B53D-446A-8CC8-C2BD026AD337&lt;/uuid&gt;&lt;volume&gt;4&lt;/volume&gt;&lt;doi&gt;10.1007/s12155-010-9104-4&lt;/doi&gt;&lt;startpage&gt;96&lt;/startpage&gt;&lt;publication_date&gt;99201008211200000000222000&lt;/publication_date&gt;&lt;url&gt;http://link.springer.com/10.1007/s12155-010-9104-4&lt;/url&gt;&lt;citekey&gt;Vogel:2011bw&lt;/citekey&gt;&lt;type&gt;400&lt;/type&gt;&lt;title&gt;Quantifying Actual and Theoretical Ethanol Yields for Switchgrass Strains Using NIRS Analyses&lt;/title&gt;&lt;number&gt;2&lt;/number&gt;&lt;subtype&gt;400&lt;/subtype&gt;&lt;endpage&gt;110&lt;/endpage&gt;&lt;bundle&gt;&lt;publication&gt;&lt;publisher&gt;Springer US&lt;/publisher&gt;&lt;title&gt;BioEnergy Research&lt;/title&gt;&lt;type&gt;-100&lt;/type&gt;&lt;subtype&gt;-100&lt;/subtype&gt;&lt;uuid&gt;10F75356-9E4C-4774-98A2-0C658827ED32&lt;/uuid&gt;&lt;/publication&gt;&lt;/bundle&gt;&lt;authors&gt;&lt;author&gt;&lt;firstName&gt;Kenneth&lt;/firstName&gt;&lt;middleNames&gt;P&lt;/middleNames&gt;&lt;lastName&gt;Vogel&lt;/lastName&gt;&lt;/author&gt;&lt;author&gt;&lt;firstName&gt;Bruce&lt;/firstName&gt;&lt;middleNames&gt;S&lt;/middleNames&gt;&lt;lastName&gt;Dien&lt;/lastName&gt;&lt;/author&gt;&lt;author&gt;&lt;firstName&gt;Hans&lt;/firstName&gt;&lt;middleNames&gt;G&lt;/middleNames&gt;&lt;lastName&gt;Jung&lt;/lastName&gt;&lt;/author&gt;&lt;author&gt;&lt;firstName&gt;Michael&lt;/firstName&gt;&lt;middleNames&gt;D&lt;/middleNames&gt;&lt;lastName&gt;Casler&lt;/lastName&gt;&lt;/author&gt;&lt;author&gt;&lt;firstName&gt;Steven&lt;/firstName&gt;&lt;middleNames&gt;D&lt;/middleNames&gt;&lt;lastName&gt;Masterson&lt;/lastName&gt;&lt;/author&gt;&lt;author&gt;&lt;firstName&gt;Robert&lt;/firstName&gt;&lt;middleNames&gt;B&lt;/middleNames&gt;&lt;lastName&gt;Mitchell&lt;/lastName&gt;&lt;/author&gt;&lt;/authors&gt;&lt;/publication&gt;&lt;/publications&gt;&lt;cites&gt;&lt;/cites&gt;&lt;/citation&gt;</w:instrText>
            </w:r>
            <w:r>
              <w:rPr>
                <w:rFonts w:asciiTheme="minorHAnsi" w:hAnsiTheme="minorHAnsi" w:cstheme="minorHAnsi"/>
              </w:rPr>
              <w:fldChar w:fldCharType="separate"/>
            </w:r>
            <w:r w:rsidR="001C1AAC">
              <w:t>(</w:t>
            </w:r>
            <w:r w:rsidR="001C1AAC">
              <w:rPr>
                <w:i/>
                <w:iCs/>
              </w:rPr>
              <w:t>140</w:t>
            </w:r>
            <w:r w:rsidR="001C1AAC">
              <w:t>)</w:t>
            </w:r>
            <w:r>
              <w:rPr>
                <w:rFonts w:asciiTheme="minorHAnsi" w:hAnsiTheme="minorHAnsi" w:cstheme="minorHAnsi"/>
              </w:rPr>
              <w:fldChar w:fldCharType="end"/>
            </w:r>
          </w:p>
        </w:tc>
      </w:tr>
      <w:tr w:rsidR="00E148D7" w:rsidRPr="00E148D7" w14:paraId="30BB44EE" w14:textId="77777777" w:rsidTr="004470C5">
        <w:trPr>
          <w:trHeight w:val="320"/>
        </w:trPr>
        <w:tc>
          <w:tcPr>
            <w:tcW w:w="236" w:type="dxa"/>
            <w:shd w:val="clear" w:color="auto" w:fill="auto"/>
            <w:noWrap/>
            <w:vAlign w:val="bottom"/>
            <w:hideMark/>
          </w:tcPr>
          <w:p w14:paraId="3017D66B" w14:textId="77777777" w:rsidR="00C4470F" w:rsidRPr="00E148D7" w:rsidRDefault="00C4470F" w:rsidP="00E148D7">
            <w:pPr>
              <w:pStyle w:val="Tables"/>
              <w:rPr>
                <w:rFonts w:asciiTheme="minorHAnsi" w:hAnsiTheme="minorHAnsi" w:cstheme="minorHAnsi"/>
              </w:rPr>
            </w:pPr>
            <w:r w:rsidRPr="00E148D7">
              <w:rPr>
                <w:rFonts w:asciiTheme="minorHAnsi" w:hAnsiTheme="minorHAnsi" w:cstheme="minorHAnsi"/>
              </w:rPr>
              <w:t>dNDF48.forage</w:t>
            </w:r>
          </w:p>
        </w:tc>
        <w:tc>
          <w:tcPr>
            <w:tcW w:w="236" w:type="dxa"/>
            <w:shd w:val="clear" w:color="auto" w:fill="auto"/>
            <w:vAlign w:val="bottom"/>
            <w:hideMark/>
          </w:tcPr>
          <w:p w14:paraId="1D8981C4" w14:textId="70D267F1" w:rsidR="00C4470F" w:rsidRPr="00E148D7" w:rsidRDefault="00735B27" w:rsidP="00E148D7">
            <w:pPr>
              <w:pStyle w:val="Tables"/>
              <w:rPr>
                <w:rFonts w:asciiTheme="minorHAnsi" w:hAnsiTheme="minorHAnsi" w:cstheme="minorHAnsi"/>
              </w:rPr>
            </w:pPr>
            <w:r w:rsidRPr="00735B27">
              <w:rPr>
                <w:rFonts w:asciiTheme="minorHAnsi" w:hAnsiTheme="minorHAnsi" w:cstheme="minorHAnsi"/>
              </w:rPr>
              <w:t>Digestible NDF 48</w:t>
            </w:r>
            <w:r>
              <w:rPr>
                <w:rFonts w:asciiTheme="minorHAnsi" w:hAnsiTheme="minorHAnsi" w:cstheme="minorHAnsi"/>
              </w:rPr>
              <w:t xml:space="preserve"> (forage equation)</w:t>
            </w:r>
          </w:p>
        </w:tc>
        <w:tc>
          <w:tcPr>
            <w:tcW w:w="236" w:type="dxa"/>
            <w:shd w:val="clear" w:color="auto" w:fill="auto"/>
            <w:noWrap/>
            <w:vAlign w:val="bottom"/>
            <w:hideMark/>
          </w:tcPr>
          <w:p w14:paraId="3F440D33" w14:textId="4BAD8C3C" w:rsidR="00C4470F" w:rsidRPr="00E148D7" w:rsidRDefault="00A7753D" w:rsidP="00E148D7">
            <w:pPr>
              <w:pStyle w:val="Tables"/>
              <w:rPr>
                <w:rFonts w:asciiTheme="minorHAnsi" w:hAnsiTheme="minorHAnsi" w:cstheme="minorHAnsi"/>
              </w:rPr>
            </w:pPr>
            <w:r>
              <w:rPr>
                <w:rFonts w:asciiTheme="minorHAnsi" w:hAnsiTheme="minorHAnsi" w:cstheme="minorHAnsi"/>
              </w:rPr>
              <w:fldChar w:fldCharType="begin"/>
            </w:r>
            <w:r w:rsidR="00807999">
              <w:rPr>
                <w:rFonts w:asciiTheme="minorHAnsi" w:hAnsiTheme="minorHAnsi" w:cstheme="minorHAnsi"/>
              </w:rPr>
              <w:instrText xml:space="preserve"> ADDIN PAPERS2_CITATIONS &lt;citation&gt;&lt;uuid&gt;474BB7F1-5631-4256-978B-C4E7A73E1093&lt;/uuid&gt;&lt;priority&gt;0&lt;/priority&gt;&lt;publications&gt;&lt;publication&gt;&lt;volume&gt;339&lt;/volume&gt;&lt;publication_date&gt;99201004151200000000222000&lt;/publication_date&gt;&lt;number&gt;1-2&lt;/number&gt;&lt;doi&gt;10.1007/s11104-010-0376-4&lt;/doi&gt;&lt;startpage&gt;69&lt;/startpage&gt;&lt;title&gt;Switchgrass for forage and bioenergy: harvest and nitrogen rate effects on biomass yields and nutrient composition&lt;/title&gt;&lt;uuid&gt;D1F74A81-1B28-432B-854D-4742B2C12C0C&lt;/uuid&gt;&lt;subtype&gt;400&lt;/subtype&gt;&lt;endpage&gt;81&lt;/endpage&gt;&lt;type&gt;400&lt;/type&gt;&lt;url&gt;http://link.springer.com/10.1007/s11104-010-0376-4&lt;/url&gt;&lt;bundle&gt;&lt;publication&gt;&lt;title&gt;Plant and Soil&lt;/title&gt;&lt;type&gt;-100&lt;/type&gt;&lt;subtype&gt;-100&lt;/subtype&gt;&lt;uuid&gt;4D2157D4-F2F2-4179-B289-12F735F40749&lt;/uuid&gt;&lt;/publication&gt;&lt;/bundle&gt;&lt;authors&gt;&lt;author&gt;&lt;firstName&gt;John&lt;/firstName&gt;&lt;middleNames&gt;A&lt;/middleNames&gt;&lt;lastName&gt;Guretzky&lt;/lastName&gt;&lt;/author&gt;&lt;author&gt;&lt;firstName&gt;Jon&lt;/firstName&gt;&lt;middleNames&gt;T&lt;/middleNames&gt;&lt;lastName&gt;Biermacher&lt;/lastName&gt;&lt;/author&gt;&lt;author&gt;&lt;firstName&gt;Billy&lt;/firstName&gt;&lt;middleNames&gt;J&lt;/middleNames&gt;&lt;lastName&gt;Cook&lt;/lastName&gt;&lt;/author&gt;&lt;author&gt;&lt;firstName&gt;Maru&lt;/firstName&gt;&lt;middleNames&gt;K&lt;/middleNames&gt;&lt;lastName&gt;Kering&lt;/lastName&gt;&lt;/author&gt;&lt;author&gt;&lt;firstName&gt;Jagadeesh&lt;/firstName&gt;&lt;lastName&gt;Mosali&lt;/lastName&gt;&lt;/author&gt;&lt;/authors&gt;&lt;/publication&gt;&lt;/publications&gt;&lt;cites&gt;&lt;/cites&gt;&lt;/citation&gt;</w:instrText>
            </w:r>
            <w:r>
              <w:rPr>
                <w:rFonts w:asciiTheme="minorHAnsi" w:hAnsiTheme="minorHAnsi" w:cstheme="minorHAnsi"/>
              </w:rPr>
              <w:fldChar w:fldCharType="separate"/>
            </w:r>
            <w:r w:rsidR="001C1AAC">
              <w:t>(</w:t>
            </w:r>
            <w:r w:rsidR="001C1AAC">
              <w:rPr>
                <w:i/>
                <w:iCs/>
              </w:rPr>
              <w:t>141</w:t>
            </w:r>
            <w:r w:rsidR="001C1AAC">
              <w:t>)</w:t>
            </w:r>
            <w:r>
              <w:rPr>
                <w:rFonts w:asciiTheme="minorHAnsi" w:hAnsiTheme="minorHAnsi" w:cstheme="minorHAnsi"/>
              </w:rPr>
              <w:fldChar w:fldCharType="end"/>
            </w:r>
          </w:p>
        </w:tc>
      </w:tr>
      <w:tr w:rsidR="00A7753D" w:rsidRPr="00E148D7" w14:paraId="09668009" w14:textId="77777777" w:rsidTr="004470C5">
        <w:trPr>
          <w:trHeight w:val="320"/>
        </w:trPr>
        <w:tc>
          <w:tcPr>
            <w:tcW w:w="236" w:type="dxa"/>
            <w:shd w:val="clear" w:color="auto" w:fill="auto"/>
            <w:noWrap/>
            <w:vAlign w:val="bottom"/>
          </w:tcPr>
          <w:p w14:paraId="3723D234" w14:textId="7AC1B15B" w:rsidR="00A7753D" w:rsidRPr="00E148D7" w:rsidRDefault="00A7753D" w:rsidP="00E148D7">
            <w:pPr>
              <w:pStyle w:val="Tables"/>
              <w:rPr>
                <w:rFonts w:asciiTheme="minorHAnsi" w:hAnsiTheme="minorHAnsi" w:cstheme="minorHAnsi"/>
              </w:rPr>
            </w:pPr>
            <w:r w:rsidRPr="00E148D7">
              <w:rPr>
                <w:rFonts w:asciiTheme="minorHAnsi" w:hAnsiTheme="minorHAnsi" w:cstheme="minorHAnsi"/>
              </w:rPr>
              <w:t>Dry Matter</w:t>
            </w:r>
          </w:p>
        </w:tc>
        <w:tc>
          <w:tcPr>
            <w:tcW w:w="236" w:type="dxa"/>
            <w:shd w:val="clear" w:color="auto" w:fill="auto"/>
            <w:vAlign w:val="bottom"/>
          </w:tcPr>
          <w:p w14:paraId="7443DD6B" w14:textId="73BDF7D3" w:rsidR="00A7753D" w:rsidRPr="00E148D7" w:rsidRDefault="00A7753D" w:rsidP="00E148D7">
            <w:pPr>
              <w:pStyle w:val="Tables"/>
              <w:rPr>
                <w:rFonts w:asciiTheme="minorHAnsi" w:hAnsiTheme="minorHAnsi" w:cstheme="minorHAnsi"/>
              </w:rPr>
            </w:pPr>
            <w:r w:rsidRPr="00E148D7">
              <w:rPr>
                <w:rFonts w:asciiTheme="minorHAnsi" w:hAnsiTheme="minorHAnsi" w:cstheme="minorHAnsi"/>
                <w:color w:val="111111"/>
              </w:rPr>
              <w:t>Dry Matter</w:t>
            </w:r>
          </w:p>
        </w:tc>
        <w:tc>
          <w:tcPr>
            <w:tcW w:w="236" w:type="dxa"/>
            <w:shd w:val="clear" w:color="auto" w:fill="auto"/>
            <w:noWrap/>
            <w:vAlign w:val="bottom"/>
          </w:tcPr>
          <w:p w14:paraId="6A924B7A" w14:textId="4486CF0F" w:rsidR="00A7753D" w:rsidRPr="00E148D7" w:rsidRDefault="00A7753D" w:rsidP="00E148D7">
            <w:pPr>
              <w:pStyle w:val="Tables"/>
              <w:rPr>
                <w:rFonts w:asciiTheme="minorHAnsi" w:hAnsiTheme="minorHAnsi" w:cstheme="minorHAnsi"/>
              </w:rPr>
            </w:pPr>
            <w:r>
              <w:rPr>
                <w:rFonts w:asciiTheme="minorHAnsi" w:hAnsiTheme="minorHAnsi" w:cstheme="minorHAnsi"/>
              </w:rPr>
              <w:fldChar w:fldCharType="begin"/>
            </w:r>
            <w:r w:rsidR="00807999">
              <w:rPr>
                <w:rFonts w:asciiTheme="minorHAnsi" w:hAnsiTheme="minorHAnsi" w:cstheme="minorHAnsi"/>
              </w:rPr>
              <w:instrText xml:space="preserve"> ADDIN PAPERS2_CITATIONS &lt;citation&gt;&lt;uuid&gt;BDD7CEAA-2826-46C4-A77F-9377B7FDAFC1&lt;/uuid&gt;&lt;priority&gt;0&lt;/priority&gt;&lt;publications&gt;&lt;publication&gt;&lt;uuid&gt;93C97861-B53D-446A-8CC8-C2BD026AD337&lt;/uuid&gt;&lt;volume&gt;4&lt;/volume&gt;&lt;doi&gt;10.1007/s12155-010-9104-4&lt;/doi&gt;&lt;startpage&gt;96&lt;/startpage&gt;&lt;publication_date&gt;99201008211200000000222000&lt;/publication_date&gt;&lt;url&gt;http://link.springer.com/10.1007/s12155-010-9104-4&lt;/url&gt;&lt;citekey&gt;Vogel:2011bw&lt;/citekey&gt;&lt;type&gt;400&lt;/type&gt;&lt;title&gt;Quantifying Actual and Theoretical Ethanol Yields for Switchgrass Strains Using NIRS Analyses&lt;/title&gt;&lt;number&gt;2&lt;/number&gt;&lt;subtype&gt;400&lt;/subtype&gt;&lt;endpage&gt;110&lt;/endpage&gt;&lt;bundle&gt;&lt;publication&gt;&lt;publisher&gt;Springer US&lt;/publisher&gt;&lt;title&gt;BioEnergy Research&lt;/title&gt;&lt;type&gt;-100&lt;/type&gt;&lt;subtype&gt;-100&lt;/subtype&gt;&lt;uuid&gt;10F75356-9E4C-4774-98A2-0C658827ED32&lt;/uuid&gt;&lt;/publication&gt;&lt;/bundle&gt;&lt;authors&gt;&lt;author&gt;&lt;firstName&gt;Kenneth&lt;/firstName&gt;&lt;middleNames&gt;P&lt;/middleNames&gt;&lt;lastName&gt;Vogel&lt;/lastName&gt;&lt;/author&gt;&lt;author&gt;&lt;firstName&gt;Bruce&lt;/firstName&gt;&lt;middleNames&gt;S&lt;/middleNames&gt;&lt;lastName&gt;Dien&lt;/lastName&gt;&lt;/author&gt;&lt;author&gt;&lt;firstName&gt;Hans&lt;/firstName&gt;&lt;middleNames&gt;G&lt;/middleNames&gt;&lt;lastName&gt;Jung&lt;/lastName&gt;&lt;/author&gt;&lt;author&gt;&lt;firstName&gt;Michael&lt;/firstName&gt;&lt;middleNames&gt;D&lt;/middleNames&gt;&lt;lastName&gt;Casler&lt;/lastName&gt;&lt;/author&gt;&lt;author&gt;&lt;firstName&gt;Steven&lt;/firstName&gt;&lt;middleNames&gt;D&lt;/middleNames&gt;&lt;lastName&gt;Masterson&lt;/lastName&gt;&lt;/author&gt;&lt;author&gt;&lt;firstName&gt;Robert&lt;/firstName&gt;&lt;middleNames&gt;B&lt;/middleNames&gt;&lt;lastName&gt;Mitchell&lt;/lastName&gt;&lt;/author&gt;&lt;/authors&gt;&lt;/publication&gt;&lt;/publications&gt;&lt;cites&gt;&lt;/cites&gt;&lt;/citation&gt;</w:instrText>
            </w:r>
            <w:r>
              <w:rPr>
                <w:rFonts w:asciiTheme="minorHAnsi" w:hAnsiTheme="minorHAnsi" w:cstheme="minorHAnsi"/>
              </w:rPr>
              <w:fldChar w:fldCharType="separate"/>
            </w:r>
            <w:r w:rsidR="001C1AAC">
              <w:t>(</w:t>
            </w:r>
            <w:r w:rsidR="001C1AAC">
              <w:rPr>
                <w:i/>
                <w:iCs/>
              </w:rPr>
              <w:t>140</w:t>
            </w:r>
            <w:r w:rsidR="001C1AAC">
              <w:t>)</w:t>
            </w:r>
            <w:r>
              <w:rPr>
                <w:rFonts w:asciiTheme="minorHAnsi" w:hAnsiTheme="minorHAnsi" w:cstheme="minorHAnsi"/>
              </w:rPr>
              <w:fldChar w:fldCharType="end"/>
            </w:r>
          </w:p>
        </w:tc>
      </w:tr>
    </w:tbl>
    <w:p w14:paraId="1746E871" w14:textId="77777777" w:rsidR="00C4470F" w:rsidRDefault="00005839" w:rsidP="00005839">
      <w:pPr>
        <w:pStyle w:val="Caption"/>
        <w:rPr>
          <w:b w:val="0"/>
        </w:rPr>
      </w:pPr>
      <w:bookmarkStart w:id="59" w:name="_Toc449964926"/>
      <w:r w:rsidRPr="00A41AEC">
        <w:t xml:space="preserve">Table </w:t>
      </w:r>
      <w:fldSimple w:instr=" STYLEREF &quot;Chapter&quot; \s ">
        <w:r w:rsidR="00463F52">
          <w:rPr>
            <w:noProof/>
          </w:rPr>
          <w:t>3</w:t>
        </w:r>
      </w:fldSimple>
      <w:r w:rsidRPr="00A41AEC">
        <w:t>.</w:t>
      </w:r>
      <w:fldSimple w:instr=" SEQ Table \r 1 \* ARABIC \s 1 ">
        <w:r w:rsidR="00463F52">
          <w:rPr>
            <w:noProof/>
          </w:rPr>
          <w:t>1</w:t>
        </w:r>
      </w:fldSimple>
      <w:r w:rsidRPr="00A41AEC">
        <w:t xml:space="preserve">. </w:t>
      </w:r>
      <w:r w:rsidR="00A5470C" w:rsidRPr="00A41AEC">
        <w:rPr>
          <w:b w:val="0"/>
        </w:rPr>
        <w:t>Switchgrass compositional features</w:t>
      </w:r>
      <w:r w:rsidRPr="00A41AEC">
        <w:rPr>
          <w:b w:val="0"/>
        </w:rPr>
        <w:t>.</w:t>
      </w:r>
      <w:bookmarkEnd w:id="59"/>
      <w:r>
        <w:rPr>
          <w:b w:val="0"/>
        </w:rPr>
        <w:t xml:space="preserve"> </w:t>
      </w:r>
    </w:p>
    <w:p w14:paraId="6A611F57" w14:textId="2AFC4099" w:rsidR="00CC2472" w:rsidRPr="00CC2472" w:rsidRDefault="00C4470F" w:rsidP="00CC2472">
      <w:pPr>
        <w:pStyle w:val="Caption"/>
        <w:rPr>
          <w:b w:val="0"/>
        </w:rPr>
      </w:pPr>
      <w:r>
        <w:rPr>
          <w:b w:val="0"/>
        </w:rPr>
        <w:t>Continued on following pages.</w:t>
      </w:r>
      <w:r w:rsidR="00CC2472">
        <w:rPr>
          <w:b w:val="0"/>
        </w:rPr>
        <w:br w:type="page"/>
      </w:r>
    </w:p>
    <w:tbl>
      <w:tblPr>
        <w:tblW w:w="8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3"/>
        <w:gridCol w:w="3856"/>
        <w:gridCol w:w="1620"/>
      </w:tblGrid>
      <w:tr w:rsidR="00D77ADB" w:rsidRPr="009A13B8" w14:paraId="1DCC183B" w14:textId="77777777" w:rsidTr="00D77ADB">
        <w:trPr>
          <w:trHeight w:val="320"/>
        </w:trPr>
        <w:tc>
          <w:tcPr>
            <w:tcW w:w="2893" w:type="dxa"/>
            <w:shd w:val="clear" w:color="auto" w:fill="auto"/>
            <w:noWrap/>
            <w:vAlign w:val="bottom"/>
          </w:tcPr>
          <w:p w14:paraId="73217065" w14:textId="68058A43" w:rsidR="009A13B8" w:rsidRPr="007E2349" w:rsidRDefault="009A13B8" w:rsidP="009A13B8">
            <w:pPr>
              <w:pStyle w:val="Tables"/>
              <w:rPr>
                <w:b/>
              </w:rPr>
            </w:pPr>
            <w:r w:rsidRPr="007E2349">
              <w:rPr>
                <w:rFonts w:asciiTheme="minorHAnsi" w:hAnsiTheme="minorHAnsi" w:cstheme="minorHAnsi"/>
                <w:b/>
              </w:rPr>
              <w:lastRenderedPageBreak/>
              <w:t>Variable</w:t>
            </w:r>
          </w:p>
        </w:tc>
        <w:tc>
          <w:tcPr>
            <w:tcW w:w="3856" w:type="dxa"/>
            <w:shd w:val="clear" w:color="auto" w:fill="auto"/>
            <w:vAlign w:val="bottom"/>
          </w:tcPr>
          <w:p w14:paraId="64E1CA33" w14:textId="37962AD2" w:rsidR="009A13B8" w:rsidRPr="007E2349" w:rsidRDefault="009A13B8" w:rsidP="009A13B8">
            <w:pPr>
              <w:pStyle w:val="Tables"/>
              <w:rPr>
                <w:b/>
                <w:color w:val="111111"/>
              </w:rPr>
            </w:pPr>
            <w:r w:rsidRPr="007E2349">
              <w:rPr>
                <w:rFonts w:asciiTheme="minorHAnsi" w:hAnsiTheme="minorHAnsi" w:cstheme="minorHAnsi"/>
                <w:b/>
              </w:rPr>
              <w:t>Description</w:t>
            </w:r>
          </w:p>
        </w:tc>
        <w:tc>
          <w:tcPr>
            <w:tcW w:w="1620" w:type="dxa"/>
            <w:shd w:val="clear" w:color="auto" w:fill="auto"/>
            <w:noWrap/>
            <w:vAlign w:val="bottom"/>
          </w:tcPr>
          <w:p w14:paraId="4516FBF1" w14:textId="16F58525" w:rsidR="009A13B8" w:rsidRPr="007E2349" w:rsidRDefault="009A13B8" w:rsidP="009A13B8">
            <w:pPr>
              <w:pStyle w:val="Tables"/>
              <w:rPr>
                <w:b/>
              </w:rPr>
            </w:pPr>
            <w:r w:rsidRPr="007E2349">
              <w:rPr>
                <w:rFonts w:asciiTheme="minorHAnsi" w:hAnsiTheme="minorHAnsi" w:cstheme="minorHAnsi"/>
                <w:b/>
              </w:rPr>
              <w:t>Source</w:t>
            </w:r>
          </w:p>
        </w:tc>
      </w:tr>
      <w:tr w:rsidR="00D77ADB" w:rsidRPr="009A13B8" w14:paraId="31B7346D" w14:textId="77777777" w:rsidTr="00D77ADB">
        <w:trPr>
          <w:trHeight w:val="320"/>
        </w:trPr>
        <w:tc>
          <w:tcPr>
            <w:tcW w:w="2893" w:type="dxa"/>
            <w:shd w:val="clear" w:color="auto" w:fill="auto"/>
            <w:noWrap/>
            <w:vAlign w:val="bottom"/>
            <w:hideMark/>
          </w:tcPr>
          <w:p w14:paraId="20161504" w14:textId="77777777" w:rsidR="009A13B8" w:rsidRPr="009A13B8" w:rsidRDefault="009A13B8" w:rsidP="009A13B8">
            <w:pPr>
              <w:pStyle w:val="Tables"/>
            </w:pPr>
            <w:r w:rsidRPr="009A13B8">
              <w:t>EE</w:t>
            </w:r>
          </w:p>
        </w:tc>
        <w:tc>
          <w:tcPr>
            <w:tcW w:w="3856" w:type="dxa"/>
            <w:shd w:val="clear" w:color="auto" w:fill="auto"/>
            <w:vAlign w:val="bottom"/>
            <w:hideMark/>
          </w:tcPr>
          <w:p w14:paraId="0A310157" w14:textId="77777777" w:rsidR="009A13B8" w:rsidRPr="009A13B8" w:rsidRDefault="009A13B8" w:rsidP="009A13B8">
            <w:pPr>
              <w:pStyle w:val="Tables"/>
              <w:rPr>
                <w:color w:val="111111"/>
              </w:rPr>
            </w:pPr>
            <w:r w:rsidRPr="009A13B8">
              <w:rPr>
                <w:color w:val="111111"/>
              </w:rPr>
              <w:t>Extracted fat</w:t>
            </w:r>
          </w:p>
        </w:tc>
        <w:tc>
          <w:tcPr>
            <w:tcW w:w="1620" w:type="dxa"/>
            <w:shd w:val="clear" w:color="auto" w:fill="auto"/>
            <w:noWrap/>
            <w:vAlign w:val="bottom"/>
            <w:hideMark/>
          </w:tcPr>
          <w:p w14:paraId="150D13A4" w14:textId="17CE23BA" w:rsidR="009A13B8" w:rsidRPr="009A13B8" w:rsidRDefault="009A13B8" w:rsidP="009A13B8">
            <w:pPr>
              <w:pStyle w:val="Tables"/>
            </w:pPr>
            <w:r>
              <w:rPr>
                <w:rFonts w:asciiTheme="minorHAnsi" w:hAnsiTheme="minorHAnsi" w:cstheme="minorHAnsi"/>
              </w:rPr>
              <w:fldChar w:fldCharType="begin"/>
            </w:r>
            <w:r w:rsidR="00807999">
              <w:rPr>
                <w:rFonts w:asciiTheme="minorHAnsi" w:hAnsiTheme="minorHAnsi" w:cstheme="minorHAnsi"/>
              </w:rPr>
              <w:instrText xml:space="preserve"> ADDIN PAPERS2_CITATIONS &lt;citation&gt;&lt;uuid&gt;9D76BDF7-192D-4F2C-9EB1-812DDFF5C60C&lt;/uuid&gt;&lt;priority&gt;0&lt;/priority&gt;&lt;publications&gt;&lt;publication&gt;&lt;uuid&gt;93C97861-B53D-446A-8CC8-C2BD026AD337&lt;/uuid&gt;&lt;volume&gt;4&lt;/volume&gt;&lt;doi&gt;10.1007/s12155-010-9104-4&lt;/doi&gt;&lt;startpage&gt;96&lt;/startpage&gt;&lt;publication_date&gt;99201008211200000000222000&lt;/publication_date&gt;&lt;url&gt;http://link.springer.com/10.1007/s12155-010-9104-4&lt;/url&gt;&lt;citekey&gt;Vogel:2011bw&lt;/citekey&gt;&lt;type&gt;400&lt;/type&gt;&lt;title&gt;Quantifying Actual and Theoretical Ethanol Yields for Switchgrass Strains Using NIRS Analyses&lt;/title&gt;&lt;number&gt;2&lt;/number&gt;&lt;subtype&gt;400&lt;/subtype&gt;&lt;endpage&gt;110&lt;/endpage&gt;&lt;bundle&gt;&lt;publication&gt;&lt;publisher&gt;Springer US&lt;/publisher&gt;&lt;title&gt;BioEnergy Research&lt;/title&gt;&lt;type&gt;-100&lt;/type&gt;&lt;subtype&gt;-100&lt;/subtype&gt;&lt;uuid&gt;10F75356-9E4C-4774-98A2-0C658827ED32&lt;/uuid&gt;&lt;/publication&gt;&lt;/bundle&gt;&lt;authors&gt;&lt;author&gt;&lt;firstName&gt;Kenneth&lt;/firstName&gt;&lt;middleNames&gt;P&lt;/middleNames&gt;&lt;lastName&gt;Vogel&lt;/lastName&gt;&lt;/author&gt;&lt;author&gt;&lt;firstName&gt;Bruce&lt;/firstName&gt;&lt;middleNames&gt;S&lt;/middleNames&gt;&lt;lastName&gt;Dien&lt;/lastName&gt;&lt;/author&gt;&lt;author&gt;&lt;firstName&gt;Hans&lt;/firstName&gt;&lt;middleNames&gt;G&lt;/middleNames&gt;&lt;lastName&gt;Jung&lt;/lastName&gt;&lt;/author&gt;&lt;author&gt;&lt;firstName&gt;Michael&lt;/firstName&gt;&lt;middleNames&gt;D&lt;/middleNames&gt;&lt;lastName&gt;Casler&lt;/lastName&gt;&lt;/author&gt;&lt;author&gt;&lt;firstName&gt;Steven&lt;/firstName&gt;&lt;middleNames&gt;D&lt;/middleNames&gt;&lt;lastName&gt;Masterson&lt;/lastName&gt;&lt;/author&gt;&lt;author&gt;&lt;firstName&gt;Robert&lt;/firstName&gt;&lt;middleNames&gt;B&lt;/middleNames&gt;&lt;lastName&gt;Mitchell&lt;/lastName&gt;&lt;/author&gt;&lt;/authors&gt;&lt;/publication&gt;&lt;/publications&gt;&lt;cites&gt;&lt;/cites&gt;&lt;/citation&gt;</w:instrText>
            </w:r>
            <w:r>
              <w:rPr>
                <w:rFonts w:asciiTheme="minorHAnsi" w:hAnsiTheme="minorHAnsi" w:cstheme="minorHAnsi"/>
              </w:rPr>
              <w:fldChar w:fldCharType="separate"/>
            </w:r>
            <w:r w:rsidR="001C1AAC">
              <w:t>(</w:t>
            </w:r>
            <w:r w:rsidR="001C1AAC">
              <w:rPr>
                <w:i/>
                <w:iCs/>
              </w:rPr>
              <w:t>140</w:t>
            </w:r>
            <w:r w:rsidR="001C1AAC">
              <w:t>)</w:t>
            </w:r>
            <w:r>
              <w:rPr>
                <w:rFonts w:asciiTheme="minorHAnsi" w:hAnsiTheme="minorHAnsi" w:cstheme="minorHAnsi"/>
              </w:rPr>
              <w:fldChar w:fldCharType="end"/>
            </w:r>
          </w:p>
        </w:tc>
      </w:tr>
      <w:tr w:rsidR="00D77ADB" w:rsidRPr="009A13B8" w14:paraId="36900C7E" w14:textId="77777777" w:rsidTr="00D77ADB">
        <w:trPr>
          <w:trHeight w:val="320"/>
        </w:trPr>
        <w:tc>
          <w:tcPr>
            <w:tcW w:w="2893" w:type="dxa"/>
            <w:shd w:val="clear" w:color="auto" w:fill="auto"/>
            <w:noWrap/>
            <w:vAlign w:val="bottom"/>
            <w:hideMark/>
          </w:tcPr>
          <w:p w14:paraId="5C62F5C3" w14:textId="77777777" w:rsidR="009A13B8" w:rsidRPr="009A13B8" w:rsidRDefault="009A13B8" w:rsidP="009A13B8">
            <w:pPr>
              <w:pStyle w:val="Tables"/>
            </w:pPr>
            <w:r w:rsidRPr="009A13B8">
              <w:t>ETOH</w:t>
            </w:r>
          </w:p>
        </w:tc>
        <w:tc>
          <w:tcPr>
            <w:tcW w:w="3856" w:type="dxa"/>
            <w:shd w:val="clear" w:color="auto" w:fill="auto"/>
            <w:vAlign w:val="bottom"/>
            <w:hideMark/>
          </w:tcPr>
          <w:p w14:paraId="5B7B3492" w14:textId="77777777" w:rsidR="009A13B8" w:rsidRPr="009A13B8" w:rsidRDefault="009A13B8" w:rsidP="009A13B8">
            <w:pPr>
              <w:pStyle w:val="Tables"/>
              <w:rPr>
                <w:color w:val="111111"/>
              </w:rPr>
            </w:pPr>
            <w:r w:rsidRPr="009A13B8">
              <w:rPr>
                <w:color w:val="111111"/>
              </w:rPr>
              <w:t>Ethanol/g dry forage</w:t>
            </w:r>
          </w:p>
        </w:tc>
        <w:tc>
          <w:tcPr>
            <w:tcW w:w="1620" w:type="dxa"/>
            <w:shd w:val="clear" w:color="auto" w:fill="auto"/>
            <w:noWrap/>
            <w:vAlign w:val="bottom"/>
            <w:hideMark/>
          </w:tcPr>
          <w:p w14:paraId="209CB31C" w14:textId="7C258292" w:rsidR="009A13B8" w:rsidRPr="009A13B8" w:rsidRDefault="009A13B8" w:rsidP="009A13B8">
            <w:pPr>
              <w:pStyle w:val="Tables"/>
            </w:pPr>
            <w:r>
              <w:rPr>
                <w:rFonts w:asciiTheme="minorHAnsi" w:hAnsiTheme="minorHAnsi" w:cstheme="minorHAnsi"/>
              </w:rPr>
              <w:fldChar w:fldCharType="begin"/>
            </w:r>
            <w:r w:rsidR="00807999">
              <w:rPr>
                <w:rFonts w:asciiTheme="minorHAnsi" w:hAnsiTheme="minorHAnsi" w:cstheme="minorHAnsi"/>
              </w:rPr>
              <w:instrText xml:space="preserve"> ADDIN PAPERS2_CITATIONS &lt;citation&gt;&lt;uuid&gt;9F7A9ADA-764C-4239-AD46-D6AA57AA28B8&lt;/uuid&gt;&lt;priority&gt;0&lt;/priority&gt;&lt;publications&gt;&lt;publication&gt;&lt;uuid&gt;93C97861-B53D-446A-8CC8-C2BD026AD337&lt;/uuid&gt;&lt;volume&gt;4&lt;/volume&gt;&lt;doi&gt;10.1007/s12155-010-9104-4&lt;/doi&gt;&lt;startpage&gt;96&lt;/startpage&gt;&lt;publication_date&gt;99201008211200000000222000&lt;/publication_date&gt;&lt;url&gt;http://link.springer.com/10.1007/s12155-010-9104-4&lt;/url&gt;&lt;citekey&gt;Vogel:2011bw&lt;/citekey&gt;&lt;type&gt;400&lt;/type&gt;&lt;title&gt;Quantifying Actual and Theoretical Ethanol Yields for Switchgrass Strains Using NIRS Analyses&lt;/title&gt;&lt;number&gt;2&lt;/number&gt;&lt;subtype&gt;400&lt;/subtype&gt;&lt;endpage&gt;110&lt;/endpage&gt;&lt;bundle&gt;&lt;publication&gt;&lt;publisher&gt;Springer US&lt;/publisher&gt;&lt;title&gt;BioEnergy Research&lt;/title&gt;&lt;type&gt;-100&lt;/type&gt;&lt;subtype&gt;-100&lt;/subtype&gt;&lt;uuid&gt;10F75356-9E4C-4774-98A2-0C658827ED32&lt;/uuid&gt;&lt;/publication&gt;&lt;/bundle&gt;&lt;authors&gt;&lt;author&gt;&lt;firstName&gt;Kenneth&lt;/firstName&gt;&lt;middleNames&gt;P&lt;/middleNames&gt;&lt;lastName&gt;Vogel&lt;/lastName&gt;&lt;/author&gt;&lt;author&gt;&lt;firstName&gt;Bruce&lt;/firstName&gt;&lt;middleNames&gt;S&lt;/middleNames&gt;&lt;lastName&gt;Dien&lt;/lastName&gt;&lt;/author&gt;&lt;author&gt;&lt;firstName&gt;Hans&lt;/firstName&gt;&lt;middleNames&gt;G&lt;/middleNames&gt;&lt;lastName&gt;Jung&lt;/lastName&gt;&lt;/author&gt;&lt;author&gt;&lt;firstName&gt;Michael&lt;/firstName&gt;&lt;middleNames&gt;D&lt;/middleNames&gt;&lt;lastName&gt;Casler&lt;/lastName&gt;&lt;/author&gt;&lt;author&gt;&lt;firstName&gt;Steven&lt;/firstName&gt;&lt;middleNames&gt;D&lt;/middleNames&gt;&lt;lastName&gt;Masterson&lt;/lastName&gt;&lt;/author&gt;&lt;author&gt;&lt;firstName&gt;Robert&lt;/firstName&gt;&lt;middleNames&gt;B&lt;/middleNames&gt;&lt;lastName&gt;Mitchell&lt;/lastName&gt;&lt;/author&gt;&lt;/authors&gt;&lt;/publication&gt;&lt;/publications&gt;&lt;cites&gt;&lt;/cites&gt;&lt;/citation&gt;</w:instrText>
            </w:r>
            <w:r>
              <w:rPr>
                <w:rFonts w:asciiTheme="minorHAnsi" w:hAnsiTheme="minorHAnsi" w:cstheme="minorHAnsi"/>
              </w:rPr>
              <w:fldChar w:fldCharType="separate"/>
            </w:r>
            <w:r w:rsidR="001C1AAC">
              <w:t>(</w:t>
            </w:r>
            <w:r w:rsidR="001C1AAC">
              <w:rPr>
                <w:i/>
                <w:iCs/>
              </w:rPr>
              <w:t>140</w:t>
            </w:r>
            <w:r w:rsidR="001C1AAC">
              <w:t>)</w:t>
            </w:r>
            <w:r>
              <w:rPr>
                <w:rFonts w:asciiTheme="minorHAnsi" w:hAnsiTheme="minorHAnsi" w:cstheme="minorHAnsi"/>
              </w:rPr>
              <w:fldChar w:fldCharType="end"/>
            </w:r>
          </w:p>
        </w:tc>
      </w:tr>
      <w:tr w:rsidR="00D77ADB" w:rsidRPr="009A13B8" w14:paraId="0CD0D80C" w14:textId="77777777" w:rsidTr="00D77ADB">
        <w:trPr>
          <w:trHeight w:val="320"/>
        </w:trPr>
        <w:tc>
          <w:tcPr>
            <w:tcW w:w="2893" w:type="dxa"/>
            <w:shd w:val="clear" w:color="auto" w:fill="auto"/>
            <w:noWrap/>
            <w:vAlign w:val="bottom"/>
            <w:hideMark/>
          </w:tcPr>
          <w:p w14:paraId="4F3C1703" w14:textId="77777777" w:rsidR="009A13B8" w:rsidRPr="009A13B8" w:rsidRDefault="009A13B8" w:rsidP="009A13B8">
            <w:pPr>
              <w:pStyle w:val="Tables"/>
            </w:pPr>
            <w:r w:rsidRPr="009A13B8">
              <w:t>FA</w:t>
            </w:r>
          </w:p>
        </w:tc>
        <w:tc>
          <w:tcPr>
            <w:tcW w:w="3856" w:type="dxa"/>
            <w:shd w:val="clear" w:color="auto" w:fill="auto"/>
            <w:vAlign w:val="bottom"/>
            <w:hideMark/>
          </w:tcPr>
          <w:p w14:paraId="4F4BB4BE" w14:textId="77777777" w:rsidR="009A13B8" w:rsidRPr="009A13B8" w:rsidRDefault="009A13B8" w:rsidP="009A13B8">
            <w:pPr>
              <w:pStyle w:val="Tables"/>
              <w:rPr>
                <w:color w:val="111111"/>
              </w:rPr>
            </w:pPr>
            <w:r w:rsidRPr="009A13B8">
              <w:rPr>
                <w:color w:val="111111"/>
              </w:rPr>
              <w:t>Ferulic acid</w:t>
            </w:r>
          </w:p>
        </w:tc>
        <w:tc>
          <w:tcPr>
            <w:tcW w:w="1620" w:type="dxa"/>
            <w:shd w:val="clear" w:color="auto" w:fill="auto"/>
            <w:noWrap/>
            <w:vAlign w:val="bottom"/>
            <w:hideMark/>
          </w:tcPr>
          <w:p w14:paraId="2661B105" w14:textId="48EEE70D" w:rsidR="009A13B8" w:rsidRPr="009A13B8" w:rsidRDefault="009A13B8" w:rsidP="009A13B8">
            <w:pPr>
              <w:pStyle w:val="Tables"/>
            </w:pPr>
            <w:r>
              <w:rPr>
                <w:rFonts w:asciiTheme="minorHAnsi" w:hAnsiTheme="minorHAnsi" w:cstheme="minorHAnsi"/>
              </w:rPr>
              <w:fldChar w:fldCharType="begin"/>
            </w:r>
            <w:r w:rsidR="00807999">
              <w:rPr>
                <w:rFonts w:asciiTheme="minorHAnsi" w:hAnsiTheme="minorHAnsi" w:cstheme="minorHAnsi"/>
              </w:rPr>
              <w:instrText xml:space="preserve"> ADDIN PAPERS2_CITATIONS &lt;citation&gt;&lt;uuid&gt;0A4A5703-EC8A-480F-BE44-A105400661F1&lt;/uuid&gt;&lt;priority&gt;0&lt;/priority&gt;&lt;publications&gt;&lt;publication&gt;&lt;uuid&gt;93C97861-B53D-446A-8CC8-C2BD026AD337&lt;/uuid&gt;&lt;volume&gt;4&lt;/volume&gt;&lt;doi&gt;10.1007/s12155-010-9104-4&lt;/doi&gt;&lt;startpage&gt;96&lt;/startpage&gt;&lt;publication_date&gt;99201008211200000000222000&lt;/publication_date&gt;&lt;url&gt;http://link.springer.com/10.1007/s12155-010-9104-4&lt;/url&gt;&lt;citekey&gt;Vogel:2011bw&lt;/citekey&gt;&lt;type&gt;400&lt;/type&gt;&lt;title&gt;Quantifying Actual and Theoretical Ethanol Yields for Switchgrass Strains Using NIRS Analyses&lt;/title&gt;&lt;number&gt;2&lt;/number&gt;&lt;subtype&gt;400&lt;/subtype&gt;&lt;endpage&gt;110&lt;/endpage&gt;&lt;bundle&gt;&lt;publication&gt;&lt;publisher&gt;Springer US&lt;/publisher&gt;&lt;title&gt;BioEnergy Research&lt;/title&gt;&lt;type&gt;-100&lt;/type&gt;&lt;subtype&gt;-100&lt;/subtype&gt;&lt;uuid&gt;10F75356-9E4C-4774-98A2-0C658827ED32&lt;/uuid&gt;&lt;/publication&gt;&lt;/bundle&gt;&lt;authors&gt;&lt;author&gt;&lt;firstName&gt;Kenneth&lt;/firstName&gt;&lt;middleNames&gt;P&lt;/middleNames&gt;&lt;lastName&gt;Vogel&lt;/lastName&gt;&lt;/author&gt;&lt;author&gt;&lt;firstName&gt;Bruce&lt;/firstName&gt;&lt;middleNames&gt;S&lt;/middleNames&gt;&lt;lastName&gt;Dien&lt;/lastName&gt;&lt;/author&gt;&lt;author&gt;&lt;firstName&gt;Hans&lt;/firstName&gt;&lt;middleNames&gt;G&lt;/middleNames&gt;&lt;lastName&gt;Jung&lt;/lastName&gt;&lt;/author&gt;&lt;author&gt;&lt;firstName&gt;Michael&lt;/firstName&gt;&lt;middleNames&gt;D&lt;/middleNames&gt;&lt;lastName&gt;Casler&lt;/lastName&gt;&lt;/author&gt;&lt;author&gt;&lt;firstName&gt;Steven&lt;/firstName&gt;&lt;middleNames&gt;D&lt;/middleNames&gt;&lt;lastName&gt;Masterson&lt;/lastName&gt;&lt;/author&gt;&lt;author&gt;&lt;firstName&gt;Robert&lt;/firstName&gt;&lt;middleNames&gt;B&lt;/middleNames&gt;&lt;lastName&gt;Mitchell&lt;/lastName&gt;&lt;/author&gt;&lt;/authors&gt;&lt;/publication&gt;&lt;/publications&gt;&lt;cites&gt;&lt;/cites&gt;&lt;/citation&gt;</w:instrText>
            </w:r>
            <w:r>
              <w:rPr>
                <w:rFonts w:asciiTheme="minorHAnsi" w:hAnsiTheme="minorHAnsi" w:cstheme="minorHAnsi"/>
              </w:rPr>
              <w:fldChar w:fldCharType="separate"/>
            </w:r>
            <w:r w:rsidR="001C1AAC">
              <w:t>(</w:t>
            </w:r>
            <w:r w:rsidR="001C1AAC">
              <w:rPr>
                <w:i/>
                <w:iCs/>
              </w:rPr>
              <w:t>140</w:t>
            </w:r>
            <w:r w:rsidR="001C1AAC">
              <w:t>)</w:t>
            </w:r>
            <w:r>
              <w:rPr>
                <w:rFonts w:asciiTheme="minorHAnsi" w:hAnsiTheme="minorHAnsi" w:cstheme="minorHAnsi"/>
              </w:rPr>
              <w:fldChar w:fldCharType="end"/>
            </w:r>
          </w:p>
        </w:tc>
      </w:tr>
      <w:tr w:rsidR="00D77ADB" w:rsidRPr="009A13B8" w14:paraId="002A28FB" w14:textId="77777777" w:rsidTr="00D77ADB">
        <w:trPr>
          <w:trHeight w:val="320"/>
        </w:trPr>
        <w:tc>
          <w:tcPr>
            <w:tcW w:w="2893" w:type="dxa"/>
            <w:shd w:val="clear" w:color="auto" w:fill="auto"/>
            <w:noWrap/>
            <w:vAlign w:val="bottom"/>
            <w:hideMark/>
          </w:tcPr>
          <w:p w14:paraId="42FD05EC" w14:textId="77777777" w:rsidR="009A13B8" w:rsidRPr="009A13B8" w:rsidRDefault="009A13B8" w:rsidP="009A13B8">
            <w:pPr>
              <w:pStyle w:val="Tables"/>
            </w:pPr>
            <w:r w:rsidRPr="009A13B8">
              <w:t>FEST</w:t>
            </w:r>
          </w:p>
        </w:tc>
        <w:tc>
          <w:tcPr>
            <w:tcW w:w="3856" w:type="dxa"/>
            <w:shd w:val="clear" w:color="auto" w:fill="auto"/>
            <w:vAlign w:val="bottom"/>
            <w:hideMark/>
          </w:tcPr>
          <w:p w14:paraId="7FD90619" w14:textId="77777777" w:rsidR="009A13B8" w:rsidRPr="009A13B8" w:rsidRDefault="009A13B8" w:rsidP="009A13B8">
            <w:pPr>
              <w:pStyle w:val="Tables"/>
              <w:rPr>
                <w:color w:val="111111"/>
              </w:rPr>
            </w:pPr>
            <w:r w:rsidRPr="009A13B8">
              <w:rPr>
                <w:color w:val="111111"/>
              </w:rPr>
              <w:t xml:space="preserve">Esterified ferulates </w:t>
            </w:r>
          </w:p>
        </w:tc>
        <w:tc>
          <w:tcPr>
            <w:tcW w:w="1620" w:type="dxa"/>
            <w:shd w:val="clear" w:color="auto" w:fill="auto"/>
            <w:noWrap/>
            <w:vAlign w:val="bottom"/>
            <w:hideMark/>
          </w:tcPr>
          <w:p w14:paraId="43CBE558" w14:textId="6A9AEE82" w:rsidR="009A13B8" w:rsidRPr="009A13B8" w:rsidRDefault="009A13B8" w:rsidP="009A13B8">
            <w:pPr>
              <w:pStyle w:val="Tables"/>
            </w:pPr>
            <w:r>
              <w:rPr>
                <w:rFonts w:asciiTheme="minorHAnsi" w:hAnsiTheme="minorHAnsi" w:cstheme="minorHAnsi"/>
              </w:rPr>
              <w:fldChar w:fldCharType="begin"/>
            </w:r>
            <w:r w:rsidR="00807999">
              <w:rPr>
                <w:rFonts w:asciiTheme="minorHAnsi" w:hAnsiTheme="minorHAnsi" w:cstheme="minorHAnsi"/>
              </w:rPr>
              <w:instrText xml:space="preserve"> ADDIN PAPERS2_CITATIONS &lt;citation&gt;&lt;uuid&gt;1E69A874-FB4E-4E53-9D3D-519CD1E75795&lt;/uuid&gt;&lt;priority&gt;0&lt;/priority&gt;&lt;publications&gt;&lt;publication&gt;&lt;uuid&gt;93C97861-B53D-446A-8CC8-C2BD026AD337&lt;/uuid&gt;&lt;volume&gt;4&lt;/volume&gt;&lt;doi&gt;10.1007/s12155-010-9104-4&lt;/doi&gt;&lt;startpage&gt;96&lt;/startpage&gt;&lt;publication_date&gt;99201008211200000000222000&lt;/publication_date&gt;&lt;url&gt;http://link.springer.com/10.1007/s12155-010-9104-4&lt;/url&gt;&lt;citekey&gt;Vogel:2011bw&lt;/citekey&gt;&lt;type&gt;400&lt;/type&gt;&lt;title&gt;Quantifying Actual and Theoretical Ethanol Yields for Switchgrass Strains Using NIRS Analyses&lt;/title&gt;&lt;number&gt;2&lt;/number&gt;&lt;subtype&gt;400&lt;/subtype&gt;&lt;endpage&gt;110&lt;/endpage&gt;&lt;bundle&gt;&lt;publication&gt;&lt;publisher&gt;Springer US&lt;/publisher&gt;&lt;title&gt;BioEnergy Research&lt;/title&gt;&lt;type&gt;-100&lt;/type&gt;&lt;subtype&gt;-100&lt;/subtype&gt;&lt;uuid&gt;10F75356-9E4C-4774-98A2-0C658827ED32&lt;/uuid&gt;&lt;/publication&gt;&lt;/bundle&gt;&lt;authors&gt;&lt;author&gt;&lt;firstName&gt;Kenneth&lt;/firstName&gt;&lt;middleNames&gt;P&lt;/middleNames&gt;&lt;lastName&gt;Vogel&lt;/lastName&gt;&lt;/author&gt;&lt;author&gt;&lt;firstName&gt;Bruce&lt;/firstName&gt;&lt;middleNames&gt;S&lt;/middleNames&gt;&lt;lastName&gt;Dien&lt;/lastName&gt;&lt;/author&gt;&lt;author&gt;&lt;firstName&gt;Hans&lt;/firstName&gt;&lt;middleNames&gt;G&lt;/middleNames&gt;&lt;lastName&gt;Jung&lt;/lastName&gt;&lt;/author&gt;&lt;author&gt;&lt;firstName&gt;Michael&lt;/firstName&gt;&lt;middleNames&gt;D&lt;/middleNames&gt;&lt;lastName&gt;Casler&lt;/lastName&gt;&lt;/author&gt;&lt;author&gt;&lt;firstName&gt;Steven&lt;/firstName&gt;&lt;middleNames&gt;D&lt;/middleNames&gt;&lt;lastName&gt;Masterson&lt;/lastName&gt;&lt;/author&gt;&lt;author&gt;&lt;firstName&gt;Robert&lt;/firstName&gt;&lt;middleNames&gt;B&lt;/middleNames&gt;&lt;lastName&gt;Mitchell&lt;/lastName&gt;&lt;/author&gt;&lt;/authors&gt;&lt;/publication&gt;&lt;/publications&gt;&lt;cites&gt;&lt;/cites&gt;&lt;/citation&gt;</w:instrText>
            </w:r>
            <w:r>
              <w:rPr>
                <w:rFonts w:asciiTheme="minorHAnsi" w:hAnsiTheme="minorHAnsi" w:cstheme="minorHAnsi"/>
              </w:rPr>
              <w:fldChar w:fldCharType="separate"/>
            </w:r>
            <w:r w:rsidR="001C1AAC">
              <w:t>(</w:t>
            </w:r>
            <w:r w:rsidR="001C1AAC">
              <w:rPr>
                <w:i/>
                <w:iCs/>
              </w:rPr>
              <w:t>140</w:t>
            </w:r>
            <w:r w:rsidR="001C1AAC">
              <w:t>)</w:t>
            </w:r>
            <w:r>
              <w:rPr>
                <w:rFonts w:asciiTheme="minorHAnsi" w:hAnsiTheme="minorHAnsi" w:cstheme="minorHAnsi"/>
              </w:rPr>
              <w:fldChar w:fldCharType="end"/>
            </w:r>
          </w:p>
        </w:tc>
      </w:tr>
      <w:tr w:rsidR="00D77ADB" w:rsidRPr="009A13B8" w14:paraId="427A27EA" w14:textId="77777777" w:rsidTr="00D77ADB">
        <w:trPr>
          <w:trHeight w:val="320"/>
        </w:trPr>
        <w:tc>
          <w:tcPr>
            <w:tcW w:w="2893" w:type="dxa"/>
            <w:shd w:val="clear" w:color="auto" w:fill="auto"/>
            <w:noWrap/>
            <w:vAlign w:val="bottom"/>
            <w:hideMark/>
          </w:tcPr>
          <w:p w14:paraId="6C72C7A6" w14:textId="77777777" w:rsidR="009A13B8" w:rsidRPr="009A13B8" w:rsidRDefault="009A13B8" w:rsidP="009A13B8">
            <w:pPr>
              <w:pStyle w:val="Tables"/>
            </w:pPr>
            <w:r w:rsidRPr="009A13B8">
              <w:t>FETH</w:t>
            </w:r>
          </w:p>
        </w:tc>
        <w:tc>
          <w:tcPr>
            <w:tcW w:w="3856" w:type="dxa"/>
            <w:shd w:val="clear" w:color="auto" w:fill="auto"/>
            <w:vAlign w:val="bottom"/>
            <w:hideMark/>
          </w:tcPr>
          <w:p w14:paraId="0A621A6E" w14:textId="77777777" w:rsidR="009A13B8" w:rsidRPr="009A13B8" w:rsidRDefault="009A13B8" w:rsidP="009A13B8">
            <w:pPr>
              <w:pStyle w:val="Tables"/>
              <w:rPr>
                <w:color w:val="111111"/>
              </w:rPr>
            </w:pPr>
            <w:r w:rsidRPr="009A13B8">
              <w:rPr>
                <w:color w:val="111111"/>
              </w:rPr>
              <w:t xml:space="preserve">Etherified ferulates </w:t>
            </w:r>
          </w:p>
        </w:tc>
        <w:tc>
          <w:tcPr>
            <w:tcW w:w="1620" w:type="dxa"/>
            <w:shd w:val="clear" w:color="auto" w:fill="auto"/>
            <w:noWrap/>
            <w:vAlign w:val="bottom"/>
            <w:hideMark/>
          </w:tcPr>
          <w:p w14:paraId="709C97D8" w14:textId="048860E0" w:rsidR="009A13B8" w:rsidRPr="009A13B8" w:rsidRDefault="009A13B8" w:rsidP="009A13B8">
            <w:pPr>
              <w:pStyle w:val="Tables"/>
            </w:pPr>
            <w:r>
              <w:rPr>
                <w:rFonts w:asciiTheme="minorHAnsi" w:hAnsiTheme="minorHAnsi" w:cstheme="minorHAnsi"/>
              </w:rPr>
              <w:fldChar w:fldCharType="begin"/>
            </w:r>
            <w:r w:rsidR="00807999">
              <w:rPr>
                <w:rFonts w:asciiTheme="minorHAnsi" w:hAnsiTheme="minorHAnsi" w:cstheme="minorHAnsi"/>
              </w:rPr>
              <w:instrText xml:space="preserve"> ADDIN PAPERS2_CITATIONS &lt;citation&gt;&lt;uuid&gt;128A76B6-C461-4EAC-98D2-41D6A9E885C4&lt;/uuid&gt;&lt;priority&gt;0&lt;/priority&gt;&lt;publications&gt;&lt;publication&gt;&lt;uuid&gt;93C97861-B53D-446A-8CC8-C2BD026AD337&lt;/uuid&gt;&lt;volume&gt;4&lt;/volume&gt;&lt;doi&gt;10.1007/s12155-010-9104-4&lt;/doi&gt;&lt;startpage&gt;96&lt;/startpage&gt;&lt;publication_date&gt;99201008211200000000222000&lt;/publication_date&gt;&lt;url&gt;http://link.springer.com/10.1007/s12155-010-9104-4&lt;/url&gt;&lt;citekey&gt;Vogel:2011bw&lt;/citekey&gt;&lt;type&gt;400&lt;/type&gt;&lt;title&gt;Quantifying Actual and Theoretical Ethanol Yields for Switchgrass Strains Using NIRS Analyses&lt;/title&gt;&lt;number&gt;2&lt;/number&gt;&lt;subtype&gt;400&lt;/subtype&gt;&lt;endpage&gt;110&lt;/endpage&gt;&lt;bundle&gt;&lt;publication&gt;&lt;publisher&gt;Springer US&lt;/publisher&gt;&lt;title&gt;BioEnergy Research&lt;/title&gt;&lt;type&gt;-100&lt;/type&gt;&lt;subtype&gt;-100&lt;/subtype&gt;&lt;uuid&gt;10F75356-9E4C-4774-98A2-0C658827ED32&lt;/uuid&gt;&lt;/publication&gt;&lt;/bundle&gt;&lt;authors&gt;&lt;author&gt;&lt;firstName&gt;Kenneth&lt;/firstName&gt;&lt;middleNames&gt;P&lt;/middleNames&gt;&lt;lastName&gt;Vogel&lt;/lastName&gt;&lt;/author&gt;&lt;author&gt;&lt;firstName&gt;Bruce&lt;/firstName&gt;&lt;middleNames&gt;S&lt;/middleNames&gt;&lt;lastName&gt;Dien&lt;/lastName&gt;&lt;/author&gt;&lt;author&gt;&lt;firstName&gt;Hans&lt;/firstName&gt;&lt;middleNames&gt;G&lt;/middleNames&gt;&lt;lastName&gt;Jung&lt;/lastName&gt;&lt;/author&gt;&lt;author&gt;&lt;firstName&gt;Michael&lt;/firstName&gt;&lt;middleNames&gt;D&lt;/middleNames&gt;&lt;lastName&gt;Casler&lt;/lastName&gt;&lt;/author&gt;&lt;author&gt;&lt;firstName&gt;Steven&lt;/firstName&gt;&lt;middleNames&gt;D&lt;/middleNames&gt;&lt;lastName&gt;Masterson&lt;/lastName&gt;&lt;/author&gt;&lt;author&gt;&lt;firstName&gt;Robert&lt;/firstName&gt;&lt;middleNames&gt;B&lt;/middleNames&gt;&lt;lastName&gt;Mitchell&lt;/lastName&gt;&lt;/author&gt;&lt;/authors&gt;&lt;/publication&gt;&lt;/publications&gt;&lt;cites&gt;&lt;/cites&gt;&lt;/citation&gt;</w:instrText>
            </w:r>
            <w:r>
              <w:rPr>
                <w:rFonts w:asciiTheme="minorHAnsi" w:hAnsiTheme="minorHAnsi" w:cstheme="minorHAnsi"/>
              </w:rPr>
              <w:fldChar w:fldCharType="separate"/>
            </w:r>
            <w:r w:rsidR="001C1AAC">
              <w:t>(</w:t>
            </w:r>
            <w:r w:rsidR="001C1AAC">
              <w:rPr>
                <w:i/>
                <w:iCs/>
              </w:rPr>
              <w:t>140</w:t>
            </w:r>
            <w:r w:rsidR="001C1AAC">
              <w:t>)</w:t>
            </w:r>
            <w:r>
              <w:rPr>
                <w:rFonts w:asciiTheme="minorHAnsi" w:hAnsiTheme="minorHAnsi" w:cstheme="minorHAnsi"/>
              </w:rPr>
              <w:fldChar w:fldCharType="end"/>
            </w:r>
          </w:p>
        </w:tc>
      </w:tr>
      <w:tr w:rsidR="00D77ADB" w:rsidRPr="009A13B8" w14:paraId="2282D613" w14:textId="77777777" w:rsidTr="00D77ADB">
        <w:trPr>
          <w:trHeight w:val="320"/>
        </w:trPr>
        <w:tc>
          <w:tcPr>
            <w:tcW w:w="2893" w:type="dxa"/>
            <w:shd w:val="clear" w:color="auto" w:fill="auto"/>
            <w:noWrap/>
            <w:vAlign w:val="bottom"/>
            <w:hideMark/>
          </w:tcPr>
          <w:p w14:paraId="635A0BF4" w14:textId="77777777" w:rsidR="009A13B8" w:rsidRPr="009A13B8" w:rsidRDefault="009A13B8" w:rsidP="009A13B8">
            <w:pPr>
              <w:pStyle w:val="Tables"/>
            </w:pPr>
            <w:r w:rsidRPr="009A13B8">
              <w:t>FRU</w:t>
            </w:r>
          </w:p>
        </w:tc>
        <w:tc>
          <w:tcPr>
            <w:tcW w:w="3856" w:type="dxa"/>
            <w:shd w:val="clear" w:color="auto" w:fill="auto"/>
            <w:vAlign w:val="bottom"/>
            <w:hideMark/>
          </w:tcPr>
          <w:p w14:paraId="10898894" w14:textId="77777777" w:rsidR="009A13B8" w:rsidRPr="009A13B8" w:rsidRDefault="009A13B8" w:rsidP="009A13B8">
            <w:pPr>
              <w:pStyle w:val="Tables"/>
              <w:rPr>
                <w:color w:val="111111"/>
              </w:rPr>
            </w:pPr>
            <w:r w:rsidRPr="009A13B8">
              <w:rPr>
                <w:color w:val="111111"/>
              </w:rPr>
              <w:t>Fructose</w:t>
            </w:r>
          </w:p>
        </w:tc>
        <w:tc>
          <w:tcPr>
            <w:tcW w:w="1620" w:type="dxa"/>
            <w:shd w:val="clear" w:color="auto" w:fill="auto"/>
            <w:noWrap/>
            <w:vAlign w:val="bottom"/>
            <w:hideMark/>
          </w:tcPr>
          <w:p w14:paraId="07494FB0" w14:textId="4DDC6D2E" w:rsidR="009A13B8" w:rsidRPr="009A13B8" w:rsidRDefault="009A13B8" w:rsidP="009A13B8">
            <w:pPr>
              <w:pStyle w:val="Tables"/>
            </w:pPr>
            <w:r>
              <w:rPr>
                <w:rFonts w:asciiTheme="minorHAnsi" w:hAnsiTheme="minorHAnsi" w:cstheme="minorHAnsi"/>
              </w:rPr>
              <w:fldChar w:fldCharType="begin"/>
            </w:r>
            <w:r w:rsidR="00807999">
              <w:rPr>
                <w:rFonts w:asciiTheme="minorHAnsi" w:hAnsiTheme="minorHAnsi" w:cstheme="minorHAnsi"/>
              </w:rPr>
              <w:instrText xml:space="preserve"> ADDIN PAPERS2_CITATIONS &lt;citation&gt;&lt;uuid&gt;E4C88472-FF16-4A58-808C-7422D15F670D&lt;/uuid&gt;&lt;priority&gt;0&lt;/priority&gt;&lt;publications&gt;&lt;publication&gt;&lt;uuid&gt;93C97861-B53D-446A-8CC8-C2BD026AD337&lt;/uuid&gt;&lt;volume&gt;4&lt;/volume&gt;&lt;doi&gt;10.1007/s12155-010-9104-4&lt;/doi&gt;&lt;startpage&gt;96&lt;/startpage&gt;&lt;publication_date&gt;99201008211200000000222000&lt;/publication_date&gt;&lt;url&gt;http://link.springer.com/10.1007/s12155-010-9104-4&lt;/url&gt;&lt;citekey&gt;Vogel:2011bw&lt;/citekey&gt;&lt;type&gt;400&lt;/type&gt;&lt;title&gt;Quantifying Actual and Theoretical Ethanol Yields for Switchgrass Strains Using NIRS Analyses&lt;/title&gt;&lt;number&gt;2&lt;/number&gt;&lt;subtype&gt;400&lt;/subtype&gt;&lt;endpage&gt;110&lt;/endpage&gt;&lt;bundle&gt;&lt;publication&gt;&lt;publisher&gt;Springer US&lt;/publisher&gt;&lt;title&gt;BioEnergy Research&lt;/title&gt;&lt;type&gt;-100&lt;/type&gt;&lt;subtype&gt;-100&lt;/subtype&gt;&lt;uuid&gt;10F75356-9E4C-4774-98A2-0C658827ED32&lt;/uuid&gt;&lt;/publication&gt;&lt;/bundle&gt;&lt;authors&gt;&lt;author&gt;&lt;firstName&gt;Kenneth&lt;/firstName&gt;&lt;middleNames&gt;P&lt;/middleNames&gt;&lt;lastName&gt;Vogel&lt;/lastName&gt;&lt;/author&gt;&lt;author&gt;&lt;firstName&gt;Bruce&lt;/firstName&gt;&lt;middleNames&gt;S&lt;/middleNames&gt;&lt;lastName&gt;Dien&lt;/lastName&gt;&lt;/author&gt;&lt;author&gt;&lt;firstName&gt;Hans&lt;/firstName&gt;&lt;middleNames&gt;G&lt;/middleNames&gt;&lt;lastName&gt;Jung&lt;/lastName&gt;&lt;/author&gt;&lt;author&gt;&lt;firstName&gt;Michael&lt;/firstName&gt;&lt;middleNames&gt;D&lt;/middleNames&gt;&lt;lastName&gt;Casler&lt;/lastName&gt;&lt;/author&gt;&lt;author&gt;&lt;firstName&gt;Steven&lt;/firstName&gt;&lt;middleNames&gt;D&lt;/middleNames&gt;&lt;lastName&gt;Masterson&lt;/lastName&gt;&lt;/author&gt;&lt;author&gt;&lt;firstName&gt;Robert&lt;/firstName&gt;&lt;middleNames&gt;B&lt;/middleNames&gt;&lt;lastName&gt;Mitchell&lt;/lastName&gt;&lt;/author&gt;&lt;/authors&gt;&lt;/publication&gt;&lt;/publications&gt;&lt;cites&gt;&lt;/cites&gt;&lt;/citation&gt;</w:instrText>
            </w:r>
            <w:r>
              <w:rPr>
                <w:rFonts w:asciiTheme="minorHAnsi" w:hAnsiTheme="minorHAnsi" w:cstheme="minorHAnsi"/>
              </w:rPr>
              <w:fldChar w:fldCharType="separate"/>
            </w:r>
            <w:r w:rsidR="001C1AAC">
              <w:t>(</w:t>
            </w:r>
            <w:r w:rsidR="001C1AAC">
              <w:rPr>
                <w:i/>
                <w:iCs/>
              </w:rPr>
              <w:t>140</w:t>
            </w:r>
            <w:r w:rsidR="001C1AAC">
              <w:t>)</w:t>
            </w:r>
            <w:r>
              <w:rPr>
                <w:rFonts w:asciiTheme="minorHAnsi" w:hAnsiTheme="minorHAnsi" w:cstheme="minorHAnsi"/>
              </w:rPr>
              <w:fldChar w:fldCharType="end"/>
            </w:r>
          </w:p>
        </w:tc>
      </w:tr>
      <w:tr w:rsidR="00D77ADB" w:rsidRPr="009A13B8" w14:paraId="467CC55B" w14:textId="77777777" w:rsidTr="00D77ADB">
        <w:trPr>
          <w:trHeight w:val="320"/>
        </w:trPr>
        <w:tc>
          <w:tcPr>
            <w:tcW w:w="2893" w:type="dxa"/>
            <w:shd w:val="clear" w:color="auto" w:fill="auto"/>
            <w:noWrap/>
            <w:vAlign w:val="bottom"/>
            <w:hideMark/>
          </w:tcPr>
          <w:p w14:paraId="105B6727" w14:textId="77777777" w:rsidR="009A13B8" w:rsidRPr="009A13B8" w:rsidRDefault="009A13B8" w:rsidP="009A13B8">
            <w:pPr>
              <w:pStyle w:val="Tables"/>
            </w:pPr>
            <w:r w:rsidRPr="009A13B8">
              <w:t>FUC</w:t>
            </w:r>
          </w:p>
        </w:tc>
        <w:tc>
          <w:tcPr>
            <w:tcW w:w="3856" w:type="dxa"/>
            <w:shd w:val="clear" w:color="auto" w:fill="auto"/>
            <w:vAlign w:val="bottom"/>
            <w:hideMark/>
          </w:tcPr>
          <w:p w14:paraId="1D910B40" w14:textId="77777777" w:rsidR="009A13B8" w:rsidRPr="009A13B8" w:rsidRDefault="009A13B8" w:rsidP="009A13B8">
            <w:pPr>
              <w:pStyle w:val="Tables"/>
              <w:rPr>
                <w:color w:val="111111"/>
              </w:rPr>
            </w:pPr>
            <w:r w:rsidRPr="009A13B8">
              <w:rPr>
                <w:color w:val="111111"/>
              </w:rPr>
              <w:t>Fucose</w:t>
            </w:r>
          </w:p>
        </w:tc>
        <w:tc>
          <w:tcPr>
            <w:tcW w:w="1620" w:type="dxa"/>
            <w:shd w:val="clear" w:color="auto" w:fill="auto"/>
            <w:noWrap/>
            <w:vAlign w:val="bottom"/>
            <w:hideMark/>
          </w:tcPr>
          <w:p w14:paraId="6069660C" w14:textId="47C243E8" w:rsidR="009A13B8" w:rsidRPr="009A13B8" w:rsidRDefault="009A13B8" w:rsidP="009A13B8">
            <w:pPr>
              <w:pStyle w:val="Tables"/>
            </w:pPr>
            <w:r>
              <w:rPr>
                <w:rFonts w:asciiTheme="minorHAnsi" w:hAnsiTheme="minorHAnsi" w:cstheme="minorHAnsi"/>
              </w:rPr>
              <w:fldChar w:fldCharType="begin"/>
            </w:r>
            <w:r w:rsidR="00807999">
              <w:rPr>
                <w:rFonts w:asciiTheme="minorHAnsi" w:hAnsiTheme="minorHAnsi" w:cstheme="minorHAnsi"/>
              </w:rPr>
              <w:instrText xml:space="preserve"> ADDIN PAPERS2_CITATIONS &lt;citation&gt;&lt;uuid&gt;79761DC6-01FE-4A00-A384-C922782CE8AB&lt;/uuid&gt;&lt;priority&gt;0&lt;/priority&gt;&lt;publications&gt;&lt;publication&gt;&lt;uuid&gt;93C97861-B53D-446A-8CC8-C2BD026AD337&lt;/uuid&gt;&lt;volume&gt;4&lt;/volume&gt;&lt;doi&gt;10.1007/s12155-010-9104-4&lt;/doi&gt;&lt;startpage&gt;96&lt;/startpage&gt;&lt;publication_date&gt;99201008211200000000222000&lt;/publication_date&gt;&lt;url&gt;http://link.springer.com/10.1007/s12155-010-9104-4&lt;/url&gt;&lt;citekey&gt;Vogel:2011bw&lt;/citekey&gt;&lt;type&gt;400&lt;/type&gt;&lt;title&gt;Quantifying Actual and Theoretical Ethanol Yields for Switchgrass Strains Using NIRS Analyses&lt;/title&gt;&lt;number&gt;2&lt;/number&gt;&lt;subtype&gt;400&lt;/subtype&gt;&lt;endpage&gt;110&lt;/endpage&gt;&lt;bundle&gt;&lt;publication&gt;&lt;publisher&gt;Springer US&lt;/publisher&gt;&lt;title&gt;BioEnergy Research&lt;/title&gt;&lt;type&gt;-100&lt;/type&gt;&lt;subtype&gt;-100&lt;/subtype&gt;&lt;uuid&gt;10F75356-9E4C-4774-98A2-0C658827ED32&lt;/uuid&gt;&lt;/publication&gt;&lt;/bundle&gt;&lt;authors&gt;&lt;author&gt;&lt;firstName&gt;Kenneth&lt;/firstName&gt;&lt;middleNames&gt;P&lt;/middleNames&gt;&lt;lastName&gt;Vogel&lt;/lastName&gt;&lt;/author&gt;&lt;author&gt;&lt;firstName&gt;Bruce&lt;/firstName&gt;&lt;middleNames&gt;S&lt;/middleNames&gt;&lt;lastName&gt;Dien&lt;/lastName&gt;&lt;/author&gt;&lt;author&gt;&lt;firstName&gt;Hans&lt;/firstName&gt;&lt;middleNames&gt;G&lt;/middleNames&gt;&lt;lastName&gt;Jung&lt;/lastName&gt;&lt;/author&gt;&lt;author&gt;&lt;firstName&gt;Michael&lt;/firstName&gt;&lt;middleNames&gt;D&lt;/middleNames&gt;&lt;lastName&gt;Casler&lt;/lastName&gt;&lt;/author&gt;&lt;author&gt;&lt;firstName&gt;Steven&lt;/firstName&gt;&lt;middleNames&gt;D&lt;/middleNames&gt;&lt;lastName&gt;Masterson&lt;/lastName&gt;&lt;/author&gt;&lt;author&gt;&lt;firstName&gt;Robert&lt;/firstName&gt;&lt;middleNames&gt;B&lt;/middleNames&gt;&lt;lastName&gt;Mitchell&lt;/lastName&gt;&lt;/author&gt;&lt;/authors&gt;&lt;/publication&gt;&lt;/publications&gt;&lt;cites&gt;&lt;/cites&gt;&lt;/citation&gt;</w:instrText>
            </w:r>
            <w:r>
              <w:rPr>
                <w:rFonts w:asciiTheme="minorHAnsi" w:hAnsiTheme="minorHAnsi" w:cstheme="minorHAnsi"/>
              </w:rPr>
              <w:fldChar w:fldCharType="separate"/>
            </w:r>
            <w:r w:rsidR="001C1AAC">
              <w:t>(</w:t>
            </w:r>
            <w:r w:rsidR="001C1AAC">
              <w:rPr>
                <w:i/>
                <w:iCs/>
              </w:rPr>
              <w:t>140</w:t>
            </w:r>
            <w:r w:rsidR="001C1AAC">
              <w:t>)</w:t>
            </w:r>
            <w:r>
              <w:rPr>
                <w:rFonts w:asciiTheme="minorHAnsi" w:hAnsiTheme="minorHAnsi" w:cstheme="minorHAnsi"/>
              </w:rPr>
              <w:fldChar w:fldCharType="end"/>
            </w:r>
          </w:p>
        </w:tc>
      </w:tr>
      <w:tr w:rsidR="00D77ADB" w:rsidRPr="009A13B8" w14:paraId="2E6498D6" w14:textId="77777777" w:rsidTr="00D77ADB">
        <w:trPr>
          <w:trHeight w:val="320"/>
        </w:trPr>
        <w:tc>
          <w:tcPr>
            <w:tcW w:w="2893" w:type="dxa"/>
            <w:shd w:val="clear" w:color="auto" w:fill="auto"/>
            <w:noWrap/>
            <w:vAlign w:val="bottom"/>
            <w:hideMark/>
          </w:tcPr>
          <w:p w14:paraId="3BAC1C96" w14:textId="77777777" w:rsidR="009A13B8" w:rsidRPr="009A13B8" w:rsidRDefault="009A13B8" w:rsidP="009A13B8">
            <w:pPr>
              <w:pStyle w:val="Tables"/>
            </w:pPr>
            <w:r w:rsidRPr="009A13B8">
              <w:t>GAL</w:t>
            </w:r>
          </w:p>
        </w:tc>
        <w:tc>
          <w:tcPr>
            <w:tcW w:w="3856" w:type="dxa"/>
            <w:shd w:val="clear" w:color="auto" w:fill="auto"/>
            <w:vAlign w:val="bottom"/>
            <w:hideMark/>
          </w:tcPr>
          <w:p w14:paraId="54D168E1" w14:textId="77777777" w:rsidR="009A13B8" w:rsidRPr="009A13B8" w:rsidRDefault="009A13B8" w:rsidP="009A13B8">
            <w:pPr>
              <w:pStyle w:val="Tables"/>
              <w:rPr>
                <w:color w:val="111111"/>
              </w:rPr>
            </w:pPr>
            <w:r w:rsidRPr="009A13B8">
              <w:rPr>
                <w:color w:val="111111"/>
              </w:rPr>
              <w:t>Galactose</w:t>
            </w:r>
          </w:p>
        </w:tc>
        <w:tc>
          <w:tcPr>
            <w:tcW w:w="1620" w:type="dxa"/>
            <w:shd w:val="clear" w:color="auto" w:fill="auto"/>
            <w:noWrap/>
            <w:vAlign w:val="bottom"/>
            <w:hideMark/>
          </w:tcPr>
          <w:p w14:paraId="00B15709" w14:textId="05DB1BA0" w:rsidR="009A13B8" w:rsidRPr="009A13B8" w:rsidRDefault="009A13B8" w:rsidP="009A13B8">
            <w:pPr>
              <w:pStyle w:val="Tables"/>
            </w:pPr>
            <w:r>
              <w:rPr>
                <w:rFonts w:asciiTheme="minorHAnsi" w:hAnsiTheme="minorHAnsi" w:cstheme="minorHAnsi"/>
              </w:rPr>
              <w:fldChar w:fldCharType="begin"/>
            </w:r>
            <w:r w:rsidR="00807999">
              <w:rPr>
                <w:rFonts w:asciiTheme="minorHAnsi" w:hAnsiTheme="minorHAnsi" w:cstheme="minorHAnsi"/>
              </w:rPr>
              <w:instrText xml:space="preserve"> ADDIN PAPERS2_CITATIONS &lt;citation&gt;&lt;uuid&gt;9522A226-35BF-44FB-ADCA-7F1D3E30F158&lt;/uuid&gt;&lt;priority&gt;0&lt;/priority&gt;&lt;publications&gt;&lt;publication&gt;&lt;uuid&gt;93C97861-B53D-446A-8CC8-C2BD026AD337&lt;/uuid&gt;&lt;volume&gt;4&lt;/volume&gt;&lt;doi&gt;10.1007/s12155-010-9104-4&lt;/doi&gt;&lt;startpage&gt;96&lt;/startpage&gt;&lt;publication_date&gt;99201008211200000000222000&lt;/publication_date&gt;&lt;url&gt;http://link.springer.com/10.1007/s12155-010-9104-4&lt;/url&gt;&lt;citekey&gt;Vogel:2011bw&lt;/citekey&gt;&lt;type&gt;400&lt;/type&gt;&lt;title&gt;Quantifying Actual and Theoretical Ethanol Yields for Switchgrass Strains Using NIRS Analyses&lt;/title&gt;&lt;number&gt;2&lt;/number&gt;&lt;subtype&gt;400&lt;/subtype&gt;&lt;endpage&gt;110&lt;/endpage&gt;&lt;bundle&gt;&lt;publication&gt;&lt;publisher&gt;Springer US&lt;/publisher&gt;&lt;title&gt;BioEnergy Research&lt;/title&gt;&lt;type&gt;-100&lt;/type&gt;&lt;subtype&gt;-100&lt;/subtype&gt;&lt;uuid&gt;10F75356-9E4C-4774-98A2-0C658827ED32&lt;/uuid&gt;&lt;/publication&gt;&lt;/bundle&gt;&lt;authors&gt;&lt;author&gt;&lt;firstName&gt;Kenneth&lt;/firstName&gt;&lt;middleNames&gt;P&lt;/middleNames&gt;&lt;lastName&gt;Vogel&lt;/lastName&gt;&lt;/author&gt;&lt;author&gt;&lt;firstName&gt;Bruce&lt;/firstName&gt;&lt;middleNames&gt;S&lt;/middleNames&gt;&lt;lastName&gt;Dien&lt;/lastName&gt;&lt;/author&gt;&lt;author&gt;&lt;firstName&gt;Hans&lt;/firstName&gt;&lt;middleNames&gt;G&lt;/middleNames&gt;&lt;lastName&gt;Jung&lt;/lastName&gt;&lt;/author&gt;&lt;author&gt;&lt;firstName&gt;Michael&lt;/firstName&gt;&lt;middleNames&gt;D&lt;/middleNames&gt;&lt;lastName&gt;Casler&lt;/lastName&gt;&lt;/author&gt;&lt;author&gt;&lt;firstName&gt;Steven&lt;/firstName&gt;&lt;middleNames&gt;D&lt;/middleNames&gt;&lt;lastName&gt;Masterson&lt;/lastName&gt;&lt;/author&gt;&lt;author&gt;&lt;firstName&gt;Robert&lt;/firstName&gt;&lt;middleNames&gt;B&lt;/middleNames&gt;&lt;lastName&gt;Mitchell&lt;/lastName&gt;&lt;/author&gt;&lt;/authors&gt;&lt;/publication&gt;&lt;/publications&gt;&lt;cites&gt;&lt;/cites&gt;&lt;/citation&gt;</w:instrText>
            </w:r>
            <w:r>
              <w:rPr>
                <w:rFonts w:asciiTheme="minorHAnsi" w:hAnsiTheme="minorHAnsi" w:cstheme="minorHAnsi"/>
              </w:rPr>
              <w:fldChar w:fldCharType="separate"/>
            </w:r>
            <w:r w:rsidR="001C1AAC">
              <w:t>(</w:t>
            </w:r>
            <w:r w:rsidR="001C1AAC">
              <w:rPr>
                <w:i/>
                <w:iCs/>
              </w:rPr>
              <w:t>140</w:t>
            </w:r>
            <w:r w:rsidR="001C1AAC">
              <w:t>)</w:t>
            </w:r>
            <w:r>
              <w:rPr>
                <w:rFonts w:asciiTheme="minorHAnsi" w:hAnsiTheme="minorHAnsi" w:cstheme="minorHAnsi"/>
              </w:rPr>
              <w:fldChar w:fldCharType="end"/>
            </w:r>
          </w:p>
        </w:tc>
      </w:tr>
      <w:tr w:rsidR="00D77ADB" w:rsidRPr="009A13B8" w14:paraId="378EBE7C" w14:textId="77777777" w:rsidTr="00D77ADB">
        <w:trPr>
          <w:trHeight w:val="320"/>
        </w:trPr>
        <w:tc>
          <w:tcPr>
            <w:tcW w:w="2893" w:type="dxa"/>
            <w:shd w:val="clear" w:color="auto" w:fill="auto"/>
            <w:noWrap/>
            <w:vAlign w:val="bottom"/>
            <w:hideMark/>
          </w:tcPr>
          <w:p w14:paraId="644815CB" w14:textId="77777777" w:rsidR="009A13B8" w:rsidRPr="009A13B8" w:rsidRDefault="009A13B8" w:rsidP="009A13B8">
            <w:pPr>
              <w:pStyle w:val="Tables"/>
            </w:pPr>
            <w:r w:rsidRPr="009A13B8">
              <w:t>GLC</w:t>
            </w:r>
          </w:p>
        </w:tc>
        <w:tc>
          <w:tcPr>
            <w:tcW w:w="3856" w:type="dxa"/>
            <w:shd w:val="clear" w:color="auto" w:fill="auto"/>
            <w:vAlign w:val="bottom"/>
            <w:hideMark/>
          </w:tcPr>
          <w:p w14:paraId="3C790019" w14:textId="77777777" w:rsidR="009A13B8" w:rsidRPr="009A13B8" w:rsidRDefault="009A13B8" w:rsidP="009A13B8">
            <w:pPr>
              <w:pStyle w:val="Tables"/>
              <w:rPr>
                <w:color w:val="111111"/>
              </w:rPr>
            </w:pPr>
            <w:r w:rsidRPr="009A13B8">
              <w:rPr>
                <w:color w:val="111111"/>
              </w:rPr>
              <w:t>Glucose</w:t>
            </w:r>
          </w:p>
        </w:tc>
        <w:tc>
          <w:tcPr>
            <w:tcW w:w="1620" w:type="dxa"/>
            <w:shd w:val="clear" w:color="auto" w:fill="auto"/>
            <w:noWrap/>
            <w:vAlign w:val="bottom"/>
            <w:hideMark/>
          </w:tcPr>
          <w:p w14:paraId="09059E18" w14:textId="3865EE72" w:rsidR="009A13B8" w:rsidRPr="009A13B8" w:rsidRDefault="009A13B8" w:rsidP="009A13B8">
            <w:pPr>
              <w:pStyle w:val="Tables"/>
            </w:pPr>
            <w:r>
              <w:rPr>
                <w:rFonts w:asciiTheme="minorHAnsi" w:hAnsiTheme="minorHAnsi" w:cstheme="minorHAnsi"/>
              </w:rPr>
              <w:fldChar w:fldCharType="begin"/>
            </w:r>
            <w:r w:rsidR="00807999">
              <w:rPr>
                <w:rFonts w:asciiTheme="minorHAnsi" w:hAnsiTheme="minorHAnsi" w:cstheme="minorHAnsi"/>
              </w:rPr>
              <w:instrText xml:space="preserve"> ADDIN PAPERS2_CITATIONS &lt;citation&gt;&lt;uuid&gt;CB400B7F-7B97-43E5-890A-09DF991869E9&lt;/uuid&gt;&lt;priority&gt;0&lt;/priority&gt;&lt;publications&gt;&lt;publication&gt;&lt;uuid&gt;93C97861-B53D-446A-8CC8-C2BD026AD337&lt;/uuid&gt;&lt;volume&gt;4&lt;/volume&gt;&lt;doi&gt;10.1007/s12155-010-9104-4&lt;/doi&gt;&lt;startpage&gt;96&lt;/startpage&gt;&lt;publication_date&gt;99201008211200000000222000&lt;/publication_date&gt;&lt;url&gt;http://link.springer.com/10.1007/s12155-010-9104-4&lt;/url&gt;&lt;citekey&gt;Vogel:2011bw&lt;/citekey&gt;&lt;type&gt;400&lt;/type&gt;&lt;title&gt;Quantifying Actual and Theoretical Ethanol Yields for Switchgrass Strains Using NIRS Analyses&lt;/title&gt;&lt;number&gt;2&lt;/number&gt;&lt;subtype&gt;400&lt;/subtype&gt;&lt;endpage&gt;110&lt;/endpage&gt;&lt;bundle&gt;&lt;publication&gt;&lt;publisher&gt;Springer US&lt;/publisher&gt;&lt;title&gt;BioEnergy Research&lt;/title&gt;&lt;type&gt;-100&lt;/type&gt;&lt;subtype&gt;-100&lt;/subtype&gt;&lt;uuid&gt;10F75356-9E4C-4774-98A2-0C658827ED32&lt;/uuid&gt;&lt;/publication&gt;&lt;/bundle&gt;&lt;authors&gt;&lt;author&gt;&lt;firstName&gt;Kenneth&lt;/firstName&gt;&lt;middleNames&gt;P&lt;/middleNames&gt;&lt;lastName&gt;Vogel&lt;/lastName&gt;&lt;/author&gt;&lt;author&gt;&lt;firstName&gt;Bruce&lt;/firstName&gt;&lt;middleNames&gt;S&lt;/middleNames&gt;&lt;lastName&gt;Dien&lt;/lastName&gt;&lt;/author&gt;&lt;author&gt;&lt;firstName&gt;Hans&lt;/firstName&gt;&lt;middleNames&gt;G&lt;/middleNames&gt;&lt;lastName&gt;Jung&lt;/lastName&gt;&lt;/author&gt;&lt;author&gt;&lt;firstName&gt;Michael&lt;/firstName&gt;&lt;middleNames&gt;D&lt;/middleNames&gt;&lt;lastName&gt;Casler&lt;/lastName&gt;&lt;/author&gt;&lt;author&gt;&lt;firstName&gt;Steven&lt;/firstName&gt;&lt;middleNames&gt;D&lt;/middleNames&gt;&lt;lastName&gt;Masterson&lt;/lastName&gt;&lt;/author&gt;&lt;author&gt;&lt;firstName&gt;Robert&lt;/firstName&gt;&lt;middleNames&gt;B&lt;/middleNames&gt;&lt;lastName&gt;Mitchell&lt;/lastName&gt;&lt;/author&gt;&lt;/authors&gt;&lt;/publication&gt;&lt;/publications&gt;&lt;cites&gt;&lt;/cites&gt;&lt;/citation&gt;</w:instrText>
            </w:r>
            <w:r>
              <w:rPr>
                <w:rFonts w:asciiTheme="minorHAnsi" w:hAnsiTheme="minorHAnsi" w:cstheme="minorHAnsi"/>
              </w:rPr>
              <w:fldChar w:fldCharType="separate"/>
            </w:r>
            <w:r w:rsidR="001C1AAC">
              <w:t>(</w:t>
            </w:r>
            <w:r w:rsidR="001C1AAC">
              <w:rPr>
                <w:i/>
                <w:iCs/>
              </w:rPr>
              <w:t>140</w:t>
            </w:r>
            <w:r w:rsidR="001C1AAC">
              <w:t>)</w:t>
            </w:r>
            <w:r>
              <w:rPr>
                <w:rFonts w:asciiTheme="minorHAnsi" w:hAnsiTheme="minorHAnsi" w:cstheme="minorHAnsi"/>
              </w:rPr>
              <w:fldChar w:fldCharType="end"/>
            </w:r>
          </w:p>
        </w:tc>
      </w:tr>
      <w:tr w:rsidR="00D77ADB" w:rsidRPr="009A13B8" w14:paraId="33D2BFE8" w14:textId="77777777" w:rsidTr="00D77ADB">
        <w:trPr>
          <w:trHeight w:val="320"/>
        </w:trPr>
        <w:tc>
          <w:tcPr>
            <w:tcW w:w="2893" w:type="dxa"/>
            <w:shd w:val="clear" w:color="auto" w:fill="auto"/>
            <w:noWrap/>
            <w:vAlign w:val="bottom"/>
            <w:hideMark/>
          </w:tcPr>
          <w:p w14:paraId="7A2E64A0" w14:textId="77777777" w:rsidR="009A13B8" w:rsidRPr="009A13B8" w:rsidRDefault="009A13B8" w:rsidP="009A13B8">
            <w:pPr>
              <w:pStyle w:val="Tables"/>
            </w:pPr>
            <w:r w:rsidRPr="009A13B8">
              <w:t>GLCS</w:t>
            </w:r>
          </w:p>
        </w:tc>
        <w:tc>
          <w:tcPr>
            <w:tcW w:w="3856" w:type="dxa"/>
            <w:shd w:val="clear" w:color="auto" w:fill="auto"/>
            <w:vAlign w:val="bottom"/>
            <w:hideMark/>
          </w:tcPr>
          <w:p w14:paraId="60D73633" w14:textId="77777777" w:rsidR="009A13B8" w:rsidRPr="009A13B8" w:rsidRDefault="009A13B8" w:rsidP="009A13B8">
            <w:pPr>
              <w:pStyle w:val="Tables"/>
              <w:rPr>
                <w:color w:val="111111"/>
              </w:rPr>
            </w:pPr>
            <w:r w:rsidRPr="009A13B8">
              <w:rPr>
                <w:color w:val="111111"/>
              </w:rPr>
              <w:t xml:space="preserve">Soluble glucose </w:t>
            </w:r>
          </w:p>
        </w:tc>
        <w:tc>
          <w:tcPr>
            <w:tcW w:w="1620" w:type="dxa"/>
            <w:shd w:val="clear" w:color="auto" w:fill="auto"/>
            <w:noWrap/>
            <w:vAlign w:val="bottom"/>
            <w:hideMark/>
          </w:tcPr>
          <w:p w14:paraId="3B4727E8" w14:textId="5FEFE70C" w:rsidR="009A13B8" w:rsidRPr="009A13B8" w:rsidRDefault="009A13B8" w:rsidP="009A13B8">
            <w:pPr>
              <w:pStyle w:val="Tables"/>
            </w:pPr>
            <w:r>
              <w:rPr>
                <w:rFonts w:asciiTheme="minorHAnsi" w:hAnsiTheme="minorHAnsi" w:cstheme="minorHAnsi"/>
              </w:rPr>
              <w:fldChar w:fldCharType="begin"/>
            </w:r>
            <w:r w:rsidR="00807999">
              <w:rPr>
                <w:rFonts w:asciiTheme="minorHAnsi" w:hAnsiTheme="minorHAnsi" w:cstheme="minorHAnsi"/>
              </w:rPr>
              <w:instrText xml:space="preserve"> ADDIN PAPERS2_CITATIONS &lt;citation&gt;&lt;uuid&gt;F98076E5-62C5-414C-B272-DC370E94CAF3&lt;/uuid&gt;&lt;priority&gt;0&lt;/priority&gt;&lt;publications&gt;&lt;publication&gt;&lt;uuid&gt;93C97861-B53D-446A-8CC8-C2BD026AD337&lt;/uuid&gt;&lt;volume&gt;4&lt;/volume&gt;&lt;doi&gt;10.1007/s12155-010-9104-4&lt;/doi&gt;&lt;startpage&gt;96&lt;/startpage&gt;&lt;publication_date&gt;99201008211200000000222000&lt;/publication_date&gt;&lt;url&gt;http://link.springer.com/10.1007/s12155-010-9104-4&lt;/url&gt;&lt;citekey&gt;Vogel:2011bw&lt;/citekey&gt;&lt;type&gt;400&lt;/type&gt;&lt;title&gt;Quantifying Actual and Theoretical Ethanol Yields for Switchgrass Strains Using NIRS Analyses&lt;/title&gt;&lt;number&gt;2&lt;/number&gt;&lt;subtype&gt;400&lt;/subtype&gt;&lt;endpage&gt;110&lt;/endpage&gt;&lt;bundle&gt;&lt;publication&gt;&lt;publisher&gt;Springer US&lt;/publisher&gt;&lt;title&gt;BioEnergy Research&lt;/title&gt;&lt;type&gt;-100&lt;/type&gt;&lt;subtype&gt;-100&lt;/subtype&gt;&lt;uuid&gt;10F75356-9E4C-4774-98A2-0C658827ED32&lt;/uuid&gt;&lt;/publication&gt;&lt;/bundle&gt;&lt;authors&gt;&lt;author&gt;&lt;firstName&gt;Kenneth&lt;/firstName&gt;&lt;middleNames&gt;P&lt;/middleNames&gt;&lt;lastName&gt;Vogel&lt;/lastName&gt;&lt;/author&gt;&lt;author&gt;&lt;firstName&gt;Bruce&lt;/firstName&gt;&lt;middleNames&gt;S&lt;/middleNames&gt;&lt;lastName&gt;Dien&lt;/lastName&gt;&lt;/author&gt;&lt;author&gt;&lt;firstName&gt;Hans&lt;/firstName&gt;&lt;middleNames&gt;G&lt;/middleNames&gt;&lt;lastName&gt;Jung&lt;/lastName&gt;&lt;/author&gt;&lt;author&gt;&lt;firstName&gt;Michael&lt;/firstName&gt;&lt;middleNames&gt;D&lt;/middleNames&gt;&lt;lastName&gt;Casler&lt;/lastName&gt;&lt;/author&gt;&lt;author&gt;&lt;firstName&gt;Steven&lt;/firstName&gt;&lt;middleNames&gt;D&lt;/middleNames&gt;&lt;lastName&gt;Masterson&lt;/lastName&gt;&lt;/author&gt;&lt;author&gt;&lt;firstName&gt;Robert&lt;/firstName&gt;&lt;middleNames&gt;B&lt;/middleNames&gt;&lt;lastName&gt;Mitchell&lt;/lastName&gt;&lt;/author&gt;&lt;/authors&gt;&lt;/publication&gt;&lt;/publications&gt;&lt;cites&gt;&lt;/cites&gt;&lt;/citation&gt;</w:instrText>
            </w:r>
            <w:r>
              <w:rPr>
                <w:rFonts w:asciiTheme="minorHAnsi" w:hAnsiTheme="minorHAnsi" w:cstheme="minorHAnsi"/>
              </w:rPr>
              <w:fldChar w:fldCharType="separate"/>
            </w:r>
            <w:r w:rsidR="001C1AAC">
              <w:t>(</w:t>
            </w:r>
            <w:r w:rsidR="001C1AAC">
              <w:rPr>
                <w:i/>
                <w:iCs/>
              </w:rPr>
              <w:t>140</w:t>
            </w:r>
            <w:r w:rsidR="001C1AAC">
              <w:t>)</w:t>
            </w:r>
            <w:r>
              <w:rPr>
                <w:rFonts w:asciiTheme="minorHAnsi" w:hAnsiTheme="minorHAnsi" w:cstheme="minorHAnsi"/>
              </w:rPr>
              <w:fldChar w:fldCharType="end"/>
            </w:r>
          </w:p>
        </w:tc>
      </w:tr>
      <w:tr w:rsidR="00D77ADB" w:rsidRPr="009A13B8" w14:paraId="2A6E7F9F" w14:textId="77777777" w:rsidTr="00D77ADB">
        <w:trPr>
          <w:trHeight w:val="320"/>
        </w:trPr>
        <w:tc>
          <w:tcPr>
            <w:tcW w:w="2893" w:type="dxa"/>
            <w:shd w:val="clear" w:color="auto" w:fill="auto"/>
            <w:noWrap/>
            <w:vAlign w:val="bottom"/>
            <w:hideMark/>
          </w:tcPr>
          <w:p w14:paraId="3718EBD7" w14:textId="77777777" w:rsidR="009A13B8" w:rsidRPr="009A13B8" w:rsidRDefault="009A13B8" w:rsidP="009A13B8">
            <w:pPr>
              <w:pStyle w:val="Tables"/>
            </w:pPr>
            <w:r w:rsidRPr="009A13B8">
              <w:t>glucose.nrel</w:t>
            </w:r>
          </w:p>
        </w:tc>
        <w:tc>
          <w:tcPr>
            <w:tcW w:w="3856" w:type="dxa"/>
            <w:shd w:val="clear" w:color="auto" w:fill="auto"/>
            <w:vAlign w:val="bottom"/>
            <w:hideMark/>
          </w:tcPr>
          <w:p w14:paraId="521C78A9" w14:textId="34830654" w:rsidR="009A13B8" w:rsidRPr="009A13B8" w:rsidRDefault="006963AD" w:rsidP="009A13B8">
            <w:pPr>
              <w:pStyle w:val="Tables"/>
            </w:pPr>
            <w:r>
              <w:t>Glucose (NREL Measurement)</w:t>
            </w:r>
          </w:p>
        </w:tc>
        <w:tc>
          <w:tcPr>
            <w:tcW w:w="1620" w:type="dxa"/>
            <w:shd w:val="clear" w:color="auto" w:fill="auto"/>
            <w:noWrap/>
            <w:vAlign w:val="bottom"/>
            <w:hideMark/>
          </w:tcPr>
          <w:p w14:paraId="294DD844" w14:textId="020C677C" w:rsidR="009A13B8" w:rsidRPr="009A13B8" w:rsidRDefault="007E2349" w:rsidP="009A13B8">
            <w:pPr>
              <w:pStyle w:val="Tables"/>
            </w:pPr>
            <w:r>
              <w:fldChar w:fldCharType="begin"/>
            </w:r>
            <w:r w:rsidR="00807999">
              <w:instrText xml:space="preserve"> ADDIN PAPERS2_CITATIONS &lt;citation&gt;&lt;uuid&gt;D3C9041F-A2A8-42EE-B3AB-E99977FEBF11&lt;/uuid&gt;&lt;priority&gt;0&lt;/priority&gt;&lt;publications&gt;&lt;publication&gt;&lt;volume&gt;3&lt;/volume&gt;&lt;publication_date&gt;99201001201200000000222000&lt;/publication_date&gt;&lt;number&gt;1&lt;/number&gt;&lt;doi&gt;10.1007/s12155-009-9074-6&lt;/doi&gt;&lt;startpage&gt;93&lt;/startpage&gt;&lt;title&gt;A High-Throughput Platform for Screening Milligram Quantities of Plant Biomass for Lignocellulose Digestibility&lt;/title&gt;&lt;uuid&gt;0202ABD8-1484-4D9D-9883-906F13C4AF53&lt;/uuid&gt;&lt;subtype&gt;400&lt;/subtype&gt;&lt;endpage&gt;102&lt;/endpage&gt;&lt;type&gt;400&lt;/type&gt;&lt;url&gt;http://link.springer.com/10.1007/s12155-009-9074-6&lt;/url&gt;&lt;bundle&gt;&lt;publication&gt;&lt;publisher&gt;Springer US&lt;/publisher&gt;&lt;title&gt;BioEnergy Research&lt;/title&gt;&lt;type&gt;-100&lt;/type&gt;&lt;subtype&gt;-100&lt;/subtype&gt;&lt;uuid&gt;10F75356-9E4C-4774-98A2-0C658827ED32&lt;/uuid&gt;&lt;/publication&gt;&lt;/bundle&gt;&lt;authors&gt;&lt;author&gt;&lt;firstName&gt;Nicholas&lt;/firstName&gt;&lt;lastName&gt;Santoro&lt;/lastName&gt;&lt;/author&gt;&lt;author&gt;&lt;firstName&gt;Shane&lt;/firstName&gt;&lt;middleNames&gt;L&lt;/middleNames&gt;&lt;lastName&gt;Cantu&lt;/lastName&gt;&lt;/author&gt;&lt;author&gt;&lt;firstName&gt;Carl-Erik&lt;/firstName&gt;&lt;lastName&gt;Tornqvist&lt;/lastName&gt;&lt;/author&gt;&lt;author&gt;&lt;firstName&gt;Tanya&lt;/firstName&gt;&lt;middleNames&gt;G&lt;/middleNames&gt;&lt;lastName&gt;Falbel&lt;/lastName&gt;&lt;/author&gt;&lt;author&gt;&lt;firstName&gt;Jenny&lt;/firstName&gt;&lt;middleNames&gt;L&lt;/middleNames&gt;&lt;lastName&gt;Bolivar&lt;/lastName&gt;&lt;/author&gt;&lt;author&gt;&lt;firstName&gt;Sara&lt;/firstName&gt;&lt;middleNames&gt;E&lt;/middleNames&gt;&lt;lastName&gt;Patterson&lt;/lastName&gt;&lt;/author&gt;&lt;author&gt;&lt;firstName&gt;Markus&lt;/firstName&gt;&lt;lastName&gt;Pauly&lt;/lastName&gt;&lt;/author&gt;&lt;author&gt;&lt;firstName&gt;Jonathan&lt;/firstName&gt;&lt;middleNames&gt;D&lt;/middleNames&gt;&lt;lastName&gt;Walton&lt;/lastName&gt;&lt;/author&gt;&lt;/authors&gt;&lt;/publication&gt;&lt;/publications&gt;&lt;cites&gt;&lt;/cites&gt;&lt;/citation&gt;</w:instrText>
            </w:r>
            <w:r>
              <w:fldChar w:fldCharType="separate"/>
            </w:r>
            <w:r w:rsidR="001C1AAC">
              <w:t>(</w:t>
            </w:r>
            <w:r w:rsidR="001C1AAC">
              <w:rPr>
                <w:i/>
                <w:iCs/>
              </w:rPr>
              <w:t>139</w:t>
            </w:r>
            <w:r w:rsidR="001C1AAC">
              <w:t>)</w:t>
            </w:r>
            <w:r>
              <w:fldChar w:fldCharType="end"/>
            </w:r>
          </w:p>
        </w:tc>
      </w:tr>
      <w:tr w:rsidR="00D77ADB" w:rsidRPr="009A13B8" w14:paraId="5777BF87" w14:textId="77777777" w:rsidTr="00D77ADB">
        <w:trPr>
          <w:trHeight w:val="320"/>
        </w:trPr>
        <w:tc>
          <w:tcPr>
            <w:tcW w:w="2893" w:type="dxa"/>
            <w:shd w:val="clear" w:color="auto" w:fill="auto"/>
            <w:noWrap/>
            <w:vAlign w:val="bottom"/>
            <w:hideMark/>
          </w:tcPr>
          <w:p w14:paraId="6C22C536" w14:textId="77777777" w:rsidR="009A13B8" w:rsidRPr="009A13B8" w:rsidRDefault="009A13B8" w:rsidP="009A13B8">
            <w:pPr>
              <w:pStyle w:val="Tables"/>
            </w:pPr>
            <w:r w:rsidRPr="009A13B8">
              <w:t>HCA</w:t>
            </w:r>
          </w:p>
        </w:tc>
        <w:tc>
          <w:tcPr>
            <w:tcW w:w="3856" w:type="dxa"/>
            <w:shd w:val="clear" w:color="auto" w:fill="auto"/>
            <w:vAlign w:val="bottom"/>
            <w:hideMark/>
          </w:tcPr>
          <w:p w14:paraId="0CF48947" w14:textId="77777777" w:rsidR="009A13B8" w:rsidRPr="009A13B8" w:rsidRDefault="009A13B8" w:rsidP="009A13B8">
            <w:pPr>
              <w:pStyle w:val="Tables"/>
              <w:rPr>
                <w:color w:val="111111"/>
              </w:rPr>
            </w:pPr>
            <w:r w:rsidRPr="009A13B8">
              <w:rPr>
                <w:color w:val="111111"/>
              </w:rPr>
              <w:t>Hydroxycinnamates</w:t>
            </w:r>
          </w:p>
        </w:tc>
        <w:tc>
          <w:tcPr>
            <w:tcW w:w="1620" w:type="dxa"/>
            <w:shd w:val="clear" w:color="auto" w:fill="auto"/>
            <w:noWrap/>
            <w:vAlign w:val="bottom"/>
            <w:hideMark/>
          </w:tcPr>
          <w:p w14:paraId="1C43288F" w14:textId="7D1443E5" w:rsidR="009A13B8" w:rsidRPr="009A13B8" w:rsidRDefault="009A13B8" w:rsidP="009A13B8">
            <w:pPr>
              <w:pStyle w:val="Tables"/>
            </w:pPr>
            <w:r>
              <w:rPr>
                <w:rFonts w:asciiTheme="minorHAnsi" w:hAnsiTheme="minorHAnsi" w:cstheme="minorHAnsi"/>
              </w:rPr>
              <w:fldChar w:fldCharType="begin"/>
            </w:r>
            <w:r w:rsidR="00807999">
              <w:rPr>
                <w:rFonts w:asciiTheme="minorHAnsi" w:hAnsiTheme="minorHAnsi" w:cstheme="minorHAnsi"/>
              </w:rPr>
              <w:instrText xml:space="preserve"> ADDIN PAPERS2_CITATIONS &lt;citation&gt;&lt;uuid&gt;37416B9C-1D4A-4347-988F-286AABB24AFE&lt;/uuid&gt;&lt;priority&gt;0&lt;/priority&gt;&lt;publications&gt;&lt;publication&gt;&lt;uuid&gt;93C97861-B53D-446A-8CC8-C2BD026AD337&lt;/uuid&gt;&lt;volume&gt;4&lt;/volume&gt;&lt;doi&gt;10.1007/s12155-010-9104-4&lt;/doi&gt;&lt;startpage&gt;96&lt;/startpage&gt;&lt;publication_date&gt;99201008211200000000222000&lt;/publication_date&gt;&lt;url&gt;http://link.springer.com/10.1007/s12155-010-9104-4&lt;/url&gt;&lt;citekey&gt;Vogel:2011bw&lt;/citekey&gt;&lt;type&gt;400&lt;/type&gt;&lt;title&gt;Quantifying Actual and Theoretical Ethanol Yields for Switchgrass Strains Using NIRS Analyses&lt;/title&gt;&lt;number&gt;2&lt;/number&gt;&lt;subtype&gt;400&lt;/subtype&gt;&lt;endpage&gt;110&lt;/endpage&gt;&lt;bundle&gt;&lt;publication&gt;&lt;publisher&gt;Springer US&lt;/publisher&gt;&lt;title&gt;BioEnergy Research&lt;/title&gt;&lt;type&gt;-100&lt;/type&gt;&lt;subtype&gt;-100&lt;/subtype&gt;&lt;uuid&gt;10F75356-9E4C-4774-98A2-0C658827ED32&lt;/uuid&gt;&lt;/publication&gt;&lt;/bundle&gt;&lt;authors&gt;&lt;author&gt;&lt;firstName&gt;Kenneth&lt;/firstName&gt;&lt;middleNames&gt;P&lt;/middleNames&gt;&lt;lastName&gt;Vogel&lt;/lastName&gt;&lt;/author&gt;&lt;author&gt;&lt;firstName&gt;Bruce&lt;/firstName&gt;&lt;middleNames&gt;S&lt;/middleNames&gt;&lt;lastName&gt;Dien&lt;/lastName&gt;&lt;/author&gt;&lt;author&gt;&lt;firstName&gt;Hans&lt;/firstName&gt;&lt;middleNames&gt;G&lt;/middleNames&gt;&lt;lastName&gt;Jung&lt;/lastName&gt;&lt;/author&gt;&lt;author&gt;&lt;firstName&gt;Michael&lt;/firstName&gt;&lt;middleNames&gt;D&lt;/middleNames&gt;&lt;lastName&gt;Casler&lt;/lastName&gt;&lt;/author&gt;&lt;author&gt;&lt;firstName&gt;Steven&lt;/firstName&gt;&lt;middleNames&gt;D&lt;/middleNames&gt;&lt;lastName&gt;Masterson&lt;/lastName&gt;&lt;/author&gt;&lt;author&gt;&lt;firstName&gt;Robert&lt;/firstName&gt;&lt;middleNames&gt;B&lt;/middleNames&gt;&lt;lastName&gt;Mitchell&lt;/lastName&gt;&lt;/author&gt;&lt;/authors&gt;&lt;/publication&gt;&lt;/publications&gt;&lt;cites&gt;&lt;/cites&gt;&lt;/citation&gt;</w:instrText>
            </w:r>
            <w:r>
              <w:rPr>
                <w:rFonts w:asciiTheme="minorHAnsi" w:hAnsiTheme="minorHAnsi" w:cstheme="minorHAnsi"/>
              </w:rPr>
              <w:fldChar w:fldCharType="separate"/>
            </w:r>
            <w:r w:rsidR="001C1AAC">
              <w:t>(</w:t>
            </w:r>
            <w:r w:rsidR="001C1AAC">
              <w:rPr>
                <w:i/>
                <w:iCs/>
              </w:rPr>
              <w:t>140</w:t>
            </w:r>
            <w:r w:rsidR="001C1AAC">
              <w:t>)</w:t>
            </w:r>
            <w:r>
              <w:rPr>
                <w:rFonts w:asciiTheme="minorHAnsi" w:hAnsiTheme="minorHAnsi" w:cstheme="minorHAnsi"/>
              </w:rPr>
              <w:fldChar w:fldCharType="end"/>
            </w:r>
          </w:p>
        </w:tc>
      </w:tr>
      <w:tr w:rsidR="00D77ADB" w:rsidRPr="009A13B8" w14:paraId="6DA8A99D" w14:textId="77777777" w:rsidTr="00D057D7">
        <w:trPr>
          <w:trHeight w:val="640"/>
        </w:trPr>
        <w:tc>
          <w:tcPr>
            <w:tcW w:w="2893" w:type="dxa"/>
            <w:shd w:val="clear" w:color="auto" w:fill="auto"/>
            <w:noWrap/>
            <w:vAlign w:val="center"/>
            <w:hideMark/>
          </w:tcPr>
          <w:p w14:paraId="27FB861F" w14:textId="77777777" w:rsidR="009A13B8" w:rsidRPr="009A13B8" w:rsidRDefault="009A13B8" w:rsidP="00D057D7">
            <w:pPr>
              <w:pStyle w:val="Tables"/>
            </w:pPr>
            <w:r w:rsidRPr="009A13B8">
              <w:t>HEX</w:t>
            </w:r>
          </w:p>
        </w:tc>
        <w:tc>
          <w:tcPr>
            <w:tcW w:w="3856" w:type="dxa"/>
            <w:shd w:val="clear" w:color="auto" w:fill="auto"/>
            <w:vAlign w:val="bottom"/>
            <w:hideMark/>
          </w:tcPr>
          <w:p w14:paraId="77551233" w14:textId="77777777" w:rsidR="009A13B8" w:rsidRPr="009A13B8" w:rsidRDefault="009A13B8" w:rsidP="009A13B8">
            <w:pPr>
              <w:pStyle w:val="Tables"/>
              <w:rPr>
                <w:color w:val="111111"/>
              </w:rPr>
            </w:pPr>
            <w:r w:rsidRPr="009A13B8">
              <w:rPr>
                <w:color w:val="111111"/>
              </w:rPr>
              <w:t>Total hexoses ((MAN + GAL + GLC)(180/162)) + NSC)</w:t>
            </w:r>
          </w:p>
        </w:tc>
        <w:tc>
          <w:tcPr>
            <w:tcW w:w="1620" w:type="dxa"/>
            <w:shd w:val="clear" w:color="auto" w:fill="auto"/>
            <w:noWrap/>
            <w:vAlign w:val="bottom"/>
            <w:hideMark/>
          </w:tcPr>
          <w:p w14:paraId="15A81E8C" w14:textId="4BE0252A" w:rsidR="009A13B8" w:rsidRPr="009A13B8" w:rsidRDefault="009A13B8" w:rsidP="009A13B8">
            <w:pPr>
              <w:pStyle w:val="Tables"/>
            </w:pPr>
            <w:r>
              <w:rPr>
                <w:rFonts w:asciiTheme="minorHAnsi" w:hAnsiTheme="minorHAnsi" w:cstheme="minorHAnsi"/>
              </w:rPr>
              <w:fldChar w:fldCharType="begin"/>
            </w:r>
            <w:r w:rsidR="00807999">
              <w:rPr>
                <w:rFonts w:asciiTheme="minorHAnsi" w:hAnsiTheme="minorHAnsi" w:cstheme="minorHAnsi"/>
              </w:rPr>
              <w:instrText xml:space="preserve"> ADDIN PAPERS2_CITATIONS &lt;citation&gt;&lt;uuid&gt;60E62270-3CC5-404C-8FAD-6BB85D4A909B&lt;/uuid&gt;&lt;priority&gt;0&lt;/priority&gt;&lt;publications&gt;&lt;publication&gt;&lt;uuid&gt;93C97861-B53D-446A-8CC8-C2BD026AD337&lt;/uuid&gt;&lt;volume&gt;4&lt;/volume&gt;&lt;doi&gt;10.1007/s12155-010-9104-4&lt;/doi&gt;&lt;startpage&gt;96&lt;/startpage&gt;&lt;publication_date&gt;99201008211200000000222000&lt;/publication_date&gt;&lt;url&gt;http://link.springer.com/10.1007/s12155-010-9104-4&lt;/url&gt;&lt;citekey&gt;Vogel:2011bw&lt;/citekey&gt;&lt;type&gt;400&lt;/type&gt;&lt;title&gt;Quantifying Actual and Theoretical Ethanol Yields for Switchgrass Strains Using NIRS Analyses&lt;/title&gt;&lt;number&gt;2&lt;/number&gt;&lt;subtype&gt;400&lt;/subtype&gt;&lt;endpage&gt;110&lt;/endpage&gt;&lt;bundle&gt;&lt;publication&gt;&lt;publisher&gt;Springer US&lt;/publisher&gt;&lt;title&gt;BioEnergy Research&lt;/title&gt;&lt;type&gt;-100&lt;/type&gt;&lt;subtype&gt;-100&lt;/subtype&gt;&lt;uuid&gt;10F75356-9E4C-4774-98A2-0C658827ED32&lt;/uuid&gt;&lt;/publication&gt;&lt;/bundle&gt;&lt;authors&gt;&lt;author&gt;&lt;firstName&gt;Kenneth&lt;/firstName&gt;&lt;middleNames&gt;P&lt;/middleNames&gt;&lt;lastName&gt;Vogel&lt;/lastName&gt;&lt;/author&gt;&lt;author&gt;&lt;firstName&gt;Bruce&lt;/firstName&gt;&lt;middleNames&gt;S&lt;/middleNames&gt;&lt;lastName&gt;Dien&lt;/lastName&gt;&lt;/author&gt;&lt;author&gt;&lt;firstName&gt;Hans&lt;/firstName&gt;&lt;middleNames&gt;G&lt;/middleNames&gt;&lt;lastName&gt;Jung&lt;/lastName&gt;&lt;/author&gt;&lt;author&gt;&lt;firstName&gt;Michael&lt;/firstName&gt;&lt;middleNames&gt;D&lt;/middleNames&gt;&lt;lastName&gt;Casler&lt;/lastName&gt;&lt;/author&gt;&lt;author&gt;&lt;firstName&gt;Steven&lt;/firstName&gt;&lt;middleNames&gt;D&lt;/middleNames&gt;&lt;lastName&gt;Masterson&lt;/lastName&gt;&lt;/author&gt;&lt;author&gt;&lt;firstName&gt;Robert&lt;/firstName&gt;&lt;middleNames&gt;B&lt;/middleNames&gt;&lt;lastName&gt;Mitchell&lt;/lastName&gt;&lt;/author&gt;&lt;/authors&gt;&lt;/publication&gt;&lt;/publications&gt;&lt;cites&gt;&lt;/cites&gt;&lt;/citation&gt;</w:instrText>
            </w:r>
            <w:r>
              <w:rPr>
                <w:rFonts w:asciiTheme="minorHAnsi" w:hAnsiTheme="minorHAnsi" w:cstheme="minorHAnsi"/>
              </w:rPr>
              <w:fldChar w:fldCharType="separate"/>
            </w:r>
            <w:r w:rsidR="001C1AAC">
              <w:t>(</w:t>
            </w:r>
            <w:r w:rsidR="001C1AAC">
              <w:rPr>
                <w:i/>
                <w:iCs/>
              </w:rPr>
              <w:t>140</w:t>
            </w:r>
            <w:r w:rsidR="001C1AAC">
              <w:t>)</w:t>
            </w:r>
            <w:r>
              <w:rPr>
                <w:rFonts w:asciiTheme="minorHAnsi" w:hAnsiTheme="minorHAnsi" w:cstheme="minorHAnsi"/>
              </w:rPr>
              <w:fldChar w:fldCharType="end"/>
            </w:r>
          </w:p>
        </w:tc>
      </w:tr>
      <w:tr w:rsidR="00D77ADB" w:rsidRPr="009A13B8" w14:paraId="7762A35A" w14:textId="77777777" w:rsidTr="00D057D7">
        <w:trPr>
          <w:trHeight w:val="640"/>
        </w:trPr>
        <w:tc>
          <w:tcPr>
            <w:tcW w:w="2893" w:type="dxa"/>
            <w:shd w:val="clear" w:color="auto" w:fill="auto"/>
            <w:noWrap/>
            <w:vAlign w:val="center"/>
            <w:hideMark/>
          </w:tcPr>
          <w:p w14:paraId="7A7FD42F" w14:textId="77777777" w:rsidR="009A13B8" w:rsidRPr="009A13B8" w:rsidRDefault="009A13B8" w:rsidP="00D057D7">
            <w:pPr>
              <w:pStyle w:val="Tables"/>
            </w:pPr>
            <w:r w:rsidRPr="009A13B8">
              <w:t>HEXE</w:t>
            </w:r>
          </w:p>
        </w:tc>
        <w:tc>
          <w:tcPr>
            <w:tcW w:w="3856" w:type="dxa"/>
            <w:shd w:val="clear" w:color="auto" w:fill="auto"/>
            <w:vAlign w:val="bottom"/>
            <w:hideMark/>
          </w:tcPr>
          <w:p w14:paraId="14FBFB80" w14:textId="77777777" w:rsidR="009A13B8" w:rsidRPr="009A13B8" w:rsidRDefault="009A13B8" w:rsidP="009A13B8">
            <w:pPr>
              <w:pStyle w:val="Tables"/>
              <w:rPr>
                <w:color w:val="111111"/>
              </w:rPr>
            </w:pPr>
            <w:r w:rsidRPr="009A13B8">
              <w:rPr>
                <w:color w:val="111111"/>
              </w:rPr>
              <w:t>Theoretical ethanol from hexoses [MAN + GAL + GLC)*0.57] + [0.51(GLCS + FRU)] + [0.537*SUC]</w:t>
            </w:r>
          </w:p>
        </w:tc>
        <w:tc>
          <w:tcPr>
            <w:tcW w:w="1620" w:type="dxa"/>
            <w:shd w:val="clear" w:color="auto" w:fill="auto"/>
            <w:noWrap/>
            <w:vAlign w:val="bottom"/>
            <w:hideMark/>
          </w:tcPr>
          <w:p w14:paraId="21EC0AAF" w14:textId="4BD2D951" w:rsidR="009A13B8" w:rsidRPr="009A13B8" w:rsidRDefault="009A13B8" w:rsidP="009A13B8">
            <w:pPr>
              <w:pStyle w:val="Tables"/>
            </w:pPr>
            <w:r>
              <w:rPr>
                <w:rFonts w:asciiTheme="minorHAnsi" w:hAnsiTheme="minorHAnsi" w:cstheme="minorHAnsi"/>
              </w:rPr>
              <w:fldChar w:fldCharType="begin"/>
            </w:r>
            <w:r w:rsidR="00807999">
              <w:rPr>
                <w:rFonts w:asciiTheme="minorHAnsi" w:hAnsiTheme="minorHAnsi" w:cstheme="minorHAnsi"/>
              </w:rPr>
              <w:instrText xml:space="preserve"> ADDIN PAPERS2_CITATIONS &lt;citation&gt;&lt;uuid&gt;F22E1356-A61B-4270-935E-C187BC83502F&lt;/uuid&gt;&lt;priority&gt;0&lt;/priority&gt;&lt;publications&gt;&lt;publication&gt;&lt;uuid&gt;93C97861-B53D-446A-8CC8-C2BD026AD337&lt;/uuid&gt;&lt;volume&gt;4&lt;/volume&gt;&lt;doi&gt;10.1007/s12155-010-9104-4&lt;/doi&gt;&lt;startpage&gt;96&lt;/startpage&gt;&lt;publication_date&gt;99201008211200000000222000&lt;/publication_date&gt;&lt;url&gt;http://link.springer.com/10.1007/s12155-010-9104-4&lt;/url&gt;&lt;citekey&gt;Vogel:2011bw&lt;/citekey&gt;&lt;type&gt;400&lt;/type&gt;&lt;title&gt;Quantifying Actual and Theoretical Ethanol Yields for Switchgrass Strains Using NIRS Analyses&lt;/title&gt;&lt;number&gt;2&lt;/number&gt;&lt;subtype&gt;400&lt;/subtype&gt;&lt;endpage&gt;110&lt;/endpage&gt;&lt;bundle&gt;&lt;publication&gt;&lt;publisher&gt;Springer US&lt;/publisher&gt;&lt;title&gt;BioEnergy Research&lt;/title&gt;&lt;type&gt;-100&lt;/type&gt;&lt;subtype&gt;-100&lt;/subtype&gt;&lt;uuid&gt;10F75356-9E4C-4774-98A2-0C658827ED32&lt;/uuid&gt;&lt;/publication&gt;&lt;/bundle&gt;&lt;authors&gt;&lt;author&gt;&lt;firstName&gt;Kenneth&lt;/firstName&gt;&lt;middleNames&gt;P&lt;/middleNames&gt;&lt;lastName&gt;Vogel&lt;/lastName&gt;&lt;/author&gt;&lt;author&gt;&lt;firstName&gt;Bruce&lt;/firstName&gt;&lt;middleNames&gt;S&lt;/middleNames&gt;&lt;lastName&gt;Dien&lt;/lastName&gt;&lt;/author&gt;&lt;author&gt;&lt;firstName&gt;Hans&lt;/firstName&gt;&lt;middleNames&gt;G&lt;/middleNames&gt;&lt;lastName&gt;Jung&lt;/lastName&gt;&lt;/author&gt;&lt;author&gt;&lt;firstName&gt;Michael&lt;/firstName&gt;&lt;middleNames&gt;D&lt;/middleNames&gt;&lt;lastName&gt;Casler&lt;/lastName&gt;&lt;/author&gt;&lt;author&gt;&lt;firstName&gt;Steven&lt;/firstName&gt;&lt;middleNames&gt;D&lt;/middleNames&gt;&lt;lastName&gt;Masterson&lt;/lastName&gt;&lt;/author&gt;&lt;author&gt;&lt;firstName&gt;Robert&lt;/firstName&gt;&lt;middleNames&gt;B&lt;/middleNames&gt;&lt;lastName&gt;Mitchell&lt;/lastName&gt;&lt;/author&gt;&lt;/authors&gt;&lt;/publication&gt;&lt;/publications&gt;&lt;cites&gt;&lt;/cites&gt;&lt;/citation&gt;</w:instrText>
            </w:r>
            <w:r>
              <w:rPr>
                <w:rFonts w:asciiTheme="minorHAnsi" w:hAnsiTheme="minorHAnsi" w:cstheme="minorHAnsi"/>
              </w:rPr>
              <w:fldChar w:fldCharType="separate"/>
            </w:r>
            <w:r w:rsidR="001C1AAC">
              <w:t>(</w:t>
            </w:r>
            <w:r w:rsidR="001C1AAC">
              <w:rPr>
                <w:i/>
                <w:iCs/>
              </w:rPr>
              <w:t>140</w:t>
            </w:r>
            <w:r w:rsidR="001C1AAC">
              <w:t>)</w:t>
            </w:r>
            <w:r>
              <w:rPr>
                <w:rFonts w:asciiTheme="minorHAnsi" w:hAnsiTheme="minorHAnsi" w:cstheme="minorHAnsi"/>
              </w:rPr>
              <w:fldChar w:fldCharType="end"/>
            </w:r>
          </w:p>
        </w:tc>
      </w:tr>
      <w:tr w:rsidR="00D77ADB" w:rsidRPr="009A13B8" w14:paraId="5203BA33" w14:textId="77777777" w:rsidTr="00D057D7">
        <w:trPr>
          <w:trHeight w:val="640"/>
        </w:trPr>
        <w:tc>
          <w:tcPr>
            <w:tcW w:w="2893" w:type="dxa"/>
            <w:shd w:val="clear" w:color="auto" w:fill="auto"/>
            <w:noWrap/>
            <w:vAlign w:val="center"/>
            <w:hideMark/>
          </w:tcPr>
          <w:p w14:paraId="1E21B459" w14:textId="77777777" w:rsidR="009A13B8" w:rsidRPr="009A13B8" w:rsidRDefault="009A13B8" w:rsidP="00D057D7">
            <w:pPr>
              <w:pStyle w:val="Tables"/>
            </w:pPr>
            <w:r w:rsidRPr="009A13B8">
              <w:t>HEXEP</w:t>
            </w:r>
          </w:p>
        </w:tc>
        <w:tc>
          <w:tcPr>
            <w:tcW w:w="3856" w:type="dxa"/>
            <w:shd w:val="clear" w:color="auto" w:fill="auto"/>
            <w:vAlign w:val="bottom"/>
            <w:hideMark/>
          </w:tcPr>
          <w:p w14:paraId="0E108F87" w14:textId="77777777" w:rsidR="009A13B8" w:rsidRPr="009A13B8" w:rsidRDefault="009A13B8" w:rsidP="009A13B8">
            <w:pPr>
              <w:pStyle w:val="Tables"/>
              <w:rPr>
                <w:color w:val="111111"/>
              </w:rPr>
            </w:pPr>
            <w:r w:rsidRPr="009A13B8">
              <w:rPr>
                <w:color w:val="111111"/>
              </w:rPr>
              <w:t>Hexose ethanol extraction efficiency  (ETOH/HEXE)/100</w:t>
            </w:r>
          </w:p>
        </w:tc>
        <w:tc>
          <w:tcPr>
            <w:tcW w:w="1620" w:type="dxa"/>
            <w:shd w:val="clear" w:color="auto" w:fill="auto"/>
            <w:noWrap/>
            <w:vAlign w:val="bottom"/>
            <w:hideMark/>
          </w:tcPr>
          <w:p w14:paraId="2C5EF5AD" w14:textId="06086E3D" w:rsidR="009A13B8" w:rsidRPr="009A13B8" w:rsidRDefault="00995B4B" w:rsidP="009A13B8">
            <w:pPr>
              <w:pStyle w:val="Tables"/>
            </w:pPr>
            <w:r>
              <w:rPr>
                <w:rFonts w:asciiTheme="minorHAnsi" w:hAnsiTheme="minorHAnsi" w:cstheme="minorHAnsi"/>
              </w:rPr>
              <w:fldChar w:fldCharType="begin"/>
            </w:r>
            <w:r w:rsidR="00807999">
              <w:rPr>
                <w:rFonts w:asciiTheme="minorHAnsi" w:hAnsiTheme="minorHAnsi" w:cstheme="minorHAnsi"/>
              </w:rPr>
              <w:instrText xml:space="preserve"> ADDIN PAPERS2_CITATIONS &lt;citation&gt;&lt;uuid&gt;A73D333D-2069-4473-B217-7484E8D4E985&lt;/uuid&gt;&lt;priority&gt;0&lt;/priority&gt;&lt;publications&gt;&lt;publication&gt;&lt;uuid&gt;93C97861-B53D-446A-8CC8-C2BD026AD337&lt;/uuid&gt;&lt;volume&gt;4&lt;/volume&gt;&lt;doi&gt;10.1007/s12155-010-9104-4&lt;/doi&gt;&lt;startpage&gt;96&lt;/startpage&gt;&lt;publication_date&gt;99201008211200000000222000&lt;/publication_date&gt;&lt;url&gt;http://link.springer.com/10.1007/s12155-010-9104-4&lt;/url&gt;&lt;citekey&gt;Vogel:2011bw&lt;/citekey&gt;&lt;type&gt;400&lt;/type&gt;&lt;title&gt;Quantifying Actual and Theoretical Ethanol Yields for Switchgrass Strains Using NIRS Analyses&lt;/title&gt;&lt;number&gt;2&lt;/number&gt;&lt;subtype&gt;400&lt;/subtype&gt;&lt;endpage&gt;110&lt;/endpage&gt;&lt;bundle&gt;&lt;publication&gt;&lt;publisher&gt;Springer US&lt;/publisher&gt;&lt;title&gt;BioEnergy Research&lt;/title&gt;&lt;type&gt;-100&lt;/type&gt;&lt;subtype&gt;-100&lt;/subtype&gt;&lt;uuid&gt;10F75356-9E4C-4774-98A2-0C658827ED32&lt;/uuid&gt;&lt;/publication&gt;&lt;/bundle&gt;&lt;authors&gt;&lt;author&gt;&lt;firstName&gt;Kenneth&lt;/firstName&gt;&lt;middleNames&gt;P&lt;/middleNames&gt;&lt;lastName&gt;Vogel&lt;/lastName&gt;&lt;/author&gt;&lt;author&gt;&lt;firstName&gt;Bruce&lt;/firstName&gt;&lt;middleNames&gt;S&lt;/middleNames&gt;&lt;lastName&gt;Dien&lt;/lastName&gt;&lt;/author&gt;&lt;author&gt;&lt;firstName&gt;Hans&lt;/firstName&gt;&lt;middleNames&gt;G&lt;/middleNames&gt;&lt;lastName&gt;Jung&lt;/lastName&gt;&lt;/author&gt;&lt;author&gt;&lt;firstName&gt;Michael&lt;/firstName&gt;&lt;middleNames&gt;D&lt;/middleNames&gt;&lt;lastName&gt;Casler&lt;/lastName&gt;&lt;/author&gt;&lt;author&gt;&lt;firstName&gt;Steven&lt;/firstName&gt;&lt;middleNames&gt;D&lt;/middleNames&gt;&lt;lastName&gt;Masterson&lt;/lastName&gt;&lt;/author&gt;&lt;author&gt;&lt;firstName&gt;Robert&lt;/firstName&gt;&lt;middleNames&gt;B&lt;/middleNames&gt;&lt;lastName&gt;Mitchell&lt;/lastName&gt;&lt;/author&gt;&lt;/authors&gt;&lt;/publication&gt;&lt;/publications&gt;&lt;cites&gt;&lt;/cites&gt;&lt;/citation&gt;</w:instrText>
            </w:r>
            <w:r>
              <w:rPr>
                <w:rFonts w:asciiTheme="minorHAnsi" w:hAnsiTheme="minorHAnsi" w:cstheme="minorHAnsi"/>
              </w:rPr>
              <w:fldChar w:fldCharType="separate"/>
            </w:r>
            <w:r w:rsidR="001C1AAC">
              <w:t>(</w:t>
            </w:r>
            <w:r w:rsidR="001C1AAC">
              <w:rPr>
                <w:i/>
                <w:iCs/>
              </w:rPr>
              <w:t>140</w:t>
            </w:r>
            <w:r w:rsidR="001C1AAC">
              <w:t>)</w:t>
            </w:r>
            <w:r>
              <w:rPr>
                <w:rFonts w:asciiTheme="minorHAnsi" w:hAnsiTheme="minorHAnsi" w:cstheme="minorHAnsi"/>
              </w:rPr>
              <w:fldChar w:fldCharType="end"/>
            </w:r>
          </w:p>
        </w:tc>
      </w:tr>
      <w:tr w:rsidR="00D77ADB" w:rsidRPr="009A13B8" w14:paraId="3FAD96D6" w14:textId="77777777" w:rsidTr="00470E8C">
        <w:trPr>
          <w:trHeight w:hRule="exact" w:val="317"/>
        </w:trPr>
        <w:tc>
          <w:tcPr>
            <w:tcW w:w="2893" w:type="dxa"/>
            <w:shd w:val="clear" w:color="auto" w:fill="auto"/>
            <w:noWrap/>
            <w:hideMark/>
          </w:tcPr>
          <w:p w14:paraId="740B13E3" w14:textId="77777777" w:rsidR="009A13B8" w:rsidRPr="009A13B8" w:rsidRDefault="009A13B8" w:rsidP="00470E8C">
            <w:pPr>
              <w:pStyle w:val="Tables"/>
            </w:pPr>
            <w:r w:rsidRPr="009A13B8">
              <w:t>IVDMD</w:t>
            </w:r>
          </w:p>
        </w:tc>
        <w:tc>
          <w:tcPr>
            <w:tcW w:w="3856" w:type="dxa"/>
            <w:shd w:val="clear" w:color="auto" w:fill="auto"/>
            <w:hideMark/>
          </w:tcPr>
          <w:p w14:paraId="6806D1BD" w14:textId="3D3660D5" w:rsidR="009A13B8" w:rsidRPr="009A13B8" w:rsidRDefault="006963AD" w:rsidP="00470E8C">
            <w:r w:rsidRPr="006963AD">
              <w:t>In</w:t>
            </w:r>
            <w:r>
              <w:t>-vitro dry matter digestibility</w:t>
            </w:r>
          </w:p>
        </w:tc>
        <w:tc>
          <w:tcPr>
            <w:tcW w:w="1620" w:type="dxa"/>
            <w:shd w:val="clear" w:color="auto" w:fill="auto"/>
            <w:noWrap/>
            <w:hideMark/>
          </w:tcPr>
          <w:p w14:paraId="68A93D9D" w14:textId="69691BB7" w:rsidR="009A13B8" w:rsidRPr="009A13B8" w:rsidRDefault="00995B4B" w:rsidP="00470E8C">
            <w:pPr>
              <w:pStyle w:val="Tables"/>
            </w:pPr>
            <w:r>
              <w:rPr>
                <w:rFonts w:asciiTheme="minorHAnsi" w:hAnsiTheme="minorHAnsi" w:cstheme="minorHAnsi"/>
              </w:rPr>
              <w:fldChar w:fldCharType="begin"/>
            </w:r>
            <w:r w:rsidR="00807999">
              <w:rPr>
                <w:rFonts w:asciiTheme="minorHAnsi" w:hAnsiTheme="minorHAnsi" w:cstheme="minorHAnsi"/>
              </w:rPr>
              <w:instrText xml:space="preserve"> ADDIN PAPERS2_CITATIONS &lt;citation&gt;&lt;uuid&gt;87BD5E7F-FD92-4C1C-8507-F3296CB1257A&lt;/uuid&gt;&lt;priority&gt;0&lt;/priority&gt;&lt;publications&gt;&lt;publication&gt;&lt;uuid&gt;93C97861-B53D-446A-8CC8-C2BD026AD337&lt;/uuid&gt;&lt;volume&gt;4&lt;/volume&gt;&lt;doi&gt;10.1007/s12155-010-9104-4&lt;/doi&gt;&lt;startpage&gt;96&lt;/startpage&gt;&lt;publication_date&gt;99201008211200000000222000&lt;/publication_date&gt;&lt;url&gt;http://link.springer.com/10.1007/s12155-010-9104-4&lt;/url&gt;&lt;citekey&gt;Vogel:2011bw&lt;/citekey&gt;&lt;type&gt;400&lt;/type&gt;&lt;title&gt;Quantifying Actual and Theoretical Ethanol Yields for Switchgrass Strains Using NIRS Analyses&lt;/title&gt;&lt;number&gt;2&lt;/number&gt;&lt;subtype&gt;400&lt;/subtype&gt;&lt;endpage&gt;110&lt;/endpage&gt;&lt;bundle&gt;&lt;publication&gt;&lt;publisher&gt;Springer US&lt;/publisher&gt;&lt;title&gt;BioEnergy Research&lt;/title&gt;&lt;type&gt;-100&lt;/type&gt;&lt;subtype&gt;-100&lt;/subtype&gt;&lt;uuid&gt;10F75356-9E4C-4774-98A2-0C658827ED32&lt;/uuid&gt;&lt;/publication&gt;&lt;/bundle&gt;&lt;authors&gt;&lt;author&gt;&lt;firstName&gt;Kenneth&lt;/firstName&gt;&lt;middleNames&gt;P&lt;/middleNames&gt;&lt;lastName&gt;Vogel&lt;/lastName&gt;&lt;/author&gt;&lt;author&gt;&lt;firstName&gt;Bruce&lt;/firstName&gt;&lt;middleNames&gt;S&lt;/middleNames&gt;&lt;lastName&gt;Dien&lt;/lastName&gt;&lt;/author&gt;&lt;author&gt;&lt;firstName&gt;Hans&lt;/firstName&gt;&lt;middleNames&gt;G&lt;/middleNames&gt;&lt;lastName&gt;Jung&lt;/lastName&gt;&lt;/author&gt;&lt;author&gt;&lt;firstName&gt;Michael&lt;/firstName&gt;&lt;middleNames&gt;D&lt;/middleNames&gt;&lt;lastName&gt;Casler&lt;/lastName&gt;&lt;/author&gt;&lt;author&gt;&lt;firstName&gt;Steven&lt;/firstName&gt;&lt;middleNames&gt;D&lt;/middleNames&gt;&lt;lastName&gt;Masterson&lt;/lastName&gt;&lt;/author&gt;&lt;author&gt;&lt;firstName&gt;Robert&lt;/firstName&gt;&lt;middleNames&gt;B&lt;/middleNames&gt;&lt;lastName&gt;Mitchell&lt;/lastName&gt;&lt;/author&gt;&lt;/authors&gt;&lt;/publication&gt;&lt;/publications&gt;&lt;cites&gt;&lt;/cites&gt;&lt;/citation&gt;</w:instrText>
            </w:r>
            <w:r>
              <w:rPr>
                <w:rFonts w:asciiTheme="minorHAnsi" w:hAnsiTheme="minorHAnsi" w:cstheme="minorHAnsi"/>
              </w:rPr>
              <w:fldChar w:fldCharType="separate"/>
            </w:r>
            <w:r w:rsidR="001C1AAC">
              <w:t>(</w:t>
            </w:r>
            <w:r w:rsidR="001C1AAC">
              <w:rPr>
                <w:i/>
                <w:iCs/>
              </w:rPr>
              <w:t>140</w:t>
            </w:r>
            <w:r w:rsidR="001C1AAC">
              <w:t>)</w:t>
            </w:r>
            <w:r>
              <w:rPr>
                <w:rFonts w:asciiTheme="minorHAnsi" w:hAnsiTheme="minorHAnsi" w:cstheme="minorHAnsi"/>
              </w:rPr>
              <w:fldChar w:fldCharType="end"/>
            </w:r>
          </w:p>
        </w:tc>
      </w:tr>
      <w:tr w:rsidR="00D77ADB" w:rsidRPr="009A13B8" w14:paraId="162C94E0" w14:textId="77777777" w:rsidTr="00D057D7">
        <w:trPr>
          <w:trHeight w:val="320"/>
        </w:trPr>
        <w:tc>
          <w:tcPr>
            <w:tcW w:w="2893" w:type="dxa"/>
            <w:shd w:val="clear" w:color="auto" w:fill="auto"/>
            <w:noWrap/>
            <w:vAlign w:val="center"/>
            <w:hideMark/>
          </w:tcPr>
          <w:p w14:paraId="018071AD" w14:textId="77777777" w:rsidR="006963AD" w:rsidRPr="009A13B8" w:rsidRDefault="006963AD" w:rsidP="00D057D7">
            <w:pPr>
              <w:pStyle w:val="Tables"/>
            </w:pPr>
            <w:r w:rsidRPr="009A13B8">
              <w:t>IVDMD.forage</w:t>
            </w:r>
          </w:p>
        </w:tc>
        <w:tc>
          <w:tcPr>
            <w:tcW w:w="3856" w:type="dxa"/>
            <w:shd w:val="clear" w:color="auto" w:fill="auto"/>
            <w:vAlign w:val="bottom"/>
            <w:hideMark/>
          </w:tcPr>
          <w:p w14:paraId="3795BCD6" w14:textId="1F7A5E5E" w:rsidR="006963AD" w:rsidRPr="009A13B8" w:rsidRDefault="006963AD" w:rsidP="009A13B8">
            <w:pPr>
              <w:pStyle w:val="Tables"/>
            </w:pPr>
            <w:r w:rsidRPr="006963AD">
              <w:t>In</w:t>
            </w:r>
            <w:r>
              <w:t>-vitro dry matter digestibility (forage equation)</w:t>
            </w:r>
          </w:p>
        </w:tc>
        <w:tc>
          <w:tcPr>
            <w:tcW w:w="1620" w:type="dxa"/>
            <w:shd w:val="clear" w:color="auto" w:fill="auto"/>
            <w:noWrap/>
            <w:vAlign w:val="bottom"/>
            <w:hideMark/>
          </w:tcPr>
          <w:p w14:paraId="067A200F" w14:textId="60AEBD58" w:rsidR="006963AD" w:rsidRPr="009A13B8" w:rsidRDefault="006963AD" w:rsidP="009A13B8">
            <w:pPr>
              <w:pStyle w:val="Tables"/>
            </w:pPr>
            <w:r>
              <w:rPr>
                <w:rFonts w:asciiTheme="minorHAnsi" w:hAnsiTheme="minorHAnsi" w:cstheme="minorHAnsi"/>
              </w:rPr>
              <w:fldChar w:fldCharType="begin"/>
            </w:r>
            <w:r w:rsidR="00807999">
              <w:rPr>
                <w:rFonts w:asciiTheme="minorHAnsi" w:hAnsiTheme="minorHAnsi" w:cstheme="minorHAnsi"/>
              </w:rPr>
              <w:instrText xml:space="preserve"> ADDIN PAPERS2_CITATIONS &lt;citation&gt;&lt;uuid&gt;5B81DE67-4017-4178-9F2E-CF578F24EE02&lt;/uuid&gt;&lt;priority&gt;0&lt;/priority&gt;&lt;publications&gt;&lt;publication&gt;&lt;volume&gt;339&lt;/volume&gt;&lt;publication_date&gt;99201004151200000000222000&lt;/publication_date&gt;&lt;number&gt;1-2&lt;/number&gt;&lt;doi&gt;10.1007/s11104-010-0376-4&lt;/doi&gt;&lt;startpage&gt;69&lt;/startpage&gt;&lt;title&gt;Switchgrass for forage and bioenergy: harvest and nitrogen rate effects on biomass yields and nutrient composition&lt;/title&gt;&lt;uuid&gt;D1F74A81-1B28-432B-854D-4742B2C12C0C&lt;/uuid&gt;&lt;subtype&gt;400&lt;/subtype&gt;&lt;endpage&gt;81&lt;/endpage&gt;&lt;type&gt;400&lt;/type&gt;&lt;url&gt;http://link.springer.com/10.1007/s11104-010-0376-4&lt;/url&gt;&lt;bundle&gt;&lt;publication&gt;&lt;title&gt;Plant and Soil&lt;/title&gt;&lt;type&gt;-100&lt;/type&gt;&lt;subtype&gt;-100&lt;/subtype&gt;&lt;uuid&gt;4D2157D4-F2F2-4179-B289-12F735F40749&lt;/uuid&gt;&lt;/publication&gt;&lt;/bundle&gt;&lt;authors&gt;&lt;author&gt;&lt;firstName&gt;John&lt;/firstName&gt;&lt;middleNames&gt;A&lt;/middleNames&gt;&lt;lastName&gt;Guretzky&lt;/lastName&gt;&lt;/author&gt;&lt;author&gt;&lt;firstName&gt;Jon&lt;/firstName&gt;&lt;middleNames&gt;T&lt;/middleNames&gt;&lt;lastName&gt;Biermacher&lt;/lastName&gt;&lt;/author&gt;&lt;author&gt;&lt;firstName&gt;Billy&lt;/firstName&gt;&lt;middleNames&gt;J&lt;/middleNames&gt;&lt;lastName&gt;Cook&lt;/lastName&gt;&lt;/author&gt;&lt;author&gt;&lt;firstName&gt;Maru&lt;/firstName&gt;&lt;middleNames&gt;K&lt;/middleNames&gt;&lt;lastName&gt;Kering&lt;/lastName&gt;&lt;/author&gt;&lt;author&gt;&lt;firstName&gt;Jagadeesh&lt;/firstName&gt;&lt;lastName&gt;Mosali&lt;/lastName&gt;&lt;/author&gt;&lt;/authors&gt;&lt;/publication&gt;&lt;/publications&gt;&lt;cites&gt;&lt;/cites&gt;&lt;/citation&gt;</w:instrText>
            </w:r>
            <w:r>
              <w:rPr>
                <w:rFonts w:asciiTheme="minorHAnsi" w:hAnsiTheme="minorHAnsi" w:cstheme="minorHAnsi"/>
              </w:rPr>
              <w:fldChar w:fldCharType="separate"/>
            </w:r>
            <w:r w:rsidR="001C1AAC">
              <w:t>(</w:t>
            </w:r>
            <w:r w:rsidR="001C1AAC">
              <w:rPr>
                <w:i/>
                <w:iCs/>
              </w:rPr>
              <w:t>141</w:t>
            </w:r>
            <w:r w:rsidR="001C1AAC">
              <w:t>)</w:t>
            </w:r>
            <w:r>
              <w:rPr>
                <w:rFonts w:asciiTheme="minorHAnsi" w:hAnsiTheme="minorHAnsi" w:cstheme="minorHAnsi"/>
              </w:rPr>
              <w:fldChar w:fldCharType="end"/>
            </w:r>
          </w:p>
        </w:tc>
      </w:tr>
      <w:tr w:rsidR="00D77ADB" w:rsidRPr="009A13B8" w14:paraId="624B7CC7" w14:textId="77777777" w:rsidTr="00D77ADB">
        <w:trPr>
          <w:trHeight w:val="320"/>
        </w:trPr>
        <w:tc>
          <w:tcPr>
            <w:tcW w:w="2893" w:type="dxa"/>
            <w:shd w:val="clear" w:color="auto" w:fill="auto"/>
            <w:noWrap/>
            <w:vAlign w:val="bottom"/>
            <w:hideMark/>
          </w:tcPr>
          <w:p w14:paraId="47581C68" w14:textId="77777777" w:rsidR="006963AD" w:rsidRPr="009A13B8" w:rsidRDefault="006963AD" w:rsidP="009A13B8">
            <w:pPr>
              <w:pStyle w:val="Tables"/>
            </w:pPr>
            <w:r w:rsidRPr="009A13B8">
              <w:t>K</w:t>
            </w:r>
          </w:p>
        </w:tc>
        <w:tc>
          <w:tcPr>
            <w:tcW w:w="3856" w:type="dxa"/>
            <w:shd w:val="clear" w:color="auto" w:fill="auto"/>
            <w:vAlign w:val="bottom"/>
            <w:hideMark/>
          </w:tcPr>
          <w:p w14:paraId="1A46A31E" w14:textId="77777777" w:rsidR="006963AD" w:rsidRPr="009A13B8" w:rsidRDefault="006963AD" w:rsidP="009A13B8">
            <w:pPr>
              <w:pStyle w:val="Tables"/>
              <w:rPr>
                <w:color w:val="111111"/>
              </w:rPr>
            </w:pPr>
            <w:r w:rsidRPr="009A13B8">
              <w:rPr>
                <w:color w:val="111111"/>
              </w:rPr>
              <w:t>Potassium</w:t>
            </w:r>
          </w:p>
        </w:tc>
        <w:tc>
          <w:tcPr>
            <w:tcW w:w="1620" w:type="dxa"/>
            <w:shd w:val="clear" w:color="auto" w:fill="auto"/>
            <w:noWrap/>
            <w:vAlign w:val="bottom"/>
            <w:hideMark/>
          </w:tcPr>
          <w:p w14:paraId="22EC6781" w14:textId="3A42D801" w:rsidR="006963AD" w:rsidRPr="009A13B8" w:rsidRDefault="006963AD" w:rsidP="009A13B8">
            <w:pPr>
              <w:pStyle w:val="Tables"/>
            </w:pPr>
            <w:r>
              <w:rPr>
                <w:rFonts w:asciiTheme="minorHAnsi" w:hAnsiTheme="minorHAnsi" w:cstheme="minorHAnsi"/>
              </w:rPr>
              <w:fldChar w:fldCharType="begin"/>
            </w:r>
            <w:r w:rsidR="00807999">
              <w:rPr>
                <w:rFonts w:asciiTheme="minorHAnsi" w:hAnsiTheme="minorHAnsi" w:cstheme="minorHAnsi"/>
              </w:rPr>
              <w:instrText xml:space="preserve"> ADDIN PAPERS2_CITATIONS &lt;citation&gt;&lt;uuid&gt;53409B18-162E-4CF6-9C86-3D92FAE954D4&lt;/uuid&gt;&lt;priority&gt;0&lt;/priority&gt;&lt;publications&gt;&lt;publication&gt;&lt;uuid&gt;93C97861-B53D-446A-8CC8-C2BD026AD337&lt;/uuid&gt;&lt;volume&gt;4&lt;/volume&gt;&lt;doi&gt;10.1007/s12155-010-9104-4&lt;/doi&gt;&lt;startpage&gt;96&lt;/startpage&gt;&lt;publication_date&gt;99201008211200000000222000&lt;/publication_date&gt;&lt;url&gt;http://link.springer.com/10.1007/s12155-010-9104-4&lt;/url&gt;&lt;citekey&gt;Vogel:2011bw&lt;/citekey&gt;&lt;type&gt;400&lt;/type&gt;&lt;title&gt;Quantifying Actual and Theoretical Ethanol Yields for Switchgrass Strains Using NIRS Analyses&lt;/title&gt;&lt;number&gt;2&lt;/number&gt;&lt;subtype&gt;400&lt;/subtype&gt;&lt;endpage&gt;110&lt;/endpage&gt;&lt;bundle&gt;&lt;publication&gt;&lt;publisher&gt;Springer US&lt;/publisher&gt;&lt;title&gt;BioEnergy Research&lt;/title&gt;&lt;type&gt;-100&lt;/type&gt;&lt;subtype&gt;-100&lt;/subtype&gt;&lt;uuid&gt;10F75356-9E4C-4774-98A2-0C658827ED32&lt;/uuid&gt;&lt;/publication&gt;&lt;/bundle&gt;&lt;authors&gt;&lt;author&gt;&lt;firstName&gt;Kenneth&lt;/firstName&gt;&lt;middleNames&gt;P&lt;/middleNames&gt;&lt;lastName&gt;Vogel&lt;/lastName&gt;&lt;/author&gt;&lt;author&gt;&lt;firstName&gt;Bruce&lt;/firstName&gt;&lt;middleNames&gt;S&lt;/middleNames&gt;&lt;lastName&gt;Dien&lt;/lastName&gt;&lt;/author&gt;&lt;author&gt;&lt;firstName&gt;Hans&lt;/firstName&gt;&lt;middleNames&gt;G&lt;/middleNames&gt;&lt;lastName&gt;Jung&lt;/lastName&gt;&lt;/author&gt;&lt;author&gt;&lt;firstName&gt;Michael&lt;/firstName&gt;&lt;middleNames&gt;D&lt;/middleNames&gt;&lt;lastName&gt;Casler&lt;/lastName&gt;&lt;/author&gt;&lt;author&gt;&lt;firstName&gt;Steven&lt;/firstName&gt;&lt;middleNames&gt;D&lt;/middleNames&gt;&lt;lastName&gt;Masterson&lt;/lastName&gt;&lt;/author&gt;&lt;author&gt;&lt;firstName&gt;Robert&lt;/firstName&gt;&lt;middleNames&gt;B&lt;/middleNames&gt;&lt;lastName&gt;Mitchell&lt;/lastName&gt;&lt;/author&gt;&lt;/authors&gt;&lt;/publication&gt;&lt;/publications&gt;&lt;cites&gt;&lt;/cites&gt;&lt;/citation&gt;</w:instrText>
            </w:r>
            <w:r>
              <w:rPr>
                <w:rFonts w:asciiTheme="minorHAnsi" w:hAnsiTheme="minorHAnsi" w:cstheme="minorHAnsi"/>
              </w:rPr>
              <w:fldChar w:fldCharType="separate"/>
            </w:r>
            <w:r w:rsidR="001C1AAC">
              <w:t>(</w:t>
            </w:r>
            <w:r w:rsidR="001C1AAC">
              <w:rPr>
                <w:i/>
                <w:iCs/>
              </w:rPr>
              <w:t>140</w:t>
            </w:r>
            <w:r w:rsidR="001C1AAC">
              <w:t>)</w:t>
            </w:r>
            <w:r>
              <w:rPr>
                <w:rFonts w:asciiTheme="minorHAnsi" w:hAnsiTheme="minorHAnsi" w:cstheme="minorHAnsi"/>
              </w:rPr>
              <w:fldChar w:fldCharType="end"/>
            </w:r>
          </w:p>
        </w:tc>
      </w:tr>
      <w:tr w:rsidR="00D77ADB" w:rsidRPr="009A13B8" w14:paraId="3CDF7A38" w14:textId="77777777" w:rsidTr="00D77ADB">
        <w:trPr>
          <w:trHeight w:val="320"/>
        </w:trPr>
        <w:tc>
          <w:tcPr>
            <w:tcW w:w="2893" w:type="dxa"/>
            <w:shd w:val="clear" w:color="auto" w:fill="auto"/>
            <w:noWrap/>
            <w:vAlign w:val="bottom"/>
            <w:hideMark/>
          </w:tcPr>
          <w:p w14:paraId="04FED1FC" w14:textId="77777777" w:rsidR="006963AD" w:rsidRPr="009A13B8" w:rsidRDefault="006963AD" w:rsidP="009A13B8">
            <w:pPr>
              <w:pStyle w:val="Tables"/>
            </w:pPr>
            <w:r w:rsidRPr="009A13B8">
              <w:t>K.forage</w:t>
            </w:r>
          </w:p>
        </w:tc>
        <w:tc>
          <w:tcPr>
            <w:tcW w:w="3856" w:type="dxa"/>
            <w:shd w:val="clear" w:color="auto" w:fill="auto"/>
            <w:vAlign w:val="bottom"/>
            <w:hideMark/>
          </w:tcPr>
          <w:p w14:paraId="3ECA7568" w14:textId="77777777" w:rsidR="006963AD" w:rsidRPr="009A13B8" w:rsidRDefault="006963AD" w:rsidP="009A13B8">
            <w:pPr>
              <w:pStyle w:val="Tables"/>
              <w:rPr>
                <w:color w:val="111111"/>
              </w:rPr>
            </w:pPr>
            <w:r w:rsidRPr="009A13B8">
              <w:rPr>
                <w:color w:val="111111"/>
              </w:rPr>
              <w:t>Potassium (Forage equation)</w:t>
            </w:r>
          </w:p>
        </w:tc>
        <w:tc>
          <w:tcPr>
            <w:tcW w:w="1620" w:type="dxa"/>
            <w:shd w:val="clear" w:color="auto" w:fill="auto"/>
            <w:noWrap/>
            <w:vAlign w:val="bottom"/>
            <w:hideMark/>
          </w:tcPr>
          <w:p w14:paraId="7806EDD8" w14:textId="31695678" w:rsidR="006963AD" w:rsidRPr="009A13B8" w:rsidRDefault="006963AD" w:rsidP="009A13B8">
            <w:pPr>
              <w:pStyle w:val="Tables"/>
            </w:pPr>
            <w:r>
              <w:rPr>
                <w:rFonts w:asciiTheme="minorHAnsi" w:hAnsiTheme="minorHAnsi" w:cstheme="minorHAnsi"/>
              </w:rPr>
              <w:fldChar w:fldCharType="begin"/>
            </w:r>
            <w:r w:rsidR="00807999">
              <w:rPr>
                <w:rFonts w:asciiTheme="minorHAnsi" w:hAnsiTheme="minorHAnsi" w:cstheme="minorHAnsi"/>
              </w:rPr>
              <w:instrText xml:space="preserve"> ADDIN PAPERS2_CITATIONS &lt;citation&gt;&lt;uuid&gt;914CA257-B9D7-4B7D-8A97-789477BC04EF&lt;/uuid&gt;&lt;priority&gt;0&lt;/priority&gt;&lt;publications&gt;&lt;publication&gt;&lt;volume&gt;339&lt;/volume&gt;&lt;publication_date&gt;99201004151200000000222000&lt;/publication_date&gt;&lt;number&gt;1-2&lt;/number&gt;&lt;doi&gt;10.1007/s11104-010-0376-4&lt;/doi&gt;&lt;startpage&gt;69&lt;/startpage&gt;&lt;title&gt;Switchgrass for forage and bioenergy: harvest and nitrogen rate effects on biomass yields and nutrient composition&lt;/title&gt;&lt;uuid&gt;D1F74A81-1B28-432B-854D-4742B2C12C0C&lt;/uuid&gt;&lt;subtype&gt;400&lt;/subtype&gt;&lt;endpage&gt;81&lt;/endpage&gt;&lt;type&gt;400&lt;/type&gt;&lt;url&gt;http://link.springer.com/10.1007/s11104-010-0376-4&lt;/url&gt;&lt;bundle&gt;&lt;publication&gt;&lt;title&gt;Plant and Soil&lt;/title&gt;&lt;type&gt;-100&lt;/type&gt;&lt;subtype&gt;-100&lt;/subtype&gt;&lt;uuid&gt;4D2157D4-F2F2-4179-B289-12F735F40749&lt;/uuid&gt;&lt;/publication&gt;&lt;/bundle&gt;&lt;authors&gt;&lt;author&gt;&lt;firstName&gt;John&lt;/firstName&gt;&lt;middleNames&gt;A&lt;/middleNames&gt;&lt;lastName&gt;Guretzky&lt;/lastName&gt;&lt;/author&gt;&lt;author&gt;&lt;firstName&gt;Jon&lt;/firstName&gt;&lt;middleNames&gt;T&lt;/middleNames&gt;&lt;lastName&gt;Biermacher&lt;/lastName&gt;&lt;/author&gt;&lt;author&gt;&lt;firstName&gt;Billy&lt;/firstName&gt;&lt;middleNames&gt;J&lt;/middleNames&gt;&lt;lastName&gt;Cook&lt;/lastName&gt;&lt;/author&gt;&lt;author&gt;&lt;firstName&gt;Maru&lt;/firstName&gt;&lt;middleNames&gt;K&lt;/middleNames&gt;&lt;lastName&gt;Kering&lt;/lastName&gt;&lt;/author&gt;&lt;author&gt;&lt;firstName&gt;Jagadeesh&lt;/firstName&gt;&lt;lastName&gt;Mosali&lt;/lastName&gt;&lt;/author&gt;&lt;/authors&gt;&lt;/publication&gt;&lt;/publications&gt;&lt;cites&gt;&lt;/cites&gt;&lt;/citation&gt;</w:instrText>
            </w:r>
            <w:r>
              <w:rPr>
                <w:rFonts w:asciiTheme="minorHAnsi" w:hAnsiTheme="minorHAnsi" w:cstheme="minorHAnsi"/>
              </w:rPr>
              <w:fldChar w:fldCharType="separate"/>
            </w:r>
            <w:r w:rsidR="001C1AAC">
              <w:t>(</w:t>
            </w:r>
            <w:r w:rsidR="001C1AAC">
              <w:rPr>
                <w:i/>
                <w:iCs/>
              </w:rPr>
              <w:t>141</w:t>
            </w:r>
            <w:r w:rsidR="001C1AAC">
              <w:t>)</w:t>
            </w:r>
            <w:r>
              <w:rPr>
                <w:rFonts w:asciiTheme="minorHAnsi" w:hAnsiTheme="minorHAnsi" w:cstheme="minorHAnsi"/>
              </w:rPr>
              <w:fldChar w:fldCharType="end"/>
            </w:r>
          </w:p>
        </w:tc>
      </w:tr>
      <w:tr w:rsidR="00D77ADB" w:rsidRPr="009A13B8" w14:paraId="0C1420DF" w14:textId="77777777" w:rsidTr="00D77ADB">
        <w:trPr>
          <w:trHeight w:val="320"/>
        </w:trPr>
        <w:tc>
          <w:tcPr>
            <w:tcW w:w="2893" w:type="dxa"/>
            <w:shd w:val="clear" w:color="auto" w:fill="auto"/>
            <w:noWrap/>
            <w:vAlign w:val="bottom"/>
            <w:hideMark/>
          </w:tcPr>
          <w:p w14:paraId="64608ED5" w14:textId="77777777" w:rsidR="006963AD" w:rsidRPr="009A13B8" w:rsidRDefault="006963AD" w:rsidP="009A13B8">
            <w:pPr>
              <w:pStyle w:val="Tables"/>
            </w:pPr>
            <w:r w:rsidRPr="009A13B8">
              <w:t>KL</w:t>
            </w:r>
          </w:p>
        </w:tc>
        <w:tc>
          <w:tcPr>
            <w:tcW w:w="3856" w:type="dxa"/>
            <w:shd w:val="clear" w:color="auto" w:fill="auto"/>
            <w:vAlign w:val="bottom"/>
            <w:hideMark/>
          </w:tcPr>
          <w:p w14:paraId="67546F12" w14:textId="77777777" w:rsidR="006963AD" w:rsidRPr="009A13B8" w:rsidRDefault="006963AD" w:rsidP="009A13B8">
            <w:pPr>
              <w:pStyle w:val="Tables"/>
              <w:rPr>
                <w:color w:val="111111"/>
              </w:rPr>
            </w:pPr>
            <w:r w:rsidRPr="009A13B8">
              <w:rPr>
                <w:color w:val="111111"/>
              </w:rPr>
              <w:t>Klason lignin</w:t>
            </w:r>
          </w:p>
        </w:tc>
        <w:tc>
          <w:tcPr>
            <w:tcW w:w="1620" w:type="dxa"/>
            <w:shd w:val="clear" w:color="auto" w:fill="auto"/>
            <w:noWrap/>
            <w:vAlign w:val="bottom"/>
            <w:hideMark/>
          </w:tcPr>
          <w:p w14:paraId="2D3602BF" w14:textId="1D8AF72A" w:rsidR="006963AD" w:rsidRPr="009A13B8" w:rsidRDefault="006963AD" w:rsidP="009A13B8">
            <w:pPr>
              <w:pStyle w:val="Tables"/>
            </w:pPr>
            <w:r>
              <w:rPr>
                <w:rFonts w:asciiTheme="minorHAnsi" w:hAnsiTheme="minorHAnsi" w:cstheme="minorHAnsi"/>
              </w:rPr>
              <w:fldChar w:fldCharType="begin"/>
            </w:r>
            <w:r w:rsidR="00807999">
              <w:rPr>
                <w:rFonts w:asciiTheme="minorHAnsi" w:hAnsiTheme="minorHAnsi" w:cstheme="minorHAnsi"/>
              </w:rPr>
              <w:instrText xml:space="preserve"> ADDIN PAPERS2_CITATIONS &lt;citation&gt;&lt;uuid&gt;B9A2F7BF-CD93-41F5-9495-642D29669E2E&lt;/uuid&gt;&lt;priority&gt;0&lt;/priority&gt;&lt;publications&gt;&lt;publication&gt;&lt;uuid&gt;93C97861-B53D-446A-8CC8-C2BD026AD337&lt;/uuid&gt;&lt;volume&gt;4&lt;/volume&gt;&lt;doi&gt;10.1007/s12155-010-9104-4&lt;/doi&gt;&lt;startpage&gt;96&lt;/startpage&gt;&lt;publication_date&gt;99201008211200000000222000&lt;/publication_date&gt;&lt;url&gt;http://link.springer.com/10.1007/s12155-010-9104-4&lt;/url&gt;&lt;citekey&gt;Vogel:2011bw&lt;/citekey&gt;&lt;type&gt;400&lt;/type&gt;&lt;title&gt;Quantifying Actual and Theoretical Ethanol Yields for Switchgrass Strains Using NIRS Analyses&lt;/title&gt;&lt;number&gt;2&lt;/number&gt;&lt;subtype&gt;400&lt;/subtype&gt;&lt;endpage&gt;110&lt;/endpage&gt;&lt;bundle&gt;&lt;publication&gt;&lt;publisher&gt;Springer US&lt;/publisher&gt;&lt;title&gt;BioEnergy Research&lt;/title&gt;&lt;type&gt;-100&lt;/type&gt;&lt;subtype&gt;-100&lt;/subtype&gt;&lt;uuid&gt;10F75356-9E4C-4774-98A2-0C658827ED32&lt;/uuid&gt;&lt;/publication&gt;&lt;/bundle&gt;&lt;authors&gt;&lt;author&gt;&lt;firstName&gt;Kenneth&lt;/firstName&gt;&lt;middleNames&gt;P&lt;/middleNames&gt;&lt;lastName&gt;Vogel&lt;/lastName&gt;&lt;/author&gt;&lt;author&gt;&lt;firstName&gt;Bruce&lt;/firstName&gt;&lt;middleNames&gt;S&lt;/middleNames&gt;&lt;lastName&gt;Dien&lt;/lastName&gt;&lt;/author&gt;&lt;author&gt;&lt;firstName&gt;Hans&lt;/firstName&gt;&lt;middleNames&gt;G&lt;/middleNames&gt;&lt;lastName&gt;Jung&lt;/lastName&gt;&lt;/author&gt;&lt;author&gt;&lt;firstName&gt;Michael&lt;/firstName&gt;&lt;middleNames&gt;D&lt;/middleNames&gt;&lt;lastName&gt;Casler&lt;/lastName&gt;&lt;/author&gt;&lt;author&gt;&lt;firstName&gt;Steven&lt;/firstName&gt;&lt;middleNames&gt;D&lt;/middleNames&gt;&lt;lastName&gt;Masterson&lt;/lastName&gt;&lt;/author&gt;&lt;author&gt;&lt;firstName&gt;Robert&lt;/firstName&gt;&lt;middleNames&gt;B&lt;/middleNames&gt;&lt;lastName&gt;Mitchell&lt;/lastName&gt;&lt;/author&gt;&lt;/authors&gt;&lt;/publication&gt;&lt;/publications&gt;&lt;cites&gt;&lt;/cites&gt;&lt;/citation&gt;</w:instrText>
            </w:r>
            <w:r>
              <w:rPr>
                <w:rFonts w:asciiTheme="minorHAnsi" w:hAnsiTheme="minorHAnsi" w:cstheme="minorHAnsi"/>
              </w:rPr>
              <w:fldChar w:fldCharType="separate"/>
            </w:r>
            <w:r w:rsidR="001C1AAC">
              <w:t>(</w:t>
            </w:r>
            <w:r w:rsidR="001C1AAC">
              <w:rPr>
                <w:i/>
                <w:iCs/>
              </w:rPr>
              <w:t>140</w:t>
            </w:r>
            <w:r w:rsidR="001C1AAC">
              <w:t>)</w:t>
            </w:r>
            <w:r>
              <w:rPr>
                <w:rFonts w:asciiTheme="minorHAnsi" w:hAnsiTheme="minorHAnsi" w:cstheme="minorHAnsi"/>
              </w:rPr>
              <w:fldChar w:fldCharType="end"/>
            </w:r>
          </w:p>
        </w:tc>
      </w:tr>
      <w:tr w:rsidR="00D77ADB" w:rsidRPr="009A13B8" w14:paraId="39C059A5" w14:textId="77777777" w:rsidTr="00D77ADB">
        <w:trPr>
          <w:trHeight w:val="320"/>
        </w:trPr>
        <w:tc>
          <w:tcPr>
            <w:tcW w:w="2893" w:type="dxa"/>
            <w:shd w:val="clear" w:color="auto" w:fill="auto"/>
            <w:vAlign w:val="bottom"/>
            <w:hideMark/>
          </w:tcPr>
          <w:p w14:paraId="7B3DC96C" w14:textId="77777777" w:rsidR="006963AD" w:rsidRPr="009A13B8" w:rsidRDefault="006963AD" w:rsidP="009A13B8">
            <w:pPr>
              <w:pStyle w:val="Tables"/>
            </w:pPr>
            <w:r w:rsidRPr="009A13B8">
              <w:t>lignin ABSL.AP13 %</w:t>
            </w:r>
          </w:p>
        </w:tc>
        <w:tc>
          <w:tcPr>
            <w:tcW w:w="3856" w:type="dxa"/>
            <w:shd w:val="clear" w:color="auto" w:fill="auto"/>
            <w:vAlign w:val="bottom"/>
            <w:hideMark/>
          </w:tcPr>
          <w:p w14:paraId="0C654034" w14:textId="204A30A5" w:rsidR="006963AD" w:rsidRPr="009A13B8" w:rsidRDefault="006963AD" w:rsidP="006963AD">
            <w:pPr>
              <w:pStyle w:val="Tables"/>
            </w:pPr>
            <w:r>
              <w:t>Acetyl Bromide soluble lignin</w:t>
            </w:r>
          </w:p>
        </w:tc>
        <w:tc>
          <w:tcPr>
            <w:tcW w:w="1620" w:type="dxa"/>
            <w:shd w:val="clear" w:color="auto" w:fill="auto"/>
            <w:noWrap/>
            <w:vAlign w:val="bottom"/>
            <w:hideMark/>
          </w:tcPr>
          <w:p w14:paraId="235CCA0F" w14:textId="77777777" w:rsidR="006963AD" w:rsidRPr="009A13B8" w:rsidRDefault="006963AD" w:rsidP="009A13B8">
            <w:pPr>
              <w:pStyle w:val="Tables"/>
            </w:pPr>
            <w:r w:rsidRPr="009A13B8">
              <w:t>Not published</w:t>
            </w:r>
          </w:p>
        </w:tc>
      </w:tr>
      <w:tr w:rsidR="00D77ADB" w:rsidRPr="009A13B8" w14:paraId="1639FF70" w14:textId="77777777" w:rsidTr="00D77ADB">
        <w:trPr>
          <w:trHeight w:val="320"/>
        </w:trPr>
        <w:tc>
          <w:tcPr>
            <w:tcW w:w="2893" w:type="dxa"/>
            <w:shd w:val="clear" w:color="auto" w:fill="auto"/>
            <w:noWrap/>
            <w:vAlign w:val="bottom"/>
            <w:hideMark/>
          </w:tcPr>
          <w:p w14:paraId="233BF1A0" w14:textId="77777777" w:rsidR="006963AD" w:rsidRPr="009A13B8" w:rsidRDefault="006963AD" w:rsidP="009A13B8">
            <w:pPr>
              <w:pStyle w:val="Tables"/>
            </w:pPr>
            <w:r w:rsidRPr="009A13B8">
              <w:t>Lignin.forage</w:t>
            </w:r>
          </w:p>
        </w:tc>
        <w:tc>
          <w:tcPr>
            <w:tcW w:w="3856" w:type="dxa"/>
            <w:shd w:val="clear" w:color="auto" w:fill="auto"/>
            <w:vAlign w:val="bottom"/>
            <w:hideMark/>
          </w:tcPr>
          <w:p w14:paraId="4DB14311" w14:textId="77777777" w:rsidR="006963AD" w:rsidRPr="009A13B8" w:rsidRDefault="006963AD" w:rsidP="009A13B8">
            <w:pPr>
              <w:pStyle w:val="Tables"/>
              <w:rPr>
                <w:color w:val="111111"/>
              </w:rPr>
            </w:pPr>
            <w:r w:rsidRPr="009A13B8">
              <w:rPr>
                <w:color w:val="111111"/>
              </w:rPr>
              <w:t>Lignin (Forage equation)</w:t>
            </w:r>
          </w:p>
        </w:tc>
        <w:tc>
          <w:tcPr>
            <w:tcW w:w="1620" w:type="dxa"/>
            <w:shd w:val="clear" w:color="auto" w:fill="auto"/>
            <w:noWrap/>
            <w:vAlign w:val="bottom"/>
            <w:hideMark/>
          </w:tcPr>
          <w:p w14:paraId="2466C901" w14:textId="35D66797" w:rsidR="006963AD" w:rsidRPr="009A13B8" w:rsidRDefault="006963AD" w:rsidP="009A13B8">
            <w:pPr>
              <w:pStyle w:val="Tables"/>
            </w:pPr>
            <w:r>
              <w:rPr>
                <w:rFonts w:asciiTheme="minorHAnsi" w:hAnsiTheme="minorHAnsi" w:cstheme="minorHAnsi"/>
              </w:rPr>
              <w:fldChar w:fldCharType="begin"/>
            </w:r>
            <w:r w:rsidR="00807999">
              <w:rPr>
                <w:rFonts w:asciiTheme="minorHAnsi" w:hAnsiTheme="minorHAnsi" w:cstheme="minorHAnsi"/>
              </w:rPr>
              <w:instrText xml:space="preserve"> ADDIN PAPERS2_CITATIONS &lt;citation&gt;&lt;uuid&gt;A9A9EF12-2BFD-4E4A-9BF4-6D03293F2F6B&lt;/uuid&gt;&lt;priority&gt;0&lt;/priority&gt;&lt;publications&gt;&lt;publication&gt;&lt;volume&gt;339&lt;/volume&gt;&lt;publication_date&gt;99201004151200000000222000&lt;/publication_date&gt;&lt;number&gt;1-2&lt;/number&gt;&lt;doi&gt;10.1007/s11104-010-0376-4&lt;/doi&gt;&lt;startpage&gt;69&lt;/startpage&gt;&lt;title&gt;Switchgrass for forage and bioenergy: harvest and nitrogen rate effects on biomass yields and nutrient composition&lt;/title&gt;&lt;uuid&gt;D1F74A81-1B28-432B-854D-4742B2C12C0C&lt;/uuid&gt;&lt;subtype&gt;400&lt;/subtype&gt;&lt;endpage&gt;81&lt;/endpage&gt;&lt;type&gt;400&lt;/type&gt;&lt;url&gt;http://link.springer.com/10.1007/s11104-010-0376-4&lt;/url&gt;&lt;bundle&gt;&lt;publication&gt;&lt;title&gt;Plant and Soil&lt;/title&gt;&lt;type&gt;-100&lt;/type&gt;&lt;subtype&gt;-100&lt;/subtype&gt;&lt;uuid&gt;4D2157D4-F2F2-4179-B289-12F735F40749&lt;/uuid&gt;&lt;/publication&gt;&lt;/bundle&gt;&lt;authors&gt;&lt;author&gt;&lt;firstName&gt;John&lt;/firstName&gt;&lt;middleNames&gt;A&lt;/middleNames&gt;&lt;lastName&gt;Guretzky&lt;/lastName&gt;&lt;/author&gt;&lt;author&gt;&lt;firstName&gt;Jon&lt;/firstName&gt;&lt;middleNames&gt;T&lt;/middleNames&gt;&lt;lastName&gt;Biermacher&lt;/lastName&gt;&lt;/author&gt;&lt;author&gt;&lt;firstName&gt;Billy&lt;/firstName&gt;&lt;middleNames&gt;J&lt;/middleNames&gt;&lt;lastName&gt;Cook&lt;/lastName&gt;&lt;/author&gt;&lt;author&gt;&lt;firstName&gt;Maru&lt;/firstName&gt;&lt;middleNames&gt;K&lt;/middleNames&gt;&lt;lastName&gt;Kering&lt;/lastName&gt;&lt;/author&gt;&lt;author&gt;&lt;firstName&gt;Jagadeesh&lt;/firstName&gt;&lt;lastName&gt;Mosali&lt;/lastName&gt;&lt;/author&gt;&lt;/authors&gt;&lt;/publication&gt;&lt;/publications&gt;&lt;cites&gt;&lt;/cites&gt;&lt;/citation&gt;</w:instrText>
            </w:r>
            <w:r>
              <w:rPr>
                <w:rFonts w:asciiTheme="minorHAnsi" w:hAnsiTheme="minorHAnsi" w:cstheme="minorHAnsi"/>
              </w:rPr>
              <w:fldChar w:fldCharType="separate"/>
            </w:r>
            <w:r w:rsidR="001C1AAC">
              <w:t>(</w:t>
            </w:r>
            <w:r w:rsidR="001C1AAC">
              <w:rPr>
                <w:i/>
                <w:iCs/>
              </w:rPr>
              <w:t>141</w:t>
            </w:r>
            <w:r w:rsidR="001C1AAC">
              <w:t>)</w:t>
            </w:r>
            <w:r>
              <w:rPr>
                <w:rFonts w:asciiTheme="minorHAnsi" w:hAnsiTheme="minorHAnsi" w:cstheme="minorHAnsi"/>
              </w:rPr>
              <w:fldChar w:fldCharType="end"/>
            </w:r>
          </w:p>
        </w:tc>
      </w:tr>
      <w:tr w:rsidR="00D77ADB" w:rsidRPr="009A13B8" w14:paraId="3FE9B2BD" w14:textId="77777777" w:rsidTr="00D77ADB">
        <w:trPr>
          <w:trHeight w:val="320"/>
        </w:trPr>
        <w:tc>
          <w:tcPr>
            <w:tcW w:w="2893" w:type="dxa"/>
            <w:shd w:val="clear" w:color="auto" w:fill="auto"/>
            <w:noWrap/>
            <w:vAlign w:val="bottom"/>
            <w:hideMark/>
          </w:tcPr>
          <w:p w14:paraId="4A091785" w14:textId="77777777" w:rsidR="006963AD" w:rsidRPr="009A13B8" w:rsidRDefault="006963AD" w:rsidP="009A13B8">
            <w:pPr>
              <w:pStyle w:val="Tables"/>
            </w:pPr>
            <w:r w:rsidRPr="009A13B8">
              <w:t>lignin.nrel</w:t>
            </w:r>
          </w:p>
        </w:tc>
        <w:tc>
          <w:tcPr>
            <w:tcW w:w="3856" w:type="dxa"/>
            <w:shd w:val="clear" w:color="auto" w:fill="auto"/>
            <w:vAlign w:val="bottom"/>
            <w:hideMark/>
          </w:tcPr>
          <w:p w14:paraId="59D82D1F" w14:textId="77777777" w:rsidR="006963AD" w:rsidRPr="009A13B8" w:rsidRDefault="006963AD" w:rsidP="009A13B8">
            <w:pPr>
              <w:pStyle w:val="Tables"/>
              <w:rPr>
                <w:color w:val="111111"/>
              </w:rPr>
            </w:pPr>
            <w:r w:rsidRPr="009A13B8">
              <w:rPr>
                <w:color w:val="111111"/>
              </w:rPr>
              <w:t>Lignin (NREL Measurement)</w:t>
            </w:r>
          </w:p>
        </w:tc>
        <w:tc>
          <w:tcPr>
            <w:tcW w:w="1620" w:type="dxa"/>
            <w:shd w:val="clear" w:color="auto" w:fill="auto"/>
            <w:noWrap/>
            <w:vAlign w:val="bottom"/>
            <w:hideMark/>
          </w:tcPr>
          <w:p w14:paraId="5547D600" w14:textId="331B063A" w:rsidR="006963AD" w:rsidRPr="009A13B8" w:rsidRDefault="006963AD" w:rsidP="009A13B8">
            <w:pPr>
              <w:pStyle w:val="Tables"/>
            </w:pPr>
            <w:r>
              <w:fldChar w:fldCharType="begin"/>
            </w:r>
            <w:r w:rsidR="00807999">
              <w:instrText xml:space="preserve"> ADDIN PAPERS2_CITATIONS &lt;citation&gt;&lt;uuid&gt;0D00D081-36F7-4973-ADA0-27B943D59227&lt;/uuid&gt;&lt;priority&gt;0&lt;/priority&gt;&lt;publications&gt;&lt;publication&gt;&lt;uuid&gt;B661E55E-6CAB-4AA8-9E55-3A5BA1137FE2&lt;/uuid&gt;&lt;volume&gt;165&lt;/volume&gt;&lt;doi&gt;10.1104/pp.114.242446&lt;/doi&gt;&lt;startpage&gt;1475&lt;/startpage&gt;&lt;publication_date&gt;99201406271200000000222000&lt;/publication_date&gt;&lt;url&gt;http://www.plantphysiol.org/content/165/4/1475.full&lt;/url&gt;&lt;type&gt;400&lt;/type&gt;&lt;title&gt;Genetic Determinants for Enzymatic Digestion of Lignocellulosic Biomass Are Independent of Those for Lignin Abundance in a Maize Recombinant Inbred Population.&lt;/title&gt;&lt;publisher&gt;American Society of Plant Biologists&lt;/publisher&gt;&lt;institution&gt;Departments of Biological Sciences (B.W.P., M.C.M., N.C.C.), Botany and Plant Pathology (C.K.D., M.A.H., J.F.K., N.C.C.), and Agronomy (N.C.B., C.F.W.), Laboratory of Renewable Resources Engineering and Agricultural and Biological Engineering (N.S.M.), and Bioinformatics Core (J.T.S., J.T.), Purdue University, West Lafayette, Indiana 47907;National Bioenergy Center, National Renewable Energy Laboratory, Golden, Colorado 80401 (R.W.S., M.F., A.Z., M.F.D., S.R.D., G.B.T.); andDepartment of Plant Biology, University of Minnesota, St. Paul, Minnesota 55108 (N.M.S.).&lt;/institution&gt;&lt;number&gt;4&lt;/number&gt;&lt;subtype&gt;400&lt;/subtype&gt;&lt;endpage&gt;1487&lt;/endpage&gt;&lt;bundle&gt;&lt;publication&gt;&lt;publisher&gt;American Society of Plant Physiologists&lt;/publisher&gt;&lt;title&gt;Plant physiology&lt;/title&gt;&lt;type&gt;-100&lt;/type&gt;&lt;subtype&gt;-100&lt;/subtype&gt;&lt;uuid&gt;B97DA55A-D50B-4A35-A621-F9088F5658CB&lt;/uuid&gt;&lt;/publication&gt;&lt;/bundle&gt;&lt;authors&gt;&lt;author&gt;&lt;firstName&gt;Bryan&lt;/firstName&gt;&lt;middleNames&gt;W&lt;/middleNames&gt;&lt;lastName&gt;Penning&lt;/lastName&gt;&lt;/author&gt;&lt;author&gt;&lt;firstName&gt;Robert&lt;/firstName&gt;&lt;middleNames&gt;W&lt;/middleNames&gt;&lt;lastName&gt;Sykes&lt;/lastName&gt;&lt;/author&gt;&lt;author&gt;&lt;firstName&gt;Nicholas&lt;/firstName&gt;&lt;middleNames&gt;C&lt;/middleNames&gt;&lt;lastName&gt;Babcock&lt;/lastName&gt;&lt;/author&gt;&lt;author&gt;&lt;firstName&gt;Christopher&lt;/firstName&gt;&lt;middleNames&gt;K&lt;/middleNames&gt;&lt;lastName&gt;Dugard&lt;/lastName&gt;&lt;/author&gt;&lt;author&gt;&lt;firstName&gt;Michael&lt;/firstName&gt;&lt;middleNames&gt;A&lt;/middleNames&gt;&lt;lastName&gt;Held&lt;/lastName&gt;&lt;/author&gt;&lt;author&gt;&lt;firstName&gt;John&lt;/firstName&gt;&lt;middleNames&gt;F&lt;/middleNames&gt;&lt;lastName&gt;Klimek&lt;/lastName&gt;&lt;/author&gt;&lt;author&gt;&lt;firstName&gt;Jacob&lt;/firstName&gt;&lt;middleNames&gt;T&lt;/middleNames&gt;&lt;lastName&gt;Shreve&lt;/lastName&gt;&lt;/author&gt;&lt;author&gt;&lt;firstName&gt;Matthew&lt;/firstName&gt;&lt;lastName&gt;Fowler&lt;/lastName&gt;&lt;/author&gt;&lt;author&gt;&lt;firstName&gt;Angela&lt;/firstName&gt;&lt;lastName&gt;Ziebell&lt;/lastName&gt;&lt;/author&gt;&lt;author&gt;&lt;firstName&gt;Mark&lt;/firstName&gt;&lt;middleNames&gt;F&lt;/middleNames&gt;&lt;lastName&gt;Davis&lt;/lastName&gt;&lt;/author&gt;&lt;author&gt;&lt;firstName&gt;Stephen&lt;/firstName&gt;&lt;middleNames&gt;R&lt;/middleNames&gt;&lt;lastName&gt;Decker&lt;/lastName&gt;&lt;/author&gt;&lt;author&gt;&lt;firstName&gt;Geoffrey&lt;/firstName&gt;&lt;middleNames&gt;B&lt;/middleNames&gt;&lt;lastName&gt;Turner&lt;/lastName&gt;&lt;/author&gt;&lt;author&gt;&lt;firstName&gt;Nathan&lt;/firstName&gt;&lt;middleNames&gt;S&lt;/middleNames&gt;&lt;lastName&gt;Mosier&lt;/lastName&gt;&lt;/author&gt;&lt;author&gt;&lt;firstName&gt;Nathan&lt;/firstName&gt;&lt;middleNames&gt;M&lt;/middleNames&gt;&lt;lastName&gt;Springer&lt;/lastName&gt;&lt;/author&gt;&lt;author&gt;&lt;firstName&gt;Jyothi&lt;/firstName&gt;&lt;lastName&gt;Thimmapuram&lt;/lastName&gt;&lt;/author&gt;&lt;author&gt;&lt;firstName&gt;Clifford&lt;/firstName&gt;&lt;middleNames&gt;F&lt;/middleNames&gt;&lt;lastName&gt;Weil&lt;/lastName&gt;&lt;/author&gt;&lt;author&gt;&lt;firstName&gt;Maureen&lt;/firstName&gt;&lt;middleNames&gt;C&lt;/middleNames&gt;&lt;lastName&gt;McCann&lt;/lastName&gt;&lt;/author&gt;&lt;author&gt;&lt;firstName&gt;Nicholas&lt;/firstName&gt;&lt;middleNames&gt;C&lt;/middleNames&gt;&lt;lastName&gt;Carpita&lt;/lastName&gt;&lt;/author&gt;&lt;/authors&gt;&lt;/publication&gt;&lt;/publications&gt;&lt;cites&gt;&lt;/cites&gt;&lt;/citation&gt;</w:instrText>
            </w:r>
            <w:r>
              <w:fldChar w:fldCharType="separate"/>
            </w:r>
            <w:r w:rsidR="001C1AAC">
              <w:t>(</w:t>
            </w:r>
            <w:r w:rsidR="001C1AAC">
              <w:rPr>
                <w:i/>
                <w:iCs/>
              </w:rPr>
              <w:t>115</w:t>
            </w:r>
            <w:r w:rsidR="001C1AAC">
              <w:t>)</w:t>
            </w:r>
            <w:r>
              <w:fldChar w:fldCharType="end"/>
            </w:r>
          </w:p>
        </w:tc>
      </w:tr>
      <w:tr w:rsidR="00D77ADB" w:rsidRPr="009A13B8" w14:paraId="240ECBB2" w14:textId="77777777" w:rsidTr="00D77ADB">
        <w:trPr>
          <w:trHeight w:val="320"/>
        </w:trPr>
        <w:tc>
          <w:tcPr>
            <w:tcW w:w="2893" w:type="dxa"/>
            <w:shd w:val="clear" w:color="auto" w:fill="auto"/>
            <w:noWrap/>
            <w:vAlign w:val="bottom"/>
            <w:hideMark/>
          </w:tcPr>
          <w:p w14:paraId="037AD65A" w14:textId="77777777" w:rsidR="006963AD" w:rsidRPr="009A13B8" w:rsidRDefault="006963AD" w:rsidP="009A13B8">
            <w:pPr>
              <w:pStyle w:val="Tables"/>
            </w:pPr>
            <w:r w:rsidRPr="009A13B8">
              <w:t>MAN</w:t>
            </w:r>
          </w:p>
        </w:tc>
        <w:tc>
          <w:tcPr>
            <w:tcW w:w="3856" w:type="dxa"/>
            <w:shd w:val="clear" w:color="auto" w:fill="auto"/>
            <w:vAlign w:val="bottom"/>
            <w:hideMark/>
          </w:tcPr>
          <w:p w14:paraId="1A7DFE6F" w14:textId="77777777" w:rsidR="006963AD" w:rsidRPr="009A13B8" w:rsidRDefault="006963AD" w:rsidP="009A13B8">
            <w:pPr>
              <w:pStyle w:val="Tables"/>
              <w:rPr>
                <w:color w:val="111111"/>
              </w:rPr>
            </w:pPr>
            <w:r w:rsidRPr="009A13B8">
              <w:rPr>
                <w:color w:val="111111"/>
              </w:rPr>
              <w:t>Mannose</w:t>
            </w:r>
          </w:p>
        </w:tc>
        <w:tc>
          <w:tcPr>
            <w:tcW w:w="1620" w:type="dxa"/>
            <w:shd w:val="clear" w:color="auto" w:fill="auto"/>
            <w:noWrap/>
            <w:vAlign w:val="bottom"/>
            <w:hideMark/>
          </w:tcPr>
          <w:p w14:paraId="6E96A397" w14:textId="7B3FD9BF" w:rsidR="006963AD" w:rsidRPr="009A13B8" w:rsidRDefault="006963AD" w:rsidP="009A13B8">
            <w:pPr>
              <w:pStyle w:val="Tables"/>
            </w:pPr>
            <w:r>
              <w:rPr>
                <w:rFonts w:asciiTheme="minorHAnsi" w:hAnsiTheme="minorHAnsi" w:cstheme="minorHAnsi"/>
              </w:rPr>
              <w:fldChar w:fldCharType="begin"/>
            </w:r>
            <w:r w:rsidR="00807999">
              <w:rPr>
                <w:rFonts w:asciiTheme="minorHAnsi" w:hAnsiTheme="minorHAnsi" w:cstheme="minorHAnsi"/>
              </w:rPr>
              <w:instrText xml:space="preserve"> ADDIN PAPERS2_CITATIONS &lt;citation&gt;&lt;uuid&gt;FA2331CE-DED6-428E-BA8D-51F560BD1694&lt;/uuid&gt;&lt;priority&gt;0&lt;/priority&gt;&lt;publications&gt;&lt;publication&gt;&lt;uuid&gt;93C97861-B53D-446A-8CC8-C2BD026AD337&lt;/uuid&gt;&lt;volume&gt;4&lt;/volume&gt;&lt;doi&gt;10.1007/s12155-010-9104-4&lt;/doi&gt;&lt;startpage&gt;96&lt;/startpage&gt;&lt;publication_date&gt;99201008211200000000222000&lt;/publication_date&gt;&lt;url&gt;http://link.springer.com/10.1007/s12155-010-9104-4&lt;/url&gt;&lt;citekey&gt;Vogel:2011bw&lt;/citekey&gt;&lt;type&gt;400&lt;/type&gt;&lt;title&gt;Quantifying Actual and Theoretical Ethanol Yields for Switchgrass Strains Using NIRS Analyses&lt;/title&gt;&lt;number&gt;2&lt;/number&gt;&lt;subtype&gt;400&lt;/subtype&gt;&lt;endpage&gt;110&lt;/endpage&gt;&lt;bundle&gt;&lt;publication&gt;&lt;publisher&gt;Springer US&lt;/publisher&gt;&lt;title&gt;BioEnergy Research&lt;/title&gt;&lt;type&gt;-100&lt;/type&gt;&lt;subtype&gt;-100&lt;/subtype&gt;&lt;uuid&gt;10F75356-9E4C-4774-98A2-0C658827ED32&lt;/uuid&gt;&lt;/publication&gt;&lt;/bundle&gt;&lt;authors&gt;&lt;author&gt;&lt;firstName&gt;Kenneth&lt;/firstName&gt;&lt;middleNames&gt;P&lt;/middleNames&gt;&lt;lastName&gt;Vogel&lt;/lastName&gt;&lt;/author&gt;&lt;author&gt;&lt;firstName&gt;Bruce&lt;/firstName&gt;&lt;middleNames&gt;S&lt;/middleNames&gt;&lt;lastName&gt;Dien&lt;/lastName&gt;&lt;/author&gt;&lt;author&gt;&lt;firstName&gt;Hans&lt;/firstName&gt;&lt;middleNames&gt;G&lt;/middleNames&gt;&lt;lastName&gt;Jung&lt;/lastName&gt;&lt;/author&gt;&lt;author&gt;&lt;firstName&gt;Michael&lt;/firstName&gt;&lt;middleNames&gt;D&lt;/middleNames&gt;&lt;lastName&gt;Casler&lt;/lastName&gt;&lt;/author&gt;&lt;author&gt;&lt;firstName&gt;Steven&lt;/firstName&gt;&lt;middleNames&gt;D&lt;/middleNames&gt;&lt;lastName&gt;Masterson&lt;/lastName&gt;&lt;/author&gt;&lt;author&gt;&lt;firstName&gt;Robert&lt;/firstName&gt;&lt;middleNames&gt;B&lt;/middleNames&gt;&lt;lastName&gt;Mitchell&lt;/lastName&gt;&lt;/author&gt;&lt;/authors&gt;&lt;/publication&gt;&lt;/publications&gt;&lt;cites&gt;&lt;/cites&gt;&lt;/citation&gt;</w:instrText>
            </w:r>
            <w:r>
              <w:rPr>
                <w:rFonts w:asciiTheme="minorHAnsi" w:hAnsiTheme="minorHAnsi" w:cstheme="minorHAnsi"/>
              </w:rPr>
              <w:fldChar w:fldCharType="separate"/>
            </w:r>
            <w:r w:rsidR="001C1AAC">
              <w:t>(</w:t>
            </w:r>
            <w:r w:rsidR="001C1AAC">
              <w:rPr>
                <w:i/>
                <w:iCs/>
              </w:rPr>
              <w:t>140</w:t>
            </w:r>
            <w:r w:rsidR="001C1AAC">
              <w:t>)</w:t>
            </w:r>
            <w:r>
              <w:rPr>
                <w:rFonts w:asciiTheme="minorHAnsi" w:hAnsiTheme="minorHAnsi" w:cstheme="minorHAnsi"/>
              </w:rPr>
              <w:fldChar w:fldCharType="end"/>
            </w:r>
          </w:p>
        </w:tc>
      </w:tr>
      <w:tr w:rsidR="00D77ADB" w:rsidRPr="009A13B8" w14:paraId="3BAE8C77" w14:textId="77777777" w:rsidTr="00D77ADB">
        <w:trPr>
          <w:trHeight w:val="320"/>
        </w:trPr>
        <w:tc>
          <w:tcPr>
            <w:tcW w:w="2893" w:type="dxa"/>
            <w:shd w:val="clear" w:color="auto" w:fill="auto"/>
            <w:noWrap/>
            <w:vAlign w:val="bottom"/>
            <w:hideMark/>
          </w:tcPr>
          <w:p w14:paraId="66A93E9C" w14:textId="77777777" w:rsidR="006963AD" w:rsidRPr="009A13B8" w:rsidRDefault="006963AD" w:rsidP="009A13B8">
            <w:pPr>
              <w:pStyle w:val="Tables"/>
            </w:pPr>
            <w:r w:rsidRPr="009A13B8">
              <w:t>Mg</w:t>
            </w:r>
          </w:p>
        </w:tc>
        <w:tc>
          <w:tcPr>
            <w:tcW w:w="3856" w:type="dxa"/>
            <w:shd w:val="clear" w:color="auto" w:fill="auto"/>
            <w:vAlign w:val="bottom"/>
            <w:hideMark/>
          </w:tcPr>
          <w:p w14:paraId="05D3C370" w14:textId="77777777" w:rsidR="006963AD" w:rsidRPr="009A13B8" w:rsidRDefault="006963AD" w:rsidP="009A13B8">
            <w:pPr>
              <w:pStyle w:val="Tables"/>
              <w:rPr>
                <w:color w:val="111111"/>
              </w:rPr>
            </w:pPr>
            <w:r w:rsidRPr="009A13B8">
              <w:rPr>
                <w:color w:val="111111"/>
              </w:rPr>
              <w:t>Magnesium</w:t>
            </w:r>
          </w:p>
        </w:tc>
        <w:tc>
          <w:tcPr>
            <w:tcW w:w="1620" w:type="dxa"/>
            <w:shd w:val="clear" w:color="auto" w:fill="auto"/>
            <w:noWrap/>
            <w:vAlign w:val="bottom"/>
            <w:hideMark/>
          </w:tcPr>
          <w:p w14:paraId="27FD4E38" w14:textId="216BC896" w:rsidR="006963AD" w:rsidRPr="009A13B8" w:rsidRDefault="006963AD" w:rsidP="009A13B8">
            <w:pPr>
              <w:pStyle w:val="Tables"/>
            </w:pPr>
            <w:r>
              <w:rPr>
                <w:rFonts w:asciiTheme="minorHAnsi" w:hAnsiTheme="minorHAnsi" w:cstheme="minorHAnsi"/>
              </w:rPr>
              <w:fldChar w:fldCharType="begin"/>
            </w:r>
            <w:r w:rsidR="00807999">
              <w:rPr>
                <w:rFonts w:asciiTheme="minorHAnsi" w:hAnsiTheme="minorHAnsi" w:cstheme="minorHAnsi"/>
              </w:rPr>
              <w:instrText xml:space="preserve"> ADDIN PAPERS2_CITATIONS &lt;citation&gt;&lt;uuid&gt;E8987597-922C-4608-B341-A1952886F075&lt;/uuid&gt;&lt;priority&gt;0&lt;/priority&gt;&lt;publications&gt;&lt;publication&gt;&lt;uuid&gt;93C97861-B53D-446A-8CC8-C2BD026AD337&lt;/uuid&gt;&lt;volume&gt;4&lt;/volume&gt;&lt;doi&gt;10.1007/s12155-010-9104-4&lt;/doi&gt;&lt;startpage&gt;96&lt;/startpage&gt;&lt;publication_date&gt;99201008211200000000222000&lt;/publication_date&gt;&lt;url&gt;http://link.springer.com/10.1007/s12155-010-9104-4&lt;/url&gt;&lt;citekey&gt;Vogel:2011bw&lt;/citekey&gt;&lt;type&gt;400&lt;/type&gt;&lt;title&gt;Quantifying Actual and Theoretical Ethanol Yields for Switchgrass Strains Using NIRS Analyses&lt;/title&gt;&lt;number&gt;2&lt;/number&gt;&lt;subtype&gt;400&lt;/subtype&gt;&lt;endpage&gt;110&lt;/endpage&gt;&lt;bundle&gt;&lt;publication&gt;&lt;publisher&gt;Springer US&lt;/publisher&gt;&lt;title&gt;BioEnergy Research&lt;/title&gt;&lt;type&gt;-100&lt;/type&gt;&lt;subtype&gt;-100&lt;/subtype&gt;&lt;uuid&gt;10F75356-9E4C-4774-98A2-0C658827ED32&lt;/uuid&gt;&lt;/publication&gt;&lt;/bundle&gt;&lt;authors&gt;&lt;author&gt;&lt;firstName&gt;Kenneth&lt;/firstName&gt;&lt;middleNames&gt;P&lt;/middleNames&gt;&lt;lastName&gt;Vogel&lt;/lastName&gt;&lt;/author&gt;&lt;author&gt;&lt;firstName&gt;Bruce&lt;/firstName&gt;&lt;middleNames&gt;S&lt;/middleNames&gt;&lt;lastName&gt;Dien&lt;/lastName&gt;&lt;/author&gt;&lt;author&gt;&lt;firstName&gt;Hans&lt;/firstName&gt;&lt;middleNames&gt;G&lt;/middleNames&gt;&lt;lastName&gt;Jung&lt;/lastName&gt;&lt;/author&gt;&lt;author&gt;&lt;firstName&gt;Michael&lt;/firstName&gt;&lt;middleNames&gt;D&lt;/middleNames&gt;&lt;lastName&gt;Casler&lt;/lastName&gt;&lt;/author&gt;&lt;author&gt;&lt;firstName&gt;Steven&lt;/firstName&gt;&lt;middleNames&gt;D&lt;/middleNames&gt;&lt;lastName&gt;Masterson&lt;/lastName&gt;&lt;/author&gt;&lt;author&gt;&lt;firstName&gt;Robert&lt;/firstName&gt;&lt;middleNames&gt;B&lt;/middleNames&gt;&lt;lastName&gt;Mitchell&lt;/lastName&gt;&lt;/author&gt;&lt;/authors&gt;&lt;/publication&gt;&lt;/publications&gt;&lt;cites&gt;&lt;/cites&gt;&lt;/citation&gt;</w:instrText>
            </w:r>
            <w:r>
              <w:rPr>
                <w:rFonts w:asciiTheme="minorHAnsi" w:hAnsiTheme="minorHAnsi" w:cstheme="minorHAnsi"/>
              </w:rPr>
              <w:fldChar w:fldCharType="separate"/>
            </w:r>
            <w:r w:rsidR="001C1AAC">
              <w:t>(</w:t>
            </w:r>
            <w:r w:rsidR="001C1AAC">
              <w:rPr>
                <w:i/>
                <w:iCs/>
              </w:rPr>
              <w:t>140</w:t>
            </w:r>
            <w:r w:rsidR="001C1AAC">
              <w:t>)</w:t>
            </w:r>
            <w:r>
              <w:rPr>
                <w:rFonts w:asciiTheme="minorHAnsi" w:hAnsiTheme="minorHAnsi" w:cstheme="minorHAnsi"/>
              </w:rPr>
              <w:fldChar w:fldCharType="end"/>
            </w:r>
          </w:p>
        </w:tc>
      </w:tr>
      <w:tr w:rsidR="00D77ADB" w:rsidRPr="009A13B8" w14:paraId="72238B0F" w14:textId="77777777" w:rsidTr="00D77ADB">
        <w:trPr>
          <w:trHeight w:val="320"/>
        </w:trPr>
        <w:tc>
          <w:tcPr>
            <w:tcW w:w="2893" w:type="dxa"/>
            <w:shd w:val="clear" w:color="auto" w:fill="auto"/>
            <w:noWrap/>
            <w:vAlign w:val="bottom"/>
            <w:hideMark/>
          </w:tcPr>
          <w:p w14:paraId="324F8E11" w14:textId="77777777" w:rsidR="006963AD" w:rsidRPr="009A13B8" w:rsidRDefault="006963AD" w:rsidP="009A13B8">
            <w:pPr>
              <w:pStyle w:val="Tables"/>
            </w:pPr>
            <w:r w:rsidRPr="009A13B8">
              <w:t>MG.forage</w:t>
            </w:r>
          </w:p>
        </w:tc>
        <w:tc>
          <w:tcPr>
            <w:tcW w:w="3856" w:type="dxa"/>
            <w:shd w:val="clear" w:color="auto" w:fill="auto"/>
            <w:vAlign w:val="bottom"/>
            <w:hideMark/>
          </w:tcPr>
          <w:p w14:paraId="3109FE0A" w14:textId="77777777" w:rsidR="006963AD" w:rsidRPr="009A13B8" w:rsidRDefault="006963AD" w:rsidP="009A13B8">
            <w:pPr>
              <w:pStyle w:val="Tables"/>
              <w:rPr>
                <w:color w:val="111111"/>
              </w:rPr>
            </w:pPr>
            <w:r w:rsidRPr="009A13B8">
              <w:rPr>
                <w:color w:val="111111"/>
              </w:rPr>
              <w:t>Magnesium (Forage equation)</w:t>
            </w:r>
          </w:p>
        </w:tc>
        <w:tc>
          <w:tcPr>
            <w:tcW w:w="1620" w:type="dxa"/>
            <w:shd w:val="clear" w:color="auto" w:fill="auto"/>
            <w:noWrap/>
            <w:vAlign w:val="bottom"/>
            <w:hideMark/>
          </w:tcPr>
          <w:p w14:paraId="676393A2" w14:textId="7463813B" w:rsidR="006963AD" w:rsidRPr="009A13B8" w:rsidRDefault="006963AD" w:rsidP="009A13B8">
            <w:pPr>
              <w:pStyle w:val="Tables"/>
            </w:pPr>
            <w:r>
              <w:rPr>
                <w:rFonts w:asciiTheme="minorHAnsi" w:hAnsiTheme="minorHAnsi" w:cstheme="minorHAnsi"/>
              </w:rPr>
              <w:fldChar w:fldCharType="begin"/>
            </w:r>
            <w:r w:rsidR="00807999">
              <w:rPr>
                <w:rFonts w:asciiTheme="minorHAnsi" w:hAnsiTheme="minorHAnsi" w:cstheme="minorHAnsi"/>
              </w:rPr>
              <w:instrText xml:space="preserve"> ADDIN PAPERS2_CITATIONS &lt;citation&gt;&lt;uuid&gt;FB910B68-FA73-4A33-AA88-9A1579310C9F&lt;/uuid&gt;&lt;priority&gt;0&lt;/priority&gt;&lt;publications&gt;&lt;publication&gt;&lt;volume&gt;339&lt;/volume&gt;&lt;publication_date&gt;99201004151200000000222000&lt;/publication_date&gt;&lt;number&gt;1-2&lt;/number&gt;&lt;doi&gt;10.1007/s11104-010-0376-4&lt;/doi&gt;&lt;startpage&gt;69&lt;/startpage&gt;&lt;title&gt;Switchgrass for forage and bioenergy: harvest and nitrogen rate effects on biomass yields and nutrient composition&lt;/title&gt;&lt;uuid&gt;D1F74A81-1B28-432B-854D-4742B2C12C0C&lt;/uuid&gt;&lt;subtype&gt;400&lt;/subtype&gt;&lt;endpage&gt;81&lt;/endpage&gt;&lt;type&gt;400&lt;/type&gt;&lt;url&gt;http://link.springer.com/10.1007/s11104-010-0376-4&lt;/url&gt;&lt;bundle&gt;&lt;publication&gt;&lt;title&gt;Plant and Soil&lt;/title&gt;&lt;type&gt;-100&lt;/type&gt;&lt;subtype&gt;-100&lt;/subtype&gt;&lt;uuid&gt;4D2157D4-F2F2-4179-B289-12F735F40749&lt;/uuid&gt;&lt;/publication&gt;&lt;/bundle&gt;&lt;authors&gt;&lt;author&gt;&lt;firstName&gt;John&lt;/firstName&gt;&lt;middleNames&gt;A&lt;/middleNames&gt;&lt;lastName&gt;Guretzky&lt;/lastName&gt;&lt;/author&gt;&lt;author&gt;&lt;firstName&gt;Jon&lt;/firstName&gt;&lt;middleNames&gt;T&lt;/middleNames&gt;&lt;lastName&gt;Biermacher&lt;/lastName&gt;&lt;/author&gt;&lt;author&gt;&lt;firstName&gt;Billy&lt;/firstName&gt;&lt;middleNames&gt;J&lt;/middleNames&gt;&lt;lastName&gt;Cook&lt;/lastName&gt;&lt;/author&gt;&lt;author&gt;&lt;firstName&gt;Maru&lt;/firstName&gt;&lt;middleNames&gt;K&lt;/middleNames&gt;&lt;lastName&gt;Kering&lt;/lastName&gt;&lt;/author&gt;&lt;author&gt;&lt;firstName&gt;Jagadeesh&lt;/firstName&gt;&lt;lastName&gt;Mosali&lt;/lastName&gt;&lt;/author&gt;&lt;/authors&gt;&lt;/publication&gt;&lt;/publications&gt;&lt;cites&gt;&lt;/cites&gt;&lt;/citation&gt;</w:instrText>
            </w:r>
            <w:r>
              <w:rPr>
                <w:rFonts w:asciiTheme="minorHAnsi" w:hAnsiTheme="minorHAnsi" w:cstheme="minorHAnsi"/>
              </w:rPr>
              <w:fldChar w:fldCharType="separate"/>
            </w:r>
            <w:r w:rsidR="001C1AAC">
              <w:t>(</w:t>
            </w:r>
            <w:r w:rsidR="001C1AAC">
              <w:rPr>
                <w:i/>
                <w:iCs/>
              </w:rPr>
              <w:t>141</w:t>
            </w:r>
            <w:r w:rsidR="001C1AAC">
              <w:t>)</w:t>
            </w:r>
            <w:r>
              <w:rPr>
                <w:rFonts w:asciiTheme="minorHAnsi" w:hAnsiTheme="minorHAnsi" w:cstheme="minorHAnsi"/>
              </w:rPr>
              <w:fldChar w:fldCharType="end"/>
            </w:r>
          </w:p>
        </w:tc>
      </w:tr>
      <w:tr w:rsidR="00D77ADB" w:rsidRPr="009A13B8" w14:paraId="1A1A92B3" w14:textId="77777777" w:rsidTr="00D77ADB">
        <w:trPr>
          <w:trHeight w:val="320"/>
        </w:trPr>
        <w:tc>
          <w:tcPr>
            <w:tcW w:w="2893" w:type="dxa"/>
            <w:shd w:val="clear" w:color="auto" w:fill="auto"/>
            <w:noWrap/>
            <w:vAlign w:val="bottom"/>
            <w:hideMark/>
          </w:tcPr>
          <w:p w14:paraId="589ABD27" w14:textId="77777777" w:rsidR="006963AD" w:rsidRPr="009A13B8" w:rsidRDefault="006963AD" w:rsidP="009A13B8">
            <w:pPr>
              <w:pStyle w:val="Tables"/>
            </w:pPr>
            <w:r w:rsidRPr="009A13B8">
              <w:t>N</w:t>
            </w:r>
          </w:p>
        </w:tc>
        <w:tc>
          <w:tcPr>
            <w:tcW w:w="3856" w:type="dxa"/>
            <w:shd w:val="clear" w:color="auto" w:fill="auto"/>
            <w:vAlign w:val="bottom"/>
            <w:hideMark/>
          </w:tcPr>
          <w:p w14:paraId="43576100" w14:textId="77777777" w:rsidR="006963AD" w:rsidRPr="009A13B8" w:rsidRDefault="006963AD" w:rsidP="009A13B8">
            <w:pPr>
              <w:pStyle w:val="Tables"/>
              <w:rPr>
                <w:color w:val="111111"/>
              </w:rPr>
            </w:pPr>
            <w:r w:rsidRPr="009A13B8">
              <w:rPr>
                <w:color w:val="111111"/>
              </w:rPr>
              <w:t>Nitrogen</w:t>
            </w:r>
          </w:p>
        </w:tc>
        <w:tc>
          <w:tcPr>
            <w:tcW w:w="1620" w:type="dxa"/>
            <w:shd w:val="clear" w:color="auto" w:fill="auto"/>
            <w:noWrap/>
            <w:vAlign w:val="bottom"/>
            <w:hideMark/>
          </w:tcPr>
          <w:p w14:paraId="0A31230E" w14:textId="67EAE807" w:rsidR="006963AD" w:rsidRPr="009A13B8" w:rsidRDefault="006963AD" w:rsidP="009A13B8">
            <w:pPr>
              <w:pStyle w:val="Tables"/>
            </w:pPr>
            <w:r>
              <w:rPr>
                <w:rFonts w:asciiTheme="minorHAnsi" w:hAnsiTheme="minorHAnsi" w:cstheme="minorHAnsi"/>
              </w:rPr>
              <w:fldChar w:fldCharType="begin"/>
            </w:r>
            <w:r w:rsidR="00807999">
              <w:rPr>
                <w:rFonts w:asciiTheme="minorHAnsi" w:hAnsiTheme="minorHAnsi" w:cstheme="minorHAnsi"/>
              </w:rPr>
              <w:instrText xml:space="preserve"> ADDIN PAPERS2_CITATIONS &lt;citation&gt;&lt;uuid&gt;6303EBFC-B98D-44AD-96E6-CE778075C50B&lt;/uuid&gt;&lt;priority&gt;0&lt;/priority&gt;&lt;publications&gt;&lt;publication&gt;&lt;uuid&gt;93C97861-B53D-446A-8CC8-C2BD026AD337&lt;/uuid&gt;&lt;volume&gt;4&lt;/volume&gt;&lt;doi&gt;10.1007/s12155-010-9104-4&lt;/doi&gt;&lt;startpage&gt;96&lt;/startpage&gt;&lt;publication_date&gt;99201008211200000000222000&lt;/publication_date&gt;&lt;url&gt;http://link.springer.com/10.1007/s12155-010-9104-4&lt;/url&gt;&lt;citekey&gt;Vogel:2011bw&lt;/citekey&gt;&lt;type&gt;400&lt;/type&gt;&lt;title&gt;Quantifying Actual and Theoretical Ethanol Yields for Switchgrass Strains Using NIRS Analyses&lt;/title&gt;&lt;number&gt;2&lt;/number&gt;&lt;subtype&gt;400&lt;/subtype&gt;&lt;endpage&gt;110&lt;/endpage&gt;&lt;bundle&gt;&lt;publication&gt;&lt;publisher&gt;Springer US&lt;/publisher&gt;&lt;title&gt;BioEnergy Research&lt;/title&gt;&lt;type&gt;-100&lt;/type&gt;&lt;subtype&gt;-100&lt;/subtype&gt;&lt;uuid&gt;10F75356-9E4C-4774-98A2-0C658827ED32&lt;/uuid&gt;&lt;/publication&gt;&lt;/bundle&gt;&lt;authors&gt;&lt;author&gt;&lt;firstName&gt;Kenneth&lt;/firstName&gt;&lt;middleNames&gt;P&lt;/middleNames&gt;&lt;lastName&gt;Vogel&lt;/lastName&gt;&lt;/author&gt;&lt;author&gt;&lt;firstName&gt;Bruce&lt;/firstName&gt;&lt;middleNames&gt;S&lt;/middleNames&gt;&lt;lastName&gt;Dien&lt;/lastName&gt;&lt;/author&gt;&lt;author&gt;&lt;firstName&gt;Hans&lt;/firstName&gt;&lt;middleNames&gt;G&lt;/middleNames&gt;&lt;lastName&gt;Jung&lt;/lastName&gt;&lt;/author&gt;&lt;author&gt;&lt;firstName&gt;Michael&lt;/firstName&gt;&lt;middleNames&gt;D&lt;/middleNames&gt;&lt;lastName&gt;Casler&lt;/lastName&gt;&lt;/author&gt;&lt;author&gt;&lt;firstName&gt;Steven&lt;/firstName&gt;&lt;middleNames&gt;D&lt;/middleNames&gt;&lt;lastName&gt;Masterson&lt;/lastName&gt;&lt;/author&gt;&lt;author&gt;&lt;firstName&gt;Robert&lt;/firstName&gt;&lt;middleNames&gt;B&lt;/middleNames&gt;&lt;lastName&gt;Mitchell&lt;/lastName&gt;&lt;/author&gt;&lt;/authors&gt;&lt;/publication&gt;&lt;/publications&gt;&lt;cites&gt;&lt;/cites&gt;&lt;/citation&gt;</w:instrText>
            </w:r>
            <w:r>
              <w:rPr>
                <w:rFonts w:asciiTheme="minorHAnsi" w:hAnsiTheme="minorHAnsi" w:cstheme="minorHAnsi"/>
              </w:rPr>
              <w:fldChar w:fldCharType="separate"/>
            </w:r>
            <w:r w:rsidR="001C1AAC">
              <w:t>(</w:t>
            </w:r>
            <w:r w:rsidR="001C1AAC">
              <w:rPr>
                <w:i/>
                <w:iCs/>
              </w:rPr>
              <w:t>140</w:t>
            </w:r>
            <w:r w:rsidR="001C1AAC">
              <w:t>)</w:t>
            </w:r>
            <w:r>
              <w:rPr>
                <w:rFonts w:asciiTheme="minorHAnsi" w:hAnsiTheme="minorHAnsi" w:cstheme="minorHAnsi"/>
              </w:rPr>
              <w:fldChar w:fldCharType="end"/>
            </w:r>
          </w:p>
        </w:tc>
      </w:tr>
      <w:tr w:rsidR="00D77ADB" w:rsidRPr="009A13B8" w14:paraId="0FD297CD" w14:textId="77777777" w:rsidTr="00D77ADB">
        <w:trPr>
          <w:trHeight w:val="320"/>
        </w:trPr>
        <w:tc>
          <w:tcPr>
            <w:tcW w:w="2893" w:type="dxa"/>
            <w:shd w:val="clear" w:color="auto" w:fill="auto"/>
            <w:noWrap/>
            <w:vAlign w:val="bottom"/>
            <w:hideMark/>
          </w:tcPr>
          <w:p w14:paraId="087AA2DD" w14:textId="77777777" w:rsidR="006963AD" w:rsidRPr="009A13B8" w:rsidRDefault="006963AD" w:rsidP="009A13B8">
            <w:pPr>
              <w:pStyle w:val="Tables"/>
            </w:pPr>
            <w:r w:rsidRPr="009A13B8">
              <w:t>NDF</w:t>
            </w:r>
          </w:p>
        </w:tc>
        <w:tc>
          <w:tcPr>
            <w:tcW w:w="3856" w:type="dxa"/>
            <w:shd w:val="clear" w:color="auto" w:fill="auto"/>
            <w:vAlign w:val="bottom"/>
            <w:hideMark/>
          </w:tcPr>
          <w:p w14:paraId="63C6B6D9" w14:textId="77777777" w:rsidR="006963AD" w:rsidRPr="009A13B8" w:rsidRDefault="006963AD" w:rsidP="009A13B8">
            <w:pPr>
              <w:pStyle w:val="Tables"/>
              <w:rPr>
                <w:color w:val="111111"/>
              </w:rPr>
            </w:pPr>
            <w:r w:rsidRPr="009A13B8">
              <w:rPr>
                <w:color w:val="111111"/>
              </w:rPr>
              <w:t xml:space="preserve">Neutral detergent fiber </w:t>
            </w:r>
          </w:p>
        </w:tc>
        <w:tc>
          <w:tcPr>
            <w:tcW w:w="1620" w:type="dxa"/>
            <w:shd w:val="clear" w:color="auto" w:fill="auto"/>
            <w:noWrap/>
            <w:vAlign w:val="bottom"/>
            <w:hideMark/>
          </w:tcPr>
          <w:p w14:paraId="5961965F" w14:textId="1027268D" w:rsidR="006963AD" w:rsidRPr="009A13B8" w:rsidRDefault="006963AD" w:rsidP="009A13B8">
            <w:pPr>
              <w:pStyle w:val="Tables"/>
            </w:pPr>
            <w:r>
              <w:rPr>
                <w:rFonts w:asciiTheme="minorHAnsi" w:hAnsiTheme="minorHAnsi" w:cstheme="minorHAnsi"/>
              </w:rPr>
              <w:fldChar w:fldCharType="begin"/>
            </w:r>
            <w:r w:rsidR="00807999">
              <w:rPr>
                <w:rFonts w:asciiTheme="minorHAnsi" w:hAnsiTheme="minorHAnsi" w:cstheme="minorHAnsi"/>
              </w:rPr>
              <w:instrText xml:space="preserve"> ADDIN PAPERS2_CITATIONS &lt;citation&gt;&lt;uuid&gt;1F9F0A42-3780-4D3A-B947-3CCE84AC18CB&lt;/uuid&gt;&lt;priority&gt;0&lt;/priority&gt;&lt;publications&gt;&lt;publication&gt;&lt;uuid&gt;93C97861-B53D-446A-8CC8-C2BD026AD337&lt;/uuid&gt;&lt;volume&gt;4&lt;/volume&gt;&lt;doi&gt;10.1007/s12155-010-9104-4&lt;/doi&gt;&lt;startpage&gt;96&lt;/startpage&gt;&lt;publication_date&gt;99201008211200000000222000&lt;/publication_date&gt;&lt;url&gt;http://link.springer.com/10.1007/s12155-010-9104-4&lt;/url&gt;&lt;citekey&gt;Vogel:2011bw&lt;/citekey&gt;&lt;type&gt;400&lt;/type&gt;&lt;title&gt;Quantifying Actual and Theoretical Ethanol Yields for Switchgrass Strains Using NIRS Analyses&lt;/title&gt;&lt;number&gt;2&lt;/number&gt;&lt;subtype&gt;400&lt;/subtype&gt;&lt;endpage&gt;110&lt;/endpage&gt;&lt;bundle&gt;&lt;publication&gt;&lt;publisher&gt;Springer US&lt;/publisher&gt;&lt;title&gt;BioEnergy Research&lt;/title&gt;&lt;type&gt;-100&lt;/type&gt;&lt;subtype&gt;-100&lt;/subtype&gt;&lt;uuid&gt;10F75356-9E4C-4774-98A2-0C658827ED32&lt;/uuid&gt;&lt;/publication&gt;&lt;/bundle&gt;&lt;authors&gt;&lt;author&gt;&lt;firstName&gt;Kenneth&lt;/firstName&gt;&lt;middleNames&gt;P&lt;/middleNames&gt;&lt;lastName&gt;Vogel&lt;/lastName&gt;&lt;/author&gt;&lt;author&gt;&lt;firstName&gt;Bruce&lt;/firstName&gt;&lt;middleNames&gt;S&lt;/middleNames&gt;&lt;lastName&gt;Dien&lt;/lastName&gt;&lt;/author&gt;&lt;author&gt;&lt;firstName&gt;Hans&lt;/firstName&gt;&lt;middleNames&gt;G&lt;/middleNames&gt;&lt;lastName&gt;Jung&lt;/lastName&gt;&lt;/author&gt;&lt;author&gt;&lt;firstName&gt;Michael&lt;/firstName&gt;&lt;middleNames&gt;D&lt;/middleNames&gt;&lt;lastName&gt;Casler&lt;/lastName&gt;&lt;/author&gt;&lt;author&gt;&lt;firstName&gt;Steven&lt;/firstName&gt;&lt;middleNames&gt;D&lt;/middleNames&gt;&lt;lastName&gt;Masterson&lt;/lastName&gt;&lt;/author&gt;&lt;author&gt;&lt;firstName&gt;Robert&lt;/firstName&gt;&lt;middleNames&gt;B&lt;/middleNames&gt;&lt;lastName&gt;Mitchell&lt;/lastName&gt;&lt;/author&gt;&lt;/authors&gt;&lt;/publication&gt;&lt;/publications&gt;&lt;cites&gt;&lt;/cites&gt;&lt;/citation&gt;</w:instrText>
            </w:r>
            <w:r>
              <w:rPr>
                <w:rFonts w:asciiTheme="minorHAnsi" w:hAnsiTheme="minorHAnsi" w:cstheme="minorHAnsi"/>
              </w:rPr>
              <w:fldChar w:fldCharType="separate"/>
            </w:r>
            <w:r w:rsidR="001C1AAC">
              <w:t>(</w:t>
            </w:r>
            <w:r w:rsidR="001C1AAC">
              <w:rPr>
                <w:i/>
                <w:iCs/>
              </w:rPr>
              <w:t>140</w:t>
            </w:r>
            <w:r w:rsidR="001C1AAC">
              <w:t>)</w:t>
            </w:r>
            <w:r>
              <w:rPr>
                <w:rFonts w:asciiTheme="minorHAnsi" w:hAnsiTheme="minorHAnsi" w:cstheme="minorHAnsi"/>
              </w:rPr>
              <w:fldChar w:fldCharType="end"/>
            </w:r>
          </w:p>
        </w:tc>
      </w:tr>
      <w:tr w:rsidR="00D77ADB" w:rsidRPr="009A13B8" w14:paraId="1E16554D" w14:textId="77777777" w:rsidTr="00D057D7">
        <w:trPr>
          <w:trHeight w:val="320"/>
        </w:trPr>
        <w:tc>
          <w:tcPr>
            <w:tcW w:w="2893" w:type="dxa"/>
            <w:shd w:val="clear" w:color="auto" w:fill="auto"/>
            <w:noWrap/>
            <w:vAlign w:val="center"/>
            <w:hideMark/>
          </w:tcPr>
          <w:p w14:paraId="1D164C6C" w14:textId="77777777" w:rsidR="006963AD" w:rsidRPr="009A13B8" w:rsidRDefault="006963AD" w:rsidP="00D057D7">
            <w:pPr>
              <w:pStyle w:val="Tables"/>
            </w:pPr>
            <w:r w:rsidRPr="009A13B8">
              <w:t>NDF.forage</w:t>
            </w:r>
          </w:p>
        </w:tc>
        <w:tc>
          <w:tcPr>
            <w:tcW w:w="3856" w:type="dxa"/>
            <w:shd w:val="clear" w:color="auto" w:fill="auto"/>
            <w:vAlign w:val="bottom"/>
            <w:hideMark/>
          </w:tcPr>
          <w:p w14:paraId="7B7E8081" w14:textId="77777777" w:rsidR="006963AD" w:rsidRPr="009A13B8" w:rsidRDefault="006963AD" w:rsidP="009A13B8">
            <w:pPr>
              <w:pStyle w:val="Tables"/>
              <w:rPr>
                <w:color w:val="111111"/>
              </w:rPr>
            </w:pPr>
            <w:r w:rsidRPr="009A13B8">
              <w:rPr>
                <w:color w:val="111111"/>
              </w:rPr>
              <w:t>Neutral detergent fiber (Forage equation)</w:t>
            </w:r>
          </w:p>
        </w:tc>
        <w:tc>
          <w:tcPr>
            <w:tcW w:w="1620" w:type="dxa"/>
            <w:shd w:val="clear" w:color="auto" w:fill="auto"/>
            <w:noWrap/>
            <w:vAlign w:val="bottom"/>
            <w:hideMark/>
          </w:tcPr>
          <w:p w14:paraId="3F14DAB0" w14:textId="0CBF4E23" w:rsidR="006963AD" w:rsidRPr="009A13B8" w:rsidRDefault="006963AD" w:rsidP="009A13B8">
            <w:pPr>
              <w:pStyle w:val="Tables"/>
            </w:pPr>
            <w:r>
              <w:rPr>
                <w:rFonts w:asciiTheme="minorHAnsi" w:hAnsiTheme="minorHAnsi" w:cstheme="minorHAnsi"/>
              </w:rPr>
              <w:fldChar w:fldCharType="begin"/>
            </w:r>
            <w:r w:rsidR="00807999">
              <w:rPr>
                <w:rFonts w:asciiTheme="minorHAnsi" w:hAnsiTheme="minorHAnsi" w:cstheme="minorHAnsi"/>
              </w:rPr>
              <w:instrText xml:space="preserve"> ADDIN PAPERS2_CITATIONS &lt;citation&gt;&lt;uuid&gt;63429BF1-0AEB-4E77-AD49-472BADEB62D8&lt;/uuid&gt;&lt;priority&gt;0&lt;/priority&gt;&lt;publications&gt;&lt;publication&gt;&lt;volume&gt;339&lt;/volume&gt;&lt;publication_date&gt;99201004151200000000222000&lt;/publication_date&gt;&lt;number&gt;1-2&lt;/number&gt;&lt;doi&gt;10.1007/s11104-010-0376-4&lt;/doi&gt;&lt;startpage&gt;69&lt;/startpage&gt;&lt;title&gt;Switchgrass for forage and bioenergy: harvest and nitrogen rate effects on biomass yields and nutrient composition&lt;/title&gt;&lt;uuid&gt;D1F74A81-1B28-432B-854D-4742B2C12C0C&lt;/uuid&gt;&lt;subtype&gt;400&lt;/subtype&gt;&lt;endpage&gt;81&lt;/endpage&gt;&lt;type&gt;400&lt;/type&gt;&lt;url&gt;http://link.springer.com/10.1007/s11104-010-0376-4&lt;/url&gt;&lt;bundle&gt;&lt;publication&gt;&lt;title&gt;Plant and Soil&lt;/title&gt;&lt;type&gt;-100&lt;/type&gt;&lt;subtype&gt;-100&lt;/subtype&gt;&lt;uuid&gt;4D2157D4-F2F2-4179-B289-12F735F40749&lt;/uuid&gt;&lt;/publication&gt;&lt;/bundle&gt;&lt;authors&gt;&lt;author&gt;&lt;firstName&gt;John&lt;/firstName&gt;&lt;middleNames&gt;A&lt;/middleNames&gt;&lt;lastName&gt;Guretzky&lt;/lastName&gt;&lt;/author&gt;&lt;author&gt;&lt;firstName&gt;Jon&lt;/firstName&gt;&lt;middleNames&gt;T&lt;/middleNames&gt;&lt;lastName&gt;Biermacher&lt;/lastName&gt;&lt;/author&gt;&lt;author&gt;&lt;firstName&gt;Billy&lt;/firstName&gt;&lt;middleNames&gt;J&lt;/middleNames&gt;&lt;lastName&gt;Cook&lt;/lastName&gt;&lt;/author&gt;&lt;author&gt;&lt;firstName&gt;Maru&lt;/firstName&gt;&lt;middleNames&gt;K&lt;/middleNames&gt;&lt;lastName&gt;Kering&lt;/lastName&gt;&lt;/author&gt;&lt;author&gt;&lt;firstName&gt;Jagadeesh&lt;/firstName&gt;&lt;lastName&gt;Mosali&lt;/lastName&gt;&lt;/author&gt;&lt;/authors&gt;&lt;/publication&gt;&lt;/publications&gt;&lt;cites&gt;&lt;/cites&gt;&lt;/citation&gt;</w:instrText>
            </w:r>
            <w:r>
              <w:rPr>
                <w:rFonts w:asciiTheme="minorHAnsi" w:hAnsiTheme="minorHAnsi" w:cstheme="minorHAnsi"/>
              </w:rPr>
              <w:fldChar w:fldCharType="separate"/>
            </w:r>
            <w:r w:rsidR="001C1AAC">
              <w:t>(</w:t>
            </w:r>
            <w:r w:rsidR="001C1AAC">
              <w:rPr>
                <w:i/>
                <w:iCs/>
              </w:rPr>
              <w:t>141</w:t>
            </w:r>
            <w:r w:rsidR="001C1AAC">
              <w:t>)</w:t>
            </w:r>
            <w:r>
              <w:rPr>
                <w:rFonts w:asciiTheme="minorHAnsi" w:hAnsiTheme="minorHAnsi" w:cstheme="minorHAnsi"/>
              </w:rPr>
              <w:fldChar w:fldCharType="end"/>
            </w:r>
          </w:p>
        </w:tc>
      </w:tr>
      <w:tr w:rsidR="00D77ADB" w:rsidRPr="009A13B8" w14:paraId="75E2FA76" w14:textId="77777777" w:rsidTr="00D77ADB">
        <w:trPr>
          <w:trHeight w:val="320"/>
        </w:trPr>
        <w:tc>
          <w:tcPr>
            <w:tcW w:w="2893" w:type="dxa"/>
            <w:shd w:val="clear" w:color="auto" w:fill="auto"/>
            <w:noWrap/>
            <w:vAlign w:val="bottom"/>
            <w:hideMark/>
          </w:tcPr>
          <w:p w14:paraId="59D329C3" w14:textId="77777777" w:rsidR="006963AD" w:rsidRPr="009A13B8" w:rsidRDefault="006963AD" w:rsidP="009A13B8">
            <w:pPr>
              <w:pStyle w:val="Tables"/>
            </w:pPr>
            <w:r w:rsidRPr="009A13B8">
              <w:t>P</w:t>
            </w:r>
          </w:p>
        </w:tc>
        <w:tc>
          <w:tcPr>
            <w:tcW w:w="3856" w:type="dxa"/>
            <w:shd w:val="clear" w:color="auto" w:fill="auto"/>
            <w:vAlign w:val="bottom"/>
            <w:hideMark/>
          </w:tcPr>
          <w:p w14:paraId="14F5FFED" w14:textId="77777777" w:rsidR="006963AD" w:rsidRPr="009A13B8" w:rsidRDefault="006963AD" w:rsidP="009A13B8">
            <w:pPr>
              <w:pStyle w:val="Tables"/>
              <w:rPr>
                <w:color w:val="111111"/>
              </w:rPr>
            </w:pPr>
            <w:r w:rsidRPr="009A13B8">
              <w:rPr>
                <w:color w:val="111111"/>
              </w:rPr>
              <w:t>Phosphorus</w:t>
            </w:r>
          </w:p>
        </w:tc>
        <w:tc>
          <w:tcPr>
            <w:tcW w:w="1620" w:type="dxa"/>
            <w:shd w:val="clear" w:color="auto" w:fill="auto"/>
            <w:noWrap/>
            <w:vAlign w:val="bottom"/>
            <w:hideMark/>
          </w:tcPr>
          <w:p w14:paraId="3C67D1A8" w14:textId="5F08B8F4" w:rsidR="006963AD" w:rsidRPr="009A13B8" w:rsidRDefault="006963AD" w:rsidP="009A13B8">
            <w:pPr>
              <w:pStyle w:val="Tables"/>
            </w:pPr>
            <w:r>
              <w:rPr>
                <w:rFonts w:asciiTheme="minorHAnsi" w:hAnsiTheme="minorHAnsi" w:cstheme="minorHAnsi"/>
              </w:rPr>
              <w:fldChar w:fldCharType="begin"/>
            </w:r>
            <w:r w:rsidR="00807999">
              <w:rPr>
                <w:rFonts w:asciiTheme="minorHAnsi" w:hAnsiTheme="minorHAnsi" w:cstheme="minorHAnsi"/>
              </w:rPr>
              <w:instrText xml:space="preserve"> ADDIN PAPERS2_CITATIONS &lt;citation&gt;&lt;uuid&gt;114F1D99-952D-4D71-A2F9-C16E1847BB15&lt;/uuid&gt;&lt;priority&gt;0&lt;/priority&gt;&lt;publications&gt;&lt;publication&gt;&lt;uuid&gt;93C97861-B53D-446A-8CC8-C2BD026AD337&lt;/uuid&gt;&lt;volume&gt;4&lt;/volume&gt;&lt;doi&gt;10.1007/s12155-010-9104-4&lt;/doi&gt;&lt;startpage&gt;96&lt;/startpage&gt;&lt;publication_date&gt;99201008211200000000222000&lt;/publication_date&gt;&lt;url&gt;http://link.springer.com/10.1007/s12155-010-9104-4&lt;/url&gt;&lt;citekey&gt;Vogel:2011bw&lt;/citekey&gt;&lt;type&gt;400&lt;/type&gt;&lt;title&gt;Quantifying Actual and Theoretical Ethanol Yields for Switchgrass Strains Using NIRS Analyses&lt;/title&gt;&lt;number&gt;2&lt;/number&gt;&lt;subtype&gt;400&lt;/subtype&gt;&lt;endpage&gt;110&lt;/endpage&gt;&lt;bundle&gt;&lt;publication&gt;&lt;publisher&gt;Springer US&lt;/publisher&gt;&lt;title&gt;BioEnergy Research&lt;/title&gt;&lt;type&gt;-100&lt;/type&gt;&lt;subtype&gt;-100&lt;/subtype&gt;&lt;uuid&gt;10F75356-9E4C-4774-98A2-0C658827ED32&lt;/uuid&gt;&lt;/publication&gt;&lt;/bundle&gt;&lt;authors&gt;&lt;author&gt;&lt;firstName&gt;Kenneth&lt;/firstName&gt;&lt;middleNames&gt;P&lt;/middleNames&gt;&lt;lastName&gt;Vogel&lt;/lastName&gt;&lt;/author&gt;&lt;author&gt;&lt;firstName&gt;Bruce&lt;/firstName&gt;&lt;middleNames&gt;S&lt;/middleNames&gt;&lt;lastName&gt;Dien&lt;/lastName&gt;&lt;/author&gt;&lt;author&gt;&lt;firstName&gt;Hans&lt;/firstName&gt;&lt;middleNames&gt;G&lt;/middleNames&gt;&lt;lastName&gt;Jung&lt;/lastName&gt;&lt;/author&gt;&lt;author&gt;&lt;firstName&gt;Michael&lt;/firstName&gt;&lt;middleNames&gt;D&lt;/middleNames&gt;&lt;lastName&gt;Casler&lt;/lastName&gt;&lt;/author&gt;&lt;author&gt;&lt;firstName&gt;Steven&lt;/firstName&gt;&lt;middleNames&gt;D&lt;/middleNames&gt;&lt;lastName&gt;Masterson&lt;/lastName&gt;&lt;/author&gt;&lt;author&gt;&lt;firstName&gt;Robert&lt;/firstName&gt;&lt;middleNames&gt;B&lt;/middleNames&gt;&lt;lastName&gt;Mitchell&lt;/lastName&gt;&lt;/author&gt;&lt;/authors&gt;&lt;/publication&gt;&lt;/publications&gt;&lt;cites&gt;&lt;/cites&gt;&lt;/citation&gt;</w:instrText>
            </w:r>
            <w:r>
              <w:rPr>
                <w:rFonts w:asciiTheme="minorHAnsi" w:hAnsiTheme="minorHAnsi" w:cstheme="minorHAnsi"/>
              </w:rPr>
              <w:fldChar w:fldCharType="separate"/>
            </w:r>
            <w:r w:rsidR="001C1AAC">
              <w:t>(</w:t>
            </w:r>
            <w:r w:rsidR="001C1AAC">
              <w:rPr>
                <w:i/>
                <w:iCs/>
              </w:rPr>
              <w:t>140</w:t>
            </w:r>
            <w:r w:rsidR="001C1AAC">
              <w:t>)</w:t>
            </w:r>
            <w:r>
              <w:rPr>
                <w:rFonts w:asciiTheme="minorHAnsi" w:hAnsiTheme="minorHAnsi" w:cstheme="minorHAnsi"/>
              </w:rPr>
              <w:fldChar w:fldCharType="end"/>
            </w:r>
          </w:p>
        </w:tc>
      </w:tr>
      <w:tr w:rsidR="00D77ADB" w:rsidRPr="009A13B8" w14:paraId="25F2FD03" w14:textId="77777777" w:rsidTr="00D77ADB">
        <w:trPr>
          <w:trHeight w:val="320"/>
        </w:trPr>
        <w:tc>
          <w:tcPr>
            <w:tcW w:w="2893" w:type="dxa"/>
            <w:shd w:val="clear" w:color="auto" w:fill="auto"/>
            <w:noWrap/>
            <w:vAlign w:val="bottom"/>
            <w:hideMark/>
          </w:tcPr>
          <w:p w14:paraId="1FAF784E" w14:textId="77777777" w:rsidR="006963AD" w:rsidRPr="009A13B8" w:rsidRDefault="006963AD" w:rsidP="009A13B8">
            <w:pPr>
              <w:pStyle w:val="Tables"/>
            </w:pPr>
            <w:r w:rsidRPr="009A13B8">
              <w:t>P.forage</w:t>
            </w:r>
          </w:p>
        </w:tc>
        <w:tc>
          <w:tcPr>
            <w:tcW w:w="3856" w:type="dxa"/>
            <w:shd w:val="clear" w:color="auto" w:fill="auto"/>
            <w:vAlign w:val="bottom"/>
            <w:hideMark/>
          </w:tcPr>
          <w:p w14:paraId="29A7107E" w14:textId="77777777" w:rsidR="006963AD" w:rsidRPr="009A13B8" w:rsidRDefault="006963AD" w:rsidP="009A13B8">
            <w:pPr>
              <w:pStyle w:val="Tables"/>
              <w:rPr>
                <w:color w:val="111111"/>
              </w:rPr>
            </w:pPr>
            <w:r w:rsidRPr="009A13B8">
              <w:rPr>
                <w:color w:val="111111"/>
              </w:rPr>
              <w:t>Phosphorus (Forage equation)</w:t>
            </w:r>
          </w:p>
        </w:tc>
        <w:tc>
          <w:tcPr>
            <w:tcW w:w="1620" w:type="dxa"/>
            <w:shd w:val="clear" w:color="auto" w:fill="auto"/>
            <w:noWrap/>
            <w:vAlign w:val="bottom"/>
            <w:hideMark/>
          </w:tcPr>
          <w:p w14:paraId="0930888B" w14:textId="61A329D8" w:rsidR="006963AD" w:rsidRPr="009A13B8" w:rsidRDefault="006963AD" w:rsidP="009A13B8">
            <w:pPr>
              <w:pStyle w:val="Tables"/>
            </w:pPr>
            <w:r>
              <w:rPr>
                <w:rFonts w:asciiTheme="minorHAnsi" w:hAnsiTheme="minorHAnsi" w:cstheme="minorHAnsi"/>
              </w:rPr>
              <w:fldChar w:fldCharType="begin"/>
            </w:r>
            <w:r w:rsidR="00807999">
              <w:rPr>
                <w:rFonts w:asciiTheme="minorHAnsi" w:hAnsiTheme="minorHAnsi" w:cstheme="minorHAnsi"/>
              </w:rPr>
              <w:instrText xml:space="preserve"> ADDIN PAPERS2_CITATIONS &lt;citation&gt;&lt;uuid&gt;D12AD5E4-5A96-4157-8EFE-21CE1AA1FF00&lt;/uuid&gt;&lt;priority&gt;0&lt;/priority&gt;&lt;publications&gt;&lt;publication&gt;&lt;volume&gt;339&lt;/volume&gt;&lt;publication_date&gt;99201004151200000000222000&lt;/publication_date&gt;&lt;number&gt;1-2&lt;/number&gt;&lt;doi&gt;10.1007/s11104-010-0376-4&lt;/doi&gt;&lt;startpage&gt;69&lt;/startpage&gt;&lt;title&gt;Switchgrass for forage and bioenergy: harvest and nitrogen rate effects on biomass yields and nutrient composition&lt;/title&gt;&lt;uuid&gt;D1F74A81-1B28-432B-854D-4742B2C12C0C&lt;/uuid&gt;&lt;subtype&gt;400&lt;/subtype&gt;&lt;endpage&gt;81&lt;/endpage&gt;&lt;type&gt;400&lt;/type&gt;&lt;url&gt;http://link.springer.com/10.1007/s11104-010-0376-4&lt;/url&gt;&lt;bundle&gt;&lt;publication&gt;&lt;title&gt;Plant and Soil&lt;/title&gt;&lt;type&gt;-100&lt;/type&gt;&lt;subtype&gt;-100&lt;/subtype&gt;&lt;uuid&gt;4D2157D4-F2F2-4179-B289-12F735F40749&lt;/uuid&gt;&lt;/publication&gt;&lt;/bundle&gt;&lt;authors&gt;&lt;author&gt;&lt;firstName&gt;John&lt;/firstName&gt;&lt;middleNames&gt;A&lt;/middleNames&gt;&lt;lastName&gt;Guretzky&lt;/lastName&gt;&lt;/author&gt;&lt;author&gt;&lt;firstName&gt;Jon&lt;/firstName&gt;&lt;middleNames&gt;T&lt;/middleNames&gt;&lt;lastName&gt;Biermacher&lt;/lastName&gt;&lt;/author&gt;&lt;author&gt;&lt;firstName&gt;Billy&lt;/firstName&gt;&lt;middleNames&gt;J&lt;/middleNames&gt;&lt;lastName&gt;Cook&lt;/lastName&gt;&lt;/author&gt;&lt;author&gt;&lt;firstName&gt;Maru&lt;/firstName&gt;&lt;middleNames&gt;K&lt;/middleNames&gt;&lt;lastName&gt;Kering&lt;/lastName&gt;&lt;/author&gt;&lt;author&gt;&lt;firstName&gt;Jagadeesh&lt;/firstName&gt;&lt;lastName&gt;Mosali&lt;/lastName&gt;&lt;/author&gt;&lt;/authors&gt;&lt;/publication&gt;&lt;/publications&gt;&lt;cites&gt;&lt;/cites&gt;&lt;/citation&gt;</w:instrText>
            </w:r>
            <w:r>
              <w:rPr>
                <w:rFonts w:asciiTheme="minorHAnsi" w:hAnsiTheme="minorHAnsi" w:cstheme="minorHAnsi"/>
              </w:rPr>
              <w:fldChar w:fldCharType="separate"/>
            </w:r>
            <w:r w:rsidR="001C1AAC">
              <w:t>(</w:t>
            </w:r>
            <w:r w:rsidR="001C1AAC">
              <w:rPr>
                <w:i/>
                <w:iCs/>
              </w:rPr>
              <w:t>141</w:t>
            </w:r>
            <w:r w:rsidR="001C1AAC">
              <w:t>)</w:t>
            </w:r>
            <w:r>
              <w:rPr>
                <w:rFonts w:asciiTheme="minorHAnsi" w:hAnsiTheme="minorHAnsi" w:cstheme="minorHAnsi"/>
              </w:rPr>
              <w:fldChar w:fldCharType="end"/>
            </w:r>
          </w:p>
        </w:tc>
      </w:tr>
      <w:tr w:rsidR="00D77ADB" w:rsidRPr="009A13B8" w14:paraId="2F2CAA0F" w14:textId="77777777" w:rsidTr="00D77ADB">
        <w:trPr>
          <w:trHeight w:val="320"/>
        </w:trPr>
        <w:tc>
          <w:tcPr>
            <w:tcW w:w="2893" w:type="dxa"/>
            <w:shd w:val="clear" w:color="auto" w:fill="auto"/>
            <w:noWrap/>
            <w:vAlign w:val="bottom"/>
            <w:hideMark/>
          </w:tcPr>
          <w:p w14:paraId="75E11EA0" w14:textId="77777777" w:rsidR="006963AD" w:rsidRPr="009A13B8" w:rsidRDefault="006963AD" w:rsidP="009A13B8">
            <w:pPr>
              <w:pStyle w:val="Tables"/>
            </w:pPr>
            <w:r w:rsidRPr="009A13B8">
              <w:t>PCA</w:t>
            </w:r>
          </w:p>
        </w:tc>
        <w:tc>
          <w:tcPr>
            <w:tcW w:w="3856" w:type="dxa"/>
            <w:shd w:val="clear" w:color="auto" w:fill="auto"/>
            <w:vAlign w:val="bottom"/>
            <w:hideMark/>
          </w:tcPr>
          <w:p w14:paraId="5860C55A" w14:textId="77777777" w:rsidR="006963AD" w:rsidRPr="009A13B8" w:rsidRDefault="006963AD" w:rsidP="009A13B8">
            <w:pPr>
              <w:pStyle w:val="Tables"/>
              <w:rPr>
                <w:color w:val="111111"/>
              </w:rPr>
            </w:pPr>
            <w:r w:rsidRPr="009A13B8">
              <w:rPr>
                <w:color w:val="111111"/>
              </w:rPr>
              <w:t xml:space="preserve">p-Coumarate esters </w:t>
            </w:r>
          </w:p>
        </w:tc>
        <w:tc>
          <w:tcPr>
            <w:tcW w:w="1620" w:type="dxa"/>
            <w:shd w:val="clear" w:color="auto" w:fill="auto"/>
            <w:noWrap/>
            <w:vAlign w:val="bottom"/>
            <w:hideMark/>
          </w:tcPr>
          <w:p w14:paraId="137FF6D3" w14:textId="1E5B4109" w:rsidR="006963AD" w:rsidRPr="009A13B8" w:rsidRDefault="006963AD" w:rsidP="009A13B8">
            <w:pPr>
              <w:pStyle w:val="Tables"/>
            </w:pPr>
            <w:r>
              <w:rPr>
                <w:rFonts w:asciiTheme="minorHAnsi" w:hAnsiTheme="minorHAnsi" w:cstheme="minorHAnsi"/>
              </w:rPr>
              <w:fldChar w:fldCharType="begin"/>
            </w:r>
            <w:r w:rsidR="00807999">
              <w:rPr>
                <w:rFonts w:asciiTheme="minorHAnsi" w:hAnsiTheme="minorHAnsi" w:cstheme="minorHAnsi"/>
              </w:rPr>
              <w:instrText xml:space="preserve"> ADDIN PAPERS2_CITATIONS &lt;citation&gt;&lt;uuid&gt;80D5B40D-13C5-4BA3-8DED-63A1B399F877&lt;/uuid&gt;&lt;priority&gt;0&lt;/priority&gt;&lt;publications&gt;&lt;publication&gt;&lt;uuid&gt;93C97861-B53D-446A-8CC8-C2BD026AD337&lt;/uuid&gt;&lt;volume&gt;4&lt;/volume&gt;&lt;doi&gt;10.1007/s12155-010-9104-4&lt;/doi&gt;&lt;startpage&gt;96&lt;/startpage&gt;&lt;publication_date&gt;99201008211200000000222000&lt;/publication_date&gt;&lt;url&gt;http://link.springer.com/10.1007/s12155-010-9104-4&lt;/url&gt;&lt;citekey&gt;Vogel:2011bw&lt;/citekey&gt;&lt;type&gt;400&lt;/type&gt;&lt;title&gt;Quantifying Actual and Theoretical Ethanol Yields for Switchgrass Strains Using NIRS Analyses&lt;/title&gt;&lt;number&gt;2&lt;/number&gt;&lt;subtype&gt;400&lt;/subtype&gt;&lt;endpage&gt;110&lt;/endpage&gt;&lt;bundle&gt;&lt;publication&gt;&lt;publisher&gt;Springer US&lt;/publisher&gt;&lt;title&gt;BioEnergy Research&lt;/title&gt;&lt;type&gt;-100&lt;/type&gt;&lt;subtype&gt;-100&lt;/subtype&gt;&lt;uuid&gt;10F75356-9E4C-4774-98A2-0C658827ED32&lt;/uuid&gt;&lt;/publication&gt;&lt;/bundle&gt;&lt;authors&gt;&lt;author&gt;&lt;firstName&gt;Kenneth&lt;/firstName&gt;&lt;middleNames&gt;P&lt;/middleNames&gt;&lt;lastName&gt;Vogel&lt;/lastName&gt;&lt;/author&gt;&lt;author&gt;&lt;firstName&gt;Bruce&lt;/firstName&gt;&lt;middleNames&gt;S&lt;/middleNames&gt;&lt;lastName&gt;Dien&lt;/lastName&gt;&lt;/author&gt;&lt;author&gt;&lt;firstName&gt;Hans&lt;/firstName&gt;&lt;middleNames&gt;G&lt;/middleNames&gt;&lt;lastName&gt;Jung&lt;/lastName&gt;&lt;/author&gt;&lt;author&gt;&lt;firstName&gt;Michael&lt;/firstName&gt;&lt;middleNames&gt;D&lt;/middleNames&gt;&lt;lastName&gt;Casler&lt;/lastName&gt;&lt;/author&gt;&lt;author&gt;&lt;firstName&gt;Steven&lt;/firstName&gt;&lt;middleNames&gt;D&lt;/middleNames&gt;&lt;lastName&gt;Masterson&lt;/lastName&gt;&lt;/author&gt;&lt;author&gt;&lt;firstName&gt;Robert&lt;/firstName&gt;&lt;middleNames&gt;B&lt;/middleNames&gt;&lt;lastName&gt;Mitchell&lt;/lastName&gt;&lt;/author&gt;&lt;/authors&gt;&lt;/publication&gt;&lt;/publications&gt;&lt;cites&gt;&lt;/cites&gt;&lt;/citation&gt;</w:instrText>
            </w:r>
            <w:r>
              <w:rPr>
                <w:rFonts w:asciiTheme="minorHAnsi" w:hAnsiTheme="minorHAnsi" w:cstheme="minorHAnsi"/>
              </w:rPr>
              <w:fldChar w:fldCharType="separate"/>
            </w:r>
            <w:r w:rsidR="001C1AAC">
              <w:t>(</w:t>
            </w:r>
            <w:r w:rsidR="001C1AAC">
              <w:rPr>
                <w:i/>
                <w:iCs/>
              </w:rPr>
              <w:t>140</w:t>
            </w:r>
            <w:r w:rsidR="001C1AAC">
              <w:t>)</w:t>
            </w:r>
            <w:r>
              <w:rPr>
                <w:rFonts w:asciiTheme="minorHAnsi" w:hAnsiTheme="minorHAnsi" w:cstheme="minorHAnsi"/>
              </w:rPr>
              <w:fldChar w:fldCharType="end"/>
            </w:r>
          </w:p>
        </w:tc>
      </w:tr>
    </w:tbl>
    <w:p w14:paraId="5935FE58" w14:textId="7341E8C7" w:rsidR="007E2349" w:rsidRDefault="00974A74" w:rsidP="00974A74">
      <w:r>
        <w:br w:type="page"/>
      </w:r>
    </w:p>
    <w:tbl>
      <w:tblPr>
        <w:tblW w:w="7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0"/>
        <w:gridCol w:w="4227"/>
        <w:gridCol w:w="1172"/>
      </w:tblGrid>
      <w:tr w:rsidR="007E2349" w:rsidRPr="009A13B8" w14:paraId="6613FD99" w14:textId="77777777" w:rsidTr="00BC7F21">
        <w:trPr>
          <w:trHeight w:val="320"/>
        </w:trPr>
        <w:tc>
          <w:tcPr>
            <w:tcW w:w="2160" w:type="dxa"/>
            <w:shd w:val="clear" w:color="auto" w:fill="auto"/>
            <w:noWrap/>
            <w:vAlign w:val="bottom"/>
          </w:tcPr>
          <w:p w14:paraId="065FCE99" w14:textId="04A5BF6E" w:rsidR="007E2349" w:rsidRPr="009A13B8" w:rsidRDefault="007E2349" w:rsidP="00B75B9E">
            <w:pPr>
              <w:pStyle w:val="Tables"/>
            </w:pPr>
            <w:r w:rsidRPr="007E2349">
              <w:rPr>
                <w:rFonts w:asciiTheme="minorHAnsi" w:hAnsiTheme="minorHAnsi" w:cstheme="minorHAnsi"/>
                <w:b/>
              </w:rPr>
              <w:lastRenderedPageBreak/>
              <w:t>Variable</w:t>
            </w:r>
          </w:p>
        </w:tc>
        <w:tc>
          <w:tcPr>
            <w:tcW w:w="4227" w:type="dxa"/>
            <w:shd w:val="clear" w:color="auto" w:fill="auto"/>
            <w:vAlign w:val="bottom"/>
          </w:tcPr>
          <w:p w14:paraId="24856B72" w14:textId="65AD943C" w:rsidR="007E2349" w:rsidRPr="009A13B8" w:rsidRDefault="007E2349" w:rsidP="00B75B9E">
            <w:pPr>
              <w:pStyle w:val="Tables"/>
              <w:rPr>
                <w:color w:val="111111"/>
              </w:rPr>
            </w:pPr>
            <w:r w:rsidRPr="007E2349">
              <w:rPr>
                <w:rFonts w:asciiTheme="minorHAnsi" w:hAnsiTheme="minorHAnsi" w:cstheme="minorHAnsi"/>
                <w:b/>
              </w:rPr>
              <w:t>Description</w:t>
            </w:r>
          </w:p>
        </w:tc>
        <w:tc>
          <w:tcPr>
            <w:tcW w:w="1172" w:type="dxa"/>
            <w:shd w:val="clear" w:color="auto" w:fill="auto"/>
            <w:noWrap/>
            <w:vAlign w:val="bottom"/>
          </w:tcPr>
          <w:p w14:paraId="2D77C02B" w14:textId="4F1CA141" w:rsidR="007E2349" w:rsidRDefault="007E2349" w:rsidP="00B75B9E">
            <w:pPr>
              <w:pStyle w:val="Tables"/>
              <w:rPr>
                <w:rFonts w:asciiTheme="minorHAnsi" w:hAnsiTheme="minorHAnsi" w:cstheme="minorHAnsi"/>
              </w:rPr>
            </w:pPr>
            <w:r w:rsidRPr="007E2349">
              <w:rPr>
                <w:rFonts w:asciiTheme="minorHAnsi" w:hAnsiTheme="minorHAnsi" w:cstheme="minorHAnsi"/>
                <w:b/>
              </w:rPr>
              <w:t>Source</w:t>
            </w:r>
          </w:p>
        </w:tc>
      </w:tr>
      <w:tr w:rsidR="007E2349" w:rsidRPr="009A13B8" w14:paraId="53C84183" w14:textId="77777777" w:rsidTr="00BC7F21">
        <w:trPr>
          <w:trHeight w:val="320"/>
        </w:trPr>
        <w:tc>
          <w:tcPr>
            <w:tcW w:w="2160" w:type="dxa"/>
            <w:shd w:val="clear" w:color="auto" w:fill="auto"/>
            <w:noWrap/>
            <w:vAlign w:val="bottom"/>
            <w:hideMark/>
          </w:tcPr>
          <w:p w14:paraId="16164B44" w14:textId="77777777" w:rsidR="007E2349" w:rsidRPr="009A13B8" w:rsidRDefault="007E2349" w:rsidP="00B75B9E">
            <w:pPr>
              <w:pStyle w:val="Tables"/>
            </w:pPr>
            <w:r w:rsidRPr="009A13B8">
              <w:t>PENT</w:t>
            </w:r>
          </w:p>
        </w:tc>
        <w:tc>
          <w:tcPr>
            <w:tcW w:w="4227" w:type="dxa"/>
            <w:shd w:val="clear" w:color="auto" w:fill="auto"/>
            <w:vAlign w:val="bottom"/>
            <w:hideMark/>
          </w:tcPr>
          <w:p w14:paraId="705219F6" w14:textId="77777777" w:rsidR="007E2349" w:rsidRPr="009A13B8" w:rsidRDefault="007E2349" w:rsidP="00B75B9E">
            <w:pPr>
              <w:pStyle w:val="Tables"/>
              <w:rPr>
                <w:color w:val="111111"/>
              </w:rPr>
            </w:pPr>
            <w:r w:rsidRPr="009A13B8">
              <w:rPr>
                <w:color w:val="111111"/>
              </w:rPr>
              <w:t xml:space="preserve">Pentose sugars released/g dry forage </w:t>
            </w:r>
          </w:p>
        </w:tc>
        <w:tc>
          <w:tcPr>
            <w:tcW w:w="1172" w:type="dxa"/>
            <w:shd w:val="clear" w:color="auto" w:fill="auto"/>
            <w:noWrap/>
            <w:vAlign w:val="bottom"/>
            <w:hideMark/>
          </w:tcPr>
          <w:p w14:paraId="18BADD4B" w14:textId="02EC456A" w:rsidR="007E2349" w:rsidRPr="009A13B8" w:rsidRDefault="007E2349" w:rsidP="00B75B9E">
            <w:pPr>
              <w:pStyle w:val="Tables"/>
            </w:pPr>
            <w:r>
              <w:rPr>
                <w:rFonts w:asciiTheme="minorHAnsi" w:hAnsiTheme="minorHAnsi" w:cstheme="minorHAnsi"/>
              </w:rPr>
              <w:fldChar w:fldCharType="begin"/>
            </w:r>
            <w:r w:rsidR="00807999">
              <w:rPr>
                <w:rFonts w:asciiTheme="minorHAnsi" w:hAnsiTheme="minorHAnsi" w:cstheme="minorHAnsi"/>
              </w:rPr>
              <w:instrText xml:space="preserve"> ADDIN PAPERS2_CITATIONS &lt;citation&gt;&lt;uuid&gt;9E6012B9-0AF2-4512-AE86-985BB7E82574&lt;/uuid&gt;&lt;priority&gt;0&lt;/priority&gt;&lt;publications&gt;&lt;publication&gt;&lt;uuid&gt;93C97861-B53D-446A-8CC8-C2BD026AD337&lt;/uuid&gt;&lt;volume&gt;4&lt;/volume&gt;&lt;doi&gt;10.1007/s12155-010-9104-4&lt;/doi&gt;&lt;startpage&gt;96&lt;/startpage&gt;&lt;publication_date&gt;99201008211200000000222000&lt;/publication_date&gt;&lt;url&gt;http://link.springer.com/10.1007/s12155-010-9104-4&lt;/url&gt;&lt;citekey&gt;Vogel:2011bw&lt;/citekey&gt;&lt;type&gt;400&lt;/type&gt;&lt;title&gt;Quantifying Actual and Theoretical Ethanol Yields for Switchgrass Strains Using NIRS Analyses&lt;/title&gt;&lt;number&gt;2&lt;/number&gt;&lt;subtype&gt;400&lt;/subtype&gt;&lt;endpage&gt;110&lt;/endpage&gt;&lt;bundle&gt;&lt;publication&gt;&lt;publisher&gt;Springer US&lt;/publisher&gt;&lt;title&gt;BioEnergy Research&lt;/title&gt;&lt;type&gt;-100&lt;/type&gt;&lt;subtype&gt;-100&lt;/subtype&gt;&lt;uuid&gt;10F75356-9E4C-4774-98A2-0C658827ED32&lt;/uuid&gt;&lt;/publication&gt;&lt;/bundle&gt;&lt;authors&gt;&lt;author&gt;&lt;firstName&gt;Kenneth&lt;/firstName&gt;&lt;middleNames&gt;P&lt;/middleNames&gt;&lt;lastName&gt;Vogel&lt;/lastName&gt;&lt;/author&gt;&lt;author&gt;&lt;firstName&gt;Bruce&lt;/firstName&gt;&lt;middleNames&gt;S&lt;/middleNames&gt;&lt;lastName&gt;Dien&lt;/lastName&gt;&lt;/author&gt;&lt;author&gt;&lt;firstName&gt;Hans&lt;/firstName&gt;&lt;middleNames&gt;G&lt;/middleNames&gt;&lt;lastName&gt;Jung&lt;/lastName&gt;&lt;/author&gt;&lt;author&gt;&lt;firstName&gt;Michael&lt;/firstName&gt;&lt;middleNames&gt;D&lt;/middleNames&gt;&lt;lastName&gt;Casler&lt;/lastName&gt;&lt;/author&gt;&lt;author&gt;&lt;firstName&gt;Steven&lt;/firstName&gt;&lt;middleNames&gt;D&lt;/middleNames&gt;&lt;lastName&gt;Masterson&lt;/lastName&gt;&lt;/author&gt;&lt;author&gt;&lt;firstName&gt;Robert&lt;/firstName&gt;&lt;middleNames&gt;B&lt;/middleNames&gt;&lt;lastName&gt;Mitchell&lt;/lastName&gt;&lt;/author&gt;&lt;/authors&gt;&lt;/publication&gt;&lt;/publications&gt;&lt;cites&gt;&lt;/cites&gt;&lt;/citation&gt;</w:instrText>
            </w:r>
            <w:r>
              <w:rPr>
                <w:rFonts w:asciiTheme="minorHAnsi" w:hAnsiTheme="minorHAnsi" w:cstheme="minorHAnsi"/>
              </w:rPr>
              <w:fldChar w:fldCharType="separate"/>
            </w:r>
            <w:r w:rsidR="001C1AAC">
              <w:t>(</w:t>
            </w:r>
            <w:r w:rsidR="001C1AAC">
              <w:rPr>
                <w:i/>
                <w:iCs/>
              </w:rPr>
              <w:t>140</w:t>
            </w:r>
            <w:r w:rsidR="001C1AAC">
              <w:t>)</w:t>
            </w:r>
            <w:r>
              <w:rPr>
                <w:rFonts w:asciiTheme="minorHAnsi" w:hAnsiTheme="minorHAnsi" w:cstheme="minorHAnsi"/>
              </w:rPr>
              <w:fldChar w:fldCharType="end"/>
            </w:r>
          </w:p>
        </w:tc>
      </w:tr>
      <w:tr w:rsidR="007E2349" w:rsidRPr="009A13B8" w14:paraId="32FC5C1C" w14:textId="77777777" w:rsidTr="00BC7F21">
        <w:trPr>
          <w:trHeight w:val="640"/>
        </w:trPr>
        <w:tc>
          <w:tcPr>
            <w:tcW w:w="2160" w:type="dxa"/>
            <w:shd w:val="clear" w:color="auto" w:fill="auto"/>
            <w:noWrap/>
            <w:vAlign w:val="center"/>
            <w:hideMark/>
          </w:tcPr>
          <w:p w14:paraId="4486326E" w14:textId="77777777" w:rsidR="007E2349" w:rsidRPr="009A13B8" w:rsidRDefault="007E2349" w:rsidP="00BC7F21">
            <w:pPr>
              <w:pStyle w:val="Tables"/>
            </w:pPr>
            <w:r w:rsidRPr="009A13B8">
              <w:t>PENTP</w:t>
            </w:r>
          </w:p>
        </w:tc>
        <w:tc>
          <w:tcPr>
            <w:tcW w:w="4227" w:type="dxa"/>
            <w:shd w:val="clear" w:color="auto" w:fill="auto"/>
            <w:vAlign w:val="bottom"/>
            <w:hideMark/>
          </w:tcPr>
          <w:p w14:paraId="6B4978C1" w14:textId="77777777" w:rsidR="007E2349" w:rsidRPr="009A13B8" w:rsidRDefault="007E2349" w:rsidP="00B75B9E">
            <w:pPr>
              <w:pStyle w:val="Tables"/>
              <w:rPr>
                <w:color w:val="111111"/>
              </w:rPr>
            </w:pPr>
            <w:r w:rsidRPr="009A13B8">
              <w:rPr>
                <w:color w:val="111111"/>
              </w:rPr>
              <w:t>Pentoses extraction efficiency  (0.88 PENT / (ARA + XYL)) * 100</w:t>
            </w:r>
          </w:p>
        </w:tc>
        <w:tc>
          <w:tcPr>
            <w:tcW w:w="1172" w:type="dxa"/>
            <w:shd w:val="clear" w:color="auto" w:fill="auto"/>
            <w:noWrap/>
            <w:vAlign w:val="bottom"/>
            <w:hideMark/>
          </w:tcPr>
          <w:p w14:paraId="7CAA794C" w14:textId="03B6A81B" w:rsidR="007E2349" w:rsidRPr="009A13B8" w:rsidRDefault="007E2349" w:rsidP="00B75B9E">
            <w:pPr>
              <w:pStyle w:val="Tables"/>
            </w:pPr>
            <w:r>
              <w:rPr>
                <w:rFonts w:asciiTheme="minorHAnsi" w:hAnsiTheme="minorHAnsi" w:cstheme="minorHAnsi"/>
              </w:rPr>
              <w:fldChar w:fldCharType="begin"/>
            </w:r>
            <w:r w:rsidR="00807999">
              <w:rPr>
                <w:rFonts w:asciiTheme="minorHAnsi" w:hAnsiTheme="minorHAnsi" w:cstheme="minorHAnsi"/>
              </w:rPr>
              <w:instrText xml:space="preserve"> ADDIN PAPERS2_CITATIONS &lt;citation&gt;&lt;uuid&gt;5780B4B0-21FB-4203-A9A1-A63E5A94C3EC&lt;/uuid&gt;&lt;priority&gt;0&lt;/priority&gt;&lt;publications&gt;&lt;publication&gt;&lt;uuid&gt;93C97861-B53D-446A-8CC8-C2BD026AD337&lt;/uuid&gt;&lt;volume&gt;4&lt;/volume&gt;&lt;doi&gt;10.1007/s12155-010-9104-4&lt;/doi&gt;&lt;startpage&gt;96&lt;/startpage&gt;&lt;publication_date&gt;99201008211200000000222000&lt;/publication_date&gt;&lt;url&gt;http://link.springer.com/10.1007/s12155-010-9104-4&lt;/url&gt;&lt;citekey&gt;Vogel:2011bw&lt;/citekey&gt;&lt;type&gt;400&lt;/type&gt;&lt;title&gt;Quantifying Actual and Theoretical Ethanol Yields for Switchgrass Strains Using NIRS Analyses&lt;/title&gt;&lt;number&gt;2&lt;/number&gt;&lt;subtype&gt;400&lt;/subtype&gt;&lt;endpage&gt;110&lt;/endpage&gt;&lt;bundle&gt;&lt;publication&gt;&lt;publisher&gt;Springer US&lt;/publisher&gt;&lt;title&gt;BioEnergy Research&lt;/title&gt;&lt;type&gt;-100&lt;/type&gt;&lt;subtype&gt;-100&lt;/subtype&gt;&lt;uuid&gt;10F75356-9E4C-4774-98A2-0C658827ED32&lt;/uuid&gt;&lt;/publication&gt;&lt;/bundle&gt;&lt;authors&gt;&lt;author&gt;&lt;firstName&gt;Kenneth&lt;/firstName&gt;&lt;middleNames&gt;P&lt;/middleNames&gt;&lt;lastName&gt;Vogel&lt;/lastName&gt;&lt;/author&gt;&lt;author&gt;&lt;firstName&gt;Bruce&lt;/firstName&gt;&lt;middleNames&gt;S&lt;/middleNames&gt;&lt;lastName&gt;Dien&lt;/lastName&gt;&lt;/author&gt;&lt;author&gt;&lt;firstName&gt;Hans&lt;/firstName&gt;&lt;middleNames&gt;G&lt;/middleNames&gt;&lt;lastName&gt;Jung&lt;/lastName&gt;&lt;/author&gt;&lt;author&gt;&lt;firstName&gt;Michael&lt;/firstName&gt;&lt;middleNames&gt;D&lt;/middleNames&gt;&lt;lastName&gt;Casler&lt;/lastName&gt;&lt;/author&gt;&lt;author&gt;&lt;firstName&gt;Steven&lt;/firstName&gt;&lt;middleNames&gt;D&lt;/middleNames&gt;&lt;lastName&gt;Masterson&lt;/lastName&gt;&lt;/author&gt;&lt;author&gt;&lt;firstName&gt;Robert&lt;/firstName&gt;&lt;middleNames&gt;B&lt;/middleNames&gt;&lt;lastName&gt;Mitchell&lt;/lastName&gt;&lt;/author&gt;&lt;/authors&gt;&lt;/publication&gt;&lt;/publications&gt;&lt;cites&gt;&lt;/cites&gt;&lt;/citation&gt;</w:instrText>
            </w:r>
            <w:r>
              <w:rPr>
                <w:rFonts w:asciiTheme="minorHAnsi" w:hAnsiTheme="minorHAnsi" w:cstheme="minorHAnsi"/>
              </w:rPr>
              <w:fldChar w:fldCharType="separate"/>
            </w:r>
            <w:r w:rsidR="001C1AAC">
              <w:t>(</w:t>
            </w:r>
            <w:r w:rsidR="001C1AAC">
              <w:rPr>
                <w:i/>
                <w:iCs/>
              </w:rPr>
              <w:t>140</w:t>
            </w:r>
            <w:r w:rsidR="001C1AAC">
              <w:t>)</w:t>
            </w:r>
            <w:r>
              <w:rPr>
                <w:rFonts w:asciiTheme="minorHAnsi" w:hAnsiTheme="minorHAnsi" w:cstheme="minorHAnsi"/>
              </w:rPr>
              <w:fldChar w:fldCharType="end"/>
            </w:r>
          </w:p>
        </w:tc>
      </w:tr>
      <w:tr w:rsidR="007E2349" w:rsidRPr="009A13B8" w14:paraId="7105D505" w14:textId="77777777" w:rsidTr="00BC7F21">
        <w:trPr>
          <w:trHeight w:val="640"/>
        </w:trPr>
        <w:tc>
          <w:tcPr>
            <w:tcW w:w="2160" w:type="dxa"/>
            <w:shd w:val="clear" w:color="auto" w:fill="auto"/>
            <w:noWrap/>
            <w:vAlign w:val="center"/>
            <w:hideMark/>
          </w:tcPr>
          <w:p w14:paraId="16666F9F" w14:textId="77777777" w:rsidR="007E2349" w:rsidRPr="009A13B8" w:rsidRDefault="007E2349" w:rsidP="00BC7F21">
            <w:pPr>
              <w:pStyle w:val="Tables"/>
            </w:pPr>
            <w:r w:rsidRPr="009A13B8">
              <w:t>PPEN</w:t>
            </w:r>
          </w:p>
        </w:tc>
        <w:tc>
          <w:tcPr>
            <w:tcW w:w="4227" w:type="dxa"/>
            <w:shd w:val="clear" w:color="auto" w:fill="auto"/>
            <w:vAlign w:val="bottom"/>
            <w:hideMark/>
          </w:tcPr>
          <w:p w14:paraId="72D4EB3E" w14:textId="77777777" w:rsidR="007E2349" w:rsidRPr="009A13B8" w:rsidRDefault="007E2349" w:rsidP="00B75B9E">
            <w:pPr>
              <w:pStyle w:val="Tables"/>
              <w:rPr>
                <w:color w:val="111111"/>
              </w:rPr>
            </w:pPr>
            <w:r w:rsidRPr="009A13B8">
              <w:rPr>
                <w:color w:val="111111"/>
              </w:rPr>
              <w:t>Pentose proportion of total carbohydrates (1 - HEX/SUG))*100</w:t>
            </w:r>
          </w:p>
        </w:tc>
        <w:tc>
          <w:tcPr>
            <w:tcW w:w="1172" w:type="dxa"/>
            <w:shd w:val="clear" w:color="auto" w:fill="auto"/>
            <w:noWrap/>
            <w:vAlign w:val="bottom"/>
            <w:hideMark/>
          </w:tcPr>
          <w:p w14:paraId="6D51AA79" w14:textId="65702C7E" w:rsidR="007E2349" w:rsidRPr="009A13B8" w:rsidRDefault="007E2349" w:rsidP="00B75B9E">
            <w:pPr>
              <w:pStyle w:val="Tables"/>
            </w:pPr>
            <w:r>
              <w:rPr>
                <w:rFonts w:asciiTheme="minorHAnsi" w:hAnsiTheme="minorHAnsi" w:cstheme="minorHAnsi"/>
              </w:rPr>
              <w:fldChar w:fldCharType="begin"/>
            </w:r>
            <w:r w:rsidR="00807999">
              <w:rPr>
                <w:rFonts w:asciiTheme="minorHAnsi" w:hAnsiTheme="minorHAnsi" w:cstheme="minorHAnsi"/>
              </w:rPr>
              <w:instrText xml:space="preserve"> ADDIN PAPERS2_CITATIONS &lt;citation&gt;&lt;uuid&gt;CE40197C-50ED-4807-8E0C-91737334A1C9&lt;/uuid&gt;&lt;priority&gt;0&lt;/priority&gt;&lt;publications&gt;&lt;publication&gt;&lt;uuid&gt;93C97861-B53D-446A-8CC8-C2BD026AD337&lt;/uuid&gt;&lt;volume&gt;4&lt;/volume&gt;&lt;doi&gt;10.1007/s12155-010-9104-4&lt;/doi&gt;&lt;startpage&gt;96&lt;/startpage&gt;&lt;publication_date&gt;99201008211200000000222000&lt;/publication_date&gt;&lt;url&gt;http://link.springer.com/10.1007/s12155-010-9104-4&lt;/url&gt;&lt;citekey&gt;Vogel:2011bw&lt;/citekey&gt;&lt;type&gt;400&lt;/type&gt;&lt;title&gt;Quantifying Actual and Theoretical Ethanol Yields for Switchgrass Strains Using NIRS Analyses&lt;/title&gt;&lt;number&gt;2&lt;/number&gt;&lt;subtype&gt;400&lt;/subtype&gt;&lt;endpage&gt;110&lt;/endpage&gt;&lt;bundle&gt;&lt;publication&gt;&lt;publisher&gt;Springer US&lt;/publisher&gt;&lt;title&gt;BioEnergy Research&lt;/title&gt;&lt;type&gt;-100&lt;/type&gt;&lt;subtype&gt;-100&lt;/subtype&gt;&lt;uuid&gt;10F75356-9E4C-4774-98A2-0C658827ED32&lt;/uuid&gt;&lt;/publication&gt;&lt;/bundle&gt;&lt;authors&gt;&lt;author&gt;&lt;firstName&gt;Kenneth&lt;/firstName&gt;&lt;middleNames&gt;P&lt;/middleNames&gt;&lt;lastName&gt;Vogel&lt;/lastName&gt;&lt;/author&gt;&lt;author&gt;&lt;firstName&gt;Bruce&lt;/firstName&gt;&lt;middleNames&gt;S&lt;/middleNames&gt;&lt;lastName&gt;Dien&lt;/lastName&gt;&lt;/author&gt;&lt;author&gt;&lt;firstName&gt;Hans&lt;/firstName&gt;&lt;middleNames&gt;G&lt;/middleNames&gt;&lt;lastName&gt;Jung&lt;/lastName&gt;&lt;/author&gt;&lt;author&gt;&lt;firstName&gt;Michael&lt;/firstName&gt;&lt;middleNames&gt;D&lt;/middleNames&gt;&lt;lastName&gt;Casler&lt;/lastName&gt;&lt;/author&gt;&lt;author&gt;&lt;firstName&gt;Steven&lt;/firstName&gt;&lt;middleNames&gt;D&lt;/middleNames&gt;&lt;lastName&gt;Masterson&lt;/lastName&gt;&lt;/author&gt;&lt;author&gt;&lt;firstName&gt;Robert&lt;/firstName&gt;&lt;middleNames&gt;B&lt;/middleNames&gt;&lt;lastName&gt;Mitchell&lt;/lastName&gt;&lt;/author&gt;&lt;/authors&gt;&lt;/publication&gt;&lt;/publications&gt;&lt;cites&gt;&lt;/cites&gt;&lt;/citation&gt;</w:instrText>
            </w:r>
            <w:r>
              <w:rPr>
                <w:rFonts w:asciiTheme="minorHAnsi" w:hAnsiTheme="minorHAnsi" w:cstheme="minorHAnsi"/>
              </w:rPr>
              <w:fldChar w:fldCharType="separate"/>
            </w:r>
            <w:r w:rsidR="001C1AAC">
              <w:t>(</w:t>
            </w:r>
            <w:r w:rsidR="001C1AAC">
              <w:rPr>
                <w:i/>
                <w:iCs/>
              </w:rPr>
              <w:t>140</w:t>
            </w:r>
            <w:r w:rsidR="001C1AAC">
              <w:t>)</w:t>
            </w:r>
            <w:r>
              <w:rPr>
                <w:rFonts w:asciiTheme="minorHAnsi" w:hAnsiTheme="minorHAnsi" w:cstheme="minorHAnsi"/>
              </w:rPr>
              <w:fldChar w:fldCharType="end"/>
            </w:r>
          </w:p>
        </w:tc>
      </w:tr>
      <w:tr w:rsidR="00916863" w:rsidRPr="009A13B8" w14:paraId="6D38DCB9" w14:textId="77777777" w:rsidTr="00BC7F21">
        <w:trPr>
          <w:trHeight w:val="320"/>
        </w:trPr>
        <w:tc>
          <w:tcPr>
            <w:tcW w:w="2160" w:type="dxa"/>
            <w:shd w:val="clear" w:color="auto" w:fill="auto"/>
            <w:noWrap/>
            <w:vAlign w:val="bottom"/>
            <w:hideMark/>
          </w:tcPr>
          <w:p w14:paraId="07CA24C5" w14:textId="77777777" w:rsidR="00916863" w:rsidRPr="009A13B8" w:rsidRDefault="00916863" w:rsidP="00B75B9E">
            <w:pPr>
              <w:pStyle w:val="Tables"/>
            </w:pPr>
            <w:r w:rsidRPr="009A13B8">
              <w:t>RHA</w:t>
            </w:r>
          </w:p>
        </w:tc>
        <w:tc>
          <w:tcPr>
            <w:tcW w:w="4227" w:type="dxa"/>
            <w:shd w:val="clear" w:color="auto" w:fill="auto"/>
            <w:vAlign w:val="bottom"/>
            <w:hideMark/>
          </w:tcPr>
          <w:p w14:paraId="70F14818" w14:textId="77777777" w:rsidR="00916863" w:rsidRPr="009A13B8" w:rsidRDefault="00916863" w:rsidP="00B75B9E">
            <w:pPr>
              <w:pStyle w:val="Tables"/>
            </w:pPr>
            <w:r w:rsidRPr="009A13B8">
              <w:t>Rhamnose</w:t>
            </w:r>
          </w:p>
        </w:tc>
        <w:tc>
          <w:tcPr>
            <w:tcW w:w="1172" w:type="dxa"/>
            <w:shd w:val="clear" w:color="auto" w:fill="auto"/>
            <w:noWrap/>
            <w:vAlign w:val="bottom"/>
            <w:hideMark/>
          </w:tcPr>
          <w:p w14:paraId="7367B933" w14:textId="18EAF347" w:rsidR="00916863" w:rsidRPr="009A13B8" w:rsidRDefault="00916863" w:rsidP="00B75B9E">
            <w:pPr>
              <w:pStyle w:val="Tables"/>
            </w:pPr>
            <w:r>
              <w:rPr>
                <w:rFonts w:asciiTheme="minorHAnsi" w:hAnsiTheme="minorHAnsi" w:cstheme="minorHAnsi"/>
              </w:rPr>
              <w:fldChar w:fldCharType="begin"/>
            </w:r>
            <w:r w:rsidR="00807999">
              <w:rPr>
                <w:rFonts w:asciiTheme="minorHAnsi" w:hAnsiTheme="minorHAnsi" w:cstheme="minorHAnsi"/>
              </w:rPr>
              <w:instrText xml:space="preserve"> ADDIN PAPERS2_CITATIONS &lt;citation&gt;&lt;uuid&gt;2DD12F22-F809-4A9E-87A7-FB67B9BA878E&lt;/uuid&gt;&lt;priority&gt;0&lt;/priority&gt;&lt;publications&gt;&lt;publication&gt;&lt;uuid&gt;93C97861-B53D-446A-8CC8-C2BD026AD337&lt;/uuid&gt;&lt;volume&gt;4&lt;/volume&gt;&lt;doi&gt;10.1007/s12155-010-9104-4&lt;/doi&gt;&lt;startpage&gt;96&lt;/startpage&gt;&lt;publication_date&gt;99201008211200000000222000&lt;/publication_date&gt;&lt;url&gt;http://link.springer.com/10.1007/s12155-010-9104-4&lt;/url&gt;&lt;citekey&gt;Vogel:2011bw&lt;/citekey&gt;&lt;type&gt;400&lt;/type&gt;&lt;title&gt;Quantifying Actual and Theoretical Ethanol Yields for Switchgrass Strains Using NIRS Analyses&lt;/title&gt;&lt;number&gt;2&lt;/number&gt;&lt;subtype&gt;400&lt;/subtype&gt;&lt;endpage&gt;110&lt;/endpage&gt;&lt;bundle&gt;&lt;publication&gt;&lt;publisher&gt;Springer US&lt;/publisher&gt;&lt;title&gt;BioEnergy Research&lt;/title&gt;&lt;type&gt;-100&lt;/type&gt;&lt;subtype&gt;-100&lt;/subtype&gt;&lt;uuid&gt;10F75356-9E4C-4774-98A2-0C658827ED32&lt;/uuid&gt;&lt;/publication&gt;&lt;/bundle&gt;&lt;authors&gt;&lt;author&gt;&lt;firstName&gt;Kenneth&lt;/firstName&gt;&lt;middleNames&gt;P&lt;/middleNames&gt;&lt;lastName&gt;Vogel&lt;/lastName&gt;&lt;/author&gt;&lt;author&gt;&lt;firstName&gt;Bruce&lt;/firstName&gt;&lt;middleNames&gt;S&lt;/middleNames&gt;&lt;lastName&gt;Dien&lt;/lastName&gt;&lt;/author&gt;&lt;author&gt;&lt;firstName&gt;Hans&lt;/firstName&gt;&lt;middleNames&gt;G&lt;/middleNames&gt;&lt;lastName&gt;Jung&lt;/lastName&gt;&lt;/author&gt;&lt;author&gt;&lt;firstName&gt;Michael&lt;/firstName&gt;&lt;middleNames&gt;D&lt;/middleNames&gt;&lt;lastName&gt;Casler&lt;/lastName&gt;&lt;/author&gt;&lt;author&gt;&lt;firstName&gt;Steven&lt;/firstName&gt;&lt;middleNames&gt;D&lt;/middleNames&gt;&lt;lastName&gt;Masterson&lt;/lastName&gt;&lt;/author&gt;&lt;author&gt;&lt;firstName&gt;Robert&lt;/firstName&gt;&lt;middleNames&gt;B&lt;/middleNames&gt;&lt;lastName&gt;Mitchell&lt;/lastName&gt;&lt;/author&gt;&lt;/authors&gt;&lt;/publication&gt;&lt;/publications&gt;&lt;cites&gt;&lt;/cites&gt;&lt;/citation&gt;</w:instrText>
            </w:r>
            <w:r>
              <w:rPr>
                <w:rFonts w:asciiTheme="minorHAnsi" w:hAnsiTheme="minorHAnsi" w:cstheme="minorHAnsi"/>
              </w:rPr>
              <w:fldChar w:fldCharType="separate"/>
            </w:r>
            <w:r w:rsidR="001C1AAC">
              <w:t>(</w:t>
            </w:r>
            <w:r w:rsidR="001C1AAC">
              <w:rPr>
                <w:i/>
                <w:iCs/>
              </w:rPr>
              <w:t>140</w:t>
            </w:r>
            <w:r w:rsidR="001C1AAC">
              <w:t>)</w:t>
            </w:r>
            <w:r>
              <w:rPr>
                <w:rFonts w:asciiTheme="minorHAnsi" w:hAnsiTheme="minorHAnsi" w:cstheme="minorHAnsi"/>
              </w:rPr>
              <w:fldChar w:fldCharType="end"/>
            </w:r>
          </w:p>
        </w:tc>
      </w:tr>
      <w:tr w:rsidR="00916863" w:rsidRPr="009A13B8" w14:paraId="42ECAE38" w14:textId="77777777" w:rsidTr="00BC7F21">
        <w:trPr>
          <w:trHeight w:val="320"/>
        </w:trPr>
        <w:tc>
          <w:tcPr>
            <w:tcW w:w="2160" w:type="dxa"/>
            <w:shd w:val="clear" w:color="auto" w:fill="auto"/>
            <w:noWrap/>
            <w:vAlign w:val="center"/>
            <w:hideMark/>
          </w:tcPr>
          <w:p w14:paraId="3978A782" w14:textId="77777777" w:rsidR="00916863" w:rsidRPr="009A13B8" w:rsidRDefault="00916863" w:rsidP="00BC7F21">
            <w:pPr>
              <w:pStyle w:val="Tables"/>
            </w:pPr>
            <w:r w:rsidRPr="009A13B8">
              <w:t>SC</w:t>
            </w:r>
          </w:p>
        </w:tc>
        <w:tc>
          <w:tcPr>
            <w:tcW w:w="4227" w:type="dxa"/>
            <w:shd w:val="clear" w:color="auto" w:fill="auto"/>
            <w:vAlign w:val="bottom"/>
            <w:hideMark/>
          </w:tcPr>
          <w:p w14:paraId="64BEFB45" w14:textId="77777777" w:rsidR="00916863" w:rsidRPr="009A13B8" w:rsidRDefault="00916863" w:rsidP="00B75B9E">
            <w:pPr>
              <w:pStyle w:val="Tables"/>
              <w:rPr>
                <w:color w:val="111111"/>
              </w:rPr>
            </w:pPr>
            <w:r w:rsidRPr="009A13B8">
              <w:rPr>
                <w:color w:val="111111"/>
              </w:rPr>
              <w:t>Total soluble carbohydrates (SUC + GLCS + FRU)</w:t>
            </w:r>
          </w:p>
        </w:tc>
        <w:tc>
          <w:tcPr>
            <w:tcW w:w="1172" w:type="dxa"/>
            <w:shd w:val="clear" w:color="auto" w:fill="auto"/>
            <w:noWrap/>
            <w:vAlign w:val="bottom"/>
            <w:hideMark/>
          </w:tcPr>
          <w:p w14:paraId="0DBA6621" w14:textId="2F105E43" w:rsidR="00916863" w:rsidRPr="009A13B8" w:rsidRDefault="00916863" w:rsidP="00B75B9E">
            <w:pPr>
              <w:pStyle w:val="Tables"/>
            </w:pPr>
            <w:r>
              <w:rPr>
                <w:rFonts w:asciiTheme="minorHAnsi" w:hAnsiTheme="minorHAnsi" w:cstheme="minorHAnsi"/>
              </w:rPr>
              <w:fldChar w:fldCharType="begin"/>
            </w:r>
            <w:r w:rsidR="00807999">
              <w:rPr>
                <w:rFonts w:asciiTheme="minorHAnsi" w:hAnsiTheme="minorHAnsi" w:cstheme="minorHAnsi"/>
              </w:rPr>
              <w:instrText xml:space="preserve"> ADDIN PAPERS2_CITATIONS &lt;citation&gt;&lt;uuid&gt;8D71B26C-4B71-4058-BF99-51D1E2E5502C&lt;/uuid&gt;&lt;priority&gt;0&lt;/priority&gt;&lt;publications&gt;&lt;publication&gt;&lt;uuid&gt;93C97861-B53D-446A-8CC8-C2BD026AD337&lt;/uuid&gt;&lt;volume&gt;4&lt;/volume&gt;&lt;doi&gt;10.1007/s12155-010-9104-4&lt;/doi&gt;&lt;startpage&gt;96&lt;/startpage&gt;&lt;publication_date&gt;99201008211200000000222000&lt;/publication_date&gt;&lt;url&gt;http://link.springer.com/10.1007/s12155-010-9104-4&lt;/url&gt;&lt;citekey&gt;Vogel:2011bw&lt;/citekey&gt;&lt;type&gt;400&lt;/type&gt;&lt;title&gt;Quantifying Actual and Theoretical Ethanol Yields for Switchgrass Strains Using NIRS Analyses&lt;/title&gt;&lt;number&gt;2&lt;/number&gt;&lt;subtype&gt;400&lt;/subtype&gt;&lt;endpage&gt;110&lt;/endpage&gt;&lt;bundle&gt;&lt;publication&gt;&lt;publisher&gt;Springer US&lt;/publisher&gt;&lt;title&gt;BioEnergy Research&lt;/title&gt;&lt;type&gt;-100&lt;/type&gt;&lt;subtype&gt;-100&lt;/subtype&gt;&lt;uuid&gt;10F75356-9E4C-4774-98A2-0C658827ED32&lt;/uuid&gt;&lt;/publication&gt;&lt;/bundle&gt;&lt;authors&gt;&lt;author&gt;&lt;firstName&gt;Kenneth&lt;/firstName&gt;&lt;middleNames&gt;P&lt;/middleNames&gt;&lt;lastName&gt;Vogel&lt;/lastName&gt;&lt;/author&gt;&lt;author&gt;&lt;firstName&gt;Bruce&lt;/firstName&gt;&lt;middleNames&gt;S&lt;/middleNames&gt;&lt;lastName&gt;Dien&lt;/lastName&gt;&lt;/author&gt;&lt;author&gt;&lt;firstName&gt;Hans&lt;/firstName&gt;&lt;middleNames&gt;G&lt;/middleNames&gt;&lt;lastName&gt;Jung&lt;/lastName&gt;&lt;/author&gt;&lt;author&gt;&lt;firstName&gt;Michael&lt;/firstName&gt;&lt;middleNames&gt;D&lt;/middleNames&gt;&lt;lastName&gt;Casler&lt;/lastName&gt;&lt;/author&gt;&lt;author&gt;&lt;firstName&gt;Steven&lt;/firstName&gt;&lt;middleNames&gt;D&lt;/middleNames&gt;&lt;lastName&gt;Masterson&lt;/lastName&gt;&lt;/author&gt;&lt;author&gt;&lt;firstName&gt;Robert&lt;/firstName&gt;&lt;middleNames&gt;B&lt;/middleNames&gt;&lt;lastName&gt;Mitchell&lt;/lastName&gt;&lt;/author&gt;&lt;/authors&gt;&lt;/publication&gt;&lt;/publications&gt;&lt;cites&gt;&lt;/cites&gt;&lt;/citation&gt;</w:instrText>
            </w:r>
            <w:r>
              <w:rPr>
                <w:rFonts w:asciiTheme="minorHAnsi" w:hAnsiTheme="minorHAnsi" w:cstheme="minorHAnsi"/>
              </w:rPr>
              <w:fldChar w:fldCharType="separate"/>
            </w:r>
            <w:r w:rsidR="001C1AAC">
              <w:t>(</w:t>
            </w:r>
            <w:r w:rsidR="001C1AAC">
              <w:rPr>
                <w:i/>
                <w:iCs/>
              </w:rPr>
              <w:t>140</w:t>
            </w:r>
            <w:r w:rsidR="001C1AAC">
              <w:t>)</w:t>
            </w:r>
            <w:r>
              <w:rPr>
                <w:rFonts w:asciiTheme="minorHAnsi" w:hAnsiTheme="minorHAnsi" w:cstheme="minorHAnsi"/>
              </w:rPr>
              <w:fldChar w:fldCharType="end"/>
            </w:r>
          </w:p>
        </w:tc>
      </w:tr>
      <w:tr w:rsidR="00916863" w:rsidRPr="009A13B8" w14:paraId="022CD006" w14:textId="77777777" w:rsidTr="00BC7F21">
        <w:trPr>
          <w:trHeight w:val="320"/>
        </w:trPr>
        <w:tc>
          <w:tcPr>
            <w:tcW w:w="2160" w:type="dxa"/>
            <w:shd w:val="clear" w:color="auto" w:fill="auto"/>
            <w:noWrap/>
            <w:vAlign w:val="bottom"/>
            <w:hideMark/>
          </w:tcPr>
          <w:p w14:paraId="0CE476F5" w14:textId="77777777" w:rsidR="00916863" w:rsidRPr="009A13B8" w:rsidRDefault="00916863" w:rsidP="00B75B9E">
            <w:pPr>
              <w:pStyle w:val="Tables"/>
            </w:pPr>
            <w:r w:rsidRPr="009A13B8">
              <w:t>sgratio.nrel</w:t>
            </w:r>
          </w:p>
        </w:tc>
        <w:tc>
          <w:tcPr>
            <w:tcW w:w="4227" w:type="dxa"/>
            <w:shd w:val="clear" w:color="auto" w:fill="auto"/>
            <w:vAlign w:val="bottom"/>
            <w:hideMark/>
          </w:tcPr>
          <w:p w14:paraId="33B45BF6" w14:textId="77777777" w:rsidR="00916863" w:rsidRPr="009A13B8" w:rsidRDefault="00916863" w:rsidP="00B75B9E">
            <w:pPr>
              <w:pStyle w:val="Tables"/>
            </w:pPr>
            <w:r w:rsidRPr="009A13B8">
              <w:t>S/G ratio in lignin</w:t>
            </w:r>
          </w:p>
        </w:tc>
        <w:tc>
          <w:tcPr>
            <w:tcW w:w="1172" w:type="dxa"/>
            <w:shd w:val="clear" w:color="auto" w:fill="auto"/>
            <w:noWrap/>
            <w:vAlign w:val="bottom"/>
            <w:hideMark/>
          </w:tcPr>
          <w:p w14:paraId="2938C6BC" w14:textId="6D4EB9B5" w:rsidR="00916863" w:rsidRPr="009A13B8" w:rsidRDefault="00916863" w:rsidP="00B75B9E">
            <w:pPr>
              <w:pStyle w:val="Tables"/>
            </w:pPr>
            <w:r>
              <w:fldChar w:fldCharType="begin"/>
            </w:r>
            <w:r w:rsidR="00807999">
              <w:instrText xml:space="preserve"> ADDIN PAPERS2_CITATIONS &lt;citation&gt;&lt;uuid&gt;F0367EC4-94AC-4A71-9413-4998FC8140D5&lt;/uuid&gt;&lt;priority&gt;0&lt;/priority&gt;&lt;publications&gt;&lt;publication&gt;&lt;uuid&gt;B661E55E-6CAB-4AA8-9E55-3A5BA1137FE2&lt;/uuid&gt;&lt;volume&gt;165&lt;/volume&gt;&lt;doi&gt;10.1104/pp.114.242446&lt;/doi&gt;&lt;startpage&gt;1475&lt;/startpage&gt;&lt;publication_date&gt;99201406271200000000222000&lt;/publication_date&gt;&lt;url&gt;http://www.plantphysiol.org/content/165/4/1475.full&lt;/url&gt;&lt;type&gt;400&lt;/type&gt;&lt;title&gt;Genetic Determinants for Enzymatic Digestion of Lignocellulosic Biomass Are Independent of Those for Lignin Abundance in a Maize Recombinant Inbred Population.&lt;/title&gt;&lt;publisher&gt;American Society of Plant Biologists&lt;/publisher&gt;&lt;institution&gt;Departments of Biological Sciences (B.W.P., M.C.M., N.C.C.), Botany and Plant Pathology (C.K.D., M.A.H., J.F.K., N.C.C.), and Agronomy (N.C.B., C.F.W.), Laboratory of Renewable Resources Engineering and Agricultural and Biological Engineering (N.S.M.), and Bioinformatics Core (J.T.S., J.T.), Purdue University, West Lafayette, Indiana 47907;National Bioenergy Center, National Renewable Energy Laboratory, Golden, Colorado 80401 (R.W.S., M.F., A.Z., M.F.D., S.R.D., G.B.T.); andDepartment of Plant Biology, University of Minnesota, St. Paul, Minnesota 55108 (N.M.S.).&lt;/institution&gt;&lt;number&gt;4&lt;/number&gt;&lt;subtype&gt;400&lt;/subtype&gt;&lt;endpage&gt;1487&lt;/endpage&gt;&lt;bundle&gt;&lt;publication&gt;&lt;publisher&gt;American Society of Plant Physiologists&lt;/publisher&gt;&lt;title&gt;Plant physiology&lt;/title&gt;&lt;type&gt;-100&lt;/type&gt;&lt;subtype&gt;-100&lt;/subtype&gt;&lt;uuid&gt;B97DA55A-D50B-4A35-A621-F9088F5658CB&lt;/uuid&gt;&lt;/publication&gt;&lt;/bundle&gt;&lt;authors&gt;&lt;author&gt;&lt;firstName&gt;Bryan&lt;/firstName&gt;&lt;middleNames&gt;W&lt;/middleNames&gt;&lt;lastName&gt;Penning&lt;/lastName&gt;&lt;/author&gt;&lt;author&gt;&lt;firstName&gt;Robert&lt;/firstName&gt;&lt;middleNames&gt;W&lt;/middleNames&gt;&lt;lastName&gt;Sykes&lt;/lastName&gt;&lt;/author&gt;&lt;author&gt;&lt;firstName&gt;Nicholas&lt;/firstName&gt;&lt;middleNames&gt;C&lt;/middleNames&gt;&lt;lastName&gt;Babcock&lt;/lastName&gt;&lt;/author&gt;&lt;author&gt;&lt;firstName&gt;Christopher&lt;/firstName&gt;&lt;middleNames&gt;K&lt;/middleNames&gt;&lt;lastName&gt;Dugard&lt;/lastName&gt;&lt;/author&gt;&lt;author&gt;&lt;firstName&gt;Michael&lt;/firstName&gt;&lt;middleNames&gt;A&lt;/middleNames&gt;&lt;lastName&gt;Held&lt;/lastName&gt;&lt;/author&gt;&lt;author&gt;&lt;firstName&gt;John&lt;/firstName&gt;&lt;middleNames&gt;F&lt;/middleNames&gt;&lt;lastName&gt;Klimek&lt;/lastName&gt;&lt;/author&gt;&lt;author&gt;&lt;firstName&gt;Jacob&lt;/firstName&gt;&lt;middleNames&gt;T&lt;/middleNames&gt;&lt;lastName&gt;Shreve&lt;/lastName&gt;&lt;/author&gt;&lt;author&gt;&lt;firstName&gt;Matthew&lt;/firstName&gt;&lt;lastName&gt;Fowler&lt;/lastName&gt;&lt;/author&gt;&lt;author&gt;&lt;firstName&gt;Angela&lt;/firstName&gt;&lt;lastName&gt;Ziebell&lt;/lastName&gt;&lt;/author&gt;&lt;author&gt;&lt;firstName&gt;Mark&lt;/firstName&gt;&lt;middleNames&gt;F&lt;/middleNames&gt;&lt;lastName&gt;Davis&lt;/lastName&gt;&lt;/author&gt;&lt;author&gt;&lt;firstName&gt;Stephen&lt;/firstName&gt;&lt;middleNames&gt;R&lt;/middleNames&gt;&lt;lastName&gt;Decker&lt;/lastName&gt;&lt;/author&gt;&lt;author&gt;&lt;firstName&gt;Geoffrey&lt;/firstName&gt;&lt;middleNames&gt;B&lt;/middleNames&gt;&lt;lastName&gt;Turner&lt;/lastName&gt;&lt;/author&gt;&lt;author&gt;&lt;firstName&gt;Nathan&lt;/firstName&gt;&lt;middleNames&gt;S&lt;/middleNames&gt;&lt;lastName&gt;Mosier&lt;/lastName&gt;&lt;/author&gt;&lt;author&gt;&lt;firstName&gt;Nathan&lt;/firstName&gt;&lt;middleNames&gt;M&lt;/middleNames&gt;&lt;lastName&gt;Springer&lt;/lastName&gt;&lt;/author&gt;&lt;author&gt;&lt;firstName&gt;Jyothi&lt;/firstName&gt;&lt;lastName&gt;Thimmapuram&lt;/lastName&gt;&lt;/author&gt;&lt;author&gt;&lt;firstName&gt;Clifford&lt;/firstName&gt;&lt;middleNames&gt;F&lt;/middleNames&gt;&lt;lastName&gt;Weil&lt;/lastName&gt;&lt;/author&gt;&lt;author&gt;&lt;firstName&gt;Maureen&lt;/firstName&gt;&lt;middleNames&gt;C&lt;/middleNames&gt;&lt;lastName&gt;McCann&lt;/lastName&gt;&lt;/author&gt;&lt;author&gt;&lt;firstName&gt;Nicholas&lt;/firstName&gt;&lt;middleNames&gt;C&lt;/middleNames&gt;&lt;lastName&gt;Carpita&lt;/lastName&gt;&lt;/author&gt;&lt;/authors&gt;&lt;/publication&gt;&lt;/publications&gt;&lt;cites&gt;&lt;/cites&gt;&lt;/citation&gt;</w:instrText>
            </w:r>
            <w:r>
              <w:fldChar w:fldCharType="separate"/>
            </w:r>
            <w:r w:rsidR="001C1AAC">
              <w:t>(</w:t>
            </w:r>
            <w:r w:rsidR="001C1AAC">
              <w:rPr>
                <w:i/>
                <w:iCs/>
              </w:rPr>
              <w:t>115</w:t>
            </w:r>
            <w:r w:rsidR="001C1AAC">
              <w:t>)</w:t>
            </w:r>
            <w:r>
              <w:fldChar w:fldCharType="end"/>
            </w:r>
          </w:p>
        </w:tc>
      </w:tr>
      <w:tr w:rsidR="00916863" w:rsidRPr="009A13B8" w14:paraId="63BE50C6" w14:textId="77777777" w:rsidTr="00BC7F21">
        <w:trPr>
          <w:trHeight w:val="320"/>
        </w:trPr>
        <w:tc>
          <w:tcPr>
            <w:tcW w:w="2160" w:type="dxa"/>
            <w:shd w:val="clear" w:color="auto" w:fill="auto"/>
            <w:noWrap/>
            <w:vAlign w:val="bottom"/>
            <w:hideMark/>
          </w:tcPr>
          <w:p w14:paraId="0C3532BA" w14:textId="77777777" w:rsidR="00916863" w:rsidRPr="009A13B8" w:rsidRDefault="00916863" w:rsidP="00B75B9E">
            <w:pPr>
              <w:pStyle w:val="Tables"/>
            </w:pPr>
            <w:r w:rsidRPr="009A13B8">
              <w:t>STA</w:t>
            </w:r>
          </w:p>
        </w:tc>
        <w:tc>
          <w:tcPr>
            <w:tcW w:w="4227" w:type="dxa"/>
            <w:shd w:val="clear" w:color="auto" w:fill="auto"/>
            <w:vAlign w:val="bottom"/>
            <w:hideMark/>
          </w:tcPr>
          <w:p w14:paraId="6FE7B40E" w14:textId="77777777" w:rsidR="00916863" w:rsidRPr="009A13B8" w:rsidRDefault="00916863" w:rsidP="00B75B9E">
            <w:pPr>
              <w:pStyle w:val="Tables"/>
            </w:pPr>
            <w:r w:rsidRPr="009A13B8">
              <w:t>Starch</w:t>
            </w:r>
          </w:p>
        </w:tc>
        <w:tc>
          <w:tcPr>
            <w:tcW w:w="1172" w:type="dxa"/>
            <w:shd w:val="clear" w:color="auto" w:fill="auto"/>
            <w:noWrap/>
            <w:vAlign w:val="bottom"/>
            <w:hideMark/>
          </w:tcPr>
          <w:p w14:paraId="26F36D8C" w14:textId="283B0459" w:rsidR="00916863" w:rsidRPr="009A13B8" w:rsidRDefault="00916863" w:rsidP="00B75B9E">
            <w:pPr>
              <w:pStyle w:val="Tables"/>
            </w:pPr>
            <w:r>
              <w:rPr>
                <w:rFonts w:asciiTheme="minorHAnsi" w:hAnsiTheme="minorHAnsi" w:cstheme="minorHAnsi"/>
              </w:rPr>
              <w:fldChar w:fldCharType="begin"/>
            </w:r>
            <w:r w:rsidR="00807999">
              <w:rPr>
                <w:rFonts w:asciiTheme="minorHAnsi" w:hAnsiTheme="minorHAnsi" w:cstheme="minorHAnsi"/>
              </w:rPr>
              <w:instrText xml:space="preserve"> ADDIN PAPERS2_CITATIONS &lt;citation&gt;&lt;uuid&gt;021CD206-12D8-4743-B774-A289C9B82B42&lt;/uuid&gt;&lt;priority&gt;0&lt;/priority&gt;&lt;publications&gt;&lt;publication&gt;&lt;uuid&gt;93C97861-B53D-446A-8CC8-C2BD026AD337&lt;/uuid&gt;&lt;volume&gt;4&lt;/volume&gt;&lt;doi&gt;10.1007/s12155-010-9104-4&lt;/doi&gt;&lt;startpage&gt;96&lt;/startpage&gt;&lt;publication_date&gt;99201008211200000000222000&lt;/publication_date&gt;&lt;url&gt;http://link.springer.com/10.1007/s12155-010-9104-4&lt;/url&gt;&lt;citekey&gt;Vogel:2011bw&lt;/citekey&gt;&lt;type&gt;400&lt;/type&gt;&lt;title&gt;Quantifying Actual and Theoretical Ethanol Yields for Switchgrass Strains Using NIRS Analyses&lt;/title&gt;&lt;number&gt;2&lt;/number&gt;&lt;subtype&gt;400&lt;/subtype&gt;&lt;endpage&gt;110&lt;/endpage&gt;&lt;bundle&gt;&lt;publication&gt;&lt;publisher&gt;Springer US&lt;/publisher&gt;&lt;title&gt;BioEnergy Research&lt;/title&gt;&lt;type&gt;-100&lt;/type&gt;&lt;subtype&gt;-100&lt;/subtype&gt;&lt;uuid&gt;10F75356-9E4C-4774-98A2-0C658827ED32&lt;/uuid&gt;&lt;/publication&gt;&lt;/bundle&gt;&lt;authors&gt;&lt;author&gt;&lt;firstName&gt;Kenneth&lt;/firstName&gt;&lt;middleNames&gt;P&lt;/middleNames&gt;&lt;lastName&gt;Vogel&lt;/lastName&gt;&lt;/author&gt;&lt;author&gt;&lt;firstName&gt;Bruce&lt;/firstName&gt;&lt;middleNames&gt;S&lt;/middleNames&gt;&lt;lastName&gt;Dien&lt;/lastName&gt;&lt;/author&gt;&lt;author&gt;&lt;firstName&gt;Hans&lt;/firstName&gt;&lt;middleNames&gt;G&lt;/middleNames&gt;&lt;lastName&gt;Jung&lt;/lastName&gt;&lt;/author&gt;&lt;author&gt;&lt;firstName&gt;Michael&lt;/firstName&gt;&lt;middleNames&gt;D&lt;/middleNames&gt;&lt;lastName&gt;Casler&lt;/lastName&gt;&lt;/author&gt;&lt;author&gt;&lt;firstName&gt;Steven&lt;/firstName&gt;&lt;middleNames&gt;D&lt;/middleNames&gt;&lt;lastName&gt;Masterson&lt;/lastName&gt;&lt;/author&gt;&lt;author&gt;&lt;firstName&gt;Robert&lt;/firstName&gt;&lt;middleNames&gt;B&lt;/middleNames&gt;&lt;lastName&gt;Mitchell&lt;/lastName&gt;&lt;/author&gt;&lt;/authors&gt;&lt;/publication&gt;&lt;/publications&gt;&lt;cites&gt;&lt;/cites&gt;&lt;/citation&gt;</w:instrText>
            </w:r>
            <w:r>
              <w:rPr>
                <w:rFonts w:asciiTheme="minorHAnsi" w:hAnsiTheme="minorHAnsi" w:cstheme="minorHAnsi"/>
              </w:rPr>
              <w:fldChar w:fldCharType="separate"/>
            </w:r>
            <w:r w:rsidR="001C1AAC">
              <w:t>(</w:t>
            </w:r>
            <w:r w:rsidR="001C1AAC">
              <w:rPr>
                <w:i/>
                <w:iCs/>
              </w:rPr>
              <w:t>140</w:t>
            </w:r>
            <w:r w:rsidR="001C1AAC">
              <w:t>)</w:t>
            </w:r>
            <w:r>
              <w:rPr>
                <w:rFonts w:asciiTheme="minorHAnsi" w:hAnsiTheme="minorHAnsi" w:cstheme="minorHAnsi"/>
              </w:rPr>
              <w:fldChar w:fldCharType="end"/>
            </w:r>
          </w:p>
        </w:tc>
      </w:tr>
      <w:tr w:rsidR="00916863" w:rsidRPr="009A13B8" w14:paraId="064A2668" w14:textId="77777777" w:rsidTr="00BC7F21">
        <w:trPr>
          <w:trHeight w:val="320"/>
        </w:trPr>
        <w:tc>
          <w:tcPr>
            <w:tcW w:w="2160" w:type="dxa"/>
            <w:shd w:val="clear" w:color="auto" w:fill="auto"/>
            <w:noWrap/>
            <w:vAlign w:val="bottom"/>
            <w:hideMark/>
          </w:tcPr>
          <w:p w14:paraId="172DAF9F" w14:textId="77777777" w:rsidR="00916863" w:rsidRPr="009A13B8" w:rsidRDefault="00916863" w:rsidP="00B75B9E">
            <w:pPr>
              <w:pStyle w:val="Tables"/>
            </w:pPr>
            <w:r w:rsidRPr="009A13B8">
              <w:t>SUC</w:t>
            </w:r>
          </w:p>
        </w:tc>
        <w:tc>
          <w:tcPr>
            <w:tcW w:w="4227" w:type="dxa"/>
            <w:shd w:val="clear" w:color="auto" w:fill="auto"/>
            <w:vAlign w:val="bottom"/>
            <w:hideMark/>
          </w:tcPr>
          <w:p w14:paraId="4EB72B9F" w14:textId="77777777" w:rsidR="00916863" w:rsidRPr="009A13B8" w:rsidRDefault="00916863" w:rsidP="00B75B9E">
            <w:pPr>
              <w:pStyle w:val="Tables"/>
            </w:pPr>
            <w:r w:rsidRPr="009A13B8">
              <w:t>Sucrose</w:t>
            </w:r>
          </w:p>
        </w:tc>
        <w:tc>
          <w:tcPr>
            <w:tcW w:w="1172" w:type="dxa"/>
            <w:shd w:val="clear" w:color="auto" w:fill="auto"/>
            <w:noWrap/>
            <w:vAlign w:val="bottom"/>
            <w:hideMark/>
          </w:tcPr>
          <w:p w14:paraId="641149D4" w14:textId="5BEC7355" w:rsidR="00916863" w:rsidRPr="009A13B8" w:rsidRDefault="00916863" w:rsidP="00B75B9E">
            <w:pPr>
              <w:pStyle w:val="Tables"/>
            </w:pPr>
            <w:r>
              <w:rPr>
                <w:rFonts w:asciiTheme="minorHAnsi" w:hAnsiTheme="minorHAnsi" w:cstheme="minorHAnsi"/>
              </w:rPr>
              <w:fldChar w:fldCharType="begin"/>
            </w:r>
            <w:r w:rsidR="00807999">
              <w:rPr>
                <w:rFonts w:asciiTheme="minorHAnsi" w:hAnsiTheme="minorHAnsi" w:cstheme="minorHAnsi"/>
              </w:rPr>
              <w:instrText xml:space="preserve"> ADDIN PAPERS2_CITATIONS &lt;citation&gt;&lt;uuid&gt;A0536751-F99A-48BC-98E4-65484AACA1E7&lt;/uuid&gt;&lt;priority&gt;0&lt;/priority&gt;&lt;publications&gt;&lt;publication&gt;&lt;uuid&gt;93C97861-B53D-446A-8CC8-C2BD026AD337&lt;/uuid&gt;&lt;volume&gt;4&lt;/volume&gt;&lt;doi&gt;10.1007/s12155-010-9104-4&lt;/doi&gt;&lt;startpage&gt;96&lt;/startpage&gt;&lt;publication_date&gt;99201008211200000000222000&lt;/publication_date&gt;&lt;url&gt;http://link.springer.com/10.1007/s12155-010-9104-4&lt;/url&gt;&lt;citekey&gt;Vogel:2011bw&lt;/citekey&gt;&lt;type&gt;400&lt;/type&gt;&lt;title&gt;Quantifying Actual and Theoretical Ethanol Yields for Switchgrass Strains Using NIRS Analyses&lt;/title&gt;&lt;number&gt;2&lt;/number&gt;&lt;subtype&gt;400&lt;/subtype&gt;&lt;endpage&gt;110&lt;/endpage&gt;&lt;bundle&gt;&lt;publication&gt;&lt;publisher&gt;Springer US&lt;/publisher&gt;&lt;title&gt;BioEnergy Research&lt;/title&gt;&lt;type&gt;-100&lt;/type&gt;&lt;subtype&gt;-100&lt;/subtype&gt;&lt;uuid&gt;10F75356-9E4C-4774-98A2-0C658827ED32&lt;/uuid&gt;&lt;/publication&gt;&lt;/bundle&gt;&lt;authors&gt;&lt;author&gt;&lt;firstName&gt;Kenneth&lt;/firstName&gt;&lt;middleNames&gt;P&lt;/middleNames&gt;&lt;lastName&gt;Vogel&lt;/lastName&gt;&lt;/author&gt;&lt;author&gt;&lt;firstName&gt;Bruce&lt;/firstName&gt;&lt;middleNames&gt;S&lt;/middleNames&gt;&lt;lastName&gt;Dien&lt;/lastName&gt;&lt;/author&gt;&lt;author&gt;&lt;firstName&gt;Hans&lt;/firstName&gt;&lt;middleNames&gt;G&lt;/middleNames&gt;&lt;lastName&gt;Jung&lt;/lastName&gt;&lt;/author&gt;&lt;author&gt;&lt;firstName&gt;Michael&lt;/firstName&gt;&lt;middleNames&gt;D&lt;/middleNames&gt;&lt;lastName&gt;Casler&lt;/lastName&gt;&lt;/author&gt;&lt;author&gt;&lt;firstName&gt;Steven&lt;/firstName&gt;&lt;middleNames&gt;D&lt;/middleNames&gt;&lt;lastName&gt;Masterson&lt;/lastName&gt;&lt;/author&gt;&lt;author&gt;&lt;firstName&gt;Robert&lt;/firstName&gt;&lt;middleNames&gt;B&lt;/middleNames&gt;&lt;lastName&gt;Mitchell&lt;/lastName&gt;&lt;/author&gt;&lt;/authors&gt;&lt;/publication&gt;&lt;/publications&gt;&lt;cites&gt;&lt;/cites&gt;&lt;/citation&gt;</w:instrText>
            </w:r>
            <w:r>
              <w:rPr>
                <w:rFonts w:asciiTheme="minorHAnsi" w:hAnsiTheme="minorHAnsi" w:cstheme="minorHAnsi"/>
              </w:rPr>
              <w:fldChar w:fldCharType="separate"/>
            </w:r>
            <w:r w:rsidR="001C1AAC">
              <w:t>(</w:t>
            </w:r>
            <w:r w:rsidR="001C1AAC">
              <w:rPr>
                <w:i/>
                <w:iCs/>
              </w:rPr>
              <w:t>140</w:t>
            </w:r>
            <w:r w:rsidR="001C1AAC">
              <w:t>)</w:t>
            </w:r>
            <w:r>
              <w:rPr>
                <w:rFonts w:asciiTheme="minorHAnsi" w:hAnsiTheme="minorHAnsi" w:cstheme="minorHAnsi"/>
              </w:rPr>
              <w:fldChar w:fldCharType="end"/>
            </w:r>
          </w:p>
        </w:tc>
      </w:tr>
      <w:tr w:rsidR="00916863" w:rsidRPr="009A13B8" w14:paraId="69854C09" w14:textId="77777777" w:rsidTr="00BC7F21">
        <w:trPr>
          <w:trHeight w:val="320"/>
        </w:trPr>
        <w:tc>
          <w:tcPr>
            <w:tcW w:w="2160" w:type="dxa"/>
            <w:shd w:val="clear" w:color="auto" w:fill="auto"/>
            <w:noWrap/>
            <w:vAlign w:val="bottom"/>
            <w:hideMark/>
          </w:tcPr>
          <w:p w14:paraId="65B015D5" w14:textId="77777777" w:rsidR="00916863" w:rsidRPr="009A13B8" w:rsidRDefault="00916863" w:rsidP="00B75B9E">
            <w:pPr>
              <w:pStyle w:val="Tables"/>
            </w:pPr>
            <w:r w:rsidRPr="009A13B8">
              <w:t>TDN</w:t>
            </w:r>
          </w:p>
        </w:tc>
        <w:tc>
          <w:tcPr>
            <w:tcW w:w="4227" w:type="dxa"/>
            <w:shd w:val="clear" w:color="auto" w:fill="auto"/>
            <w:vAlign w:val="bottom"/>
            <w:hideMark/>
          </w:tcPr>
          <w:p w14:paraId="2F42731B" w14:textId="77777777" w:rsidR="00916863" w:rsidRPr="009A13B8" w:rsidRDefault="00916863" w:rsidP="00B75B9E">
            <w:pPr>
              <w:pStyle w:val="Tables"/>
            </w:pPr>
            <w:r w:rsidRPr="009A13B8">
              <w:t>Total Digestible Nutrients</w:t>
            </w:r>
          </w:p>
        </w:tc>
        <w:tc>
          <w:tcPr>
            <w:tcW w:w="1172" w:type="dxa"/>
            <w:shd w:val="clear" w:color="auto" w:fill="auto"/>
            <w:noWrap/>
            <w:vAlign w:val="bottom"/>
            <w:hideMark/>
          </w:tcPr>
          <w:p w14:paraId="2346ADC6" w14:textId="0CC6C750" w:rsidR="00916863" w:rsidRPr="009A13B8" w:rsidRDefault="00916863" w:rsidP="00B75B9E">
            <w:pPr>
              <w:pStyle w:val="Tables"/>
            </w:pPr>
            <w:r>
              <w:rPr>
                <w:rFonts w:asciiTheme="minorHAnsi" w:hAnsiTheme="minorHAnsi" w:cstheme="minorHAnsi"/>
              </w:rPr>
              <w:fldChar w:fldCharType="begin"/>
            </w:r>
            <w:r w:rsidR="00807999">
              <w:rPr>
                <w:rFonts w:asciiTheme="minorHAnsi" w:hAnsiTheme="minorHAnsi" w:cstheme="minorHAnsi"/>
              </w:rPr>
              <w:instrText xml:space="preserve"> ADDIN PAPERS2_CITATIONS &lt;citation&gt;&lt;uuid&gt;A9365C25-74D7-4A59-9BA5-104C68094AB8&lt;/uuid&gt;&lt;priority&gt;0&lt;/priority&gt;&lt;publications&gt;&lt;publication&gt;&lt;uuid&gt;93C97861-B53D-446A-8CC8-C2BD026AD337&lt;/uuid&gt;&lt;volume&gt;4&lt;/volume&gt;&lt;doi&gt;10.1007/s12155-010-9104-4&lt;/doi&gt;&lt;startpage&gt;96&lt;/startpage&gt;&lt;publication_date&gt;99201008211200000000222000&lt;/publication_date&gt;&lt;url&gt;http://link.springer.com/10.1007/s12155-010-9104-4&lt;/url&gt;&lt;citekey&gt;Vogel:2011bw&lt;/citekey&gt;&lt;type&gt;400&lt;/type&gt;&lt;title&gt;Quantifying Actual and Theoretical Ethanol Yields for Switchgrass Strains Using NIRS Analyses&lt;/title&gt;&lt;number&gt;2&lt;/number&gt;&lt;subtype&gt;400&lt;/subtype&gt;&lt;endpage&gt;110&lt;/endpage&gt;&lt;bundle&gt;&lt;publication&gt;&lt;publisher&gt;Springer US&lt;/publisher&gt;&lt;title&gt;BioEnergy Research&lt;/title&gt;&lt;type&gt;-100&lt;/type&gt;&lt;subtype&gt;-100&lt;/subtype&gt;&lt;uuid&gt;10F75356-9E4C-4774-98A2-0C658827ED32&lt;/uuid&gt;&lt;/publication&gt;&lt;/bundle&gt;&lt;authors&gt;&lt;author&gt;&lt;firstName&gt;Kenneth&lt;/firstName&gt;&lt;middleNames&gt;P&lt;/middleNames&gt;&lt;lastName&gt;Vogel&lt;/lastName&gt;&lt;/author&gt;&lt;author&gt;&lt;firstName&gt;Bruce&lt;/firstName&gt;&lt;middleNames&gt;S&lt;/middleNames&gt;&lt;lastName&gt;Dien&lt;/lastName&gt;&lt;/author&gt;&lt;author&gt;&lt;firstName&gt;Hans&lt;/firstName&gt;&lt;middleNames&gt;G&lt;/middleNames&gt;&lt;lastName&gt;Jung&lt;/lastName&gt;&lt;/author&gt;&lt;author&gt;&lt;firstName&gt;Michael&lt;/firstName&gt;&lt;middleNames&gt;D&lt;/middleNames&gt;&lt;lastName&gt;Casler&lt;/lastName&gt;&lt;/author&gt;&lt;author&gt;&lt;firstName&gt;Steven&lt;/firstName&gt;&lt;middleNames&gt;D&lt;/middleNames&gt;&lt;lastName&gt;Masterson&lt;/lastName&gt;&lt;/author&gt;&lt;author&gt;&lt;firstName&gt;Robert&lt;/firstName&gt;&lt;middleNames&gt;B&lt;/middleNames&gt;&lt;lastName&gt;Mitchell&lt;/lastName&gt;&lt;/author&gt;&lt;/authors&gt;&lt;/publication&gt;&lt;/publications&gt;&lt;cites&gt;&lt;/cites&gt;&lt;/citation&gt;</w:instrText>
            </w:r>
            <w:r>
              <w:rPr>
                <w:rFonts w:asciiTheme="minorHAnsi" w:hAnsiTheme="minorHAnsi" w:cstheme="minorHAnsi"/>
              </w:rPr>
              <w:fldChar w:fldCharType="separate"/>
            </w:r>
            <w:r w:rsidR="001C1AAC">
              <w:t>(</w:t>
            </w:r>
            <w:r w:rsidR="001C1AAC">
              <w:rPr>
                <w:i/>
                <w:iCs/>
              </w:rPr>
              <w:t>140</w:t>
            </w:r>
            <w:r w:rsidR="001C1AAC">
              <w:t>)</w:t>
            </w:r>
            <w:r>
              <w:rPr>
                <w:rFonts w:asciiTheme="minorHAnsi" w:hAnsiTheme="minorHAnsi" w:cstheme="minorHAnsi"/>
              </w:rPr>
              <w:fldChar w:fldCharType="end"/>
            </w:r>
          </w:p>
        </w:tc>
      </w:tr>
      <w:tr w:rsidR="00916863" w:rsidRPr="009A13B8" w14:paraId="29659E48" w14:textId="77777777" w:rsidTr="00BC7F21">
        <w:trPr>
          <w:trHeight w:val="320"/>
        </w:trPr>
        <w:tc>
          <w:tcPr>
            <w:tcW w:w="2160" w:type="dxa"/>
            <w:shd w:val="clear" w:color="auto" w:fill="auto"/>
            <w:noWrap/>
            <w:vAlign w:val="center"/>
            <w:hideMark/>
          </w:tcPr>
          <w:p w14:paraId="39C2DD92" w14:textId="77777777" w:rsidR="00916863" w:rsidRPr="009A13B8" w:rsidRDefault="00916863" w:rsidP="00BC7F21">
            <w:pPr>
              <w:pStyle w:val="Tables"/>
            </w:pPr>
            <w:r w:rsidRPr="009A13B8">
              <w:t>TDN.forage</w:t>
            </w:r>
          </w:p>
        </w:tc>
        <w:tc>
          <w:tcPr>
            <w:tcW w:w="4227" w:type="dxa"/>
            <w:shd w:val="clear" w:color="auto" w:fill="auto"/>
            <w:vAlign w:val="bottom"/>
            <w:hideMark/>
          </w:tcPr>
          <w:p w14:paraId="03BAFDE3" w14:textId="2D7C50A7" w:rsidR="00916863" w:rsidRPr="009A13B8" w:rsidRDefault="00BC7F21" w:rsidP="00B75B9E">
            <w:pPr>
              <w:pStyle w:val="Tables"/>
            </w:pPr>
            <w:r>
              <w:t>Total Digestible Nutrients</w:t>
            </w:r>
            <w:r>
              <w:br/>
            </w:r>
            <w:r w:rsidR="00916863" w:rsidRPr="009A13B8">
              <w:t>(forage equation)</w:t>
            </w:r>
          </w:p>
        </w:tc>
        <w:tc>
          <w:tcPr>
            <w:tcW w:w="1172" w:type="dxa"/>
            <w:shd w:val="clear" w:color="auto" w:fill="auto"/>
            <w:noWrap/>
            <w:vAlign w:val="bottom"/>
            <w:hideMark/>
          </w:tcPr>
          <w:p w14:paraId="37AAAAC2" w14:textId="10F41FB4" w:rsidR="00916863" w:rsidRPr="009A13B8" w:rsidRDefault="00916863" w:rsidP="00B75B9E">
            <w:pPr>
              <w:pStyle w:val="Tables"/>
            </w:pPr>
            <w:r>
              <w:rPr>
                <w:rFonts w:asciiTheme="minorHAnsi" w:hAnsiTheme="minorHAnsi" w:cstheme="minorHAnsi"/>
              </w:rPr>
              <w:fldChar w:fldCharType="begin"/>
            </w:r>
            <w:r w:rsidR="00807999">
              <w:rPr>
                <w:rFonts w:asciiTheme="minorHAnsi" w:hAnsiTheme="minorHAnsi" w:cstheme="minorHAnsi"/>
              </w:rPr>
              <w:instrText xml:space="preserve"> ADDIN PAPERS2_CITATIONS &lt;citation&gt;&lt;uuid&gt;0E0D475A-42B0-4BAE-A681-83EAD935435B&lt;/uuid&gt;&lt;priority&gt;0&lt;/priority&gt;&lt;publications&gt;&lt;publication&gt;&lt;volume&gt;339&lt;/volume&gt;&lt;publication_date&gt;99201004151200000000222000&lt;/publication_date&gt;&lt;number&gt;1-2&lt;/number&gt;&lt;doi&gt;10.1007/s11104-010-0376-4&lt;/doi&gt;&lt;startpage&gt;69&lt;/startpage&gt;&lt;title&gt;Switchgrass for forage and bioenergy: harvest and nitrogen rate effects on biomass yields and nutrient composition&lt;/title&gt;&lt;uuid&gt;D1F74A81-1B28-432B-854D-4742B2C12C0C&lt;/uuid&gt;&lt;subtype&gt;400&lt;/subtype&gt;&lt;endpage&gt;81&lt;/endpage&gt;&lt;type&gt;400&lt;/type&gt;&lt;url&gt;http://link.springer.com/10.1007/s11104-010-0376-4&lt;/url&gt;&lt;bundle&gt;&lt;publication&gt;&lt;title&gt;Plant and Soil&lt;/title&gt;&lt;type&gt;-100&lt;/type&gt;&lt;subtype&gt;-100&lt;/subtype&gt;&lt;uuid&gt;4D2157D4-F2F2-4179-B289-12F735F40749&lt;/uuid&gt;&lt;/publication&gt;&lt;/bundle&gt;&lt;authors&gt;&lt;author&gt;&lt;firstName&gt;John&lt;/firstName&gt;&lt;middleNames&gt;A&lt;/middleNames&gt;&lt;lastName&gt;Guretzky&lt;/lastName&gt;&lt;/author&gt;&lt;author&gt;&lt;firstName&gt;Jon&lt;/firstName&gt;&lt;middleNames&gt;T&lt;/middleNames&gt;&lt;lastName&gt;Biermacher&lt;/lastName&gt;&lt;/author&gt;&lt;author&gt;&lt;firstName&gt;Billy&lt;/firstName&gt;&lt;middleNames&gt;J&lt;/middleNames&gt;&lt;lastName&gt;Cook&lt;/lastName&gt;&lt;/author&gt;&lt;author&gt;&lt;firstName&gt;Maru&lt;/firstName&gt;&lt;middleNames&gt;K&lt;/middleNames&gt;&lt;lastName&gt;Kering&lt;/lastName&gt;&lt;/author&gt;&lt;author&gt;&lt;firstName&gt;Jagadeesh&lt;/firstName&gt;&lt;lastName&gt;Mosali&lt;/lastName&gt;&lt;/author&gt;&lt;/authors&gt;&lt;/publication&gt;&lt;/publications&gt;&lt;cites&gt;&lt;/cites&gt;&lt;/citation&gt;</w:instrText>
            </w:r>
            <w:r>
              <w:rPr>
                <w:rFonts w:asciiTheme="minorHAnsi" w:hAnsiTheme="minorHAnsi" w:cstheme="minorHAnsi"/>
              </w:rPr>
              <w:fldChar w:fldCharType="separate"/>
            </w:r>
            <w:r w:rsidR="001C1AAC">
              <w:t>(</w:t>
            </w:r>
            <w:r w:rsidR="001C1AAC">
              <w:rPr>
                <w:i/>
                <w:iCs/>
              </w:rPr>
              <w:t>141</w:t>
            </w:r>
            <w:r w:rsidR="001C1AAC">
              <w:t>)</w:t>
            </w:r>
            <w:r>
              <w:rPr>
                <w:rFonts w:asciiTheme="minorHAnsi" w:hAnsiTheme="minorHAnsi" w:cstheme="minorHAnsi"/>
              </w:rPr>
              <w:fldChar w:fldCharType="end"/>
            </w:r>
          </w:p>
        </w:tc>
      </w:tr>
      <w:tr w:rsidR="00916863" w:rsidRPr="009A13B8" w14:paraId="55A62CDC" w14:textId="77777777" w:rsidTr="00BC7F21">
        <w:trPr>
          <w:trHeight w:val="320"/>
        </w:trPr>
        <w:tc>
          <w:tcPr>
            <w:tcW w:w="2160" w:type="dxa"/>
            <w:shd w:val="clear" w:color="auto" w:fill="auto"/>
            <w:noWrap/>
            <w:vAlign w:val="bottom"/>
            <w:hideMark/>
          </w:tcPr>
          <w:p w14:paraId="3A7606C6" w14:textId="77777777" w:rsidR="00916863" w:rsidRPr="009A13B8" w:rsidRDefault="00916863" w:rsidP="00B75B9E">
            <w:pPr>
              <w:pStyle w:val="Tables"/>
            </w:pPr>
            <w:r w:rsidRPr="009A13B8">
              <w:t>total_sugar.nrel</w:t>
            </w:r>
          </w:p>
        </w:tc>
        <w:tc>
          <w:tcPr>
            <w:tcW w:w="4227" w:type="dxa"/>
            <w:shd w:val="clear" w:color="auto" w:fill="auto"/>
            <w:vAlign w:val="bottom"/>
            <w:hideMark/>
          </w:tcPr>
          <w:p w14:paraId="5CEEB2DE" w14:textId="77777777" w:rsidR="00916863" w:rsidRPr="009A13B8" w:rsidRDefault="00916863" w:rsidP="00B75B9E">
            <w:pPr>
              <w:pStyle w:val="Tables"/>
            </w:pPr>
            <w:r w:rsidRPr="009A13B8">
              <w:t>Total sugar</w:t>
            </w:r>
          </w:p>
        </w:tc>
        <w:tc>
          <w:tcPr>
            <w:tcW w:w="1172" w:type="dxa"/>
            <w:shd w:val="clear" w:color="auto" w:fill="auto"/>
            <w:noWrap/>
            <w:vAlign w:val="bottom"/>
            <w:hideMark/>
          </w:tcPr>
          <w:p w14:paraId="4C50DFCA" w14:textId="0A862730" w:rsidR="00916863" w:rsidRPr="009A13B8" w:rsidRDefault="00916863" w:rsidP="00B75B9E">
            <w:pPr>
              <w:pStyle w:val="Tables"/>
            </w:pPr>
            <w:r>
              <w:fldChar w:fldCharType="begin"/>
            </w:r>
            <w:r w:rsidR="00807999">
              <w:instrText xml:space="preserve"> ADDIN PAPERS2_CITATIONS &lt;citation&gt;&lt;uuid&gt;80D90E68-DB86-4A8E-BCF1-61B0133DA511&lt;/uuid&gt;&lt;priority&gt;0&lt;/priority&gt;&lt;publications&gt;&lt;publication&gt;&lt;volume&gt;3&lt;/volume&gt;&lt;publication_date&gt;99201001201200000000222000&lt;/publication_date&gt;&lt;number&gt;1&lt;/number&gt;&lt;doi&gt;10.1007/s12155-009-9074-6&lt;/doi&gt;&lt;startpage&gt;93&lt;/startpage&gt;&lt;title&gt;A High-Throughput Platform for Screening Milligram Quantities of Plant Biomass for Lignocellulose Digestibility&lt;/title&gt;&lt;uuid&gt;0202ABD8-1484-4D9D-9883-906F13C4AF53&lt;/uuid&gt;&lt;subtype&gt;400&lt;/subtype&gt;&lt;endpage&gt;102&lt;/endpage&gt;&lt;type&gt;400&lt;/type&gt;&lt;url&gt;http://link.springer.com/10.1007/s12155-009-9074-6&lt;/url&gt;&lt;bundle&gt;&lt;publication&gt;&lt;publisher&gt;Springer US&lt;/publisher&gt;&lt;title&gt;BioEnergy Research&lt;/title&gt;&lt;type&gt;-100&lt;/type&gt;&lt;subtype&gt;-100&lt;/subtype&gt;&lt;uuid&gt;10F75356-9E4C-4774-98A2-0C658827ED32&lt;/uuid&gt;&lt;/publication&gt;&lt;/bundle&gt;&lt;authors&gt;&lt;author&gt;&lt;firstName&gt;Nicholas&lt;/firstName&gt;&lt;lastName&gt;Santoro&lt;/lastName&gt;&lt;/author&gt;&lt;author&gt;&lt;firstName&gt;Shane&lt;/firstName&gt;&lt;middleNames&gt;L&lt;/middleNames&gt;&lt;lastName&gt;Cantu&lt;/lastName&gt;&lt;/author&gt;&lt;author&gt;&lt;firstName&gt;Carl-Erik&lt;/firstName&gt;&lt;lastName&gt;Tornqvist&lt;/lastName&gt;&lt;/author&gt;&lt;author&gt;&lt;firstName&gt;Tanya&lt;/firstName&gt;&lt;middleNames&gt;G&lt;/middleNames&gt;&lt;lastName&gt;Falbel&lt;/lastName&gt;&lt;/author&gt;&lt;author&gt;&lt;firstName&gt;Jenny&lt;/firstName&gt;&lt;middleNames&gt;L&lt;/middleNames&gt;&lt;lastName&gt;Bolivar&lt;/lastName&gt;&lt;/author&gt;&lt;author&gt;&lt;firstName&gt;Sara&lt;/firstName&gt;&lt;middleNames&gt;E&lt;/middleNames&gt;&lt;lastName&gt;Patterson&lt;/lastName&gt;&lt;/author&gt;&lt;author&gt;&lt;firstName&gt;Markus&lt;/firstName&gt;&lt;lastName&gt;Pauly&lt;/lastName&gt;&lt;/author&gt;&lt;author&gt;&lt;firstName&gt;Jonathan&lt;/firstName&gt;&lt;middleNames&gt;D&lt;/middleNames&gt;&lt;lastName&gt;Walton&lt;/lastName&gt;&lt;/author&gt;&lt;/authors&gt;&lt;/publication&gt;&lt;/publications&gt;&lt;cites&gt;&lt;/cites&gt;&lt;/citation&gt;</w:instrText>
            </w:r>
            <w:r>
              <w:fldChar w:fldCharType="separate"/>
            </w:r>
            <w:r w:rsidR="001C1AAC">
              <w:t>(</w:t>
            </w:r>
            <w:r w:rsidR="001C1AAC">
              <w:rPr>
                <w:i/>
                <w:iCs/>
              </w:rPr>
              <w:t>139</w:t>
            </w:r>
            <w:r w:rsidR="001C1AAC">
              <w:t>)</w:t>
            </w:r>
            <w:r>
              <w:fldChar w:fldCharType="end"/>
            </w:r>
          </w:p>
        </w:tc>
      </w:tr>
      <w:tr w:rsidR="00916863" w:rsidRPr="009A13B8" w14:paraId="4D92A4A1" w14:textId="77777777" w:rsidTr="00BC7F21">
        <w:trPr>
          <w:trHeight w:val="320"/>
        </w:trPr>
        <w:tc>
          <w:tcPr>
            <w:tcW w:w="2160" w:type="dxa"/>
            <w:shd w:val="clear" w:color="auto" w:fill="auto"/>
            <w:noWrap/>
            <w:vAlign w:val="bottom"/>
            <w:hideMark/>
          </w:tcPr>
          <w:p w14:paraId="6313E403" w14:textId="77777777" w:rsidR="00916863" w:rsidRPr="009A13B8" w:rsidRDefault="00916863" w:rsidP="00B75B9E">
            <w:pPr>
              <w:pStyle w:val="Tables"/>
            </w:pPr>
            <w:r w:rsidRPr="009A13B8">
              <w:t>UA</w:t>
            </w:r>
          </w:p>
        </w:tc>
        <w:tc>
          <w:tcPr>
            <w:tcW w:w="4227" w:type="dxa"/>
            <w:shd w:val="clear" w:color="auto" w:fill="auto"/>
            <w:vAlign w:val="bottom"/>
            <w:hideMark/>
          </w:tcPr>
          <w:p w14:paraId="0D1F3D1B" w14:textId="77777777" w:rsidR="00916863" w:rsidRPr="009A13B8" w:rsidRDefault="00916863" w:rsidP="00B75B9E">
            <w:pPr>
              <w:pStyle w:val="Tables"/>
            </w:pPr>
            <w:r w:rsidRPr="009A13B8">
              <w:t>Uronic acids</w:t>
            </w:r>
          </w:p>
        </w:tc>
        <w:tc>
          <w:tcPr>
            <w:tcW w:w="1172" w:type="dxa"/>
            <w:shd w:val="clear" w:color="auto" w:fill="auto"/>
            <w:noWrap/>
            <w:vAlign w:val="bottom"/>
            <w:hideMark/>
          </w:tcPr>
          <w:p w14:paraId="0277EB83" w14:textId="0F2822A4" w:rsidR="00916863" w:rsidRPr="009A13B8" w:rsidRDefault="00916863" w:rsidP="00B75B9E">
            <w:pPr>
              <w:pStyle w:val="Tables"/>
            </w:pPr>
            <w:r>
              <w:rPr>
                <w:rFonts w:asciiTheme="minorHAnsi" w:hAnsiTheme="minorHAnsi" w:cstheme="minorHAnsi"/>
              </w:rPr>
              <w:fldChar w:fldCharType="begin"/>
            </w:r>
            <w:r w:rsidR="00807999">
              <w:rPr>
                <w:rFonts w:asciiTheme="minorHAnsi" w:hAnsiTheme="minorHAnsi" w:cstheme="minorHAnsi"/>
              </w:rPr>
              <w:instrText xml:space="preserve"> ADDIN PAPERS2_CITATIONS &lt;citation&gt;&lt;uuid&gt;F5037318-802E-4D89-BCB7-F91E8E807797&lt;/uuid&gt;&lt;priority&gt;0&lt;/priority&gt;&lt;publications&gt;&lt;publication&gt;&lt;uuid&gt;93C97861-B53D-446A-8CC8-C2BD026AD337&lt;/uuid&gt;&lt;volume&gt;4&lt;/volume&gt;&lt;doi&gt;10.1007/s12155-010-9104-4&lt;/doi&gt;&lt;startpage&gt;96&lt;/startpage&gt;&lt;publication_date&gt;99201008211200000000222000&lt;/publication_date&gt;&lt;url&gt;http://link.springer.com/10.1007/s12155-010-9104-4&lt;/url&gt;&lt;citekey&gt;Vogel:2011bw&lt;/citekey&gt;&lt;type&gt;400&lt;/type&gt;&lt;title&gt;Quantifying Actual and Theoretical Ethanol Yields for Switchgrass Strains Using NIRS Analyses&lt;/title&gt;&lt;number&gt;2&lt;/number&gt;&lt;subtype&gt;400&lt;/subtype&gt;&lt;endpage&gt;110&lt;/endpage&gt;&lt;bundle&gt;&lt;publication&gt;&lt;publisher&gt;Springer US&lt;/publisher&gt;&lt;title&gt;BioEnergy Research&lt;/title&gt;&lt;type&gt;-100&lt;/type&gt;&lt;subtype&gt;-100&lt;/subtype&gt;&lt;uuid&gt;10F75356-9E4C-4774-98A2-0C658827ED32&lt;/uuid&gt;&lt;/publication&gt;&lt;/bundle&gt;&lt;authors&gt;&lt;author&gt;&lt;firstName&gt;Kenneth&lt;/firstName&gt;&lt;middleNames&gt;P&lt;/middleNames&gt;&lt;lastName&gt;Vogel&lt;/lastName&gt;&lt;/author&gt;&lt;author&gt;&lt;firstName&gt;Bruce&lt;/firstName&gt;&lt;middleNames&gt;S&lt;/middleNames&gt;&lt;lastName&gt;Dien&lt;/lastName&gt;&lt;/author&gt;&lt;author&gt;&lt;firstName&gt;Hans&lt;/firstName&gt;&lt;middleNames&gt;G&lt;/middleNames&gt;&lt;lastName&gt;Jung&lt;/lastName&gt;&lt;/author&gt;&lt;author&gt;&lt;firstName&gt;Michael&lt;/firstName&gt;&lt;middleNames&gt;D&lt;/middleNames&gt;&lt;lastName&gt;Casler&lt;/lastName&gt;&lt;/author&gt;&lt;author&gt;&lt;firstName&gt;Steven&lt;/firstName&gt;&lt;middleNames&gt;D&lt;/middleNames&gt;&lt;lastName&gt;Masterson&lt;/lastName&gt;&lt;/author&gt;&lt;author&gt;&lt;firstName&gt;Robert&lt;/firstName&gt;&lt;middleNames&gt;B&lt;/middleNames&gt;&lt;lastName&gt;Mitchell&lt;/lastName&gt;&lt;/author&gt;&lt;/authors&gt;&lt;/publication&gt;&lt;/publications&gt;&lt;cites&gt;&lt;/cites&gt;&lt;/citation&gt;</w:instrText>
            </w:r>
            <w:r>
              <w:rPr>
                <w:rFonts w:asciiTheme="minorHAnsi" w:hAnsiTheme="minorHAnsi" w:cstheme="minorHAnsi"/>
              </w:rPr>
              <w:fldChar w:fldCharType="separate"/>
            </w:r>
            <w:r w:rsidR="001C1AAC">
              <w:t>(</w:t>
            </w:r>
            <w:r w:rsidR="001C1AAC">
              <w:rPr>
                <w:i/>
                <w:iCs/>
              </w:rPr>
              <w:t>140</w:t>
            </w:r>
            <w:r w:rsidR="001C1AAC">
              <w:t>)</w:t>
            </w:r>
            <w:r>
              <w:rPr>
                <w:rFonts w:asciiTheme="minorHAnsi" w:hAnsiTheme="minorHAnsi" w:cstheme="minorHAnsi"/>
              </w:rPr>
              <w:fldChar w:fldCharType="end"/>
            </w:r>
          </w:p>
        </w:tc>
      </w:tr>
      <w:tr w:rsidR="00916863" w:rsidRPr="009A13B8" w14:paraId="072FD613" w14:textId="77777777" w:rsidTr="00BC7F21">
        <w:trPr>
          <w:trHeight w:val="320"/>
        </w:trPr>
        <w:tc>
          <w:tcPr>
            <w:tcW w:w="2160" w:type="dxa"/>
            <w:shd w:val="clear" w:color="auto" w:fill="auto"/>
            <w:noWrap/>
            <w:vAlign w:val="bottom"/>
            <w:hideMark/>
          </w:tcPr>
          <w:p w14:paraId="0DC29C7F" w14:textId="77777777" w:rsidR="00916863" w:rsidRPr="009A13B8" w:rsidRDefault="00916863" w:rsidP="00B75B9E">
            <w:pPr>
              <w:pStyle w:val="Tables"/>
            </w:pPr>
            <w:r w:rsidRPr="009A13B8">
              <w:t>XYL</w:t>
            </w:r>
          </w:p>
        </w:tc>
        <w:tc>
          <w:tcPr>
            <w:tcW w:w="4227" w:type="dxa"/>
            <w:shd w:val="clear" w:color="auto" w:fill="auto"/>
            <w:vAlign w:val="bottom"/>
            <w:hideMark/>
          </w:tcPr>
          <w:p w14:paraId="7DFA5CBF" w14:textId="77777777" w:rsidR="00916863" w:rsidRPr="009A13B8" w:rsidRDefault="00916863" w:rsidP="00B75B9E">
            <w:pPr>
              <w:pStyle w:val="Tables"/>
            </w:pPr>
            <w:r w:rsidRPr="009A13B8">
              <w:t>Xylose</w:t>
            </w:r>
          </w:p>
        </w:tc>
        <w:tc>
          <w:tcPr>
            <w:tcW w:w="1172" w:type="dxa"/>
            <w:shd w:val="clear" w:color="auto" w:fill="auto"/>
            <w:noWrap/>
            <w:vAlign w:val="bottom"/>
            <w:hideMark/>
          </w:tcPr>
          <w:p w14:paraId="08C4F677" w14:textId="55AF3188" w:rsidR="00916863" w:rsidRPr="009A13B8" w:rsidRDefault="00916863" w:rsidP="00B75B9E">
            <w:pPr>
              <w:pStyle w:val="Tables"/>
            </w:pPr>
            <w:r>
              <w:rPr>
                <w:rFonts w:asciiTheme="minorHAnsi" w:hAnsiTheme="minorHAnsi" w:cstheme="minorHAnsi"/>
              </w:rPr>
              <w:fldChar w:fldCharType="begin"/>
            </w:r>
            <w:r w:rsidR="00807999">
              <w:rPr>
                <w:rFonts w:asciiTheme="minorHAnsi" w:hAnsiTheme="minorHAnsi" w:cstheme="minorHAnsi"/>
              </w:rPr>
              <w:instrText xml:space="preserve"> ADDIN PAPERS2_CITATIONS &lt;citation&gt;&lt;uuid&gt;FB436DBF-263A-494C-A106-BDC0BF4E090C&lt;/uuid&gt;&lt;priority&gt;0&lt;/priority&gt;&lt;publications&gt;&lt;publication&gt;&lt;uuid&gt;93C97861-B53D-446A-8CC8-C2BD026AD337&lt;/uuid&gt;&lt;volume&gt;4&lt;/volume&gt;&lt;doi&gt;10.1007/s12155-010-9104-4&lt;/doi&gt;&lt;startpage&gt;96&lt;/startpage&gt;&lt;publication_date&gt;99201008211200000000222000&lt;/publication_date&gt;&lt;url&gt;http://link.springer.com/10.1007/s12155-010-9104-4&lt;/url&gt;&lt;citekey&gt;Vogel:2011bw&lt;/citekey&gt;&lt;type&gt;400&lt;/type&gt;&lt;title&gt;Quantifying Actual and Theoretical Ethanol Yields for Switchgrass Strains Using NIRS Analyses&lt;/title&gt;&lt;number&gt;2&lt;/number&gt;&lt;subtype&gt;400&lt;/subtype&gt;&lt;endpage&gt;110&lt;/endpage&gt;&lt;bundle&gt;&lt;publication&gt;&lt;publisher&gt;Springer US&lt;/publisher&gt;&lt;title&gt;BioEnergy Research&lt;/title&gt;&lt;type&gt;-100&lt;/type&gt;&lt;subtype&gt;-100&lt;/subtype&gt;&lt;uuid&gt;10F75356-9E4C-4774-98A2-0C658827ED32&lt;/uuid&gt;&lt;/publication&gt;&lt;/bundle&gt;&lt;authors&gt;&lt;author&gt;&lt;firstName&gt;Kenneth&lt;/firstName&gt;&lt;middleNames&gt;P&lt;/middleNames&gt;&lt;lastName&gt;Vogel&lt;/lastName&gt;&lt;/author&gt;&lt;author&gt;&lt;firstName&gt;Bruce&lt;/firstName&gt;&lt;middleNames&gt;S&lt;/middleNames&gt;&lt;lastName&gt;Dien&lt;/lastName&gt;&lt;/author&gt;&lt;author&gt;&lt;firstName&gt;Hans&lt;/firstName&gt;&lt;middleNames&gt;G&lt;/middleNames&gt;&lt;lastName&gt;Jung&lt;/lastName&gt;&lt;/author&gt;&lt;author&gt;&lt;firstName&gt;Michael&lt;/firstName&gt;&lt;middleNames&gt;D&lt;/middleNames&gt;&lt;lastName&gt;Casler&lt;/lastName&gt;&lt;/author&gt;&lt;author&gt;&lt;firstName&gt;Steven&lt;/firstName&gt;&lt;middleNames&gt;D&lt;/middleNames&gt;&lt;lastName&gt;Masterson&lt;/lastName&gt;&lt;/author&gt;&lt;author&gt;&lt;firstName&gt;Robert&lt;/firstName&gt;&lt;middleNames&gt;B&lt;/middleNames&gt;&lt;lastName&gt;Mitchell&lt;/lastName&gt;&lt;/author&gt;&lt;/authors&gt;&lt;/publication&gt;&lt;/publications&gt;&lt;cites&gt;&lt;/cites&gt;&lt;/citation&gt;</w:instrText>
            </w:r>
            <w:r>
              <w:rPr>
                <w:rFonts w:asciiTheme="minorHAnsi" w:hAnsiTheme="minorHAnsi" w:cstheme="minorHAnsi"/>
              </w:rPr>
              <w:fldChar w:fldCharType="separate"/>
            </w:r>
            <w:r w:rsidR="001C1AAC">
              <w:t>(</w:t>
            </w:r>
            <w:r w:rsidR="001C1AAC">
              <w:rPr>
                <w:i/>
                <w:iCs/>
              </w:rPr>
              <w:t>140</w:t>
            </w:r>
            <w:r w:rsidR="001C1AAC">
              <w:t>)</w:t>
            </w:r>
            <w:r>
              <w:rPr>
                <w:rFonts w:asciiTheme="minorHAnsi" w:hAnsiTheme="minorHAnsi" w:cstheme="minorHAnsi"/>
              </w:rPr>
              <w:fldChar w:fldCharType="end"/>
            </w:r>
          </w:p>
        </w:tc>
      </w:tr>
      <w:tr w:rsidR="00916863" w:rsidRPr="009A13B8" w14:paraId="2DE7B78D" w14:textId="77777777" w:rsidTr="00BC7F21">
        <w:trPr>
          <w:trHeight w:val="320"/>
        </w:trPr>
        <w:tc>
          <w:tcPr>
            <w:tcW w:w="2160" w:type="dxa"/>
            <w:shd w:val="clear" w:color="auto" w:fill="auto"/>
            <w:noWrap/>
            <w:vAlign w:val="bottom"/>
            <w:hideMark/>
          </w:tcPr>
          <w:p w14:paraId="51345C23" w14:textId="77777777" w:rsidR="00916863" w:rsidRPr="009A13B8" w:rsidRDefault="00916863" w:rsidP="00B75B9E">
            <w:pPr>
              <w:pStyle w:val="Tables"/>
            </w:pPr>
            <w:r w:rsidRPr="009A13B8">
              <w:t>xylose.nrel</w:t>
            </w:r>
          </w:p>
        </w:tc>
        <w:tc>
          <w:tcPr>
            <w:tcW w:w="4227" w:type="dxa"/>
            <w:shd w:val="clear" w:color="auto" w:fill="auto"/>
            <w:vAlign w:val="bottom"/>
            <w:hideMark/>
          </w:tcPr>
          <w:p w14:paraId="60BF7E42" w14:textId="77777777" w:rsidR="00916863" w:rsidRPr="009A13B8" w:rsidRDefault="00916863" w:rsidP="00B75B9E">
            <w:pPr>
              <w:pStyle w:val="Tables"/>
            </w:pPr>
            <w:r w:rsidRPr="009A13B8">
              <w:t>Xylose (NREL measurement)</w:t>
            </w:r>
          </w:p>
        </w:tc>
        <w:tc>
          <w:tcPr>
            <w:tcW w:w="1172" w:type="dxa"/>
            <w:shd w:val="clear" w:color="auto" w:fill="auto"/>
            <w:noWrap/>
            <w:vAlign w:val="bottom"/>
            <w:hideMark/>
          </w:tcPr>
          <w:p w14:paraId="2D5B981F" w14:textId="18B7F452" w:rsidR="00916863" w:rsidRPr="009A13B8" w:rsidRDefault="00916863" w:rsidP="00B75B9E">
            <w:pPr>
              <w:pStyle w:val="Tables"/>
            </w:pPr>
            <w:r>
              <w:fldChar w:fldCharType="begin"/>
            </w:r>
            <w:r w:rsidR="00807999">
              <w:instrText xml:space="preserve"> ADDIN PAPERS2_CITATIONS &lt;citation&gt;&lt;uuid&gt;7DC85DB1-B172-4F17-929C-3A497CB31E1A&lt;/uuid&gt;&lt;priority&gt;0&lt;/priority&gt;&lt;publications&gt;&lt;publication&gt;&lt;volume&gt;3&lt;/volume&gt;&lt;publication_date&gt;99201001201200000000222000&lt;/publication_date&gt;&lt;number&gt;1&lt;/number&gt;&lt;doi&gt;10.1007/s12155-009-9074-6&lt;/doi&gt;&lt;startpage&gt;93&lt;/startpage&gt;&lt;title&gt;A High-Throughput Platform for Screening Milligram Quantities of Plant Biomass for Lignocellulose Digestibility&lt;/title&gt;&lt;uuid&gt;0202ABD8-1484-4D9D-9883-906F13C4AF53&lt;/uuid&gt;&lt;subtype&gt;400&lt;/subtype&gt;&lt;endpage&gt;102&lt;/endpage&gt;&lt;type&gt;400&lt;/type&gt;&lt;url&gt;http://link.springer.com/10.1007/s12155-009-9074-6&lt;/url&gt;&lt;bundle&gt;&lt;publication&gt;&lt;publisher&gt;Springer US&lt;/publisher&gt;&lt;title&gt;BioEnergy Research&lt;/title&gt;&lt;type&gt;-100&lt;/type&gt;&lt;subtype&gt;-100&lt;/subtype&gt;&lt;uuid&gt;10F75356-9E4C-4774-98A2-0C658827ED32&lt;/uuid&gt;&lt;/publication&gt;&lt;/bundle&gt;&lt;authors&gt;&lt;author&gt;&lt;firstName&gt;Nicholas&lt;/firstName&gt;&lt;lastName&gt;Santoro&lt;/lastName&gt;&lt;/author&gt;&lt;author&gt;&lt;firstName&gt;Shane&lt;/firstName&gt;&lt;middleNames&gt;L&lt;/middleNames&gt;&lt;lastName&gt;Cantu&lt;/lastName&gt;&lt;/author&gt;&lt;author&gt;&lt;firstName&gt;Carl-Erik&lt;/firstName&gt;&lt;lastName&gt;Tornqvist&lt;/lastName&gt;&lt;/author&gt;&lt;author&gt;&lt;firstName&gt;Tanya&lt;/firstName&gt;&lt;middleNames&gt;G&lt;/middleNames&gt;&lt;lastName&gt;Falbel&lt;/lastName&gt;&lt;/author&gt;&lt;author&gt;&lt;firstName&gt;Jenny&lt;/firstName&gt;&lt;middleNames&gt;L&lt;/middleNames&gt;&lt;lastName&gt;Bolivar&lt;/lastName&gt;&lt;/author&gt;&lt;author&gt;&lt;firstName&gt;Sara&lt;/firstName&gt;&lt;middleNames&gt;E&lt;/middleNames&gt;&lt;lastName&gt;Patterson&lt;/lastName&gt;&lt;/author&gt;&lt;author&gt;&lt;firstName&gt;Markus&lt;/firstName&gt;&lt;lastName&gt;Pauly&lt;/lastName&gt;&lt;/author&gt;&lt;author&gt;&lt;firstName&gt;Jonathan&lt;/firstName&gt;&lt;middleNames&gt;D&lt;/middleNames&gt;&lt;lastName&gt;Walton&lt;/lastName&gt;&lt;/author&gt;&lt;/authors&gt;&lt;/publication&gt;&lt;/publications&gt;&lt;cites&gt;&lt;/cites&gt;&lt;/citation&gt;</w:instrText>
            </w:r>
            <w:r>
              <w:fldChar w:fldCharType="separate"/>
            </w:r>
            <w:r w:rsidR="001C1AAC">
              <w:t>(</w:t>
            </w:r>
            <w:r w:rsidR="001C1AAC">
              <w:rPr>
                <w:i/>
                <w:iCs/>
              </w:rPr>
              <w:t>139</w:t>
            </w:r>
            <w:r w:rsidR="001C1AAC">
              <w:t>)</w:t>
            </w:r>
            <w:r>
              <w:fldChar w:fldCharType="end"/>
            </w:r>
          </w:p>
        </w:tc>
      </w:tr>
    </w:tbl>
    <w:p w14:paraId="5215EF92" w14:textId="77777777" w:rsidR="007E2349" w:rsidRDefault="007E2349" w:rsidP="002B25A4"/>
    <w:p w14:paraId="62765BC8" w14:textId="6E57A45E" w:rsidR="008C1096" w:rsidRDefault="008C1096" w:rsidP="008C1096">
      <w:pPr>
        <w:pStyle w:val="Heading3"/>
      </w:pPr>
      <w:bookmarkStart w:id="60" w:name="_Toc449964856"/>
      <w:r>
        <w:t>Switchgrass cell wall chemical assay</w:t>
      </w:r>
      <w:bookmarkEnd w:id="60"/>
    </w:p>
    <w:p w14:paraId="66C954F8" w14:textId="72EE279E" w:rsidR="00807999" w:rsidRDefault="002B25A4" w:rsidP="001B25DE">
      <w:r>
        <w:t xml:space="preserve">For cell wall chemical assay, samples were ground to fine powder and made into destarched cell wall material as previously described </w:t>
      </w:r>
      <w:r w:rsidR="00D829C6">
        <w:fldChar w:fldCharType="begin"/>
      </w:r>
      <w:r w:rsidR="00807999">
        <w:instrText xml:space="preserve"> ADDIN PAPERS2_CITATIONS &lt;citation&gt;&lt;uuid&gt;F1A3FF15-FD31-4CF6-A761-EA3148A95D66&lt;/uuid&gt;&lt;priority&gt;0&lt;/priority&gt;&lt;publications&gt;&lt;publication&gt;&lt;uuid&gt;912EBC1B-1997-4751-AA6B-0E8DE4C9C206&lt;/uuid&gt;&lt;volume&gt;161&lt;/volume&gt;&lt;doi&gt;10.1104/pp.112.208694&lt;/doi&gt;&lt;startpage&gt;1615&lt;/startpage&gt;&lt;publication_date&gt;99201304001200000000220000&lt;/publication_date&gt;&lt;url&gt;http://www.plantphysiol.org/content/161/4/1615&lt;/url&gt;&lt;type&gt;400&lt;/type&gt;&lt;title&gt;Overexpression of a BAHD Acyltransferase, OsAt10, Alters Rice Cell Wall Hydroxycinnamic Acid Content and Saccharification&lt;/title&gt;&lt;institution&gt;Ronald, PC</w:instrText>
      </w:r>
    </w:p>
    <w:p w14:paraId="6E968E75" w14:textId="77777777" w:rsidR="00807999" w:rsidRDefault="00807999" w:rsidP="001B25DE">
      <w:r>
        <w:instrText>Univ Calif Davis, Dept Plant Pathol, Davis, CA 95616 USA</w:instrText>
      </w:r>
    </w:p>
    <w:p w14:paraId="65EBCC01" w14:textId="77777777" w:rsidR="00807999" w:rsidRDefault="00807999" w:rsidP="001B25DE">
      <w:r>
        <w:instrText>Univ Calif Davis, Dept Plant Pathol, Davis, CA 95616 USA</w:instrText>
      </w:r>
    </w:p>
    <w:p w14:paraId="310D74B4" w14:textId="77777777" w:rsidR="00807999" w:rsidRDefault="00807999" w:rsidP="001B25DE">
      <w:r>
        <w:instrText>Univ Oklahoma, Dept Microbiol &amp;amp; Plant Biol, Norman, OK 73019 USA</w:instrText>
      </w:r>
    </w:p>
    <w:p w14:paraId="00939C33" w14:textId="77777777" w:rsidR="00807999" w:rsidRDefault="00807999" w:rsidP="001B25DE">
      <w:r>
        <w:instrText>Univ Oklahoma, Dept Chem &amp;amp; Biochem, Norman, OK 73019 USA</w:instrText>
      </w:r>
    </w:p>
    <w:p w14:paraId="45597127" w14:textId="77777777" w:rsidR="00807999" w:rsidRDefault="00807999" w:rsidP="001B25DE">
      <w:r>
        <w:instrText>Univ Oklahoma, Dept Chem Biol &amp;amp; Mat Engn, Norman, OK 73019 USA</w:instrText>
      </w:r>
    </w:p>
    <w:p w14:paraId="0296F9A5" w14:textId="77777777" w:rsidR="00807999" w:rsidRDefault="00807999" w:rsidP="001B25DE">
      <w:r>
        <w:instrText>Univ Calif Davis, Dept Plant Pathol, Davis, CA 95616 USA</w:instrText>
      </w:r>
    </w:p>
    <w:p w14:paraId="48A152CF" w14:textId="77777777" w:rsidR="00807999" w:rsidRDefault="00807999" w:rsidP="001B25DE">
      <w:r>
        <w:instrText>Univ Calif Davis, Genome Ctr, Davis, CA 95616 USA</w:instrText>
      </w:r>
    </w:p>
    <w:p w14:paraId="641BBF2E" w14:textId="77777777" w:rsidR="00807999" w:rsidRDefault="00807999" w:rsidP="001B25DE">
      <w:r>
        <w:instrText>Joint BioEnergy Inst, Emeryville, CA 94608 USA</w:instrText>
      </w:r>
    </w:p>
    <w:p w14:paraId="7A4A61FB" w14:textId="77777777" w:rsidR="00807999" w:rsidRDefault="00807999" w:rsidP="001B25DE">
      <w:r>
        <w:instrText>Kyung Hee Univ, Crop Biotech Inst, Yongin 446701, South Korea</w:instrText>
      </w:r>
    </w:p>
    <w:p w14:paraId="4BF84356" w14:textId="77777777" w:rsidR="00807999" w:rsidRDefault="00807999" w:rsidP="001B25DE">
      <w:r>
        <w:instrText>Kyung Hee Univ, Dept Genet Engn, Yongin 446701, South Korea</w:instrText>
      </w:r>
    </w:p>
    <w:p w14:paraId="321D5854" w14:textId="77777777" w:rsidR="00807999" w:rsidRDefault="00807999" w:rsidP="001B25DE">
      <w:r>
        <w:instrText>Univ Calif Berkeley, Lawrence Berkeley Natl Lab, Phys Biosci Div, Berkeley, CA 94720 USA</w:instrText>
      </w:r>
    </w:p>
    <w:p w14:paraId="09088055" w14:textId="77777777" w:rsidR="00807999" w:rsidRDefault="00807999" w:rsidP="001B25DE">
      <w:r>
        <w:instrText>Natl Renewable Energy Lab, BioEnergy Sci Ctr, Golden, CO 80401 USA</w:instrText>
      </w:r>
    </w:p>
    <w:p w14:paraId="19C851DA" w14:textId="77777777" w:rsidR="00807999" w:rsidRDefault="00807999" w:rsidP="001B25DE">
      <w:r>
        <w:instrText>Zhengzhou Tobacco Res Inst, China Tobacco Gene Res Ctr, Zhengzhou 450001, Henan, Peoples R China</w:instrText>
      </w:r>
    </w:p>
    <w:p w14:paraId="71CDFC12" w14:textId="77777777" w:rsidR="00807999" w:rsidRDefault="00807999" w:rsidP="001B25DE">
      <w:r>
        <w:instrText>Univ Calif Berkeley, Dept Chem &amp;amp; Biomol Engn, Dept Bioengn, Berkeley, CA 94720 USA&lt;/institution&gt;&lt;number&gt;4&lt;/number&gt;&lt;subtype&gt;400&lt;/subtype&gt;&lt;endpage&gt;1633&lt;/endpage&gt;&lt;bundle&gt;&lt;publication&gt;&lt;publisher&gt;American Society of Plant Physiologists&lt;/publisher&gt;&lt;title&gt;Plant physiology&lt;/title&gt;&lt;type&gt;-100&lt;/type&gt;&lt;subtype&gt;-100&lt;/subtype&gt;&lt;uuid&gt;B97DA55A-D50B-4A35-A621-F9088F5658CB&lt;/uuid&gt;&lt;/publication&gt;&lt;/bundle&gt;&lt;authors&gt;&lt;author&gt;&lt;firstName&gt;Laura&lt;/firstName&gt;&lt;middleNames&gt;E&lt;/middleNames&gt;&lt;lastName&gt;Bartley&lt;/lastName&gt;&lt;/author&gt;&lt;author&gt;&lt;firstName&gt;Matthew&lt;/firstName&gt;&lt;middleNames&gt;L&lt;/middleNames&gt;&lt;lastName&gt;Peck&lt;/lastName&gt;&lt;/author&gt;&lt;author&gt;&lt;firstName&gt;Sung-Ryul&lt;/firstName&gt;&lt;lastName&gt;Kim&lt;/lastName&gt;&lt;/author&gt;&lt;author&gt;&lt;firstName&gt;B&lt;/firstName&gt;&lt;lastName&gt;Ebert&lt;/lastName&gt;&lt;/author&gt;&lt;author&gt;&lt;firstName&gt;Chithra&lt;/firstName&gt;&lt;lastName&gt;Manisseri&lt;/lastName&gt;&lt;/author&gt;&lt;author&gt;&lt;firstName&gt;D&lt;/firstName&gt;&lt;middleNames&gt;M&lt;/middleNames&gt;&lt;lastName&gt;Chiniquy&lt;/lastName&gt;&lt;/author&gt;&lt;author&gt;&lt;firstName&gt;R&lt;/firstName&gt;&lt;lastName&gt;Sykes&lt;/lastName&gt;&lt;/author&gt;&lt;author&gt;&lt;firstName&gt;L&lt;/firstName&gt;&lt;middleNames&gt;F&lt;/middleNames&gt;&lt;lastName&gt;Gao&lt;/lastName&gt;&lt;/author&gt;&lt;author&gt;&lt;firstName&gt;Carsten&lt;/firstName&gt;&lt;lastName&gt;Rautengarten&lt;/lastName&gt;&lt;/author&gt;&lt;author&gt;&lt;firstName&gt;Miguel&lt;/firstName&gt;&lt;middleNames&gt;E&lt;/middleNames&gt;&lt;lastName&gt;Vega-Sánchez&lt;/lastName&gt;&lt;/author&gt;&lt;author&gt;&lt;firstName&gt;P&lt;/firstName&gt;&lt;middleNames&gt;I&lt;/middleNames&gt;&lt;lastName&gt;Benke&lt;/lastName&gt;&lt;/author&gt;&lt;author&gt;&lt;firstName&gt;P&lt;/firstName&gt;&lt;middleNames&gt;E&lt;/middleNames&gt;&lt;lastName&gt;Canlas&lt;/lastName&gt;&lt;/author&gt;&lt;author&gt;&lt;firstName&gt;P&lt;/firstName&gt;&lt;middleNames&gt;J&lt;/middleNames&gt;&lt;lastName&gt;Cao&lt;/lastName&gt;&lt;/author&gt;&lt;author&gt;&lt;firstName&gt;S&lt;/firstName&gt;&lt;lastName&gt;Brewer&lt;/lastName&gt;&lt;/author&gt;&lt;author&gt;&lt;firstName&gt;F&lt;/firstName&gt;&lt;lastName&gt;Lin&lt;/lastName&gt;&lt;/author&gt;&lt;author&gt;&lt;firstName&gt;W&lt;/firstName&gt;&lt;middleNames&gt;L&lt;/middleNames&gt;&lt;lastName&gt;Smith&lt;/lastName&gt;&lt;/author&gt;&lt;author&gt;&lt;firstName&gt;X&lt;/firstName&gt;&lt;middleNames&gt;H&lt;/middleNames&gt;&lt;lastName&gt;Zhang&lt;/lastName&gt;&lt;/author&gt;&lt;author&gt;&lt;firstName&gt;J&lt;/firstName&gt;&lt;middleNames&gt;D&lt;/middleNames&gt;&lt;lastName&gt;Keasling&lt;/lastName&gt;&lt;/author&gt;&lt;author&gt;&lt;firstName&gt;R&lt;/firstName&gt;&lt;middleNames&gt;E&lt;/middleNames&gt;&lt;lastName&gt;Jentoff&lt;/lastName&gt;&lt;/author&gt;&lt;author&gt;&lt;firstName&gt;S&lt;/firstName&gt;&lt;middleNames&gt;B&lt;/middleNames&gt;&lt;lastName&gt;Foster&lt;/lastName&gt;&lt;/author&gt;&lt;author&gt;&lt;firstName&gt;J&lt;/firstName&gt;&lt;middleNames&gt;Z&lt;/middleNames&gt;&lt;lastName&gt;Zhou&lt;/lastName&gt;&lt;/author&gt;&lt;author&gt;&lt;firstName&gt;A&lt;/firstName&gt;&lt;lastName&gt;Ziebell&lt;/lastName&gt;&lt;/author&gt;&lt;author&gt;&lt;firstName&gt;G&lt;/firstName&gt;&lt;lastName&gt;An&lt;/lastName&gt;&lt;/author&gt;&lt;author&gt;&lt;firstName&gt;H&lt;/firstName&gt;&lt;middleNames&gt;V&lt;/middleNames&gt;&lt;lastName&gt;Scheller&lt;/lastName&gt;&lt;/author&gt;&lt;author&gt;&lt;firstName&gt;Pamela&lt;/firstName&gt;&lt;middleNames&gt;C&lt;/middleNames&gt;&lt;lastName&gt;Ronald&lt;/lastName&gt;&lt;/author&gt;&lt;/authors&gt;&lt;/publication&gt;&lt;/publications&gt;&lt;cites&gt;&lt;/cites&gt;&lt;/citation&gt;</w:instrText>
      </w:r>
      <w:r w:rsidR="00D829C6">
        <w:fldChar w:fldCharType="separate"/>
      </w:r>
      <w:r w:rsidR="001C1AAC">
        <w:t>(</w:t>
      </w:r>
      <w:r w:rsidR="001C1AAC">
        <w:rPr>
          <w:i/>
          <w:iCs/>
        </w:rPr>
        <w:t>120</w:t>
      </w:r>
      <w:r w:rsidR="001C1AAC">
        <w:t>)</w:t>
      </w:r>
      <w:r w:rsidR="00D829C6">
        <w:fldChar w:fldCharType="end"/>
      </w:r>
      <w:r w:rsidR="002B25A4">
        <w:t xml:space="preserve">. The chemical assays and cell wall components measured are described previously </w:t>
      </w:r>
      <w:r w:rsidR="00D829C6">
        <w:fldChar w:fldCharType="begin"/>
      </w:r>
      <w:r>
        <w:instrText xml:space="preserve"> ADDIN PAPERS2_CITATIONS &lt;citation&gt;&lt;uuid&gt;4FEB052C-5BBB-4385-A733-C1D235CAD0C2&lt;/uuid&gt;&lt;priority&gt;0&lt;/priority&gt;&lt;publications&gt;&lt;publication&gt;&lt;uuid&gt;912EBC1B-1997-4751-AA6B-0E8DE4C9C206&lt;/uuid&gt;&lt;volume&gt;161&lt;/volume&gt;&lt;doi&gt;10.1104/pp.112.208694&lt;/doi&gt;&lt;startpage&gt;1615&lt;/startpage&gt;&lt;publication_date&gt;99201304001200000000220000&lt;/publication_date&gt;&lt;url&gt;http://www.plantphysiol.org/content/161/4/1615&lt;/url&gt;&lt;type&gt;400&lt;/type&gt;&lt;title&gt;Overexpression of a BAHD Acyltransferase, OsAt10, Alters Rice Cell Wall Hydroxycinnamic Acid Content and Saccharification&lt;/title&gt;&lt;institution&gt;Ronald, PC</w:instrText>
      </w:r>
    </w:p>
    <w:p w14:paraId="33C84AF3" w14:textId="77777777" w:rsidR="00807999" w:rsidRDefault="00807999" w:rsidP="001B25DE">
      <w:r>
        <w:instrText>Univ Calif Davis, Dept Plant Pathol, Davis, CA 95616 USA</w:instrText>
      </w:r>
    </w:p>
    <w:p w14:paraId="07C54C27" w14:textId="77777777" w:rsidR="00807999" w:rsidRDefault="00807999" w:rsidP="001B25DE">
      <w:r>
        <w:instrText>Univ Calif Davis, Dept Plant Pathol, Davis, CA 95616 USA</w:instrText>
      </w:r>
    </w:p>
    <w:p w14:paraId="2A1284E6" w14:textId="77777777" w:rsidR="00807999" w:rsidRDefault="00807999" w:rsidP="001B25DE">
      <w:r>
        <w:instrText>Univ Oklahoma, Dept Microbiol &amp;amp; Plant Biol, Norman, OK 73019 USA</w:instrText>
      </w:r>
    </w:p>
    <w:p w14:paraId="395250F5" w14:textId="77777777" w:rsidR="00807999" w:rsidRDefault="00807999" w:rsidP="001B25DE">
      <w:r>
        <w:instrText>Univ Oklahoma, Dept Chem &amp;amp; Biochem, Norman, OK 73019 USA</w:instrText>
      </w:r>
    </w:p>
    <w:p w14:paraId="4E8FCC85" w14:textId="77777777" w:rsidR="00807999" w:rsidRDefault="00807999" w:rsidP="001B25DE">
      <w:r>
        <w:instrText>Univ Oklahoma, Dept Chem Biol &amp;amp; Mat Engn, Norman, OK 73019 USA</w:instrText>
      </w:r>
    </w:p>
    <w:p w14:paraId="6011E57F" w14:textId="77777777" w:rsidR="00807999" w:rsidRDefault="00807999" w:rsidP="001B25DE">
      <w:r>
        <w:instrText>Univ Calif Davis, Dept Plant Pathol, Davis, CA 95616 USA</w:instrText>
      </w:r>
    </w:p>
    <w:p w14:paraId="30A6CE5B" w14:textId="77777777" w:rsidR="00807999" w:rsidRDefault="00807999" w:rsidP="001B25DE">
      <w:r>
        <w:instrText>Univ Calif Davis, Genome Ctr, Davis, CA 95616 USA</w:instrText>
      </w:r>
    </w:p>
    <w:p w14:paraId="545F4E9B" w14:textId="77777777" w:rsidR="00807999" w:rsidRDefault="00807999" w:rsidP="001B25DE">
      <w:r>
        <w:instrText>Joint BioEnergy Inst, Emeryville, CA 94608 USA</w:instrText>
      </w:r>
    </w:p>
    <w:p w14:paraId="2228079B" w14:textId="77777777" w:rsidR="00807999" w:rsidRDefault="00807999" w:rsidP="001B25DE">
      <w:r>
        <w:instrText>Kyung Hee Univ, Crop Biotech Inst, Yongin 446701, South Korea</w:instrText>
      </w:r>
    </w:p>
    <w:p w14:paraId="64FE5D2E" w14:textId="77777777" w:rsidR="00807999" w:rsidRDefault="00807999" w:rsidP="001B25DE">
      <w:r>
        <w:instrText>Kyung Hee Univ, Dept Genet Engn, Yongin 446701, South Korea</w:instrText>
      </w:r>
    </w:p>
    <w:p w14:paraId="5B5A6171" w14:textId="77777777" w:rsidR="00807999" w:rsidRDefault="00807999" w:rsidP="001B25DE">
      <w:r>
        <w:instrText>Univ Calif Berkeley, Lawrence Berkeley Natl Lab, Phys Biosci Div, Berkeley, CA 94720 USA</w:instrText>
      </w:r>
    </w:p>
    <w:p w14:paraId="313EC8FE" w14:textId="77777777" w:rsidR="00807999" w:rsidRDefault="00807999" w:rsidP="001B25DE">
      <w:r>
        <w:instrText>Natl Renewable Energy Lab, BioEnergy Sci Ctr, Golden, CO 80401 USA</w:instrText>
      </w:r>
    </w:p>
    <w:p w14:paraId="4439F6FF" w14:textId="77777777" w:rsidR="00807999" w:rsidRDefault="00807999" w:rsidP="001B25DE">
      <w:r>
        <w:instrText>Zhengzhou Tobacco Res Inst, China Tobacco Gene Res Ctr, Zhengzhou 450001, Henan, Peoples R China</w:instrText>
      </w:r>
    </w:p>
    <w:p w14:paraId="77061002" w14:textId="1747D2C3" w:rsidR="002B25A4" w:rsidRPr="001B25DE" w:rsidRDefault="00807999" w:rsidP="001B25DE">
      <w:r>
        <w:instrText>Univ Calif Berkeley, Dept Chem &amp;amp; Biomol Engn, Dept Bioengn, Berkeley, CA 94720 USA&lt;/institution&gt;&lt;number&gt;4&lt;/number&gt;&lt;subtype&gt;400&lt;/subtype&gt;&lt;endpage&gt;1633&lt;/endpage&gt;&lt;bundle&gt;&lt;publication&gt;&lt;publisher&gt;American Society of Plant Physiologists&lt;/publisher&gt;&lt;title&gt;Plant physiology&lt;/title&gt;&lt;type&gt;-100&lt;/type&gt;&lt;subtype&gt;-100&lt;/subtype&gt;&lt;uuid&gt;B97DA55A-D50B-4A35-A621-F9088F5658CB&lt;/uuid&gt;&lt;/publication&gt;&lt;/bundle&gt;&lt;authors&gt;&lt;author&gt;&lt;firstName&gt;Laura&lt;/firstName&gt;&lt;middleNames&gt;E&lt;/middleNames&gt;&lt;lastName&gt;Bartley&lt;/lastName&gt;&lt;/author&gt;&lt;author&gt;&lt;firstName&gt;Matthew&lt;/firstName&gt;&lt;middleNames&gt;L&lt;/middleNames&gt;&lt;lastName&gt;Peck&lt;/lastName&gt;&lt;/author&gt;&lt;author&gt;&lt;firstName&gt;Sung-Ryul&lt;/firstName&gt;&lt;lastName&gt;Kim&lt;/lastName&gt;&lt;/author&gt;&lt;author&gt;&lt;firstName&gt;B&lt;/firstName&gt;&lt;lastName&gt;Ebert&lt;/lastName&gt;&lt;/author&gt;&lt;author&gt;&lt;firstName&gt;Chithra&lt;/firstName&gt;&lt;lastName&gt;Manisseri&lt;/lastName&gt;&lt;/author&gt;&lt;author&gt;&lt;firstName&gt;D&lt;/firstName&gt;&lt;middleNames&gt;M&lt;/middleNames&gt;&lt;lastName&gt;Chiniquy&lt;/lastName&gt;&lt;/author&gt;&lt;author&gt;&lt;firstName&gt;R&lt;/firstName&gt;&lt;lastName&gt;Sykes&lt;/lastName&gt;&lt;/author&gt;&lt;author&gt;&lt;firstName&gt;L&lt;/firstName&gt;&lt;middleNames&gt;F&lt;/middleNames&gt;&lt;lastName&gt;Gao&lt;/lastName&gt;&lt;/author&gt;&lt;author&gt;&lt;firstName&gt;Carsten&lt;/firstName&gt;&lt;lastName&gt;Rautengarten&lt;/lastName&gt;&lt;/author&gt;&lt;author&gt;&lt;firstName&gt;Miguel&lt;/firstName&gt;&lt;middleNames&gt;E&lt;/middleNames&gt;&lt;lastName&gt;Vega-Sánchez&lt;/lastName&gt;&lt;/author&gt;&lt;author&gt;&lt;firstName&gt;P&lt;/firstName&gt;&lt;middleNames&gt;I&lt;/middleNames&gt;&lt;lastName&gt;Benke&lt;/lastName&gt;&lt;/author&gt;&lt;author&gt;&lt;firstName&gt;P&lt;/firstName&gt;&lt;middleNames&gt;E&lt;/middleNames&gt;&lt;lastName&gt;Canlas&lt;/lastName&gt;&lt;/author&gt;&lt;author&gt;&lt;firstName&gt;P&lt;/firstName&gt;&lt;middleNames&gt;J&lt;/middleNames&gt;&lt;lastName&gt;Cao&lt;/lastName&gt;&lt;/author&gt;&lt;author&gt;&lt;firstName&gt;S&lt;/firstName&gt;&lt;lastName&gt;Brewer&lt;/lastName&gt;&lt;/author&gt;&lt;author&gt;&lt;firstName&gt;F&lt;/firstName&gt;&lt;lastName&gt;Lin&lt;/lastName&gt;&lt;/author&gt;&lt;author&gt;&lt;firstName&gt;W&lt;/firstName&gt;&lt;middleNames&gt;L&lt;/middleNames&gt;&lt;lastName&gt;Smith&lt;/lastName&gt;&lt;/author&gt;&lt;author&gt;&lt;firstName&gt;X&lt;/firstName&gt;&lt;middleNames&gt;H&lt;/middleNames&gt;&lt;lastName&gt;Zhang&lt;/lastName&gt;&lt;/author&gt;&lt;author&gt;&lt;firstName&gt;J&lt;/firstName&gt;&lt;middleNames&gt;D&lt;/middleNames&gt;&lt;lastName&gt;Keasling&lt;/lastName&gt;&lt;/author&gt;&lt;author&gt;&lt;firstName&gt;R&lt;/firstName&gt;&lt;middleNames&gt;E&lt;/middleNames&gt;&lt;lastName&gt;Jentoff&lt;/lastName&gt;&lt;/author&gt;&lt;author&gt;&lt;firstName&gt;S&lt;/firstName&gt;&lt;middleNames&gt;B&lt;/middleNames&gt;&lt;lastName&gt;Foster&lt;/lastName&gt;&lt;/author&gt;&lt;author&gt;&lt;firstName&gt;J&lt;/firstName&gt;&lt;middleNames&gt;Z&lt;/middleNames&gt;&lt;lastName&gt;Zhou&lt;/lastName&gt;&lt;/author&gt;&lt;author&gt;&lt;firstName&gt;A&lt;/firstName&gt;&lt;lastName&gt;Ziebell&lt;/lastName&gt;&lt;/author&gt;&lt;author&gt;&lt;firstName&gt;G&lt;/firstName&gt;&lt;lastName&gt;An&lt;/lastName&gt;&lt;/author&gt;&lt;author&gt;&lt;firstName&gt;H&lt;/firstName&gt;&lt;middleNames&gt;V&lt;/middleNames&gt;&lt;lastName&gt;Scheller&lt;/lastName&gt;&lt;/author&gt;&lt;author&gt;&lt;firstName&gt;Pamela&lt;/firstName&gt;&lt;middleNames&gt;C&lt;/middleNames&gt;&lt;lastName&gt;Ronald&lt;/lastName&gt;&lt;/author&gt;&lt;/authors&gt;&lt;/publication&gt;&lt;/publications&gt;&lt;cites&gt;&lt;/cites&gt;&lt;/citation&gt;</w:instrText>
      </w:r>
      <w:r w:rsidR="00D829C6">
        <w:fldChar w:fldCharType="separate"/>
      </w:r>
      <w:r w:rsidR="001C1AAC">
        <w:t>(</w:t>
      </w:r>
      <w:r w:rsidR="001C1AAC">
        <w:rPr>
          <w:i/>
          <w:iCs/>
        </w:rPr>
        <w:t>120</w:t>
      </w:r>
      <w:r w:rsidR="001C1AAC">
        <w:t>)</w:t>
      </w:r>
      <w:r w:rsidR="00D829C6">
        <w:fldChar w:fldCharType="end"/>
      </w:r>
      <w:r w:rsidR="002B25A4">
        <w:t xml:space="preserve"> except the acetyl content measurement. The acetyl content in cell wall material was released by 0.5 M NaOH for 1 h at room temperature with shaking at 500 rpm and measured by an Acetic Acid Assay Kit (Megazyme, K-ACET)</w:t>
      </w:r>
      <w:r w:rsidR="008C1096">
        <w:t>.</w:t>
      </w:r>
      <w:r w:rsidR="003A19A8" w:rsidRPr="003A19A8">
        <w:t xml:space="preserve"> </w:t>
      </w:r>
      <w:r w:rsidR="003A19A8">
        <w:t>(This information provided by Fan Lin who performed the characterization.)</w:t>
      </w:r>
    </w:p>
    <w:p w14:paraId="017AC460" w14:textId="50A940E2" w:rsidR="0074036B" w:rsidRDefault="0074036B" w:rsidP="00E56237">
      <w:pPr>
        <w:pStyle w:val="Chapter"/>
      </w:pPr>
      <w:r>
        <w:br w:type="page"/>
      </w:r>
      <w:bookmarkStart w:id="61" w:name="_Toc449964857"/>
      <w:r w:rsidR="003B659C" w:rsidRPr="003B659C">
        <w:lastRenderedPageBreak/>
        <w:t xml:space="preserve">Decoupling HZSM-5 Catalyst Activity from Deactivation </w:t>
      </w:r>
      <w:r w:rsidR="003B659C">
        <w:t>D</w:t>
      </w:r>
      <w:r w:rsidR="003B659C" w:rsidRPr="003B659C">
        <w:t>uring Upgrading of Pyrolysis Oil Vapors</w:t>
      </w:r>
      <w:bookmarkEnd w:id="61"/>
    </w:p>
    <w:p w14:paraId="34A3E818" w14:textId="32870761" w:rsidR="001C12CB" w:rsidRPr="001C12CB" w:rsidRDefault="001C12CB" w:rsidP="001C12CB">
      <w:r>
        <w:t>A paper published in ChemSusChem</w:t>
      </w:r>
    </w:p>
    <w:p w14:paraId="75CD6230" w14:textId="0E4F7BE1" w:rsidR="0014283F" w:rsidRDefault="001C12CB" w:rsidP="001C12CB">
      <w:r w:rsidRPr="001C12CB">
        <w:t>Shaolong Wan, Christopher Waters, Adam Stevens, Abhishek Gumidyala, Rolf Jentoft, Lance Lobban, Daniel Resasco, Richard Mallinson, and Steven Crossley</w:t>
      </w:r>
    </w:p>
    <w:p w14:paraId="116E2FB8" w14:textId="4B295233" w:rsidR="00E65874" w:rsidRDefault="00E65874" w:rsidP="005C7E19">
      <w:pPr>
        <w:pStyle w:val="Heading2"/>
      </w:pPr>
      <w:bookmarkStart w:id="62" w:name="_Toc449964858"/>
      <w:r>
        <w:t>Abstract</w:t>
      </w:r>
      <w:bookmarkEnd w:id="62"/>
    </w:p>
    <w:p w14:paraId="7A0509CE" w14:textId="368D73CD" w:rsidR="00E65874" w:rsidRPr="00E65874" w:rsidRDefault="00E65874" w:rsidP="00E65874">
      <w:r w:rsidRPr="00E65874">
        <w:t>The independent evaluation of a catalyst’s activity and its stability during the catalytic pyrolysis of biomass is challenging because of the nature of the reaction system and rapid catalyst deactivation that force the use of excess catalyst. In this contribution we use a modified pyroprobe system in which pulses of pyrolysis vapors are converted over a series of HZSM-5 catalysts in a separate fixed-bed reactor controlled independently. Both the reactor-bed temperature and the Si/Al ratio of the zeolite are varied to evaluate catalyst activity and deactivation rates independently both on a constant surface area and constant acid site basis. Results show that there is an optimum catalyst-bed temperature for the production of aromatics, above which the production of light gases increases and that of aromatics decrease. Zeolites with lower Si/Al ratios give comparable initial rates for aromatics production, but far more rapid catalyst deactivation rates than those with higher Si/Al ratios.</w:t>
      </w:r>
    </w:p>
    <w:p w14:paraId="7C847C45" w14:textId="114CB404" w:rsidR="001D05B7" w:rsidRDefault="001D05B7" w:rsidP="005C7E19">
      <w:pPr>
        <w:pStyle w:val="Heading2"/>
      </w:pPr>
      <w:bookmarkStart w:id="63" w:name="_Toc449964859"/>
      <w:r>
        <w:t>Introduction</w:t>
      </w:r>
      <w:bookmarkEnd w:id="63"/>
    </w:p>
    <w:p w14:paraId="1E7803B8" w14:textId="7F625ECC" w:rsidR="001D05B7" w:rsidRDefault="001D05B7" w:rsidP="001D05B7">
      <w:r>
        <w:t>The main processes under advanced development for the upgrading of biomass pyrolysis products involve two catalytic approaches: treating the pyrolysis vapors with acidic zeolites and/or hydrotreating the liquid product. The configurations employed for the upgrading of the pyrolysis vapors are varied and include combinations of the addition of catalysts within the pyrolyzer, in situ catalytic pyrolysis,</w:t>
      </w:r>
      <w:r w:rsidR="0015774A">
        <w:t xml:space="preserve"> </w:t>
      </w:r>
      <w:r w:rsidR="0015774A">
        <w:fldChar w:fldCharType="begin"/>
      </w:r>
      <w:r w:rsidR="00807999">
        <w:instrText xml:space="preserve"> ADDIN PAPERS2_CITATIONS &lt;citation&gt;&lt;uuid&gt;876FC1E9-DC00-4852-B821-C5AD9F6EA42C&lt;/uuid&gt;&lt;priority&gt;0&lt;/priority&gt;&lt;publications&gt;&lt;publication&gt;&lt;uuid&gt;23BAF0B1-CB32-4355-9F51-087FE48DE024&lt;/uuid&gt;&lt;type&gt;500&lt;/type&gt;&lt;title&gt;Catalytic pyrolysis of solid biomass and related biofuels, Armoatic, and Olefin Compounds&lt;/title&gt;&lt;url&gt;http://www.google.com/patents/US20090227823&lt;/url&gt;&lt;subtype&gt;500&lt;/subtype&gt;&lt;publisher&gt;US Patent Office&lt;/publisher&gt;&lt;authors&gt;&lt;author&gt;&lt;firstName&gt;G W&lt;/firstName&gt;&lt;lastName&gt;Huber&lt;/lastName&gt;&lt;/author&gt;&lt;author&gt;&lt;firstName&gt;Yu-Ting&lt;/firstName&gt;&lt;middleNames&gt;T&lt;/middleNames&gt;&lt;lastName&gt;Cheng&lt;/lastName&gt;&lt;/author&gt;&lt;author&gt;&lt;firstName&gt;Torren&lt;/firstName&gt;&lt;middleNames&gt;R&lt;/middleNames&gt;&lt;lastName&gt;Carlson&lt;/lastName&gt;&lt;/author&gt;&lt;author&gt;&lt;firstName&gt;Tushar&lt;/firstName&gt;&lt;middleNames&gt;P&lt;/middleNames&gt;&lt;lastName&gt;Vispute&lt;/lastName&gt;&lt;/author&gt;&lt;author&gt;&lt;firstName&gt;Jungho&lt;/firstName&gt;&lt;lastName&gt;Jae&lt;/lastName&gt;&lt;/author&gt;&lt;author&gt;&lt;firstName&gt;Geoffrey&lt;/firstName&gt;&lt;middleNames&gt;A&lt;/middleNames&gt;&lt;lastName&gt;Tompsett&lt;/lastName&gt;&lt;/author&gt;&lt;/authors&gt;&lt;/publication&gt;&lt;/publications&gt;&lt;cites&gt;&lt;/cites&gt;&lt;/citation&gt;</w:instrText>
      </w:r>
      <w:r w:rsidR="0015774A">
        <w:fldChar w:fldCharType="separate"/>
      </w:r>
      <w:r w:rsidR="001C1AAC">
        <w:t>(</w:t>
      </w:r>
      <w:r w:rsidR="001C1AAC">
        <w:rPr>
          <w:i/>
          <w:iCs/>
        </w:rPr>
        <w:t>142</w:t>
      </w:r>
      <w:r w:rsidR="001C1AAC">
        <w:t>)</w:t>
      </w:r>
      <w:r w:rsidR="0015774A">
        <w:fldChar w:fldCharType="end"/>
      </w:r>
      <w:r>
        <w:t xml:space="preserve"> </w:t>
      </w:r>
      <w:r w:rsidR="00790D31">
        <w:fldChar w:fldCharType="begin"/>
      </w:r>
      <w:r w:rsidR="00807999">
        <w:instrText xml:space="preserve"> ADDIN PAPERS2_CITATIONS &lt;citation&gt;&lt;uuid&gt;86FCB32F-1518-48F2-9846-35A9F96167CD&lt;/uuid&gt;&lt;priority&gt;0&lt;/priority&gt;&lt;publications&gt;&lt;publication&gt;&lt;uuid&gt;4458DB6E-158C-40EE-99BD-AD5297580F74&lt;/uuid&gt;&lt;volume&gt;49&lt;/volume&gt;&lt;doi&gt;10.1021/ie901629r&lt;/doi&gt;&lt;startpage&gt;3533&lt;/startpage&gt;&lt;publication_date&gt;99201003171200000000222000&lt;/publication_date&gt;&lt;url&gt;http://pubs.acs.org/doi/abs/10.1021/ie901629r&lt;/url&gt;&lt;type&gt;400&lt;/type&gt;&lt;title&gt;Fractional Catalytic Pyrolysis of Hybrid Poplar Wood&lt;/title&gt;&lt;publisher&gt;American Chemical Society&lt;/publisher&gt;&lt;number&gt;8&lt;/number&gt;&lt;subtype&gt;400&lt;/subtype&gt;&lt;endpage&gt;3538&lt;/endpage&gt;&lt;bundle&gt;&lt;publication&gt;&lt;publisher&gt;&lt;/publisher&gt;&lt;title&gt;Industrial &amp;amp; Engineering Chemistry Research&lt;/title&gt;&lt;type&gt;-100&lt;/type&gt;&lt;subtype&gt;-100&lt;/subtype&gt;&lt;uuid&gt;3EB2AD93-F0E9-43F2-A1C5-49893E3B73E3&lt;/uuid&gt;&lt;/publication&gt;&lt;/bundle&gt;&lt;authors&gt;&lt;author&gt;&lt;firstName&gt;Foster&lt;/firstName&gt;&lt;middleNames&gt;A&lt;/middleNames&gt;&lt;lastName&gt;Agblevor&lt;/lastName&gt;&lt;/author&gt;&lt;author&gt;&lt;firstName&gt;S&lt;/firstName&gt;&lt;lastName&gt;Beis&lt;/lastName&gt;&lt;/author&gt;&lt;author&gt;&lt;firstName&gt;O&lt;/firstName&gt;&lt;lastName&gt;Mante&lt;/lastName&gt;&lt;/author&gt;&lt;author&gt;&lt;firstName&gt;N&lt;/firstName&gt;&lt;lastName&gt;Abdoulmoumine&lt;/lastName&gt;&lt;/author&gt;&lt;/authors&gt;&lt;/publication&gt;&lt;/publications&gt;&lt;cites&gt;&lt;/cites&gt;&lt;/citation&gt;</w:instrText>
      </w:r>
      <w:r w:rsidR="00790D31">
        <w:fldChar w:fldCharType="separate"/>
      </w:r>
      <w:r w:rsidR="001C1AAC">
        <w:t>(</w:t>
      </w:r>
      <w:r w:rsidR="001C1AAC">
        <w:rPr>
          <w:i/>
          <w:iCs/>
        </w:rPr>
        <w:t>143</w:t>
      </w:r>
      <w:r w:rsidR="001C1AAC">
        <w:t>)</w:t>
      </w:r>
      <w:r w:rsidR="00790D31">
        <w:fldChar w:fldCharType="end"/>
      </w:r>
      <w:r w:rsidR="00790D31">
        <w:t xml:space="preserve"> </w:t>
      </w:r>
      <w:r>
        <w:t xml:space="preserve">and, </w:t>
      </w:r>
      <w:r>
        <w:lastRenderedPageBreak/>
        <w:t>less commonly, ex situ upgrading in the vapor phase imme</w:t>
      </w:r>
      <w:r w:rsidR="00790D31">
        <w:t>diately following the pyrolyzer</w:t>
      </w:r>
      <w:r>
        <w:t xml:space="preserve"> </w:t>
      </w:r>
      <w:r w:rsidR="00790D31">
        <w:fldChar w:fldCharType="begin"/>
      </w:r>
      <w:r w:rsidR="00807999">
        <w:instrText xml:space="preserve"> ADDIN PAPERS2_CITATIONS &lt;citation&gt;&lt;uuid&gt;C4A65CAF-634B-4B57-B30D-8B43A2880544&lt;/uuid&gt;&lt;priority&gt;0&lt;/priority&gt;&lt;publications&gt;&lt;publication&gt;&lt;publication_date&gt;99201300001200000000200000&lt;/publication_date&gt;&lt;doi&gt;10.1002/aic.14038&lt;/doi&gt;&lt;title&gt;Direct catalytic upgrading of biomass pyrolysis vapors by a dual function Ru/TiO2 catalyst&lt;/title&gt;&lt;uuid&gt;DC94A6D5-1A72-49AC-8E9C-843CC7058A35&lt;/uuid&gt;&lt;subtype&gt;400&lt;/subtype&gt;&lt;publisher&gt;Wiley Online Library&lt;/publisher&gt;&lt;type&gt;400&lt;/type&gt;&lt;citekey&gt;Wan:2013jp&lt;/citekey&gt;&lt;url&gt;http://onlinelibrary.wiley.com/doi/10.1002/aic.14038/full&lt;/url&gt;&lt;bundle&gt;&lt;publication&gt;&lt;title&gt;AIChE Journal&lt;/title&gt;&lt;type&gt;-100&lt;/type&gt;&lt;subtype&gt;-100&lt;/subtype&gt;&lt;uuid&gt;4439A400-0C12-4F4D-B6FC-D94CAF45915B&lt;/uuid&gt;&lt;/publication&gt;&lt;/bundle&gt;&lt;authors&gt;&lt;author&gt;&lt;firstName&gt;Shaolong&lt;/firstName&gt;&lt;lastName&gt;Wan&lt;/lastName&gt;&lt;/author&gt;&lt;author&gt;&lt;firstName&gt;Trung&lt;/firstName&gt;&lt;lastName&gt;Pham&lt;/lastName&gt;&lt;/author&gt;&lt;author&gt;&lt;firstName&gt;Sarah&lt;/firstName&gt;&lt;lastName&gt;Zhang&lt;/lastName&gt;&lt;/author&gt;&lt;author&gt;&lt;firstName&gt;Lance&lt;/firstName&gt;&lt;lastName&gt;Lobban&lt;/lastName&gt;&lt;/author&gt;&lt;author&gt;&lt;firstName&gt;D&lt;/firstName&gt;&lt;middleNames&gt;E&lt;/middleNames&gt;&lt;lastName&gt;Resasco&lt;/lastName&gt;&lt;/author&gt;&lt;author&gt;&lt;firstName&gt;R&lt;/firstName&gt;&lt;middleNames&gt;G&lt;/middleNames&gt;&lt;lastName&gt;Mallinson&lt;/lastName&gt;&lt;/author&gt;&lt;/authors&gt;&lt;/publication&gt;&lt;publication&gt;&lt;volume&gt;247&lt;/volume&gt;&lt;publication_date&gt;99200704251200000000222000&lt;/publication_date&gt;&lt;number&gt;2&lt;/number&gt;&lt;doi&gt;10.1016/j.jcat.2007.01.023&lt;/doi&gt;&lt;startpage&gt;307&lt;/startpage&gt;&lt;title&gt;Processing biomass-derived oxygenates in the oil refinery: Catalytic cracking (FCC) reaction pathways and role of catalyst&lt;/title&gt;&lt;uuid&gt;BB38D80D-79CB-4CC7-9FFF-0299EDEC382A&lt;/uuid&gt;&lt;subtype&gt;400&lt;/subtype&gt;&lt;endpage&gt;327&lt;/endpage&gt;&lt;type&gt;400&lt;/type&gt;&lt;url&gt;http://linkinghub.elsevier.com/retrieve/pii/S0021951707000371&lt;/url&gt;&lt;bundle&gt;&lt;publication&gt;&lt;publisher&gt;Elsevier Inc.&lt;/publisher&gt;&lt;title&gt;Journal of Catalysis&lt;/title&gt;&lt;type&gt;-100&lt;/type&gt;&lt;subtype&gt;-100&lt;/subtype&gt;&lt;uuid&gt;39423B3D-1066-4CBD-8FE8-8CD5C3E0CDCD&lt;/uuid&gt;&lt;/publication&gt;&lt;/bundle&gt;&lt;authors&gt;&lt;author&gt;&lt;firstName&gt;A&lt;/firstName&gt;&lt;lastName&gt;Corma&lt;/lastName&gt;&lt;/author&gt;&lt;author&gt;&lt;firstName&gt;G&lt;/firstName&gt;&lt;lastName&gt;HUBER&lt;/lastName&gt;&lt;/author&gt;&lt;author&gt;&lt;firstName&gt;L&lt;/firstName&gt;&lt;lastName&gt;SAUVANAUD&lt;/lastName&gt;&lt;/author&gt;&lt;author&gt;&lt;firstName&gt;P&lt;/firstName&gt;&lt;lastName&gt;OCONNOR&lt;/lastName&gt;&lt;/author&gt;&lt;/authors&gt;&lt;/publication&gt;&lt;/publications&gt;&lt;cites&gt;&lt;/cites&gt;&lt;/citation&gt;</w:instrText>
      </w:r>
      <w:r w:rsidR="00790D31">
        <w:fldChar w:fldCharType="separate"/>
      </w:r>
      <w:r w:rsidR="001C1AAC">
        <w:t>(</w:t>
      </w:r>
      <w:r w:rsidR="001C1AAC">
        <w:rPr>
          <w:i/>
          <w:iCs/>
        </w:rPr>
        <w:t>135</w:t>
      </w:r>
      <w:r w:rsidR="001C1AAC">
        <w:t xml:space="preserve">, </w:t>
      </w:r>
      <w:r w:rsidR="001C1AAC">
        <w:rPr>
          <w:i/>
          <w:iCs/>
        </w:rPr>
        <w:t>144</w:t>
      </w:r>
      <w:r w:rsidR="001C1AAC">
        <w:t>)</w:t>
      </w:r>
      <w:r w:rsidR="00790D31">
        <w:fldChar w:fldCharType="end"/>
      </w:r>
      <w:r w:rsidR="00790D31">
        <w:t>.</w:t>
      </w:r>
      <w:r>
        <w:t xml:space="preserve"> By contacting the vapors with a catalyst prior to condensation as a liquid, the primary pyrolysis products are stabilized before they condense and oligomerize in the liquid phase to produce heavy products that present challenges for subsequent upgrading.</w:t>
      </w:r>
    </w:p>
    <w:p w14:paraId="7D336CD4" w14:textId="29D6CEDB" w:rsidR="001D05B7" w:rsidRDefault="001D05B7" w:rsidP="001D05B7">
      <w:r>
        <w:t>One distinct advantage of the use of zeolite catalysts for the conversion of bio-oil vapors lies in the absence of an external H</w:t>
      </w:r>
      <w:r w:rsidRPr="007C4D53">
        <w:rPr>
          <w:vertAlign w:val="subscript"/>
        </w:rPr>
        <w:t>2</w:t>
      </w:r>
      <w:r>
        <w:t xml:space="preserve"> requirement for the process. However, compared to processes that incorporate an external source of </w:t>
      </w:r>
      <w:r w:rsidR="007C4D53">
        <w:t>H</w:t>
      </w:r>
      <w:r w:rsidR="007C4D53" w:rsidRPr="007C4D53">
        <w:rPr>
          <w:vertAlign w:val="subscript"/>
        </w:rPr>
        <w:t>2</w:t>
      </w:r>
      <w:r>
        <w:t xml:space="preserve">, this benefit comes at the expense of sacrificing the yield to upgraded liquid products per gram of biomass fed as pyrolysis vapors are hydrogen deficient. The low effective H/C ratio of the pyrolysis vapors results inherently in coke formation and catalyst deactivation, which accompany any upgrading process in the absence of an additional </w:t>
      </w:r>
      <w:r w:rsidR="007C4D53">
        <w:t>H</w:t>
      </w:r>
      <w:r w:rsidR="007C4D53" w:rsidRPr="007C4D53">
        <w:rPr>
          <w:vertAlign w:val="subscript"/>
        </w:rPr>
        <w:t>2</w:t>
      </w:r>
      <w:r w:rsidR="007C4D53" w:rsidRPr="007C4D53">
        <w:t xml:space="preserve"> </w:t>
      </w:r>
      <w:r>
        <w:t>source</w:t>
      </w:r>
      <w:r w:rsidR="006848B1">
        <w:t xml:space="preserve"> </w:t>
      </w:r>
      <w:r w:rsidR="00790D31">
        <w:fldChar w:fldCharType="begin"/>
      </w:r>
      <w:r w:rsidR="00807999">
        <w:instrText xml:space="preserve"> ADDIN PAPERS2_CITATIONS &lt;citation&gt;&lt;uuid&gt;A7847FF8-247F-4B92-AA31-59C44C0B9C35&lt;/uuid&gt;&lt;priority&gt;0&lt;/priority&gt;&lt;publications&gt;&lt;publication&gt;&lt;volume&gt;4&lt;/volume&gt;&lt;publication_date&gt;99201100001200000000200000&lt;/publication_date&gt;&lt;number&gt;6&lt;/number&gt;&lt;doi&gt;10.1039/c1ee01230d&lt;/doi&gt;&lt;startpage&gt;2297&lt;/startpage&gt;&lt;title&gt;Catalytic conversion of biomass-derived feedstocks into olefins and aromatics with ZSM-5: the hydrogen to carbon effective ratio&lt;/title&gt;&lt;uuid&gt;7EF13312-FC00-4BDA-9904-1E5BFD1021BA&lt;/uuid&gt;&lt;subtype&gt;400&lt;/subtype&gt;&lt;type&gt;400&lt;/type&gt;&lt;url&gt;http://xlink.rsc.org/?DOI=c1ee01230d&lt;/url&gt;&lt;bundle&gt;&lt;publication&gt;&lt;title&gt;Energy &amp;amp; Environmental Science&lt;/title&gt;&lt;type&gt;-100&lt;/type&gt;&lt;subtype&gt;-100&lt;/subtype&gt;&lt;uuid&gt;E64DE592-61F4-41A7-AE89-5752A37B01CB&lt;/uuid&gt;&lt;/publication&gt;&lt;/bundle&gt;&lt;authors&gt;&lt;author&gt;&lt;firstName&gt;Huiyan&lt;/firstName&gt;&lt;lastName&gt;Zhang&lt;/lastName&gt;&lt;/author&gt;&lt;author&gt;&lt;firstName&gt;Yu-Ting&lt;/firstName&gt;&lt;lastName&gt;Cheng&lt;/lastName&gt;&lt;/author&gt;&lt;author&gt;&lt;firstName&gt;Tushar&lt;/firstName&gt;&lt;middleNames&gt;P&lt;/middleNames&gt;&lt;lastName&gt;Vispute&lt;/lastName&gt;&lt;/author&gt;&lt;author&gt;&lt;firstName&gt;Rui&lt;/firstName&gt;&lt;lastName&gt;Xiao&lt;/lastName&gt;&lt;/author&gt;&lt;author&gt;&lt;firstName&gt;G W&lt;/firstName&gt;&lt;lastName&gt;Huber&lt;/lastName&gt;&lt;/author&gt;&lt;/authors&gt;&lt;/publication&gt;&lt;/publications&gt;&lt;cites&gt;&lt;/cites&gt;&lt;/citation&gt;</w:instrText>
      </w:r>
      <w:r w:rsidR="00790D31">
        <w:fldChar w:fldCharType="separate"/>
      </w:r>
      <w:r w:rsidR="001C1AAC">
        <w:t>(</w:t>
      </w:r>
      <w:r w:rsidR="001C1AAC">
        <w:rPr>
          <w:i/>
          <w:iCs/>
        </w:rPr>
        <w:t>145</w:t>
      </w:r>
      <w:r w:rsidR="001C1AAC">
        <w:t>)</w:t>
      </w:r>
      <w:r w:rsidR="00790D31">
        <w:fldChar w:fldCharType="end"/>
      </w:r>
      <w:r w:rsidR="00790D31">
        <w:t>.</w:t>
      </w:r>
      <w:r>
        <w:t xml:space="preserve"> As a result of this, the design of catalysts that are less prone to deactivation and coke formation is critical. Among the various types of zeolites used for the catalytic upgrading of biomass pyrolysis vapors, the most commonly studied catalyst is HZSM-5</w:t>
      </w:r>
      <w:r w:rsidR="00790D31">
        <w:t xml:space="preserve"> </w:t>
      </w:r>
      <w:r w:rsidR="00790D31">
        <w:fldChar w:fldCharType="begin"/>
      </w:r>
      <w:r w:rsidR="00807999">
        <w:instrText xml:space="preserve"> ADDIN PAPERS2_CITATIONS &lt;citation&gt;&lt;uuid&gt;A99A1328-6921-4857-9B07-6985C3E922D8&lt;/uuid&gt;&lt;priority&gt;0&lt;/priority&gt;&lt;publications&gt;&lt;publication&gt;&lt;volume&gt;25&lt;/volume&gt;&lt;publication_date&gt;99200006001200000000220000&lt;/publication_date&gt;&lt;number&gt;6&lt;/number&gt;&lt;doi&gt;10.1016/S0360-5442(00)00009-8&lt;/doi&gt;&lt;startpage&gt;493&lt;/startpage&gt;&lt;title&gt;Comparison of products from the pyrolysis and catalytic pyrolysis of rice husks&lt;/title&gt;&lt;uuid&gt;43294A3C-22DF-42D8-87E5-420FDD431252&lt;/uuid&gt;&lt;subtype&gt;400&lt;/subtype&gt;&lt;endpage&gt;513&lt;/endpage&gt;&lt;type&gt;400&lt;/type&gt;&lt;url&gt;http://linkinghub.elsevier.com/retrieve/pii/S0360544200000098&lt;/url&gt;&lt;bundle&gt;&lt;publication&gt;&lt;publisher&gt;Elsevier Ltd&lt;/publisher&gt;&lt;title&gt;Energy&lt;/title&gt;&lt;type&gt;-100&lt;/type&gt;&lt;subtype&gt;-100&lt;/subtype&gt;&lt;uuid&gt;3D64147F-B309-4821-AFA5-331A6496BF65&lt;/uuid&gt;&lt;/publication&gt;&lt;/bundle&gt;&lt;authors&gt;&lt;author&gt;&lt;firstName&gt;Paul&lt;/firstName&gt;&lt;middleNames&gt;T&lt;/middleNames&gt;&lt;lastName&gt;Williams&lt;/lastName&gt;&lt;/author&gt;&lt;author&gt;&lt;firstName&gt;Nittaya&lt;/firstName&gt;&lt;lastName&gt;Nugranad&lt;/lastName&gt;&lt;/author&gt;&lt;/authors&gt;&lt;/publication&gt;&lt;publication&gt;&lt;volume&gt;34&lt;/volume&gt;&lt;publication_date&gt;99199506001200000000220000&lt;/publication_date&gt;&lt;number&gt;1&lt;/number&gt;&lt;doi&gt;10.1016/0165-2370(94)00875-2&lt;/doi&gt;&lt;startpage&gt;65&lt;/startpage&gt;&lt;title&gt;The effect of zeolite ZSM-5 catalyst deactivation during the upgrading of biomass-derived pyrolysis vapours&lt;/title&gt;&lt;uuid&gt;BEE18836-E27F-4166-89BC-A5FD7E565647&lt;/uuid&gt;&lt;subtype&gt;400&lt;/subtype&gt;&lt;endpage&gt;85&lt;/endpage&gt;&lt;type&gt;400&lt;/type&gt;&lt;url&gt;http://linkinghub.elsevier.com/retrieve/pii/0165237094008752&lt;/url&gt;&lt;bundle&gt;&lt;publication&gt;&lt;publisher&gt;Elsevier B.V.&lt;/publisher&gt;&lt;title&gt;Journal of Analytical and Applied Pyrolysis&lt;/title&gt;&lt;type&gt;-100&lt;/type&gt;&lt;subtype&gt;-100&lt;/subtype&gt;&lt;uuid&gt;D2B451F2-ABD5-4B2D-92A4-9DB1FFA0C21E&lt;/uuid&gt;&lt;/publication&gt;&lt;/bundle&gt;&lt;authors&gt;&lt;author&gt;&lt;firstName&gt;Patrick&lt;/firstName&gt;&lt;middleNames&gt;A&lt;/middleNames&gt;&lt;lastName&gt;Horne&lt;/lastName&gt;&lt;/author&gt;&lt;author&gt;&lt;firstName&gt;Paul&lt;/firstName&gt;&lt;middleNames&gt;T&lt;/middleNames&gt;&lt;lastName&gt;Williams&lt;/lastName&gt;&lt;/author&gt;&lt;/authors&gt;&lt;/publication&gt;&lt;publication&gt;&lt;volume&gt;127&lt;/volume&gt;&lt;publication_date&gt;99201200001200000000200000&lt;/publication_date&gt;&lt;startpage&gt;281&lt;/startpage&gt;&lt;title&gt;Catalytic upgrading of biomass pyrolysis vapors using transition metal-modified ZSM-5 zeolite&lt;/title&gt;&lt;uuid&gt;B9AEBA90-3A41-4217-AD5D-103354E36C78&lt;/uuid&gt;&lt;subtype&gt;400&lt;/subtype&gt;&lt;endpage&gt;290&lt;/endpage&gt;&lt;type&gt;400&lt;/type&gt;&lt;citekey&gt;Iliopoulou2012&lt;/citekey&gt;&lt;url&gt;http://www.sciencedirect.com/science/article/pii/S0926337312003888&lt;/url&gt;&lt;bundle&gt;&lt;publication&gt;&lt;publisher&gt;Elsevier B.V.&lt;/publisher&gt;&lt;title&gt;Applied Catalysis B: Environmental&lt;/title&gt;&lt;type&gt;-100&lt;/type&gt;&lt;subtype&gt;-100&lt;/subtype&gt;&lt;uuid&gt;0B77962D-5F6E-4D61-8316-322966C1ABE1&lt;/uuid&gt;&lt;/publication&gt;&lt;/bundle&gt;&lt;authors&gt;&lt;author&gt;&lt;firstName&gt;E&lt;/firstName&gt;&lt;middleNames&gt;F&lt;/middleNames&gt;&lt;lastName&gt;Iliopoulou&lt;/lastName&gt;&lt;/author&gt;&lt;author&gt;&lt;firstName&gt;S&lt;/firstName&gt;&lt;middleNames&gt;D&lt;/middleNames&gt;&lt;lastName&gt;Stefanidis&lt;/lastName&gt;&lt;/author&gt;&lt;/authors&gt;&lt;/publication&gt;&lt;/publications&gt;&lt;cites&gt;&lt;/cites&gt;&lt;/citation&gt;</w:instrText>
      </w:r>
      <w:r w:rsidR="00790D31">
        <w:fldChar w:fldCharType="separate"/>
      </w:r>
      <w:r w:rsidR="001C1AAC">
        <w:t>(</w:t>
      </w:r>
      <w:r w:rsidR="001C1AAC">
        <w:rPr>
          <w:i/>
          <w:iCs/>
        </w:rPr>
        <w:t>146</w:t>
      </w:r>
      <w:r w:rsidR="001C1AAC">
        <w:t>-</w:t>
      </w:r>
      <w:r w:rsidR="001C1AAC">
        <w:rPr>
          <w:i/>
          <w:iCs/>
        </w:rPr>
        <w:t>148</w:t>
      </w:r>
      <w:r w:rsidR="001C1AAC">
        <w:t>)</w:t>
      </w:r>
      <w:r w:rsidR="00790D31">
        <w:fldChar w:fldCharType="end"/>
      </w:r>
      <w:r>
        <w:t>. Compared to other catalysts, HZSM-5 produces the highest yields of the preferred products, alkylated aromatics, if bio-oil vapors are treated</w:t>
      </w:r>
      <w:r w:rsidR="006848B1">
        <w:t xml:space="preserve"> </w:t>
      </w:r>
      <w:r w:rsidR="00790D31">
        <w:fldChar w:fldCharType="begin"/>
      </w:r>
      <w:r w:rsidR="00807999">
        <w:instrText xml:space="preserve"> ADDIN PAPERS2_CITATIONS &lt;citation&gt;&lt;uuid&gt;17DE47BD-258B-47D7-9A33-5410585B4E5A&lt;/uuid&gt;&lt;priority&gt;0&lt;/priority&gt;&lt;publications&gt;&lt;publication&gt;&lt;uuid&gt;18474B37-876E-460B-9292-33F3B7AC2374&lt;/uuid&gt;&lt;volume&gt;279&lt;/volume&gt;&lt;doi&gt;10.1016/j.jcat.2011.01.019&lt;/doi&gt;&lt;startpage&gt;257&lt;/startpage&gt;&lt;publication_date&gt;99201100001200000000200000&lt;/publication_date&gt;&lt;url&gt;http://linkinghub.elsevier.com/retrieve/pii/S0021951711000315&lt;/url&gt;&lt;citekey&gt;Jae2011&lt;/citekey&gt;&lt;type&gt;400&lt;/type&gt;&lt;title&gt;Investigation into the shape selectivity of zeolite catalysts for biomass conversion&lt;/title&gt;&lt;publisher&gt;Elsevier Inc.&lt;/publisher&gt;&lt;number&gt;2&lt;/number&gt;&lt;subtype&gt;400&lt;/subtype&gt;&lt;endpage&gt;268&lt;/endpage&gt;&lt;bundle&gt;&lt;publication&gt;&lt;publisher&gt;Elsevier Inc.&lt;/publisher&gt;&lt;title&gt;Journal of Catalysis&lt;/title&gt;&lt;type&gt;-100&lt;/type&gt;&lt;subtype&gt;-100&lt;/subtype&gt;&lt;uuid&gt;39423B3D-1066-4CBD-8FE8-8CD5C3E0CDCD&lt;/uuid&gt;&lt;/publication&gt;&lt;/bundle&gt;&lt;authors&gt;&lt;author&gt;&lt;firstName&gt;Jungho&lt;/firstName&gt;&lt;lastName&gt;Jae&lt;/lastName&gt;&lt;/author&gt;&lt;author&gt;&lt;firstName&gt;Geoffrey&lt;/firstName&gt;&lt;middleNames&gt;a&lt;/middleNames&gt;&lt;lastName&gt;Tompsett&lt;/lastName&gt;&lt;/author&gt;&lt;author&gt;&lt;firstName&gt;Andrew&lt;/firstName&gt;&lt;middleNames&gt;J&lt;/middleNames&gt;&lt;lastName&gt;Foster&lt;/lastName&gt;&lt;/author&gt;&lt;author&gt;&lt;firstName&gt;Karl&lt;/firstName&gt;&lt;middleNames&gt;D&lt;/middleNames&gt;&lt;lastName&gt;Hammond&lt;/lastName&gt;&lt;/author&gt;&lt;author&gt;&lt;firstName&gt;Scott&lt;/firstName&gt;&lt;middleNames&gt;M&lt;/middleNames&gt;&lt;lastName&gt;Auerbach&lt;/lastName&gt;&lt;/author&gt;&lt;author&gt;&lt;firstName&gt;Raul&lt;/firstName&gt;&lt;middleNames&gt;F&lt;/middleNames&gt;&lt;lastName&gt;Lobo&lt;/lastName&gt;&lt;/author&gt;&lt;author&gt;&lt;firstName&gt;G W&lt;/firstName&gt;&lt;lastName&gt;Huber&lt;/lastName&gt;&lt;/author&gt;&lt;/authors&gt;&lt;/publication&gt;&lt;/publications&gt;&lt;cites&gt;&lt;/cites&gt;&lt;/citation&gt;</w:instrText>
      </w:r>
      <w:r w:rsidR="00790D31">
        <w:fldChar w:fldCharType="separate"/>
      </w:r>
      <w:r w:rsidR="001C1AAC">
        <w:t>(</w:t>
      </w:r>
      <w:r w:rsidR="001C1AAC">
        <w:rPr>
          <w:i/>
          <w:iCs/>
        </w:rPr>
        <w:t>149</w:t>
      </w:r>
      <w:r w:rsidR="001C1AAC">
        <w:t>)</w:t>
      </w:r>
      <w:r w:rsidR="00790D31">
        <w:fldChar w:fldCharType="end"/>
      </w:r>
      <w:r w:rsidR="00790D31">
        <w:t>.</w:t>
      </w:r>
      <w:r>
        <w:t xml:space="preserve"> However, HZSM-5, similar to all other catalysts in this environment, deactivates relatively rapidly.</w:t>
      </w:r>
    </w:p>
    <w:p w14:paraId="38E2E9B1" w14:textId="6F4A2F25" w:rsidR="001D05B7" w:rsidRDefault="001D05B7" w:rsidP="001D05B7">
      <w:r>
        <w:t xml:space="preserve">For a variety of reactions over zeolites, catalyst deactivation is highly dependent on catalyst properties such as the density of acid sites. For example, upon studying propylene oligomerization, Bell et al. observed dramatic decreases in conversion and increases in heavy aromatic species on the catalyst over HZSM-5 as the Si/Al ratio of </w:t>
      </w:r>
      <w:r>
        <w:lastRenderedPageBreak/>
        <w:t>the zeolite decreased</w:t>
      </w:r>
      <w:r w:rsidR="006848B1">
        <w:t xml:space="preserve"> </w:t>
      </w:r>
      <w:r w:rsidR="002B7591">
        <w:fldChar w:fldCharType="begin"/>
      </w:r>
      <w:r w:rsidR="00807999">
        <w:instrText xml:space="preserve"> ADDIN PAPERS2_CITATIONS &lt;citation&gt;&lt;uuid&gt;70637CE0-6640-4590-B322-B9FC1980DE87&lt;/uuid&gt;&lt;priority&gt;0&lt;/priority&gt;&lt;publications&gt;&lt;publication&gt;&lt;volume&gt;288&lt;/volume&gt;&lt;publication_date&gt;99201204001200000000220000&lt;/publication_date&gt;&lt;doi&gt;10.1016/j.jcat.2012.01.002&lt;/doi&gt;&lt;startpage&gt;65&lt;/startpage&gt;&lt;title&gt;Effects of Brønsted-acid site proximity on the oligomerization of propene in H-MFI&lt;/title&gt;&lt;uuid&gt;D67CFF14-2AF7-476C-9D47-A9D8E9879EB7&lt;/uuid&gt;&lt;subtype&gt;400&lt;/subtype&gt;&lt;endpage&gt;73&lt;/endpage&gt;&lt;type&gt;400&lt;/type&gt;&lt;url&gt;http://linkinghub.elsevier.com/retrieve/pii/S0021951712000048&lt;/url&gt;&lt;bundle&gt;&lt;publication&gt;&lt;publisher&gt;Elsevier Inc.&lt;/publisher&gt;&lt;title&gt;Journal of Catalysis&lt;/title&gt;&lt;type&gt;-100&lt;/type&gt;&lt;subtype&gt;-100&lt;/subtype&gt;&lt;uuid&gt;39423B3D-1066-4CBD-8FE8-8CD5C3E0CDCD&lt;/uuid&gt;&lt;/publication&gt;&lt;/bundle&gt;&lt;authors&gt;&lt;author&gt;&lt;firstName&gt;Anton&lt;/firstName&gt;&lt;middleNames&gt;N&lt;/middleNames&gt;&lt;lastName&gt;Mlinar&lt;/lastName&gt;&lt;/author&gt;&lt;author&gt;&lt;firstName&gt;Paul&lt;/firstName&gt;&lt;middleNames&gt;M&lt;/middleNames&gt;&lt;lastName&gt;Zimmerman&lt;/lastName&gt;&lt;/author&gt;&lt;author&gt;&lt;firstName&gt;Fuat&lt;/firstName&gt;&lt;middleNames&gt;E&lt;/middleNames&gt;&lt;lastName&gt;Celik&lt;/lastName&gt;&lt;/author&gt;&lt;author&gt;&lt;firstName&gt;Martin&lt;/firstName&gt;&lt;lastName&gt;Head-Gordon&lt;/lastName&gt;&lt;/author&gt;&lt;author&gt;&lt;firstName&gt;Alexis&lt;/firstName&gt;&lt;middleNames&gt;T&lt;/middleNames&gt;&lt;lastName&gt;Bell&lt;/lastName&gt;&lt;/author&gt;&lt;/authors&gt;&lt;/publication&gt;&lt;/publications&gt;&lt;cites&gt;&lt;/cites&gt;&lt;/citation&gt;</w:instrText>
      </w:r>
      <w:r w:rsidR="002B7591">
        <w:fldChar w:fldCharType="separate"/>
      </w:r>
      <w:r w:rsidR="001C1AAC">
        <w:t>(</w:t>
      </w:r>
      <w:r w:rsidR="001C1AAC">
        <w:rPr>
          <w:i/>
          <w:iCs/>
        </w:rPr>
        <w:t>150</w:t>
      </w:r>
      <w:r w:rsidR="001C1AAC">
        <w:t>)</w:t>
      </w:r>
      <w:r w:rsidR="002B7591">
        <w:fldChar w:fldCharType="end"/>
      </w:r>
      <w:r w:rsidR="002B7591">
        <w:t xml:space="preserve">. </w:t>
      </w:r>
      <w:r>
        <w:t>The tradeoff between activity and deactivation rates with acid site density has not been fully investigated in the area of catalytic pyrolysis.</w:t>
      </w:r>
    </w:p>
    <w:p w14:paraId="742BFBB2" w14:textId="408868CD" w:rsidR="001D05B7" w:rsidRDefault="001D05B7" w:rsidP="001D05B7">
      <w:r>
        <w:t>Rapid catalyst deactivation associated with catalytic pyrolysis has made researchers use excess catalyst with catalyst/biomass feed ratios much greater than unity. As the products are generally collected over a period of several minutes and excess catalyst is used, it is difficult to measure intrinsic catalytic activity and rates of deactivation. Instead, yields to desired products are typically reported, which are a combination of both phenomena</w:t>
      </w:r>
      <w:r w:rsidR="006848B1">
        <w:t xml:space="preserve"> </w:t>
      </w:r>
      <w:r w:rsidR="002B7591">
        <w:fldChar w:fldCharType="begin"/>
      </w:r>
      <w:r w:rsidR="00807999">
        <w:instrText xml:space="preserve"> ADDIN PAPERS2_CITATIONS &lt;citation&gt;&lt;uuid&gt;D771DE91-1EF5-46DF-BD96-0B6ABC353A0C&lt;/uuid&gt;&lt;priority&gt;0&lt;/priority&gt;&lt;publications&gt;&lt;publication&gt;&lt;type&gt;400&lt;/type&gt;&lt;publication_date&gt;99201100001200000000200000&lt;/publication_date&gt;&lt;title&gt;Production of green aromatics and olefins by catalytic fast pyrolysis of wood sawdust - Energy &amp;amp; Environmental Science (RSC Publishing) DOI:10.1039/C0EE00341G&lt;/title&gt;&lt;url&gt;http://pubs.rsc.org/en/content/articlehtml/2011/ee/c0ee00341g&lt;/url&gt;&lt;subtype&gt;400&lt;/subtype&gt;&lt;uuid&gt;88D10271-E866-43F0-87BB-EBE9560EC1AA&lt;/uuid&gt;&lt;bundle&gt;&lt;publication&gt;&lt;title&gt;Energy &amp;amp; Environmental Science&lt;/title&gt;&lt;type&gt;-100&lt;/type&gt;&lt;subtype&gt;-100&lt;/subtype&gt;&lt;uuid&gt;E64DE592-61F4-41A7-AE89-5752A37B01CB&lt;/uuid&gt;&lt;/publication&gt;&lt;/bundle&gt;&lt;authors&gt;&lt;author&gt;&lt;firstName&gt;Torren&lt;/firstName&gt;&lt;middleNames&gt;R&lt;/middleNames&gt;&lt;lastName&gt;Carlson&lt;/lastName&gt;&lt;/author&gt;&lt;author&gt;&lt;firstName&gt;Yu-Ting&lt;/firstName&gt;&lt;middleNames&gt;T&lt;/middleNames&gt;&lt;lastName&gt;Cheng&lt;/lastName&gt;&lt;/author&gt;&lt;author&gt;&lt;firstName&gt;Jungho&lt;/firstName&gt;&lt;lastName&gt;Jae&lt;/lastName&gt;&lt;/author&gt;&lt;author&gt;&lt;firstName&gt;G W&lt;/firstName&gt;&lt;lastName&gt;Huber&lt;/lastName&gt;&lt;/author&gt;&lt;/authors&gt;&lt;/publication&gt;&lt;/publications&gt;&lt;cites&gt;&lt;/cites&gt;&lt;/citation&gt;</w:instrText>
      </w:r>
      <w:r w:rsidR="002B7591">
        <w:fldChar w:fldCharType="separate"/>
      </w:r>
      <w:r w:rsidR="001C1AAC">
        <w:t>(</w:t>
      </w:r>
      <w:r w:rsidR="001C1AAC">
        <w:rPr>
          <w:i/>
          <w:iCs/>
        </w:rPr>
        <w:t>151</w:t>
      </w:r>
      <w:r w:rsidR="001C1AAC">
        <w:t>)</w:t>
      </w:r>
      <w:r w:rsidR="002B7591">
        <w:fldChar w:fldCharType="end"/>
      </w:r>
      <w:r w:rsidR="002B7591">
        <w:t>.</w:t>
      </w:r>
      <w:r>
        <w:t xml:space="preserve"> Distinguishing the role of reaction parameters and catalyst properties in catalytic pyrolysis is also clouded by the fact that the vapors are typically condensed as liquids and aged in a trap, in which unconverted oxygenates can undergo secondary reactions, often for a period of several minutes or hours before analysis.</w:t>
      </w:r>
    </w:p>
    <w:p w14:paraId="5663D80B" w14:textId="2F3D7D31" w:rsidR="001D05B7" w:rsidRDefault="001D05B7" w:rsidP="001D05B7">
      <w:r>
        <w:t>Pyrolysis GC units, in which a small amount of biomass is pyrolyzed with the vapors sent directly to a GC for analysis, allow the direct measurement of primary pyrolysis products with no liquid aging and minimal subsequent reactions. This is a valuable experimental technique for the evaluation of the pyrolysis process itself as well as the upgrading of the pyrolysis vapors. Such units have been used extensively to screen the effectiveness of catalysts for the catalytic pyrolysis of biomass. Unfortunately, a great disadvantage of such processes lies in the way they are traditionally used to evaluate catalyst activity. In most cases, the biomass is mixed physically with excess catalyst in the pyrolysis tube</w:t>
      </w:r>
      <w:r w:rsidR="006848B1">
        <w:t xml:space="preserve"> </w:t>
      </w:r>
      <w:r w:rsidR="002B7591">
        <w:fldChar w:fldCharType="begin"/>
      </w:r>
      <w:r w:rsidR="00807999">
        <w:instrText xml:space="preserve"> ADDIN PAPERS2_CITATIONS &lt;citation&gt;&lt;uuid&gt;0D8D64B6-2555-4BAF-B7A1-5D5DA4A14E47&lt;/uuid&gt;&lt;priority&gt;0&lt;/priority&gt;&lt;publications&gt;&lt;publication&gt;&lt;uuid&gt;27968BCA-4E45-48E3-93E8-76CA53F2159B&lt;/uuid&gt;&lt;volume&gt;92&lt;/volume&gt;&lt;doi&gt;10.1016/j.jaap.2011.06.001&lt;/doi&gt;&lt;startpage&gt;224&lt;/startpage&gt;&lt;publication_date&gt;99201109001200000000220000&lt;/publication_date&gt;&lt;url&gt;http://linkinghub.elsevier.com/retrieve/pii/S0165237011001094&lt;/url&gt;&lt;citekey&gt;Mihalcik:2011ck&lt;/citekey&gt;&lt;type&gt;400&lt;/type&gt;&lt;title&gt;Screening acidic zeolites for catalytic fast pyrolysis of biomass and its components&lt;/title&gt;&lt;number&gt;1&lt;/number&gt;&lt;subtype&gt;400&lt;/subtype&gt;&lt;endpage&gt;232&lt;/endpage&gt;&lt;bundle&gt;&lt;publication&gt;&lt;publisher&gt;Elsevier B.V.&lt;/publisher&gt;&lt;title&gt;Journal of Analytical and Applied Pyrolysis&lt;/title&gt;&lt;type&gt;-100&lt;/type&gt;&lt;subtype&gt;-100&lt;/subtype&gt;&lt;uuid&gt;D2B451F2-ABD5-4B2D-92A4-9DB1FFA0C21E&lt;/uuid&gt;&lt;/publication&gt;&lt;/bundle&gt;&lt;authors&gt;&lt;author&gt;&lt;firstName&gt;David&lt;/firstName&gt;&lt;middleNames&gt;J&lt;/middleNames&gt;&lt;lastName&gt;Mihalcik&lt;/lastName&gt;&lt;/author&gt;&lt;author&gt;&lt;firstName&gt;Charles&lt;/firstName&gt;&lt;middleNames&gt;a&lt;/middleNames&gt;&lt;lastName&gt;Mullen&lt;/lastName&gt;&lt;/author&gt;&lt;author&gt;&lt;firstName&gt;A&lt;/firstName&gt;&lt;middleNames&gt;A&lt;/middleNames&gt;&lt;lastName&gt;Boateng&lt;/lastName&gt;&lt;/author&gt;&lt;/authors&gt;&lt;/publication&gt;&lt;/publications&gt;&lt;cites&gt;&lt;/cites&gt;&lt;/citation&gt;</w:instrText>
      </w:r>
      <w:r w:rsidR="002B7591">
        <w:fldChar w:fldCharType="separate"/>
      </w:r>
      <w:r w:rsidR="001C1AAC">
        <w:t>(</w:t>
      </w:r>
      <w:r w:rsidR="001C1AAC">
        <w:rPr>
          <w:i/>
          <w:iCs/>
        </w:rPr>
        <w:t>152</w:t>
      </w:r>
      <w:r w:rsidR="001C1AAC">
        <w:t>)</w:t>
      </w:r>
      <w:r w:rsidR="002B7591">
        <w:fldChar w:fldCharType="end"/>
      </w:r>
      <w:r w:rsidR="002B7591">
        <w:t>.</w:t>
      </w:r>
      <w:r>
        <w:t xml:space="preserve"> As there is no carrier gas flow through the pyrolysis tube, the residence time of pyrolysis vapors and contact time with the catalyst are very difficult to control and are dependent on the catalyst particle size, thermal conductivity, etc. Huber et al. pointed out the differences in partial pressure and contact times between this </w:t>
      </w:r>
      <w:r>
        <w:lastRenderedPageBreak/>
        <w:t>approach and a typical fluidized bed as well as the exaggerated secondary reactions to produce naphthalenes that occur if the catalyst is placed directly in the pyrolysis tube.</w:t>
      </w:r>
    </w:p>
    <w:p w14:paraId="4F640BEA" w14:textId="2C2CCD7A" w:rsidR="001D05B7" w:rsidRDefault="001D05B7" w:rsidP="001D05B7">
      <w:r>
        <w:t>A more straightforward approach is to place the catalyst bed outside of the pyrolysis chamber, such that the pyrolysis vapors pass over the catalyst bed before they enter the GC</w:t>
      </w:r>
      <w:r w:rsidR="006848B1">
        <w:t xml:space="preserve"> </w:t>
      </w:r>
      <w:r w:rsidR="00675066">
        <w:fldChar w:fldCharType="begin"/>
      </w:r>
      <w:r w:rsidR="00807999">
        <w:instrText xml:space="preserve"> ADDIN PAPERS2_CITATIONS &lt;citation&gt;&lt;uuid&gt;1D861D62-8856-49FA-921F-DF5E389FA753&lt;/uuid&gt;&lt;priority&gt;0&lt;/priority&gt;&lt;publications&gt;&lt;publication&gt;&lt;volume&gt;16&lt;/volume&gt;&lt;publication_date&gt;99201400001200000000200000&lt;/publication_date&gt;&lt;number&gt;3&lt;/number&gt;&lt;doi&gt;10.1039/C3GC42065E&lt;/doi&gt;&lt;startpage&gt;1444&lt;/startpage&gt;&lt;title&gt;Real-time monitoring of the deactivation of HZSM-5 during upgrading of pine pyrolysis vapors&lt;/title&gt;&lt;uuid&gt;5986703A-F7FF-489A-8BC5-30F59E0BC61A&lt;/uuid&gt;&lt;subtype&gt;400&lt;/subtype&gt;&lt;endpage&gt;1461&lt;/endpage&gt;&lt;type&gt;400&lt;/type&gt;&lt;url&gt;http://xlink.rsc.org/?DOI=C3GC42065E&lt;/url&gt;&lt;bundle&gt;&lt;publication&gt;&lt;title&gt;Green Chemistry&lt;/title&gt;&lt;type&gt;-100&lt;/type&gt;&lt;subtype&gt;-100&lt;/subtype&gt;&lt;uuid&gt;045E1331-77DD-4BA3-926E-44A87D72FBCE&lt;/uuid&gt;&lt;/publication&gt;&lt;/bundle&gt;&lt;authors&gt;&lt;author&gt;&lt;firstName&gt;Calvin&lt;/firstName&gt;&lt;lastName&gt;Mukarakate&lt;/lastName&gt;&lt;/author&gt;&lt;author&gt;&lt;firstName&gt;Xiaodong&lt;/firstName&gt;&lt;lastName&gt;Zhang&lt;/lastName&gt;&lt;/author&gt;&lt;author&gt;&lt;firstName&gt;Alexander&lt;/firstName&gt;&lt;middleNames&gt;R&lt;/middleNames&gt;&lt;lastName&gt;Stanton&lt;/lastName&gt;&lt;/author&gt;&lt;author&gt;&lt;firstName&gt;David&lt;/firstName&gt;&lt;middleNames&gt;J&lt;/middleNames&gt;&lt;lastName&gt;Robichaud&lt;/lastName&gt;&lt;/author&gt;&lt;author&gt;&lt;firstName&gt;Peter&lt;/firstName&gt;&lt;middleNames&gt;N&lt;/middleNames&gt;&lt;lastName&gt;Ciesielski&lt;/lastName&gt;&lt;/author&gt;&lt;author&gt;&lt;firstName&gt;Kara&lt;/firstName&gt;&lt;lastName&gt;Malhotra&lt;/lastName&gt;&lt;/author&gt;&lt;author&gt;&lt;firstName&gt;Bryon&lt;/firstName&gt;&lt;middleNames&gt;S&lt;/middleNames&gt;&lt;lastName&gt;Donohoe&lt;/lastName&gt;&lt;/author&gt;&lt;author&gt;&lt;firstName&gt;Erica&lt;/firstName&gt;&lt;lastName&gt;Gjersing&lt;/lastName&gt;&lt;/author&gt;&lt;author&gt;&lt;firstName&gt;Robert&lt;/firstName&gt;&lt;middleNames&gt;J&lt;/middleNames&gt;&lt;lastName&gt;Evans&lt;/lastName&gt;&lt;/author&gt;&lt;author&gt;&lt;firstName&gt;David&lt;/firstName&gt;&lt;middleNames&gt;S&lt;/middleNames&gt;&lt;lastName&gt;Heroux&lt;/lastName&gt;&lt;/author&gt;&lt;author&gt;&lt;firstName&gt;Ryan&lt;/firstName&gt;&lt;lastName&gt;Richards&lt;/lastName&gt;&lt;/author&gt;&lt;author&gt;&lt;firstName&gt;Kristiina&lt;/firstName&gt;&lt;lastName&gt;Iisa&lt;/lastName&gt;&lt;/author&gt;&lt;author&gt;&lt;firstName&gt;Mark&lt;/firstName&gt;&lt;middleNames&gt;R&lt;/middleNames&gt;&lt;lastName&gt;Nimlos&lt;/lastName&gt;&lt;/author&gt;&lt;/authors&gt;&lt;/publication&gt;&lt;/publications&gt;&lt;cites&gt;&lt;/cites&gt;&lt;/citation&gt;</w:instrText>
      </w:r>
      <w:r w:rsidR="00675066">
        <w:fldChar w:fldCharType="separate"/>
      </w:r>
      <w:r w:rsidR="001C1AAC">
        <w:t>(</w:t>
      </w:r>
      <w:r w:rsidR="001C1AAC">
        <w:rPr>
          <w:i/>
          <w:iCs/>
        </w:rPr>
        <w:t>153</w:t>
      </w:r>
      <w:r w:rsidR="001C1AAC">
        <w:t>)</w:t>
      </w:r>
      <w:r w:rsidR="00675066">
        <w:fldChar w:fldCharType="end"/>
      </w:r>
      <w:r w:rsidR="00675066">
        <w:t>.</w:t>
      </w:r>
      <w:r>
        <w:t xml:space="preserve"> This approach gives valuable information on the catalyst deactivation rates and independent control of the catalytic reaction conditions versus pyrolysis conditions.</w:t>
      </w:r>
    </w:p>
    <w:p w14:paraId="46A2C9BB" w14:textId="77777777" w:rsidR="001D05B7" w:rsidRDefault="001D05B7" w:rsidP="001D05B7">
      <w:r>
        <w:t xml:space="preserve">In this contribution, a custom configuration of a CDS Analytical pyroprobe pyrolysis unit coupled with a separate catalytic reactor was constructed to evaluate the performance and deactivation of the catalysts upon contact with pyrolysis vapors. The product yields and catalyst stability were measured at various temperatures and Si/Al ratios independently for HZSM-5 catalysts under conditions in which excess catalyst was not used to decouple the activity from the stability of each catalyst. Catalysts are compared based on a constant catalyst mass and constant acid sites, and the coke on spent catalysts was quantified to better understand the role of acid site density on catalyst deactivation. </w:t>
      </w:r>
    </w:p>
    <w:p w14:paraId="4F403076" w14:textId="442879DD" w:rsidR="001D5D39" w:rsidRDefault="001D5D39" w:rsidP="005C7E19">
      <w:pPr>
        <w:pStyle w:val="Heading2"/>
      </w:pPr>
      <w:bookmarkStart w:id="64" w:name="_Toc449964860"/>
      <w:r>
        <w:t>Experimental</w:t>
      </w:r>
      <w:bookmarkEnd w:id="64"/>
    </w:p>
    <w:p w14:paraId="7907D041" w14:textId="416D31F8" w:rsidR="001D5D39" w:rsidRDefault="001D5D39" w:rsidP="001D5D39">
      <w:r>
        <w:t>Biomass used was locally sourced red oak sawdust, with an estimated ash content of 2%, determined by calcination in a TGA unit after after oxidation at 800°C. The samples were ground to a size of 0.25–0.45mm and then dried in vacuum (0.02 MPa) at 60°C overnight before use. Typical red oak compositions can be found in the literature with lignin, hemicellulose, and cellulose wt % of 21.3, 46.9, and 27.2, respectively. Levo</w:t>
      </w:r>
      <w:r w:rsidR="006848B1">
        <w:t xml:space="preserve">glucosan </w:t>
      </w:r>
      <w:r>
        <w:t xml:space="preserve">(≥99%, ACROS Organics™) was obtained from Fisher, and the particles used in this work were sieved between 0.16-0.25mm. The three HZSM-5 catalyst </w:t>
      </w:r>
      <w:r>
        <w:lastRenderedPageBreak/>
        <w:t>samples (CBV8014, CBV5524, and CBV2314) were obtained from Zeolyst with a Si/Al ratio of 40, 25, and 11.5 respectively. The catalysts were first calcined in flowing air at 600°C for 5 hours starting with a heating rate of 3°C/min to get the proton form, and then pelletized to particles with a size ranging from 0.16 to 0.25 mm. </w:t>
      </w:r>
    </w:p>
    <w:p w14:paraId="0694DBC7" w14:textId="68BE39F5" w:rsidR="001D5D39" w:rsidRDefault="00EB2B6D" w:rsidP="001D05B7">
      <w:r w:rsidRPr="009664F0">
        <w:t xml:space="preserve">All catalytic reactions were performed in the reactor as described in </w:t>
      </w:r>
      <w:r w:rsidR="009664F0" w:rsidRPr="009664F0">
        <w:t>section 3.4</w:t>
      </w:r>
      <w:r w:rsidRPr="009664F0">
        <w:t>.</w:t>
      </w:r>
      <w:r>
        <w:t xml:space="preserve"> </w:t>
      </w:r>
      <w:r w:rsidR="001D5D39">
        <w:t xml:space="preserve">The catalyst performance was evaluated by exposing the catalyst to the vapors produced by the pyrolysis of a succession of 0.6-0.8mg pulses of biomass with the catalytically treated products of each pulse analyzed </w:t>
      </w:r>
      <w:r w:rsidR="009664F0" w:rsidRPr="009664F0">
        <w:t>in sections 3.2.3 – 3.2.6</w:t>
      </w:r>
      <w:r w:rsidR="001D5D39" w:rsidRPr="009664F0">
        <w:t>.</w:t>
      </w:r>
    </w:p>
    <w:p w14:paraId="4C29FBC1" w14:textId="6E21E153" w:rsidR="001D05B7" w:rsidRDefault="001D05B7" w:rsidP="005C7E19">
      <w:pPr>
        <w:pStyle w:val="Heading2"/>
      </w:pPr>
      <w:bookmarkStart w:id="65" w:name="_Toc449964861"/>
      <w:r>
        <w:t>Results and Discussion</w:t>
      </w:r>
      <w:bookmarkEnd w:id="65"/>
    </w:p>
    <w:p w14:paraId="01ABFC99" w14:textId="77777777" w:rsidR="001D05B7" w:rsidRDefault="001D05B7" w:rsidP="001D05B7">
      <w:pPr>
        <w:pStyle w:val="Heading3"/>
      </w:pPr>
      <w:bookmarkStart w:id="66" w:name="_Toc449964862"/>
      <w:r>
        <w:t>Catalyst characterization</w:t>
      </w:r>
      <w:bookmarkEnd w:id="66"/>
    </w:p>
    <w:p w14:paraId="3E06391F" w14:textId="48744CEB" w:rsidR="001D05B7" w:rsidRDefault="001D05B7" w:rsidP="001D05B7">
      <w:r>
        <w:t xml:space="preserve">XRD and SEM results (Figures </w:t>
      </w:r>
      <w:r w:rsidR="009664F0">
        <w:t>4</w:t>
      </w:r>
      <w:r w:rsidR="0069046A">
        <w:t xml:space="preserve">.1 </w:t>
      </w:r>
      <w:r w:rsidR="009664F0">
        <w:t>and 4</w:t>
      </w:r>
      <w:r w:rsidR="0069046A">
        <w:t>.2</w:t>
      </w:r>
      <w:r>
        <w:t>) demonstrate that all of the HZSM-5 samples retain their crystallinity after calcination and have a crystallite size of 100–500 nm. The acid site density was calculated based on the theoretical Si/Al ratio from inductively coupled plasma (ICP) analysis provided by the manufacturer. It has been shown experimentally that for HZSM-5 catalysts, the number of Brønsted acid sites is equal to their theoretical value</w:t>
      </w:r>
      <w:r w:rsidR="00675066">
        <w:t xml:space="preserve"> </w:t>
      </w:r>
      <w:r w:rsidR="00675066">
        <w:fldChar w:fldCharType="begin"/>
      </w:r>
      <w:r w:rsidR="00807999">
        <w:instrText xml:space="preserve"> ADDIN PAPERS2_CITATIONS &lt;citation&gt;&lt;uuid&gt;BDA5C5E8-0EEB-4C6B-9056-430E6155C0BC&lt;/uuid&gt;&lt;priority&gt;0&lt;/priority&gt;&lt;publications&gt;&lt;publication&gt;&lt;uuid&gt;226AE087-1C2A-4E9A-8557-E7DB71F2EDA3&lt;/uuid&gt;&lt;volume&gt;90&lt;/volume&gt;&lt;doi&gt;10.1016/0926-860X(92)85054-F&lt;/doi&gt;&lt;startpage&gt;145&lt;/startpage&gt;&lt;publication_date&gt;99199211011200000000222000&lt;/publication_date&gt;&lt;url&gt;http://linkinghub.elsevier.com/retrieve/pii/0926860X9285054F&lt;/url&gt;&lt;type&gt;400&lt;/type&gt;&lt;title&gt;Method for distinguishing Brønsted-acid sites in mixtures of H-ZSM-5, H-Y and silica-alumina&lt;/title&gt;&lt;publisher&gt;Elsevier&lt;/publisher&gt;&lt;number&gt;2&lt;/number&gt;&lt;subtype&gt;400&lt;/subtype&gt;&lt;endpage&gt;157&lt;/endpage&gt;&lt;bundle&gt;&lt;publication&gt;&lt;publisher&gt;Elsevier B.V.&lt;/publisher&gt;&lt;url&gt;http://www.google.com/search?client=safari&amp;amp;rls=10_7_4&amp;amp;q=Applied+Catalysis+A+General&amp;amp;ie=UTF-8&amp;amp;oe=UTF-8&lt;/url&gt;&lt;title&gt;Applied Catalysis A: General&lt;/title&gt;&lt;type&gt;-100&lt;/type&gt;&lt;subtype&gt;-100&lt;/subtype&gt;&lt;uuid&gt;E2C4D3ED-AA0E-40CD-AC16-1ADC89FE681C&lt;/uuid&gt;&lt;/publication&gt;&lt;/bundle&gt;&lt;authors&gt;&lt;author&gt;&lt;firstName&gt;C&lt;/firstName&gt;&lt;lastName&gt;Pereira&lt;/lastName&gt;&lt;/author&gt;&lt;author&gt;&lt;firstName&gt;R&lt;/firstName&gt;&lt;middleNames&gt;J&lt;/middleNames&gt;&lt;lastName&gt;Gorte&lt;/lastName&gt;&lt;/author&gt;&lt;/authors&gt;&lt;/publication&gt;&lt;/publications&gt;&lt;cites&gt;&lt;/cites&gt;&lt;/citation&gt;</w:instrText>
      </w:r>
      <w:r w:rsidR="00675066">
        <w:fldChar w:fldCharType="separate"/>
      </w:r>
      <w:r w:rsidR="001C1AAC">
        <w:t>(</w:t>
      </w:r>
      <w:r w:rsidR="001C1AAC">
        <w:rPr>
          <w:i/>
          <w:iCs/>
        </w:rPr>
        <w:t>154</w:t>
      </w:r>
      <w:r w:rsidR="001C1AAC">
        <w:t>)</w:t>
      </w:r>
      <w:r w:rsidR="00675066">
        <w:fldChar w:fldCharType="end"/>
      </w:r>
      <w:r w:rsidR="00675066">
        <w:t>.</w:t>
      </w:r>
      <w:r>
        <w:t xml:space="preserve"> This has also been demonstrated for commercial ZSM-5 samples obtained from Zeolyst</w:t>
      </w:r>
      <w:r w:rsidR="00675066">
        <w:t xml:space="preserve"> </w:t>
      </w:r>
      <w:r w:rsidR="00675066">
        <w:fldChar w:fldCharType="begin"/>
      </w:r>
      <w:r w:rsidR="00807999">
        <w:instrText xml:space="preserve"> ADDIN PAPERS2_CITATIONS &lt;citation&gt;&lt;uuid&gt;F47D1D54-497B-41C6-B1D8-9985EBBAEC21&lt;/uuid&gt;&lt;priority&gt;0&lt;/priority&gt;&lt;publications&gt;&lt;publication&gt;&lt;volume&gt;290&lt;/volume&gt;&lt;publication_date&gt;99201206001200000000220000&lt;/publication_date&gt;&lt;doi&gt;10.1016/j.jcat.2012.03.020&lt;/doi&gt;&lt;startpage&gt;210&lt;/startpage&gt;&lt;title&gt;Kinetics and mechanism of acetic acid esterification with ethanol on zeolites&lt;/title&gt;&lt;uuid&gt;14969A26-9FFA-4CB2-A81B-328458638745&lt;/uuid&gt;&lt;subtype&gt;400&lt;/subtype&gt;&lt;endpage&gt;219&lt;/endpage&gt;&lt;type&gt;400&lt;/type&gt;&lt;url&gt;http://linkinghub.elsevier.com/retrieve/pii/S0021951712000929&lt;/url&gt;&lt;bundle&gt;&lt;publication&gt;&lt;publisher&gt;Elsevier Inc.&lt;/publisher&gt;&lt;title&gt;Journal of Catalysis&lt;/title&gt;&lt;type&gt;-100&lt;/type&gt;&lt;subtype&gt;-100&lt;/subtype&gt;&lt;uuid&gt;39423B3D-1066-4CBD-8FE8-8CD5C3E0CDCD&lt;/uuid&gt;&lt;/publication&gt;&lt;/bundle&gt;&lt;authors&gt;&lt;author&gt;&lt;firstName&gt;Jeremy&lt;/firstName&gt;&lt;lastName&gt;Bedard&lt;/lastName&gt;&lt;/author&gt;&lt;author&gt;&lt;firstName&gt;Hsu&lt;/firstName&gt;&lt;lastName&gt;Chiang&lt;/lastName&gt;&lt;/author&gt;&lt;author&gt;&lt;firstName&gt;Aditya&lt;/firstName&gt;&lt;lastName&gt;Bhan&lt;/lastName&gt;&lt;/author&gt;&lt;/authors&gt;&lt;/publication&gt;&lt;/publications&gt;&lt;cites&gt;&lt;/cites&gt;&lt;/citation&gt;</w:instrText>
      </w:r>
      <w:r w:rsidR="00675066">
        <w:fldChar w:fldCharType="separate"/>
      </w:r>
      <w:r w:rsidR="001C1AAC">
        <w:t>(</w:t>
      </w:r>
      <w:r w:rsidR="001C1AAC">
        <w:rPr>
          <w:i/>
          <w:iCs/>
        </w:rPr>
        <w:t>155</w:t>
      </w:r>
      <w:r w:rsidR="001C1AAC">
        <w:t>)</w:t>
      </w:r>
      <w:r w:rsidR="00675066">
        <w:fldChar w:fldCharType="end"/>
      </w:r>
      <w:r w:rsidR="00675066">
        <w:t>.</w:t>
      </w:r>
    </w:p>
    <w:p w14:paraId="7B115945" w14:textId="06741BB3" w:rsidR="0069046A" w:rsidRDefault="0069046A" w:rsidP="005B60FA">
      <w:pPr>
        <w:pStyle w:val="NoSpacing"/>
      </w:pPr>
      <w:r w:rsidRPr="00565F4F">
        <w:rPr>
          <w:noProof/>
        </w:rPr>
        <w:lastRenderedPageBreak/>
        <w:drawing>
          <wp:inline distT="0" distB="0" distL="0" distR="0" wp14:anchorId="2F574CAA" wp14:editId="4324D6CC">
            <wp:extent cx="4276725" cy="2924175"/>
            <wp:effectExtent l="0" t="0" r="0" b="952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8316" t="9515" r="11892" b="1961"/>
                    <a:stretch/>
                  </pic:blipFill>
                  <pic:spPr bwMode="auto">
                    <a:xfrm>
                      <a:off x="0" y="0"/>
                      <a:ext cx="4301951" cy="2941423"/>
                    </a:xfrm>
                    <a:prstGeom prst="rect">
                      <a:avLst/>
                    </a:prstGeom>
                    <a:noFill/>
                    <a:ln>
                      <a:noFill/>
                    </a:ln>
                    <a:extLst>
                      <a:ext uri="{53640926-AAD7-44d8-BBD7-CCE9431645EC}">
                        <a14:shadowObscured xmlns=""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6484BE9F" w14:textId="11F5497E" w:rsidR="0069046A" w:rsidRDefault="0069046A" w:rsidP="0069046A">
      <w:pPr>
        <w:pStyle w:val="Caption"/>
        <w:rPr>
          <w:b w:val="0"/>
        </w:rPr>
      </w:pPr>
      <w:bookmarkStart w:id="67" w:name="_Toc449964962"/>
      <w:r>
        <w:t xml:space="preserve">Figure </w:t>
      </w:r>
      <w:fldSimple w:instr=" STYLEREF &quot;Chapter&quot; \s ">
        <w:r w:rsidR="00463F52">
          <w:rPr>
            <w:noProof/>
          </w:rPr>
          <w:t>4</w:t>
        </w:r>
      </w:fldSimple>
      <w:r>
        <w:t>.</w:t>
      </w:r>
      <w:r w:rsidR="003D7D2C">
        <w:fldChar w:fldCharType="begin"/>
      </w:r>
      <w:r w:rsidR="003D7D2C">
        <w:instrText xml:space="preserve"> SEQ Figure </w:instrText>
      </w:r>
      <w:r w:rsidR="000330AD">
        <w:instrText xml:space="preserve">\r 1 </w:instrText>
      </w:r>
      <w:r w:rsidR="003D7D2C">
        <w:instrText xml:space="preserve">\* ARABIC \s 1 </w:instrText>
      </w:r>
      <w:r w:rsidR="003D7D2C">
        <w:fldChar w:fldCharType="separate"/>
      </w:r>
      <w:r w:rsidR="00463F52">
        <w:rPr>
          <w:noProof/>
        </w:rPr>
        <w:t>1</w:t>
      </w:r>
      <w:r w:rsidR="003D7D2C">
        <w:rPr>
          <w:noProof/>
        </w:rPr>
        <w:fldChar w:fldCharType="end"/>
      </w:r>
      <w:r>
        <w:rPr>
          <w:noProof/>
        </w:rPr>
        <w:t xml:space="preserve">. </w:t>
      </w:r>
      <w:r w:rsidRPr="0069046A">
        <w:rPr>
          <w:b w:val="0"/>
        </w:rPr>
        <w:t>XRD of cbv2314, 5524 and 8014</w:t>
      </w:r>
      <w:bookmarkEnd w:id="67"/>
    </w:p>
    <w:p w14:paraId="494DBEA5" w14:textId="77777777" w:rsidR="0069046A" w:rsidRDefault="0069046A" w:rsidP="0069046A"/>
    <w:p w14:paraId="1522BC55" w14:textId="01BE1B1A" w:rsidR="006848B1" w:rsidRDefault="006848B1" w:rsidP="006848B1">
      <w:pPr>
        <w:pStyle w:val="NoSpacing"/>
      </w:pPr>
      <w:r>
        <w:t>a</w:t>
      </w:r>
      <w:r>
        <w:tab/>
      </w:r>
      <w:r>
        <w:tab/>
      </w:r>
      <w:r>
        <w:tab/>
      </w:r>
      <w:r>
        <w:tab/>
      </w:r>
      <w:r>
        <w:tab/>
      </w:r>
      <w:r>
        <w:tab/>
        <w:t xml:space="preserve">   b</w:t>
      </w:r>
    </w:p>
    <w:p w14:paraId="69AF39CF" w14:textId="404DEE0B" w:rsidR="0069046A" w:rsidRDefault="0069046A" w:rsidP="005B60FA">
      <w:pPr>
        <w:pStyle w:val="NoSpacing"/>
        <w:jc w:val="center"/>
      </w:pPr>
      <w:r w:rsidRPr="00BD1AE5">
        <w:rPr>
          <w:noProof/>
        </w:rPr>
        <w:drawing>
          <wp:inline distT="0" distB="0" distL="0" distR="0" wp14:anchorId="7EEA1811" wp14:editId="2FFFBB0E">
            <wp:extent cx="2514600" cy="1885950"/>
            <wp:effectExtent l="0" t="0" r="0" b="0"/>
            <wp:docPr id="38" name="Picture 38" descr="C:\Masters\RA\Yi Huang's data\Characterizations of commercial ZSM-5\Commercial\SEM of CBV2314 zsm-5 after calcination_H form\CBV 2314 after calcination_H form (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Masters\RA\Yi Huang's data\Characterizations of commercial ZSM-5\Commercial\SEM of CBV2314 zsm-5 after calcination_H form\CBV 2314 after calcination_H form (5).tif"/>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514600" cy="1885950"/>
                    </a:xfrm>
                    <a:prstGeom prst="rect">
                      <a:avLst/>
                    </a:prstGeom>
                    <a:noFill/>
                    <a:ln>
                      <a:noFill/>
                    </a:ln>
                  </pic:spPr>
                </pic:pic>
              </a:graphicData>
            </a:graphic>
          </wp:inline>
        </w:drawing>
      </w:r>
      <w:r w:rsidR="005B60FA">
        <w:t xml:space="preserve">        </w:t>
      </w:r>
      <w:r w:rsidRPr="00BD1AE5">
        <w:rPr>
          <w:noProof/>
        </w:rPr>
        <w:drawing>
          <wp:inline distT="0" distB="0" distL="0" distR="0" wp14:anchorId="3FC6E0B7" wp14:editId="1BEC7945">
            <wp:extent cx="2514600" cy="1971294"/>
            <wp:effectExtent l="0" t="0" r="0" b="10160"/>
            <wp:docPr id="39" name="Picture 39" descr="C:\Masters\RA\Yi Huang's data\Characterizations of commercial ZSM-5\Commercial\SEM of CBV5524G zsm-5 after calcination_H form\CBV5524G after calcination_H form (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Masters\RA\Yi Huang's data\Characterizations of commercial ZSM-5\Commercial\SEM of CBV5524G zsm-5 after calcination_H form\CBV5524G after calcination_H form (2).tif"/>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14600" cy="1971294"/>
                    </a:xfrm>
                    <a:prstGeom prst="rect">
                      <a:avLst/>
                    </a:prstGeom>
                    <a:noFill/>
                    <a:ln>
                      <a:noFill/>
                    </a:ln>
                  </pic:spPr>
                </pic:pic>
              </a:graphicData>
            </a:graphic>
          </wp:inline>
        </w:drawing>
      </w:r>
    </w:p>
    <w:p w14:paraId="752256C2" w14:textId="1FC1EB4F" w:rsidR="006848B1" w:rsidRDefault="006848B1" w:rsidP="006848B1">
      <w:pPr>
        <w:pStyle w:val="NoSpacing"/>
        <w:ind w:left="1440" w:firstLine="720"/>
      </w:pPr>
      <w:r>
        <w:t xml:space="preserve">  c</w:t>
      </w:r>
    </w:p>
    <w:p w14:paraId="1831EE49" w14:textId="1E32F66A" w:rsidR="0069046A" w:rsidRDefault="0069046A" w:rsidP="005B60FA">
      <w:pPr>
        <w:pStyle w:val="NoSpacing"/>
        <w:jc w:val="center"/>
      </w:pPr>
      <w:r w:rsidRPr="00BD1AE5">
        <w:rPr>
          <w:noProof/>
        </w:rPr>
        <w:drawing>
          <wp:inline distT="0" distB="0" distL="0" distR="0" wp14:anchorId="2423F483" wp14:editId="0967E0AD">
            <wp:extent cx="2514600" cy="1942755"/>
            <wp:effectExtent l="0" t="0" r="0" b="0"/>
            <wp:docPr id="40" name="Picture 40" descr="C:\Masters\RA\Yi Huang's data\Characterizations of commercial ZSM-5\Commercial\SEM of CBV8014 zsm-5 after calcination_H form\calcined CBV 8014 (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Masters\RA\Yi Huang's data\Characterizations of commercial ZSM-5\Commercial\SEM of CBV8014 zsm-5 after calcination_H form\calcined CBV 8014 (2).tif"/>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514600" cy="1942755"/>
                    </a:xfrm>
                    <a:prstGeom prst="rect">
                      <a:avLst/>
                    </a:prstGeom>
                    <a:noFill/>
                    <a:ln>
                      <a:noFill/>
                    </a:ln>
                  </pic:spPr>
                </pic:pic>
              </a:graphicData>
            </a:graphic>
          </wp:inline>
        </w:drawing>
      </w:r>
    </w:p>
    <w:p w14:paraId="571118E3" w14:textId="7FAA1E7D" w:rsidR="0069046A" w:rsidRDefault="0069046A" w:rsidP="0069046A">
      <w:pPr>
        <w:pStyle w:val="Caption"/>
        <w:rPr>
          <w:b w:val="0"/>
        </w:rPr>
      </w:pPr>
      <w:bookmarkStart w:id="68" w:name="_Toc449964963"/>
      <w:r>
        <w:t xml:space="preserve">Figure </w:t>
      </w:r>
      <w:fldSimple w:instr=" STYLEREF &quot;Chapter&quot; \s ">
        <w:r w:rsidR="00463F52">
          <w:rPr>
            <w:noProof/>
          </w:rPr>
          <w:t>4</w:t>
        </w:r>
      </w:fldSimple>
      <w:r>
        <w:t>.</w:t>
      </w:r>
      <w:fldSimple w:instr=" SEQ Figure \* ARABIC \s 1 ">
        <w:r w:rsidR="00463F52">
          <w:rPr>
            <w:noProof/>
          </w:rPr>
          <w:t>2</w:t>
        </w:r>
      </w:fldSimple>
      <w:r>
        <w:rPr>
          <w:noProof/>
        </w:rPr>
        <w:t xml:space="preserve">. </w:t>
      </w:r>
      <w:r w:rsidRPr="0069046A">
        <w:rPr>
          <w:b w:val="0"/>
        </w:rPr>
        <w:t>SEM image of cbv2314</w:t>
      </w:r>
      <w:r>
        <w:rPr>
          <w:b w:val="0"/>
        </w:rPr>
        <w:t xml:space="preserve"> (a)</w:t>
      </w:r>
      <w:r w:rsidRPr="0069046A">
        <w:rPr>
          <w:b w:val="0"/>
        </w:rPr>
        <w:t>, 5524</w:t>
      </w:r>
      <w:r>
        <w:rPr>
          <w:b w:val="0"/>
        </w:rPr>
        <w:t xml:space="preserve"> (b)</w:t>
      </w:r>
      <w:r w:rsidRPr="0069046A">
        <w:rPr>
          <w:b w:val="0"/>
        </w:rPr>
        <w:t xml:space="preserve"> and 8014</w:t>
      </w:r>
      <w:r>
        <w:rPr>
          <w:b w:val="0"/>
        </w:rPr>
        <w:t xml:space="preserve"> (c)</w:t>
      </w:r>
      <w:r w:rsidRPr="0069046A">
        <w:rPr>
          <w:b w:val="0"/>
        </w:rPr>
        <w:t>.</w:t>
      </w:r>
      <w:bookmarkEnd w:id="68"/>
    </w:p>
    <w:p w14:paraId="24CE178D" w14:textId="116A535E" w:rsidR="001D05B7" w:rsidRDefault="001D05B7" w:rsidP="001D05B7">
      <w:pPr>
        <w:pStyle w:val="Heading3"/>
      </w:pPr>
      <w:bookmarkStart w:id="69" w:name="_Toc449964863"/>
      <w:r>
        <w:lastRenderedPageBreak/>
        <w:t>Role of catalyst temperature</w:t>
      </w:r>
      <w:bookmarkEnd w:id="69"/>
    </w:p>
    <w:p w14:paraId="0FCA354E" w14:textId="1E65548A" w:rsidR="001D05B7" w:rsidRDefault="001D05B7" w:rsidP="001D05B7">
      <w:r>
        <w:t>As most catalytic pyrolysis experiments are conducted with the catalyst mixed physically with the biomass, modifying the temperature has an impact on both the pyrolysis and catalysis, which makes it difficult to decouple their respective roles. The formation of alkylbenzenes, which consist of single-ring aromatics (principally benzene, toluene, xylene, and mesitylene) over 4.46 mg of HZSM-5 in a sepa</w:t>
      </w:r>
      <w:r w:rsidR="0040659E">
        <w:t xml:space="preserve">rate reactor with Si/Al = </w:t>
      </w:r>
      <w:r>
        <w:t>40 at temperatures of 400–60</w:t>
      </w:r>
      <w:r w:rsidR="009664F0">
        <w:t>0°C is shown in Figure 4</w:t>
      </w:r>
      <w:r w:rsidR="0069046A">
        <w:t>.3</w:t>
      </w:r>
      <w:r>
        <w:t>. Pyrolysis conditions were maintained at 500°C in each case. No aromatics were produced in the blank (pyrolysis experiments with no catalyst). Of the three temperatures, the greatest aromatic yield is observed at 500°C, followed by 600°C, and the least at 400°C. The gas analysis of the primary light gas peaks quant</w:t>
      </w:r>
      <w:r w:rsidR="009664F0">
        <w:t>ified by MS is shown in Figure 4</w:t>
      </w:r>
      <w:r w:rsidR="0069046A">
        <w:t>.4</w:t>
      </w:r>
      <w:r>
        <w:t>. An increased level of light gases are produced at 600°C compared with the lower temperatures, which likely explains the decrease in the yield of aromatics under these conditions. The amount of gases reported here is in general agreement with that found in the literature for fluidized-bed catalytic pyrolysis, in which increased gas yields are obtained at increased temperatures</w:t>
      </w:r>
      <w:r w:rsidR="009D6B86">
        <w:t xml:space="preserve"> </w:t>
      </w:r>
      <w:r w:rsidR="009D6B86">
        <w:fldChar w:fldCharType="begin"/>
      </w:r>
      <w:r w:rsidR="00807999">
        <w:instrText xml:space="preserve"> ADDIN PAPERS2_CITATIONS &lt;citation&gt;&lt;uuid&gt;28113B71-BBC5-44BA-90E2-F0D3D4899810&lt;/uuid&gt;&lt;priority&gt;0&lt;/priority&gt;&lt;publications&gt;&lt;publication&gt;&lt;type&gt;400&lt;/type&gt;&lt;publication_date&gt;99201100001200000000200000&lt;/publication_date&gt;&lt;title&gt;Production of green aromatics and olefins by catalytic fast pyrolysis of wood sawdust - Energy &amp;amp; Environmental Science (RSC Publishing) DOI:10.1039/C0EE00341G&lt;/title&gt;&lt;url&gt;http://pubs.rsc.org/en/content/articlehtml/2011/ee/c0ee00341g&lt;/url&gt;&lt;subtype&gt;400&lt;/subtype&gt;&lt;uuid&gt;88D10271-E866-43F0-87BB-EBE9560EC1AA&lt;/uuid&gt;&lt;bundle&gt;&lt;publication&gt;&lt;title&gt;Energy &amp;amp; Environmental Science&lt;/title&gt;&lt;type&gt;-100&lt;/type&gt;&lt;subtype&gt;-100&lt;/subtype&gt;&lt;uuid&gt;E64DE592-61F4-41A7-AE89-5752A37B01CB&lt;/uuid&gt;&lt;/publication&gt;&lt;/bundle&gt;&lt;authors&gt;&lt;author&gt;&lt;firstName&gt;Torren&lt;/firstName&gt;&lt;middleNames&gt;R&lt;/middleNames&gt;&lt;lastName&gt;Carlson&lt;/lastName&gt;&lt;/author&gt;&lt;author&gt;&lt;firstName&gt;Yu-Ting&lt;/firstName&gt;&lt;middleNames&gt;T&lt;/middleNames&gt;&lt;lastName&gt;Cheng&lt;/lastName&gt;&lt;/author&gt;&lt;author&gt;&lt;firstName&gt;Jungho&lt;/firstName&gt;&lt;lastName&gt;Jae&lt;/lastName&gt;&lt;/author&gt;&lt;author&gt;&lt;firstName&gt;G W&lt;/firstName&gt;&lt;lastName&gt;Huber&lt;/lastName&gt;&lt;/author&gt;&lt;/authors&gt;&lt;/publication&gt;&lt;/publications&gt;&lt;cites&gt;&lt;/cites&gt;&lt;/citation&gt;</w:instrText>
      </w:r>
      <w:r w:rsidR="009D6B86">
        <w:fldChar w:fldCharType="separate"/>
      </w:r>
      <w:r w:rsidR="001C1AAC">
        <w:t>(</w:t>
      </w:r>
      <w:r w:rsidR="001C1AAC">
        <w:rPr>
          <w:i/>
          <w:iCs/>
        </w:rPr>
        <w:t>151</w:t>
      </w:r>
      <w:r w:rsidR="001C1AAC">
        <w:t>)</w:t>
      </w:r>
      <w:r w:rsidR="009D6B86">
        <w:fldChar w:fldCharType="end"/>
      </w:r>
      <w:r w:rsidR="009D6B86">
        <w:t>.</w:t>
      </w:r>
    </w:p>
    <w:p w14:paraId="377E4A30" w14:textId="1B9FC53D" w:rsidR="00610540" w:rsidRDefault="00D81FA2" w:rsidP="005B60FA">
      <w:pPr>
        <w:pStyle w:val="NoSpacing"/>
      </w:pPr>
      <w:r>
        <w:rPr>
          <w:noProof/>
        </w:rPr>
        <w:lastRenderedPageBreak/>
        <w:drawing>
          <wp:inline distT="0" distB="0" distL="0" distR="0" wp14:anchorId="69DAAAAB" wp14:editId="0153665A">
            <wp:extent cx="5394960" cy="411734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36609F06" w14:textId="19D6B742" w:rsidR="00D81FA2" w:rsidRDefault="00B3785B" w:rsidP="00B3785B">
      <w:pPr>
        <w:pStyle w:val="Caption"/>
      </w:pPr>
      <w:bookmarkStart w:id="70" w:name="_Toc449964964"/>
      <w:r>
        <w:t xml:space="preserve">Figure </w:t>
      </w:r>
      <w:fldSimple w:instr=" STYLEREF &quot;Chapter&quot; \s ">
        <w:r w:rsidR="00463F52">
          <w:rPr>
            <w:noProof/>
          </w:rPr>
          <w:t>4</w:t>
        </w:r>
      </w:fldSimple>
      <w:r>
        <w:t>.</w:t>
      </w:r>
      <w:fldSimple w:instr=" SEQ Figure \* ARABIC \s 1 ">
        <w:r w:rsidR="00463F52">
          <w:rPr>
            <w:noProof/>
          </w:rPr>
          <w:t>3</w:t>
        </w:r>
      </w:fldSimple>
      <w:r>
        <w:rPr>
          <w:noProof/>
        </w:rPr>
        <w:t xml:space="preserve">. </w:t>
      </w:r>
      <w:r w:rsidR="00BC50F8" w:rsidRPr="00BC50F8">
        <w:rPr>
          <w:b w:val="0"/>
        </w:rPr>
        <w:t>Comparison of alkyl benzenes production on HZSM-5 with Si/Al=40 from oak pyrolysis vapors at catalyst temperatures of 400, 500 and 600°C.</w:t>
      </w:r>
      <w:bookmarkEnd w:id="70"/>
    </w:p>
    <w:p w14:paraId="2CB8C05C" w14:textId="77777777" w:rsidR="00D81FA2" w:rsidRDefault="00D81FA2" w:rsidP="00D81FA2"/>
    <w:p w14:paraId="437DCF5C" w14:textId="7ECE80F1" w:rsidR="00BC50F8" w:rsidRDefault="00BC50F8" w:rsidP="005B60FA">
      <w:pPr>
        <w:pStyle w:val="NoSpacing"/>
      </w:pPr>
      <w:r>
        <w:rPr>
          <w:noProof/>
        </w:rPr>
        <w:drawing>
          <wp:inline distT="0" distB="0" distL="0" distR="0" wp14:anchorId="5335A83E" wp14:editId="031CBBAF">
            <wp:extent cx="5394960" cy="2607451"/>
            <wp:effectExtent l="0" t="0" r="0" b="889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379F5530" w14:textId="77777777" w:rsidR="0027763F" w:rsidRDefault="009A468D" w:rsidP="009A468D">
      <w:pPr>
        <w:pStyle w:val="Caption"/>
        <w:rPr>
          <w:b w:val="0"/>
          <w:noProof/>
        </w:rPr>
      </w:pPr>
      <w:bookmarkStart w:id="71" w:name="_Toc449964965"/>
      <w:r>
        <w:t xml:space="preserve">Figure </w:t>
      </w:r>
      <w:fldSimple w:instr=" STYLEREF &quot;Chapter&quot; \s ">
        <w:r w:rsidR="00463F52">
          <w:rPr>
            <w:noProof/>
          </w:rPr>
          <w:t>4</w:t>
        </w:r>
      </w:fldSimple>
      <w:r>
        <w:t>.</w:t>
      </w:r>
      <w:fldSimple w:instr=" SEQ Figure \* ARABIC \s 1 ">
        <w:r w:rsidR="00463F52">
          <w:rPr>
            <w:noProof/>
          </w:rPr>
          <w:t>4</w:t>
        </w:r>
      </w:fldSimple>
      <w:r w:rsidR="00B3785B">
        <w:rPr>
          <w:noProof/>
        </w:rPr>
        <w:t xml:space="preserve">. </w:t>
      </w:r>
      <w:r w:rsidR="00B3785B" w:rsidRPr="00B3785B">
        <w:rPr>
          <w:b w:val="0"/>
          <w:noProof/>
        </w:rPr>
        <w:t>Gas yields from the initial pulse of pyrolysis with 4.46mg HZSM5 of Si/Al = 40 under thr</w:t>
      </w:r>
      <w:r w:rsidR="0027763F">
        <w:rPr>
          <w:b w:val="0"/>
          <w:noProof/>
        </w:rPr>
        <w:t>ee different temperatures.</w:t>
      </w:r>
      <w:bookmarkEnd w:id="71"/>
      <w:r w:rsidR="0027763F">
        <w:rPr>
          <w:b w:val="0"/>
          <w:noProof/>
        </w:rPr>
        <w:t xml:space="preserve"> </w:t>
      </w:r>
    </w:p>
    <w:p w14:paraId="15EC0153" w14:textId="7693E95A" w:rsidR="00610540" w:rsidRDefault="00B3785B" w:rsidP="009A468D">
      <w:pPr>
        <w:pStyle w:val="Caption"/>
        <w:rPr>
          <w:b w:val="0"/>
          <w:noProof/>
        </w:rPr>
      </w:pPr>
      <w:r w:rsidRPr="00B3785B">
        <w:rPr>
          <w:b w:val="0"/>
          <w:noProof/>
        </w:rPr>
        <w:t>Pyrolysis was conducted at 500˚C while the temperature of the catalyst was varied from 400 to 600˚C.</w:t>
      </w:r>
    </w:p>
    <w:p w14:paraId="5B6BB00D" w14:textId="1666587E" w:rsidR="001D05B7" w:rsidRDefault="001D05B7" w:rsidP="001D05B7">
      <w:r>
        <w:lastRenderedPageBreak/>
        <w:t xml:space="preserve">The role of the catalyst is decoupled from that of the pyrolysis process for the production of light gases by separating the catalyst bed from the pyrolysis chamber. Based on these results, it appears that </w:t>
      </w:r>
      <w:r w:rsidR="00A05B76">
        <w:t>CH</w:t>
      </w:r>
      <w:r w:rsidR="00A05B76" w:rsidRPr="00A05B76">
        <w:rPr>
          <w:vertAlign w:val="subscript"/>
        </w:rPr>
        <w:t>4</w:t>
      </w:r>
      <w:r>
        <w:t xml:space="preserve"> formation is not influenced by the presence of a zeolite catalyst at 400 or 500°C, which is to be expected because of the b-scission pathway promoted by the zeolite catalysts used. An increase in </w:t>
      </w:r>
      <w:r w:rsidR="00A05B76">
        <w:t>CH</w:t>
      </w:r>
      <w:r w:rsidR="00A05B76" w:rsidRPr="00A05B76">
        <w:rPr>
          <w:vertAlign w:val="subscript"/>
        </w:rPr>
        <w:t>4</w:t>
      </w:r>
      <w:r>
        <w:t xml:space="preserve"> yield occurs at 600°C, which could be because of thermal reactions, enhanced pyrolytic cracking at elevated temperatures, or a combination of both. In addition, the yield of CO and </w:t>
      </w:r>
      <w:r w:rsidR="00A05B76">
        <w:t>CO</w:t>
      </w:r>
      <w:r w:rsidR="00A05B76" w:rsidRPr="00A05B76">
        <w:rPr>
          <w:vertAlign w:val="subscript"/>
        </w:rPr>
        <w:t>2</w:t>
      </w:r>
      <w:r>
        <w:t xml:space="preserve"> are roughly double in the catalytic case because of decarboxylation and decarbonylation of the oxygenated pyrolysis products. This increase in CO and </w:t>
      </w:r>
      <w:r w:rsidR="00A05B76">
        <w:t>CO</w:t>
      </w:r>
      <w:r w:rsidR="00A05B76" w:rsidRPr="00A05B76">
        <w:rPr>
          <w:vertAlign w:val="subscript"/>
        </w:rPr>
        <w:t>2</w:t>
      </w:r>
      <w:r>
        <w:t xml:space="preserve"> at increased temperature agrees with the increased conversion of light pyrolysis compounds (such as acetic acid and other light oxygenates) as well as lignin-derived methoxyphenols, all of which show essentially full conversion at 600°C and a greater abundance exits the reactor as the reactor temperature is decreased (Figures </w:t>
      </w:r>
      <w:r w:rsidR="009664F0">
        <w:t>4.5-4</w:t>
      </w:r>
      <w:r w:rsidR="00B5394B">
        <w:t>.7</w:t>
      </w:r>
      <w:r>
        <w:t>). An increase in the conversion of pyrolysis vapors with catalyst temperature is also evident from the yield of alkylbenzenes. For example, at 400°C the catalyst is not active enough to produce a high yield of aromatics with the amount of catalyst provided, whereas at 600°C a greater production of light gases results in a decreased aromatics yield compared to that at 500°C. A comparable trend is observed with the larger two-ring aromatics (Figure</w:t>
      </w:r>
      <w:r w:rsidR="009664F0">
        <w:t xml:space="preserve"> 4</w:t>
      </w:r>
      <w:r w:rsidR="002542FE">
        <w:t>.8</w:t>
      </w:r>
      <w:r>
        <w:t xml:space="preserve">). The yields of the additional intermediate compound groups, which include alkyl phenols, furans, and indanes, as well as the relatively stable product levoglucosan are shown in Figures </w:t>
      </w:r>
      <w:r w:rsidR="009664F0">
        <w:t>4.9 – 4</w:t>
      </w:r>
      <w:r w:rsidR="002542FE">
        <w:t>.</w:t>
      </w:r>
      <w:r w:rsidR="00F632D5">
        <w:t>12</w:t>
      </w:r>
      <w:r w:rsidR="002542FE">
        <w:t xml:space="preserve"> </w:t>
      </w:r>
    </w:p>
    <w:p w14:paraId="1BB6B638" w14:textId="5665CD1E" w:rsidR="0069046A" w:rsidRDefault="00D16C7C" w:rsidP="005B60FA">
      <w:pPr>
        <w:pStyle w:val="NoSpacing"/>
      </w:pPr>
      <w:r>
        <w:rPr>
          <w:noProof/>
        </w:rPr>
        <w:lastRenderedPageBreak/>
        <w:drawing>
          <wp:inline distT="0" distB="0" distL="0" distR="0" wp14:anchorId="1A7AEBE4" wp14:editId="796F5B88">
            <wp:extent cx="5394960" cy="3088640"/>
            <wp:effectExtent l="0" t="0" r="0" b="1016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4C67C03A" w14:textId="474A3695" w:rsidR="00503575" w:rsidRDefault="00503575" w:rsidP="00461C99">
      <w:pPr>
        <w:pStyle w:val="Caption"/>
        <w:rPr>
          <w:b w:val="0"/>
        </w:rPr>
      </w:pPr>
      <w:bookmarkStart w:id="72" w:name="_Toc449964966"/>
      <w:r>
        <w:t xml:space="preserve">Figure </w:t>
      </w:r>
      <w:fldSimple w:instr=" STYLEREF &quot;Chapter&quot; \s ">
        <w:r w:rsidR="00463F52">
          <w:rPr>
            <w:noProof/>
          </w:rPr>
          <w:t>4</w:t>
        </w:r>
      </w:fldSimple>
      <w:r>
        <w:t>.</w:t>
      </w:r>
      <w:fldSimple w:instr=" SEQ Figure \* ARABIC \s 1 ">
        <w:r w:rsidR="00463F52">
          <w:rPr>
            <w:noProof/>
          </w:rPr>
          <w:t>5</w:t>
        </w:r>
      </w:fldSimple>
      <w:r>
        <w:rPr>
          <w:noProof/>
        </w:rPr>
        <w:t xml:space="preserve">. </w:t>
      </w:r>
      <w:r w:rsidRPr="00503575">
        <w:rPr>
          <w:b w:val="0"/>
        </w:rPr>
        <w:t>Comparison of acetic acid conversion on HZSM-5 with Si/Al=40 from oak pyrolysis vapors at catalyst temperatures of 400, 500 and 600°C.</w:t>
      </w:r>
      <w:bookmarkEnd w:id="72"/>
    </w:p>
    <w:p w14:paraId="5312699B" w14:textId="77777777" w:rsidR="00C73380" w:rsidRPr="00C73380" w:rsidRDefault="00C73380" w:rsidP="00C73380"/>
    <w:p w14:paraId="2BBFD7D6" w14:textId="77777777" w:rsidR="00503575" w:rsidRDefault="00503575" w:rsidP="005B60FA">
      <w:pPr>
        <w:pStyle w:val="NoSpacing"/>
      </w:pPr>
      <w:r>
        <w:rPr>
          <w:noProof/>
        </w:rPr>
        <w:drawing>
          <wp:inline distT="0" distB="0" distL="0" distR="0" wp14:anchorId="2B472BDB" wp14:editId="7C52652D">
            <wp:extent cx="5394960" cy="3200400"/>
            <wp:effectExtent l="0" t="0" r="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6EE16C60" w14:textId="77777777" w:rsidR="0027763F" w:rsidRDefault="00503575" w:rsidP="00503575">
      <w:pPr>
        <w:pStyle w:val="Caption"/>
        <w:rPr>
          <w:b w:val="0"/>
        </w:rPr>
      </w:pPr>
      <w:bookmarkStart w:id="73" w:name="_Toc449964967"/>
      <w:r>
        <w:t xml:space="preserve">Figure </w:t>
      </w:r>
      <w:fldSimple w:instr=" STYLEREF &quot;Chapter&quot; \s ">
        <w:r w:rsidR="00463F52">
          <w:rPr>
            <w:noProof/>
          </w:rPr>
          <w:t>4</w:t>
        </w:r>
      </w:fldSimple>
      <w:r>
        <w:t>.</w:t>
      </w:r>
      <w:fldSimple w:instr=" SEQ Figure \* ARABIC \s 1 ">
        <w:r w:rsidR="00463F52">
          <w:rPr>
            <w:noProof/>
          </w:rPr>
          <w:t>6</w:t>
        </w:r>
      </w:fldSimple>
      <w:r>
        <w:rPr>
          <w:noProof/>
        </w:rPr>
        <w:t xml:space="preserve">. </w:t>
      </w:r>
      <w:r w:rsidRPr="00503575">
        <w:rPr>
          <w:b w:val="0"/>
        </w:rPr>
        <w:t>Comparison of methoxyphenolics conversion on HZSM-5 with Si/Al=40 from oak pyrolysis vapors at catalyst temp</w:t>
      </w:r>
      <w:r w:rsidR="0027763F">
        <w:rPr>
          <w:b w:val="0"/>
        </w:rPr>
        <w:t>eratures of 400, 500 and 600°C.</w:t>
      </w:r>
      <w:bookmarkEnd w:id="73"/>
    </w:p>
    <w:p w14:paraId="5AE1231C" w14:textId="590793C3" w:rsidR="00503575" w:rsidRDefault="00503575" w:rsidP="00503575">
      <w:pPr>
        <w:pStyle w:val="Caption"/>
        <w:rPr>
          <w:b w:val="0"/>
        </w:rPr>
      </w:pPr>
      <w:r w:rsidRPr="00503575">
        <w:rPr>
          <w:b w:val="0"/>
        </w:rPr>
        <w:t>Compounds in this group mainly include Creosol, Acetovanillone, Syringaldehyde, and Methoxyeugenol etc., which contain one, or more methoxy group attached in the benzene ring.</w:t>
      </w:r>
    </w:p>
    <w:p w14:paraId="048FAEE8" w14:textId="0643260F" w:rsidR="00503575" w:rsidRDefault="00503575" w:rsidP="005B60FA">
      <w:pPr>
        <w:pStyle w:val="NoSpacing"/>
      </w:pPr>
      <w:r>
        <w:rPr>
          <w:noProof/>
        </w:rPr>
        <w:lastRenderedPageBreak/>
        <w:drawing>
          <wp:inline distT="0" distB="0" distL="0" distR="0" wp14:anchorId="5917C964" wp14:editId="3EF6F498">
            <wp:extent cx="5394960" cy="3200400"/>
            <wp:effectExtent l="0" t="0" r="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4B2CF806" w14:textId="56FB69C1" w:rsidR="00503575" w:rsidRDefault="00503575" w:rsidP="00B5394B">
      <w:pPr>
        <w:pStyle w:val="Caption"/>
        <w:rPr>
          <w:b w:val="0"/>
        </w:rPr>
      </w:pPr>
      <w:bookmarkStart w:id="74" w:name="_Toc449964968"/>
      <w:r>
        <w:t xml:space="preserve">Figure </w:t>
      </w:r>
      <w:fldSimple w:instr=" STYLEREF &quot;Chapter&quot; \s ">
        <w:r w:rsidR="00463F52">
          <w:rPr>
            <w:noProof/>
          </w:rPr>
          <w:t>4</w:t>
        </w:r>
      </w:fldSimple>
      <w:r>
        <w:t>.</w:t>
      </w:r>
      <w:fldSimple w:instr=" SEQ Figure \* ARABIC \s 1 ">
        <w:r w:rsidR="00463F52">
          <w:rPr>
            <w:noProof/>
          </w:rPr>
          <w:t>7</w:t>
        </w:r>
      </w:fldSimple>
      <w:r>
        <w:rPr>
          <w:noProof/>
        </w:rPr>
        <w:t xml:space="preserve">. </w:t>
      </w:r>
      <w:r w:rsidR="00B5394B" w:rsidRPr="00B5394B">
        <w:rPr>
          <w:b w:val="0"/>
        </w:rPr>
        <w:t>Comparison of light oxygenates conversion on HZSM-5 with Si/Al=40 from oak pyrolysis vapors at catalyst temperatures of 400, 500 and 600°C.</w:t>
      </w:r>
      <w:bookmarkEnd w:id="74"/>
    </w:p>
    <w:p w14:paraId="0614F944" w14:textId="77777777" w:rsidR="00B5394B" w:rsidRDefault="00B5394B" w:rsidP="00B5394B"/>
    <w:p w14:paraId="7E391036" w14:textId="3EC29600" w:rsidR="00B5394B" w:rsidRDefault="008C2701" w:rsidP="005B60FA">
      <w:pPr>
        <w:pStyle w:val="NoSpacing"/>
      </w:pPr>
      <w:r w:rsidRPr="009F294B">
        <w:rPr>
          <w:noProof/>
        </w:rPr>
        <w:drawing>
          <wp:inline distT="0" distB="0" distL="0" distR="0" wp14:anchorId="4A015F55" wp14:editId="0C5397CF">
            <wp:extent cx="5394960" cy="3200400"/>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73868DAE" w14:textId="6108305E" w:rsidR="00B5394B" w:rsidRDefault="00B5394B" w:rsidP="00B5394B">
      <w:pPr>
        <w:pStyle w:val="Caption"/>
        <w:rPr>
          <w:b w:val="0"/>
        </w:rPr>
      </w:pPr>
      <w:bookmarkStart w:id="75" w:name="_Toc449964969"/>
      <w:r>
        <w:t xml:space="preserve">Figure </w:t>
      </w:r>
      <w:fldSimple w:instr=" STYLEREF &quot;Chapter&quot; \s ">
        <w:r w:rsidR="00463F52">
          <w:rPr>
            <w:noProof/>
          </w:rPr>
          <w:t>4</w:t>
        </w:r>
      </w:fldSimple>
      <w:r>
        <w:t>.</w:t>
      </w:r>
      <w:fldSimple w:instr=" SEQ Figure \* ARABIC \s 1 ">
        <w:r w:rsidR="00463F52">
          <w:rPr>
            <w:noProof/>
          </w:rPr>
          <w:t>8</w:t>
        </w:r>
      </w:fldSimple>
      <w:r>
        <w:rPr>
          <w:noProof/>
        </w:rPr>
        <w:t xml:space="preserve">. </w:t>
      </w:r>
      <w:r w:rsidR="008C2701" w:rsidRPr="008C2701">
        <w:rPr>
          <w:b w:val="0"/>
        </w:rPr>
        <w:t xml:space="preserve">Comparison of Napthalenes production on HZSM-5 with </w:t>
      </w:r>
      <w:r w:rsidRPr="00B5394B">
        <w:rPr>
          <w:b w:val="0"/>
        </w:rPr>
        <w:t>Si/Al=40 from oak pyrolysis vapors at catalyst t</w:t>
      </w:r>
      <w:r>
        <w:rPr>
          <w:b w:val="0"/>
        </w:rPr>
        <w:t>emperatures of 400, 500 and 600°</w:t>
      </w:r>
      <w:r w:rsidRPr="00B5394B">
        <w:rPr>
          <w:b w:val="0"/>
        </w:rPr>
        <w:t>C.</w:t>
      </w:r>
      <w:bookmarkEnd w:id="75"/>
    </w:p>
    <w:p w14:paraId="3A940858" w14:textId="668CFFDA" w:rsidR="002542FE" w:rsidRPr="002542FE" w:rsidRDefault="002542FE" w:rsidP="005B60FA">
      <w:pPr>
        <w:pStyle w:val="NoSpacing"/>
      </w:pPr>
      <w:r>
        <w:rPr>
          <w:noProof/>
        </w:rPr>
        <w:lastRenderedPageBreak/>
        <w:drawing>
          <wp:inline distT="0" distB="0" distL="0" distR="0" wp14:anchorId="4A404914" wp14:editId="06380B88">
            <wp:extent cx="5394960" cy="3200400"/>
            <wp:effectExtent l="0" t="0" r="0" b="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651F6B75" w14:textId="77777777" w:rsidR="00573E4C" w:rsidRDefault="002542FE" w:rsidP="002542FE">
      <w:pPr>
        <w:pStyle w:val="Caption"/>
        <w:rPr>
          <w:b w:val="0"/>
        </w:rPr>
      </w:pPr>
      <w:bookmarkStart w:id="76" w:name="_Toc449964970"/>
      <w:r>
        <w:t xml:space="preserve">Figure </w:t>
      </w:r>
      <w:fldSimple w:instr=" STYLEREF &quot;Chapter&quot; \s ">
        <w:r w:rsidR="00463F52">
          <w:rPr>
            <w:noProof/>
          </w:rPr>
          <w:t>4</w:t>
        </w:r>
      </w:fldSimple>
      <w:r>
        <w:t>.</w:t>
      </w:r>
      <w:fldSimple w:instr=" SEQ Figure \* ARABIC \s 1 ">
        <w:r w:rsidR="00463F52">
          <w:rPr>
            <w:noProof/>
          </w:rPr>
          <w:t>9</w:t>
        </w:r>
      </w:fldSimple>
      <w:r>
        <w:rPr>
          <w:noProof/>
        </w:rPr>
        <w:t xml:space="preserve">. </w:t>
      </w:r>
      <w:r w:rsidRPr="002542FE">
        <w:rPr>
          <w:b w:val="0"/>
        </w:rPr>
        <w:t>Comparison of indane/indene production on HZSM-5 for Si/Al=11.5, 25 and 40 from oak pyrolysis vapors with the fixed total sites at 50</w:t>
      </w:r>
      <w:r w:rsidR="00DE4AAB">
        <w:rPr>
          <w:b w:val="0"/>
        </w:rPr>
        <w:t>0°C</w:t>
      </w:r>
      <w:r w:rsidR="00573E4C">
        <w:rPr>
          <w:b w:val="0"/>
        </w:rPr>
        <w:t>.</w:t>
      </w:r>
      <w:bookmarkEnd w:id="76"/>
    </w:p>
    <w:p w14:paraId="5C68DACC" w14:textId="016A5CFF" w:rsidR="002542FE" w:rsidRDefault="002542FE" w:rsidP="002542FE">
      <w:pPr>
        <w:pStyle w:val="Caption"/>
        <w:rPr>
          <w:b w:val="0"/>
        </w:rPr>
      </w:pPr>
      <w:r w:rsidRPr="002542FE">
        <w:rPr>
          <w:b w:val="0"/>
        </w:rPr>
        <w:t>Compounds in this group include indane, Indene, Dimethyl Indene,</w:t>
      </w:r>
      <w:r>
        <w:rPr>
          <w:b w:val="0"/>
        </w:rPr>
        <w:t xml:space="preserve"> and 2,3-dihydro-1H-Inden-1-one</w:t>
      </w:r>
      <w:r w:rsidRPr="00B5394B">
        <w:rPr>
          <w:b w:val="0"/>
        </w:rPr>
        <w:t>.</w:t>
      </w:r>
    </w:p>
    <w:p w14:paraId="2B439231" w14:textId="77777777" w:rsidR="00B5394B" w:rsidRDefault="00B5394B" w:rsidP="00B5394B"/>
    <w:p w14:paraId="6BD6C5ED" w14:textId="37CBAB5F" w:rsidR="002542FE" w:rsidRDefault="002542FE" w:rsidP="005B60FA">
      <w:pPr>
        <w:pStyle w:val="NoSpacing"/>
      </w:pPr>
      <w:r>
        <w:rPr>
          <w:noProof/>
        </w:rPr>
        <w:drawing>
          <wp:inline distT="0" distB="0" distL="0" distR="0" wp14:anchorId="1B7A2146" wp14:editId="2DAFEB2F">
            <wp:extent cx="5394960" cy="3200400"/>
            <wp:effectExtent l="0" t="0" r="0" b="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52F7F3A2" w14:textId="392320A3" w:rsidR="002542FE" w:rsidRDefault="002542FE" w:rsidP="002542FE">
      <w:pPr>
        <w:pStyle w:val="Caption"/>
        <w:rPr>
          <w:b w:val="0"/>
        </w:rPr>
      </w:pPr>
      <w:bookmarkStart w:id="77" w:name="_Toc449964971"/>
      <w:r>
        <w:t xml:space="preserve">Figure </w:t>
      </w:r>
      <w:fldSimple w:instr=" STYLEREF &quot;Chapter&quot; \s ">
        <w:r w:rsidR="00463F52">
          <w:rPr>
            <w:noProof/>
          </w:rPr>
          <w:t>4</w:t>
        </w:r>
      </w:fldSimple>
      <w:r>
        <w:t>.</w:t>
      </w:r>
      <w:fldSimple w:instr=" SEQ Figure \* ARABIC \s 1 ">
        <w:r w:rsidR="00463F52">
          <w:rPr>
            <w:noProof/>
          </w:rPr>
          <w:t>10</w:t>
        </w:r>
      </w:fldSimple>
      <w:r>
        <w:rPr>
          <w:noProof/>
        </w:rPr>
        <w:t xml:space="preserve">. </w:t>
      </w:r>
      <w:r w:rsidRPr="002542FE">
        <w:rPr>
          <w:b w:val="0"/>
        </w:rPr>
        <w:t>Comparison of Benzofuran production on HZSM-5 for Si/Al=11.5, 25 and 40 from oak pyrolysis vapors with the fixed total sit</w:t>
      </w:r>
      <w:r>
        <w:rPr>
          <w:b w:val="0"/>
        </w:rPr>
        <w:t>es at 500°</w:t>
      </w:r>
      <w:r w:rsidRPr="002542FE">
        <w:rPr>
          <w:b w:val="0"/>
        </w:rPr>
        <w:t>C.</w:t>
      </w:r>
      <w:bookmarkEnd w:id="77"/>
    </w:p>
    <w:p w14:paraId="23647668" w14:textId="6F55C057" w:rsidR="002542FE" w:rsidRDefault="006A05F6" w:rsidP="005B60FA">
      <w:pPr>
        <w:pStyle w:val="NoSpacing"/>
      </w:pPr>
      <w:r w:rsidRPr="009F294B">
        <w:rPr>
          <w:noProof/>
        </w:rPr>
        <w:lastRenderedPageBreak/>
        <w:drawing>
          <wp:inline distT="0" distB="0" distL="0" distR="0" wp14:anchorId="47C0B7FA" wp14:editId="0F06E3F6">
            <wp:extent cx="5394960" cy="3200400"/>
            <wp:effectExtent l="0" t="0" r="0"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12E2713C" w14:textId="1EE3B7F7" w:rsidR="002542FE" w:rsidRDefault="002542FE" w:rsidP="002542FE">
      <w:pPr>
        <w:pStyle w:val="Caption"/>
        <w:rPr>
          <w:b w:val="0"/>
        </w:rPr>
      </w:pPr>
      <w:bookmarkStart w:id="78" w:name="_Toc449964972"/>
      <w:r>
        <w:t xml:space="preserve">Figure </w:t>
      </w:r>
      <w:fldSimple w:instr=" STYLEREF &quot;Chapter&quot; \s ">
        <w:r w:rsidR="00463F52">
          <w:rPr>
            <w:noProof/>
          </w:rPr>
          <w:t>4</w:t>
        </w:r>
      </w:fldSimple>
      <w:r>
        <w:t>.</w:t>
      </w:r>
      <w:fldSimple w:instr=" SEQ Figure \* ARABIC \s 1 ">
        <w:r w:rsidR="00463F52">
          <w:rPr>
            <w:noProof/>
          </w:rPr>
          <w:t>11</w:t>
        </w:r>
      </w:fldSimple>
      <w:r>
        <w:rPr>
          <w:noProof/>
        </w:rPr>
        <w:t xml:space="preserve">. </w:t>
      </w:r>
      <w:r w:rsidRPr="002542FE">
        <w:rPr>
          <w:b w:val="0"/>
        </w:rPr>
        <w:t>Comparison of Alkyl Phenols production on HZSM-5 with Si/Al=40 from oak pyrolysis vapors at catalyst temperatures of 400, 500 and 600°C.</w:t>
      </w:r>
      <w:bookmarkEnd w:id="78"/>
    </w:p>
    <w:p w14:paraId="70128E1A" w14:textId="013265A3" w:rsidR="002542FE" w:rsidRDefault="006A05F6" w:rsidP="005B60FA">
      <w:pPr>
        <w:pStyle w:val="NoSpacing"/>
      </w:pPr>
      <w:r w:rsidRPr="009F294B">
        <w:rPr>
          <w:noProof/>
        </w:rPr>
        <w:drawing>
          <wp:inline distT="0" distB="0" distL="0" distR="0" wp14:anchorId="0571D6CA" wp14:editId="78DC4792">
            <wp:extent cx="5394960" cy="3200400"/>
            <wp:effectExtent l="0" t="0" r="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7D8FB167" w14:textId="4BBACB4D" w:rsidR="002542FE" w:rsidRDefault="002542FE" w:rsidP="002542FE">
      <w:pPr>
        <w:pStyle w:val="Caption"/>
        <w:rPr>
          <w:b w:val="0"/>
        </w:rPr>
      </w:pPr>
      <w:bookmarkStart w:id="79" w:name="_Toc449964973"/>
      <w:r>
        <w:t xml:space="preserve">Figure </w:t>
      </w:r>
      <w:fldSimple w:instr=" STYLEREF &quot;Chapter&quot; \s ">
        <w:r w:rsidR="00463F52">
          <w:rPr>
            <w:noProof/>
          </w:rPr>
          <w:t>4</w:t>
        </w:r>
      </w:fldSimple>
      <w:r>
        <w:t>.</w:t>
      </w:r>
      <w:fldSimple w:instr=" SEQ Figure \* ARABIC \s 1 ">
        <w:r w:rsidR="00463F52">
          <w:rPr>
            <w:noProof/>
          </w:rPr>
          <w:t>12</w:t>
        </w:r>
      </w:fldSimple>
      <w:r>
        <w:rPr>
          <w:noProof/>
        </w:rPr>
        <w:t xml:space="preserve">. </w:t>
      </w:r>
      <w:r w:rsidRPr="002542FE">
        <w:rPr>
          <w:b w:val="0"/>
        </w:rPr>
        <w:t>Comparison of Levoglucosan/sugars production on HZSM-5 with Si/Al=40 from oak pyrolysis vapors at catalyst temperatures of 400, 500 and 600°C.</w:t>
      </w:r>
      <w:bookmarkEnd w:id="79"/>
    </w:p>
    <w:p w14:paraId="141ED2F5" w14:textId="4D9EB113" w:rsidR="002542FE" w:rsidRDefault="006A05F6" w:rsidP="005B60FA">
      <w:pPr>
        <w:pStyle w:val="NoSpacing"/>
      </w:pPr>
      <w:r w:rsidRPr="009F294B">
        <w:rPr>
          <w:noProof/>
        </w:rPr>
        <w:lastRenderedPageBreak/>
        <w:drawing>
          <wp:inline distT="0" distB="0" distL="0" distR="0" wp14:anchorId="5BFC14DF" wp14:editId="35B29697">
            <wp:extent cx="5394960" cy="3200400"/>
            <wp:effectExtent l="0" t="0" r="0" b="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69661B01" w14:textId="06435301" w:rsidR="002542FE" w:rsidRDefault="002542FE" w:rsidP="002542FE">
      <w:pPr>
        <w:pStyle w:val="Caption"/>
        <w:rPr>
          <w:b w:val="0"/>
        </w:rPr>
      </w:pPr>
      <w:bookmarkStart w:id="80" w:name="_Toc449964974"/>
      <w:r>
        <w:t xml:space="preserve">Figure </w:t>
      </w:r>
      <w:fldSimple w:instr=" STYLEREF &quot;Chapter&quot; \s ">
        <w:r w:rsidR="00463F52">
          <w:rPr>
            <w:noProof/>
          </w:rPr>
          <w:t>4</w:t>
        </w:r>
      </w:fldSimple>
      <w:r>
        <w:t>.</w:t>
      </w:r>
      <w:fldSimple w:instr=" SEQ Figure \* ARABIC \s 1 ">
        <w:r w:rsidR="00463F52">
          <w:rPr>
            <w:noProof/>
          </w:rPr>
          <w:t>13</w:t>
        </w:r>
      </w:fldSimple>
      <w:r>
        <w:rPr>
          <w:noProof/>
        </w:rPr>
        <w:t xml:space="preserve">. </w:t>
      </w:r>
      <w:r w:rsidRPr="002542FE">
        <w:rPr>
          <w:b w:val="0"/>
        </w:rPr>
        <w:t>Comparison of Indanes production on HZSM-5 with Si/Al=40 from oak pyrolysis vapors at catalyst temperatures of 400, 500 and 60</w:t>
      </w:r>
      <w:r w:rsidR="00DE4AAB">
        <w:rPr>
          <w:b w:val="0"/>
        </w:rPr>
        <w:t>0°C</w:t>
      </w:r>
      <w:r w:rsidRPr="002542FE">
        <w:rPr>
          <w:b w:val="0"/>
        </w:rPr>
        <w:t>.</w:t>
      </w:r>
      <w:bookmarkEnd w:id="80"/>
    </w:p>
    <w:p w14:paraId="0C95C9A9" w14:textId="1BCE65AC" w:rsidR="002542FE" w:rsidRDefault="006A05F6" w:rsidP="005B60FA">
      <w:pPr>
        <w:pStyle w:val="NoSpacing"/>
      </w:pPr>
      <w:r w:rsidRPr="009F294B">
        <w:rPr>
          <w:noProof/>
        </w:rPr>
        <w:drawing>
          <wp:inline distT="0" distB="0" distL="0" distR="0" wp14:anchorId="581F2710" wp14:editId="43662AA5">
            <wp:extent cx="5394960" cy="3200400"/>
            <wp:effectExtent l="0" t="0" r="0"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0D26E190" w14:textId="630E8B54" w:rsidR="002542FE" w:rsidRDefault="002542FE" w:rsidP="002542FE">
      <w:pPr>
        <w:pStyle w:val="Caption"/>
        <w:rPr>
          <w:b w:val="0"/>
        </w:rPr>
      </w:pPr>
      <w:bookmarkStart w:id="81" w:name="_Toc449964975"/>
      <w:r>
        <w:t xml:space="preserve">Figure </w:t>
      </w:r>
      <w:fldSimple w:instr=" STYLEREF &quot;Chapter&quot; \s ">
        <w:r w:rsidR="00463F52">
          <w:rPr>
            <w:noProof/>
          </w:rPr>
          <w:t>4</w:t>
        </w:r>
      </w:fldSimple>
      <w:r>
        <w:t>.</w:t>
      </w:r>
      <w:fldSimple w:instr=" SEQ Figure \* ARABIC \s 1 ">
        <w:r w:rsidR="00463F52">
          <w:rPr>
            <w:noProof/>
          </w:rPr>
          <w:t>14</w:t>
        </w:r>
      </w:fldSimple>
      <w:r>
        <w:rPr>
          <w:noProof/>
        </w:rPr>
        <w:t xml:space="preserve">. </w:t>
      </w:r>
      <w:r w:rsidRPr="002542FE">
        <w:rPr>
          <w:b w:val="0"/>
        </w:rPr>
        <w:t>Comparison of Furans production on HZSM-5 with Si/Al=40 from oak pyrolysis vapors at catalyst temperatures of 400, 500 and 60</w:t>
      </w:r>
      <w:r w:rsidR="00DE4AAB">
        <w:rPr>
          <w:b w:val="0"/>
        </w:rPr>
        <w:t>0°C</w:t>
      </w:r>
      <w:r w:rsidRPr="002542FE">
        <w:rPr>
          <w:b w:val="0"/>
        </w:rPr>
        <w:t>.</w:t>
      </w:r>
      <w:bookmarkEnd w:id="81"/>
    </w:p>
    <w:p w14:paraId="36C64215" w14:textId="4E769EA4" w:rsidR="002542FE" w:rsidRPr="002542FE" w:rsidRDefault="006A05F6" w:rsidP="005B60FA">
      <w:pPr>
        <w:pStyle w:val="NoSpacing"/>
      </w:pPr>
      <w:r w:rsidRPr="009F294B">
        <w:rPr>
          <w:noProof/>
        </w:rPr>
        <w:lastRenderedPageBreak/>
        <w:drawing>
          <wp:inline distT="0" distB="0" distL="0" distR="0" wp14:anchorId="37B0E028" wp14:editId="3EB02326">
            <wp:extent cx="5394960" cy="2860040"/>
            <wp:effectExtent l="0" t="0" r="0" b="1016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49B4A94B" w14:textId="739A755D" w:rsidR="002542FE" w:rsidRDefault="002542FE" w:rsidP="002542FE">
      <w:pPr>
        <w:pStyle w:val="Caption"/>
        <w:rPr>
          <w:b w:val="0"/>
        </w:rPr>
      </w:pPr>
      <w:bookmarkStart w:id="82" w:name="_Toc449964976"/>
      <w:r>
        <w:t xml:space="preserve">Figure </w:t>
      </w:r>
      <w:fldSimple w:instr=" STYLEREF &quot;Chapter&quot; \s ">
        <w:r w:rsidR="00463F52">
          <w:rPr>
            <w:noProof/>
          </w:rPr>
          <w:t>4</w:t>
        </w:r>
      </w:fldSimple>
      <w:r>
        <w:t>.</w:t>
      </w:r>
      <w:fldSimple w:instr=" SEQ Figure \* ARABIC \s 1 ">
        <w:r w:rsidR="00463F52">
          <w:rPr>
            <w:noProof/>
          </w:rPr>
          <w:t>15</w:t>
        </w:r>
      </w:fldSimple>
      <w:r>
        <w:rPr>
          <w:noProof/>
        </w:rPr>
        <w:t xml:space="preserve">. </w:t>
      </w:r>
      <w:r w:rsidR="006A05F6" w:rsidRPr="006A05F6">
        <w:rPr>
          <w:b w:val="0"/>
        </w:rPr>
        <w:t>Comparison of acetic acid conversion on HZSM-5 for Si/Al=11.5, 25 and 40 from oak pyrolysis vapors with the fixed total sites at 50</w:t>
      </w:r>
      <w:r w:rsidR="00DE4AAB">
        <w:rPr>
          <w:b w:val="0"/>
        </w:rPr>
        <w:t>0°C</w:t>
      </w:r>
      <w:r w:rsidR="006A05F6" w:rsidRPr="006A05F6">
        <w:rPr>
          <w:b w:val="0"/>
        </w:rPr>
        <w:t>.</w:t>
      </w:r>
      <w:bookmarkEnd w:id="82"/>
    </w:p>
    <w:p w14:paraId="32CF81A2" w14:textId="77777777" w:rsidR="002542FE" w:rsidRPr="00B5394B" w:rsidRDefault="002542FE" w:rsidP="00B5394B"/>
    <w:p w14:paraId="6442F384" w14:textId="4934E83C" w:rsidR="001D05B7" w:rsidRDefault="001D05B7" w:rsidP="001C12CB">
      <w:r>
        <w:t xml:space="preserve">The amount of coke was analyzed by temperature-programmed oxidation, and the results are reported in Table </w:t>
      </w:r>
      <w:r w:rsidR="009664F0">
        <w:t>4</w:t>
      </w:r>
      <w:r w:rsidR="000B45E4">
        <w:t>.</w:t>
      </w:r>
      <w:r>
        <w:t>1. A trend of a decreased amount of coke on catalysts with increased reaction temperature is observed, in agreement with results reported in the literature</w:t>
      </w:r>
      <w:r w:rsidR="009D6B86">
        <w:t xml:space="preserve"> </w:t>
      </w:r>
      <w:r w:rsidR="009D6B86">
        <w:fldChar w:fldCharType="begin"/>
      </w:r>
      <w:r w:rsidR="00807999">
        <w:instrText xml:space="preserve"> ADDIN PAPERS2_CITATIONS &lt;citation&gt;&lt;uuid&gt;B1DE7DBA-FA68-4642-9839-DD5E89335AFA&lt;/uuid&gt;&lt;priority&gt;0&lt;/priority&gt;&lt;publications&gt;&lt;publication&gt;&lt;type&gt;400&lt;/type&gt;&lt;publication_date&gt;99201100001200000000200000&lt;/publication_date&gt;&lt;title&gt;Production of green aromatics and olefins by catalytic fast pyrolysis of wood sawdust - Energy &amp;amp; Environmental Science (RSC Publishing) DOI:10.1039/C0EE00341G&lt;/title&gt;&lt;url&gt;http://pubs.rsc.org/en/content/articlehtml/2011/ee/c0ee00341g&lt;/url&gt;&lt;subtype&gt;400&lt;/subtype&gt;&lt;uuid&gt;88D10271-E866-43F0-87BB-EBE9560EC1AA&lt;/uuid&gt;&lt;bundle&gt;&lt;publication&gt;&lt;title&gt;Energy &amp;amp; Environmental Science&lt;/title&gt;&lt;type&gt;-100&lt;/type&gt;&lt;subtype&gt;-100&lt;/subtype&gt;&lt;uuid&gt;E64DE592-61F4-41A7-AE89-5752A37B01CB&lt;/uuid&gt;&lt;/publication&gt;&lt;/bundle&gt;&lt;authors&gt;&lt;author&gt;&lt;firstName&gt;Torren&lt;/firstName&gt;&lt;middleNames&gt;R&lt;/middleNames&gt;&lt;lastName&gt;Carlson&lt;/lastName&gt;&lt;/author&gt;&lt;author&gt;&lt;firstName&gt;Yu-Ting&lt;/firstName&gt;&lt;middleNames&gt;T&lt;/middleNames&gt;&lt;lastName&gt;Cheng&lt;/lastName&gt;&lt;/author&gt;&lt;author&gt;&lt;firstName&gt;Jungho&lt;/firstName&gt;&lt;lastName&gt;Jae&lt;/lastName&gt;&lt;/author&gt;&lt;author&gt;&lt;firstName&gt;G W&lt;/firstName&gt;&lt;lastName&gt;Huber&lt;/lastName&gt;&lt;/author&gt;&lt;/authors&gt;&lt;/publication&gt;&lt;/publications&gt;&lt;cites&gt;&lt;/cites&gt;&lt;/citation&gt;</w:instrText>
      </w:r>
      <w:r w:rsidR="009D6B86">
        <w:fldChar w:fldCharType="separate"/>
      </w:r>
      <w:r w:rsidR="001C1AAC">
        <w:t>(</w:t>
      </w:r>
      <w:r w:rsidR="001C1AAC">
        <w:rPr>
          <w:i/>
          <w:iCs/>
        </w:rPr>
        <w:t>151</w:t>
      </w:r>
      <w:r w:rsidR="001C1AAC">
        <w:t>)</w:t>
      </w:r>
      <w:r w:rsidR="009D6B86">
        <w:fldChar w:fldCharType="end"/>
      </w:r>
      <w:r w:rsidR="009D6B86">
        <w:t>.</w:t>
      </w:r>
      <w:r>
        <w:t xml:space="preserve"> This significant decrease in coke at higher temperatures appears to correspond with the production of more light gases</w:t>
      </w:r>
      <w:r w:rsidR="009C7895">
        <w:t>.</w:t>
      </w:r>
    </w:p>
    <w:tbl>
      <w:tblPr>
        <w:tblW w:w="7274"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004"/>
        <w:gridCol w:w="870"/>
        <w:gridCol w:w="1568"/>
        <w:gridCol w:w="1402"/>
        <w:gridCol w:w="2430"/>
      </w:tblGrid>
      <w:tr w:rsidR="00E01081" w:rsidRPr="008E2374" w14:paraId="199CAF99" w14:textId="77777777" w:rsidTr="00E01081">
        <w:trPr>
          <w:trHeight w:val="20"/>
        </w:trPr>
        <w:tc>
          <w:tcPr>
            <w:tcW w:w="1004" w:type="dxa"/>
            <w:tcBorders>
              <w:bottom w:val="nil"/>
            </w:tcBorders>
            <w:shd w:val="clear" w:color="auto" w:fill="auto"/>
            <w:vAlign w:val="center"/>
            <w:hideMark/>
          </w:tcPr>
          <w:p w14:paraId="74329233" w14:textId="77777777" w:rsidR="008E2374" w:rsidRPr="00EC6B2A" w:rsidRDefault="008E2374" w:rsidP="00C211A9">
            <w:pPr>
              <w:pStyle w:val="Tables"/>
            </w:pPr>
            <w:r w:rsidRPr="00EC6B2A">
              <w:t>Catalyst</w:t>
            </w:r>
          </w:p>
        </w:tc>
        <w:tc>
          <w:tcPr>
            <w:tcW w:w="870" w:type="dxa"/>
            <w:tcBorders>
              <w:bottom w:val="nil"/>
            </w:tcBorders>
            <w:shd w:val="clear" w:color="auto" w:fill="auto"/>
            <w:vAlign w:val="center"/>
            <w:hideMark/>
          </w:tcPr>
          <w:p w14:paraId="531FA3B7" w14:textId="77777777" w:rsidR="008E2374" w:rsidRPr="00EC6B2A" w:rsidRDefault="008E2374" w:rsidP="00C211A9">
            <w:pPr>
              <w:pStyle w:val="Tables"/>
            </w:pPr>
            <w:r w:rsidRPr="00EC6B2A">
              <w:t>Temp.</w:t>
            </w:r>
          </w:p>
        </w:tc>
        <w:tc>
          <w:tcPr>
            <w:tcW w:w="1568" w:type="dxa"/>
            <w:tcBorders>
              <w:bottom w:val="nil"/>
            </w:tcBorders>
            <w:shd w:val="clear" w:color="auto" w:fill="auto"/>
            <w:vAlign w:val="center"/>
            <w:hideMark/>
          </w:tcPr>
          <w:p w14:paraId="7FD8809D" w14:textId="7384CC0D" w:rsidR="008E2374" w:rsidRPr="00EC6B2A" w:rsidRDefault="008E2374" w:rsidP="00C211A9">
            <w:pPr>
              <w:pStyle w:val="Tables"/>
            </w:pPr>
            <w:r w:rsidRPr="00EC6B2A">
              <w:t>Cat</w:t>
            </w:r>
            <w:r w:rsidR="00E01081">
              <w:t>alyst</w:t>
            </w:r>
            <w:r w:rsidRPr="00EC6B2A">
              <w:t xml:space="preserve"> mass</w:t>
            </w:r>
          </w:p>
        </w:tc>
        <w:tc>
          <w:tcPr>
            <w:tcW w:w="3832" w:type="dxa"/>
            <w:gridSpan w:val="2"/>
            <w:tcBorders>
              <w:bottom w:val="nil"/>
            </w:tcBorders>
            <w:shd w:val="clear" w:color="auto" w:fill="auto"/>
            <w:vAlign w:val="center"/>
            <w:hideMark/>
          </w:tcPr>
          <w:p w14:paraId="2FCAFEC6" w14:textId="184818FC" w:rsidR="008E2374" w:rsidRPr="00EC6B2A" w:rsidRDefault="00E01081" w:rsidP="00C211A9">
            <w:pPr>
              <w:pStyle w:val="Tables"/>
            </w:pPr>
            <w:r>
              <w:t>Amount of coke</w:t>
            </w:r>
          </w:p>
        </w:tc>
      </w:tr>
      <w:tr w:rsidR="00E01081" w:rsidRPr="008E2374" w14:paraId="2491C469" w14:textId="77777777" w:rsidTr="00E01081">
        <w:trPr>
          <w:trHeight w:val="20"/>
        </w:trPr>
        <w:tc>
          <w:tcPr>
            <w:tcW w:w="1004" w:type="dxa"/>
            <w:tcBorders>
              <w:top w:val="nil"/>
              <w:bottom w:val="single" w:sz="4" w:space="0" w:color="auto"/>
            </w:tcBorders>
            <w:shd w:val="clear" w:color="auto" w:fill="auto"/>
            <w:vAlign w:val="center"/>
            <w:hideMark/>
          </w:tcPr>
          <w:p w14:paraId="2B0946DE" w14:textId="1B4CA495" w:rsidR="008E2374" w:rsidRPr="00E01081" w:rsidRDefault="008E2374" w:rsidP="00C211A9">
            <w:pPr>
              <w:pStyle w:val="Tables"/>
              <w:rPr>
                <w:vertAlign w:val="superscript"/>
              </w:rPr>
            </w:pPr>
            <w:r w:rsidRPr="00EC6B2A">
              <w:t>Si/Al</w:t>
            </w:r>
          </w:p>
        </w:tc>
        <w:tc>
          <w:tcPr>
            <w:tcW w:w="870" w:type="dxa"/>
            <w:tcBorders>
              <w:top w:val="nil"/>
              <w:bottom w:val="single" w:sz="4" w:space="0" w:color="auto"/>
            </w:tcBorders>
            <w:shd w:val="clear" w:color="auto" w:fill="auto"/>
            <w:vAlign w:val="center"/>
            <w:hideMark/>
          </w:tcPr>
          <w:p w14:paraId="1DF074AA" w14:textId="1F613944" w:rsidR="008E2374" w:rsidRPr="00EC6B2A" w:rsidRDefault="00E01081" w:rsidP="00C211A9">
            <w:pPr>
              <w:pStyle w:val="Tables"/>
            </w:pPr>
            <w:r w:rsidRPr="00E01081">
              <w:t>[</w:t>
            </w:r>
            <w:r w:rsidR="008E2374" w:rsidRPr="00EC6B2A">
              <w:rPr>
                <w:vertAlign w:val="superscript"/>
              </w:rPr>
              <w:t>o</w:t>
            </w:r>
            <w:r w:rsidR="008E2374" w:rsidRPr="00EC6B2A">
              <w:t>C</w:t>
            </w:r>
            <w:r>
              <w:t>]</w:t>
            </w:r>
          </w:p>
        </w:tc>
        <w:tc>
          <w:tcPr>
            <w:tcW w:w="1568" w:type="dxa"/>
            <w:tcBorders>
              <w:top w:val="nil"/>
              <w:bottom w:val="single" w:sz="4" w:space="0" w:color="auto"/>
            </w:tcBorders>
            <w:shd w:val="clear" w:color="auto" w:fill="auto"/>
            <w:vAlign w:val="center"/>
            <w:hideMark/>
          </w:tcPr>
          <w:p w14:paraId="2CB85236" w14:textId="078AD11C" w:rsidR="008E2374" w:rsidRPr="00EC6B2A" w:rsidRDefault="00E01081" w:rsidP="00C211A9">
            <w:pPr>
              <w:pStyle w:val="Tables"/>
            </w:pPr>
            <w:r>
              <w:t>[m</w:t>
            </w:r>
            <w:r w:rsidR="008E2374" w:rsidRPr="00EC6B2A">
              <w:t>g</w:t>
            </w:r>
            <w:r>
              <w:t>]</w:t>
            </w:r>
          </w:p>
        </w:tc>
        <w:tc>
          <w:tcPr>
            <w:tcW w:w="1402" w:type="dxa"/>
            <w:tcBorders>
              <w:top w:val="nil"/>
              <w:bottom w:val="single" w:sz="4" w:space="0" w:color="auto"/>
            </w:tcBorders>
            <w:shd w:val="clear" w:color="auto" w:fill="auto"/>
            <w:vAlign w:val="center"/>
            <w:hideMark/>
          </w:tcPr>
          <w:p w14:paraId="36369ACA" w14:textId="11D22B9F" w:rsidR="008E2374" w:rsidRPr="00E01081" w:rsidRDefault="00E01081" w:rsidP="00C211A9">
            <w:pPr>
              <w:pStyle w:val="Tables"/>
              <w:rPr>
                <w:vertAlign w:val="superscript"/>
              </w:rPr>
            </w:pPr>
            <w:r>
              <w:t>[</w:t>
            </w:r>
            <w:r w:rsidR="00EC6B2A">
              <w:t xml:space="preserve">µg </w:t>
            </w:r>
            <w:r w:rsidR="008E2374" w:rsidRPr="00EC6B2A">
              <w:t>mg</w:t>
            </w:r>
            <w:r w:rsidR="008E2374" w:rsidRPr="00EC6B2A">
              <w:rPr>
                <w:vertAlign w:val="subscript"/>
              </w:rPr>
              <w:t>oak</w:t>
            </w:r>
            <w:r>
              <w:rPr>
                <w:vertAlign w:val="superscript"/>
              </w:rPr>
              <w:t>-1</w:t>
            </w:r>
            <w:r w:rsidRPr="00E01081">
              <w:t>]</w:t>
            </w:r>
          </w:p>
        </w:tc>
        <w:tc>
          <w:tcPr>
            <w:tcW w:w="2430" w:type="dxa"/>
            <w:tcBorders>
              <w:top w:val="nil"/>
              <w:bottom w:val="single" w:sz="4" w:space="0" w:color="auto"/>
            </w:tcBorders>
            <w:shd w:val="clear" w:color="auto" w:fill="auto"/>
            <w:vAlign w:val="center"/>
            <w:hideMark/>
          </w:tcPr>
          <w:p w14:paraId="67DD018F" w14:textId="45B755D9" w:rsidR="008E2374" w:rsidRPr="00EC6B2A" w:rsidRDefault="00E01081" w:rsidP="00C211A9">
            <w:pPr>
              <w:pStyle w:val="Tables"/>
            </w:pPr>
            <w:r>
              <w:t>[µg mg</w:t>
            </w:r>
            <w:r w:rsidRPr="00E01081">
              <w:rPr>
                <w:vertAlign w:val="subscript"/>
              </w:rPr>
              <w:t>catalyst</w:t>
            </w:r>
            <w:r>
              <w:rPr>
                <w:vertAlign w:val="superscript"/>
              </w:rPr>
              <w:t>-1</w:t>
            </w:r>
            <w:r>
              <w:t xml:space="preserve"> mg</w:t>
            </w:r>
            <w:r w:rsidR="008E2374" w:rsidRPr="00E01081">
              <w:rPr>
                <w:vertAlign w:val="subscript"/>
              </w:rPr>
              <w:t>oak</w:t>
            </w:r>
            <w:r>
              <w:rPr>
                <w:vertAlign w:val="superscript"/>
              </w:rPr>
              <w:t>-1</w:t>
            </w:r>
            <w:r>
              <w:t>]</w:t>
            </w:r>
          </w:p>
        </w:tc>
      </w:tr>
      <w:tr w:rsidR="00E01081" w:rsidRPr="008E2374" w14:paraId="100D791E" w14:textId="77777777" w:rsidTr="00224E89">
        <w:trPr>
          <w:trHeight w:val="360"/>
        </w:trPr>
        <w:tc>
          <w:tcPr>
            <w:tcW w:w="7274" w:type="dxa"/>
            <w:gridSpan w:val="5"/>
            <w:tcBorders>
              <w:top w:val="single" w:sz="4" w:space="0" w:color="auto"/>
            </w:tcBorders>
            <w:shd w:val="clear" w:color="auto" w:fill="auto"/>
            <w:vAlign w:val="bottom"/>
            <w:hideMark/>
          </w:tcPr>
          <w:p w14:paraId="3FA09F56" w14:textId="2B4ED57F" w:rsidR="00E01081" w:rsidRPr="00EC6B2A" w:rsidRDefault="00E01081" w:rsidP="00C211A9">
            <w:pPr>
              <w:pStyle w:val="Tables"/>
            </w:pPr>
            <w:r w:rsidRPr="00EC6B2A">
              <w:t>Temperature Series</w:t>
            </w:r>
          </w:p>
        </w:tc>
      </w:tr>
      <w:tr w:rsidR="00E01081" w:rsidRPr="008E2374" w14:paraId="4594CBEF" w14:textId="77777777" w:rsidTr="00E01081">
        <w:trPr>
          <w:trHeight w:val="20"/>
        </w:trPr>
        <w:tc>
          <w:tcPr>
            <w:tcW w:w="1004" w:type="dxa"/>
            <w:shd w:val="clear" w:color="auto" w:fill="auto"/>
            <w:vAlign w:val="center"/>
            <w:hideMark/>
          </w:tcPr>
          <w:p w14:paraId="6FEC2353" w14:textId="77777777" w:rsidR="008E2374" w:rsidRPr="00EC6B2A" w:rsidRDefault="008E2374" w:rsidP="00C211A9">
            <w:pPr>
              <w:pStyle w:val="Tables"/>
            </w:pPr>
            <w:r w:rsidRPr="00EC6B2A">
              <w:t>40</w:t>
            </w:r>
          </w:p>
        </w:tc>
        <w:tc>
          <w:tcPr>
            <w:tcW w:w="870" w:type="dxa"/>
            <w:shd w:val="clear" w:color="auto" w:fill="auto"/>
            <w:vAlign w:val="center"/>
            <w:hideMark/>
          </w:tcPr>
          <w:p w14:paraId="51142688" w14:textId="77777777" w:rsidR="008E2374" w:rsidRPr="00EC6B2A" w:rsidRDefault="008E2374" w:rsidP="00C211A9">
            <w:pPr>
              <w:pStyle w:val="Tables"/>
            </w:pPr>
            <w:r w:rsidRPr="00EC6B2A">
              <w:t>400</w:t>
            </w:r>
          </w:p>
        </w:tc>
        <w:tc>
          <w:tcPr>
            <w:tcW w:w="1568" w:type="dxa"/>
            <w:shd w:val="clear" w:color="auto" w:fill="auto"/>
            <w:vAlign w:val="center"/>
            <w:hideMark/>
          </w:tcPr>
          <w:p w14:paraId="0D170128" w14:textId="77777777" w:rsidR="008E2374" w:rsidRPr="00EC6B2A" w:rsidRDefault="008E2374" w:rsidP="00C211A9">
            <w:pPr>
              <w:pStyle w:val="Tables"/>
            </w:pPr>
            <w:r w:rsidRPr="00EC6B2A">
              <w:t>4.46</w:t>
            </w:r>
          </w:p>
        </w:tc>
        <w:tc>
          <w:tcPr>
            <w:tcW w:w="1402" w:type="dxa"/>
            <w:shd w:val="clear" w:color="auto" w:fill="auto"/>
            <w:vAlign w:val="center"/>
            <w:hideMark/>
          </w:tcPr>
          <w:p w14:paraId="46941587" w14:textId="77777777" w:rsidR="008E2374" w:rsidRPr="00EC6B2A" w:rsidRDefault="008E2374" w:rsidP="00C211A9">
            <w:pPr>
              <w:pStyle w:val="Tables"/>
            </w:pPr>
            <w:r w:rsidRPr="00EC6B2A">
              <w:t>44.6</w:t>
            </w:r>
          </w:p>
        </w:tc>
        <w:tc>
          <w:tcPr>
            <w:tcW w:w="2430" w:type="dxa"/>
            <w:shd w:val="clear" w:color="auto" w:fill="auto"/>
            <w:vAlign w:val="center"/>
            <w:hideMark/>
          </w:tcPr>
          <w:p w14:paraId="3A0AA626" w14:textId="77777777" w:rsidR="008E2374" w:rsidRPr="00EC6B2A" w:rsidRDefault="008E2374" w:rsidP="00C211A9">
            <w:pPr>
              <w:pStyle w:val="Tables"/>
            </w:pPr>
            <w:r w:rsidRPr="00EC6B2A">
              <w:t>10</w:t>
            </w:r>
          </w:p>
        </w:tc>
      </w:tr>
      <w:tr w:rsidR="00E01081" w:rsidRPr="008E2374" w14:paraId="01AE9D81" w14:textId="77777777" w:rsidTr="00E01081">
        <w:trPr>
          <w:trHeight w:val="20"/>
        </w:trPr>
        <w:tc>
          <w:tcPr>
            <w:tcW w:w="1004" w:type="dxa"/>
            <w:shd w:val="clear" w:color="auto" w:fill="auto"/>
            <w:vAlign w:val="center"/>
            <w:hideMark/>
          </w:tcPr>
          <w:p w14:paraId="78605847" w14:textId="77777777" w:rsidR="008E2374" w:rsidRPr="00EC6B2A" w:rsidRDefault="008E2374" w:rsidP="00C211A9">
            <w:pPr>
              <w:pStyle w:val="Tables"/>
            </w:pPr>
            <w:r w:rsidRPr="00EC6B2A">
              <w:t>40</w:t>
            </w:r>
          </w:p>
        </w:tc>
        <w:tc>
          <w:tcPr>
            <w:tcW w:w="870" w:type="dxa"/>
            <w:shd w:val="clear" w:color="auto" w:fill="auto"/>
            <w:vAlign w:val="center"/>
            <w:hideMark/>
          </w:tcPr>
          <w:p w14:paraId="23278E6F" w14:textId="77777777" w:rsidR="008E2374" w:rsidRPr="00EC6B2A" w:rsidRDefault="008E2374" w:rsidP="00C211A9">
            <w:pPr>
              <w:pStyle w:val="Tables"/>
            </w:pPr>
            <w:r w:rsidRPr="00EC6B2A">
              <w:t>500</w:t>
            </w:r>
          </w:p>
        </w:tc>
        <w:tc>
          <w:tcPr>
            <w:tcW w:w="1568" w:type="dxa"/>
            <w:shd w:val="clear" w:color="auto" w:fill="auto"/>
            <w:vAlign w:val="center"/>
            <w:hideMark/>
          </w:tcPr>
          <w:p w14:paraId="3F900EDE" w14:textId="77777777" w:rsidR="008E2374" w:rsidRPr="00EC6B2A" w:rsidRDefault="008E2374" w:rsidP="00C211A9">
            <w:pPr>
              <w:pStyle w:val="Tables"/>
            </w:pPr>
            <w:r w:rsidRPr="00EC6B2A">
              <w:t>4.46</w:t>
            </w:r>
          </w:p>
        </w:tc>
        <w:tc>
          <w:tcPr>
            <w:tcW w:w="1402" w:type="dxa"/>
            <w:shd w:val="clear" w:color="auto" w:fill="auto"/>
            <w:vAlign w:val="center"/>
            <w:hideMark/>
          </w:tcPr>
          <w:p w14:paraId="14972C9F" w14:textId="77777777" w:rsidR="008E2374" w:rsidRPr="00EC6B2A" w:rsidRDefault="008E2374" w:rsidP="00C211A9">
            <w:pPr>
              <w:pStyle w:val="Tables"/>
            </w:pPr>
            <w:r w:rsidRPr="00EC6B2A">
              <w:t>42.4</w:t>
            </w:r>
          </w:p>
        </w:tc>
        <w:tc>
          <w:tcPr>
            <w:tcW w:w="2430" w:type="dxa"/>
            <w:shd w:val="clear" w:color="auto" w:fill="auto"/>
            <w:vAlign w:val="center"/>
            <w:hideMark/>
          </w:tcPr>
          <w:p w14:paraId="06979EAA" w14:textId="77777777" w:rsidR="008E2374" w:rsidRPr="00EC6B2A" w:rsidRDefault="008E2374" w:rsidP="00C211A9">
            <w:pPr>
              <w:pStyle w:val="Tables"/>
            </w:pPr>
            <w:r w:rsidRPr="00EC6B2A">
              <w:t>9.5</w:t>
            </w:r>
          </w:p>
        </w:tc>
      </w:tr>
      <w:tr w:rsidR="00E01081" w:rsidRPr="008E2374" w14:paraId="4E4B2CAA" w14:textId="77777777" w:rsidTr="00E01081">
        <w:trPr>
          <w:trHeight w:val="20"/>
        </w:trPr>
        <w:tc>
          <w:tcPr>
            <w:tcW w:w="1004" w:type="dxa"/>
            <w:shd w:val="clear" w:color="auto" w:fill="auto"/>
            <w:vAlign w:val="center"/>
            <w:hideMark/>
          </w:tcPr>
          <w:p w14:paraId="22DD04C1" w14:textId="77777777" w:rsidR="008E2374" w:rsidRPr="00EC6B2A" w:rsidRDefault="008E2374" w:rsidP="00C211A9">
            <w:pPr>
              <w:pStyle w:val="Tables"/>
            </w:pPr>
            <w:r w:rsidRPr="00EC6B2A">
              <w:t>40</w:t>
            </w:r>
          </w:p>
        </w:tc>
        <w:tc>
          <w:tcPr>
            <w:tcW w:w="870" w:type="dxa"/>
            <w:shd w:val="clear" w:color="auto" w:fill="auto"/>
            <w:vAlign w:val="center"/>
            <w:hideMark/>
          </w:tcPr>
          <w:p w14:paraId="140C1E02" w14:textId="77777777" w:rsidR="008E2374" w:rsidRPr="00EC6B2A" w:rsidRDefault="008E2374" w:rsidP="00C211A9">
            <w:pPr>
              <w:pStyle w:val="Tables"/>
            </w:pPr>
            <w:r w:rsidRPr="00EC6B2A">
              <w:t>600</w:t>
            </w:r>
          </w:p>
        </w:tc>
        <w:tc>
          <w:tcPr>
            <w:tcW w:w="1568" w:type="dxa"/>
            <w:shd w:val="clear" w:color="auto" w:fill="auto"/>
            <w:vAlign w:val="center"/>
            <w:hideMark/>
          </w:tcPr>
          <w:p w14:paraId="2FE7FE8E" w14:textId="77777777" w:rsidR="008E2374" w:rsidRPr="00EC6B2A" w:rsidRDefault="008E2374" w:rsidP="00C211A9">
            <w:pPr>
              <w:pStyle w:val="Tables"/>
            </w:pPr>
            <w:r w:rsidRPr="00EC6B2A">
              <w:t>4.46</w:t>
            </w:r>
          </w:p>
        </w:tc>
        <w:tc>
          <w:tcPr>
            <w:tcW w:w="1402" w:type="dxa"/>
            <w:shd w:val="clear" w:color="auto" w:fill="auto"/>
            <w:vAlign w:val="center"/>
            <w:hideMark/>
          </w:tcPr>
          <w:p w14:paraId="721D6087" w14:textId="77777777" w:rsidR="008E2374" w:rsidRPr="00EC6B2A" w:rsidRDefault="008E2374" w:rsidP="00C211A9">
            <w:pPr>
              <w:pStyle w:val="Tables"/>
            </w:pPr>
            <w:r w:rsidRPr="00EC6B2A">
              <w:t>22.3</w:t>
            </w:r>
          </w:p>
        </w:tc>
        <w:tc>
          <w:tcPr>
            <w:tcW w:w="2430" w:type="dxa"/>
            <w:shd w:val="clear" w:color="auto" w:fill="auto"/>
            <w:vAlign w:val="center"/>
            <w:hideMark/>
          </w:tcPr>
          <w:p w14:paraId="6C0D1E2A" w14:textId="77777777" w:rsidR="008E2374" w:rsidRPr="00EC6B2A" w:rsidRDefault="008E2374" w:rsidP="00C211A9">
            <w:pPr>
              <w:pStyle w:val="Tables"/>
            </w:pPr>
            <w:r w:rsidRPr="00EC6B2A">
              <w:t>5</w:t>
            </w:r>
          </w:p>
        </w:tc>
      </w:tr>
      <w:tr w:rsidR="00E01081" w:rsidRPr="008E2374" w14:paraId="03BDBFD3" w14:textId="77777777" w:rsidTr="00224E89">
        <w:trPr>
          <w:trHeight w:val="360"/>
        </w:trPr>
        <w:tc>
          <w:tcPr>
            <w:tcW w:w="7274" w:type="dxa"/>
            <w:gridSpan w:val="5"/>
            <w:shd w:val="clear" w:color="auto" w:fill="auto"/>
            <w:vAlign w:val="bottom"/>
            <w:hideMark/>
          </w:tcPr>
          <w:p w14:paraId="75D4E763" w14:textId="5E2D61EA" w:rsidR="00E01081" w:rsidRPr="00EC6B2A" w:rsidRDefault="00E01081" w:rsidP="00C211A9">
            <w:pPr>
              <w:pStyle w:val="Tables"/>
            </w:pPr>
            <w:r w:rsidRPr="00EC6B2A">
              <w:t>Constant Catalyst Mass Series</w:t>
            </w:r>
          </w:p>
        </w:tc>
      </w:tr>
      <w:tr w:rsidR="00E01081" w:rsidRPr="008E2374" w14:paraId="76959591" w14:textId="77777777" w:rsidTr="00E01081">
        <w:trPr>
          <w:trHeight w:val="20"/>
        </w:trPr>
        <w:tc>
          <w:tcPr>
            <w:tcW w:w="1004" w:type="dxa"/>
            <w:shd w:val="clear" w:color="auto" w:fill="auto"/>
            <w:vAlign w:val="center"/>
            <w:hideMark/>
          </w:tcPr>
          <w:p w14:paraId="2174A2B3" w14:textId="77777777" w:rsidR="008E2374" w:rsidRPr="00EC6B2A" w:rsidRDefault="008E2374" w:rsidP="00C211A9">
            <w:pPr>
              <w:pStyle w:val="Tables"/>
            </w:pPr>
            <w:r w:rsidRPr="00EC6B2A">
              <w:t>40</w:t>
            </w:r>
          </w:p>
        </w:tc>
        <w:tc>
          <w:tcPr>
            <w:tcW w:w="870" w:type="dxa"/>
            <w:shd w:val="clear" w:color="auto" w:fill="auto"/>
            <w:vAlign w:val="center"/>
            <w:hideMark/>
          </w:tcPr>
          <w:p w14:paraId="1292647A" w14:textId="77777777" w:rsidR="008E2374" w:rsidRPr="00EC6B2A" w:rsidRDefault="008E2374" w:rsidP="00C211A9">
            <w:pPr>
              <w:pStyle w:val="Tables"/>
            </w:pPr>
            <w:r w:rsidRPr="00EC6B2A">
              <w:t>500</w:t>
            </w:r>
          </w:p>
        </w:tc>
        <w:tc>
          <w:tcPr>
            <w:tcW w:w="1568" w:type="dxa"/>
            <w:shd w:val="clear" w:color="auto" w:fill="auto"/>
            <w:vAlign w:val="center"/>
            <w:hideMark/>
          </w:tcPr>
          <w:p w14:paraId="15255FAF" w14:textId="77777777" w:rsidR="008E2374" w:rsidRPr="00EC6B2A" w:rsidRDefault="008E2374" w:rsidP="00C211A9">
            <w:pPr>
              <w:pStyle w:val="Tables"/>
            </w:pPr>
            <w:r w:rsidRPr="00EC6B2A">
              <w:t>2.83</w:t>
            </w:r>
          </w:p>
        </w:tc>
        <w:tc>
          <w:tcPr>
            <w:tcW w:w="1402" w:type="dxa"/>
            <w:shd w:val="clear" w:color="auto" w:fill="auto"/>
            <w:vAlign w:val="center"/>
            <w:hideMark/>
          </w:tcPr>
          <w:p w14:paraId="55D47B5D" w14:textId="77777777" w:rsidR="008E2374" w:rsidRPr="00EC6B2A" w:rsidRDefault="008E2374" w:rsidP="00C211A9">
            <w:pPr>
              <w:pStyle w:val="Tables"/>
            </w:pPr>
            <w:r w:rsidRPr="00EC6B2A">
              <w:t>21.2</w:t>
            </w:r>
          </w:p>
        </w:tc>
        <w:tc>
          <w:tcPr>
            <w:tcW w:w="2430" w:type="dxa"/>
            <w:shd w:val="clear" w:color="auto" w:fill="auto"/>
            <w:vAlign w:val="center"/>
            <w:hideMark/>
          </w:tcPr>
          <w:p w14:paraId="538D80DE" w14:textId="77777777" w:rsidR="008E2374" w:rsidRPr="00EC6B2A" w:rsidRDefault="008E2374" w:rsidP="00C211A9">
            <w:pPr>
              <w:pStyle w:val="Tables"/>
            </w:pPr>
            <w:r w:rsidRPr="00EC6B2A">
              <w:t>7.5</w:t>
            </w:r>
          </w:p>
        </w:tc>
      </w:tr>
      <w:tr w:rsidR="00E01081" w:rsidRPr="008E2374" w14:paraId="14247751" w14:textId="77777777" w:rsidTr="00E01081">
        <w:trPr>
          <w:trHeight w:val="20"/>
        </w:trPr>
        <w:tc>
          <w:tcPr>
            <w:tcW w:w="1004" w:type="dxa"/>
            <w:shd w:val="clear" w:color="auto" w:fill="auto"/>
            <w:vAlign w:val="center"/>
            <w:hideMark/>
          </w:tcPr>
          <w:p w14:paraId="6397E278" w14:textId="77777777" w:rsidR="008E2374" w:rsidRPr="00EC6B2A" w:rsidRDefault="008E2374" w:rsidP="00C211A9">
            <w:pPr>
              <w:pStyle w:val="Tables"/>
            </w:pPr>
            <w:r w:rsidRPr="00EC6B2A">
              <w:t>25</w:t>
            </w:r>
          </w:p>
        </w:tc>
        <w:tc>
          <w:tcPr>
            <w:tcW w:w="870" w:type="dxa"/>
            <w:shd w:val="clear" w:color="auto" w:fill="auto"/>
            <w:vAlign w:val="center"/>
            <w:hideMark/>
          </w:tcPr>
          <w:p w14:paraId="54D80D1A" w14:textId="77777777" w:rsidR="008E2374" w:rsidRPr="00EC6B2A" w:rsidRDefault="008E2374" w:rsidP="00C211A9">
            <w:pPr>
              <w:pStyle w:val="Tables"/>
            </w:pPr>
            <w:r w:rsidRPr="00EC6B2A">
              <w:t>500</w:t>
            </w:r>
          </w:p>
        </w:tc>
        <w:tc>
          <w:tcPr>
            <w:tcW w:w="1568" w:type="dxa"/>
            <w:shd w:val="clear" w:color="auto" w:fill="auto"/>
            <w:vAlign w:val="center"/>
            <w:hideMark/>
          </w:tcPr>
          <w:p w14:paraId="7F7B93C8" w14:textId="77777777" w:rsidR="008E2374" w:rsidRPr="00EC6B2A" w:rsidRDefault="008E2374" w:rsidP="00C211A9">
            <w:pPr>
              <w:pStyle w:val="Tables"/>
            </w:pPr>
            <w:r w:rsidRPr="00EC6B2A">
              <w:t>2.83</w:t>
            </w:r>
          </w:p>
        </w:tc>
        <w:tc>
          <w:tcPr>
            <w:tcW w:w="1402" w:type="dxa"/>
            <w:shd w:val="clear" w:color="auto" w:fill="auto"/>
            <w:vAlign w:val="center"/>
            <w:hideMark/>
          </w:tcPr>
          <w:p w14:paraId="42E14ABB" w14:textId="77777777" w:rsidR="008E2374" w:rsidRPr="00EC6B2A" w:rsidRDefault="008E2374" w:rsidP="00C211A9">
            <w:pPr>
              <w:pStyle w:val="Tables"/>
            </w:pPr>
            <w:r w:rsidRPr="00EC6B2A">
              <w:t>36.8</w:t>
            </w:r>
          </w:p>
        </w:tc>
        <w:tc>
          <w:tcPr>
            <w:tcW w:w="2430" w:type="dxa"/>
            <w:shd w:val="clear" w:color="auto" w:fill="auto"/>
            <w:vAlign w:val="center"/>
            <w:hideMark/>
          </w:tcPr>
          <w:p w14:paraId="57FCB123" w14:textId="77777777" w:rsidR="008E2374" w:rsidRPr="00EC6B2A" w:rsidRDefault="008E2374" w:rsidP="00C211A9">
            <w:pPr>
              <w:pStyle w:val="Tables"/>
            </w:pPr>
            <w:r w:rsidRPr="00EC6B2A">
              <w:t>13</w:t>
            </w:r>
          </w:p>
        </w:tc>
      </w:tr>
      <w:tr w:rsidR="00E01081" w:rsidRPr="008E2374" w14:paraId="12E037B9" w14:textId="77777777" w:rsidTr="00E01081">
        <w:trPr>
          <w:trHeight w:val="20"/>
        </w:trPr>
        <w:tc>
          <w:tcPr>
            <w:tcW w:w="1004" w:type="dxa"/>
            <w:shd w:val="clear" w:color="auto" w:fill="auto"/>
            <w:vAlign w:val="center"/>
            <w:hideMark/>
          </w:tcPr>
          <w:p w14:paraId="56020B9B" w14:textId="77777777" w:rsidR="008E2374" w:rsidRPr="00EC6B2A" w:rsidRDefault="008E2374" w:rsidP="00C211A9">
            <w:pPr>
              <w:pStyle w:val="Tables"/>
            </w:pPr>
            <w:r w:rsidRPr="00EC6B2A">
              <w:t>11.5</w:t>
            </w:r>
          </w:p>
        </w:tc>
        <w:tc>
          <w:tcPr>
            <w:tcW w:w="870" w:type="dxa"/>
            <w:shd w:val="clear" w:color="auto" w:fill="auto"/>
            <w:vAlign w:val="center"/>
            <w:hideMark/>
          </w:tcPr>
          <w:p w14:paraId="27842774" w14:textId="77777777" w:rsidR="008E2374" w:rsidRPr="00EC6B2A" w:rsidRDefault="008E2374" w:rsidP="00C211A9">
            <w:pPr>
              <w:pStyle w:val="Tables"/>
            </w:pPr>
            <w:r w:rsidRPr="00EC6B2A">
              <w:t>500</w:t>
            </w:r>
          </w:p>
        </w:tc>
        <w:tc>
          <w:tcPr>
            <w:tcW w:w="1568" w:type="dxa"/>
            <w:shd w:val="clear" w:color="auto" w:fill="auto"/>
            <w:vAlign w:val="center"/>
            <w:hideMark/>
          </w:tcPr>
          <w:p w14:paraId="13EA676F" w14:textId="77777777" w:rsidR="008E2374" w:rsidRPr="00EC6B2A" w:rsidRDefault="008E2374" w:rsidP="00C211A9">
            <w:pPr>
              <w:pStyle w:val="Tables"/>
            </w:pPr>
            <w:r w:rsidRPr="00EC6B2A">
              <w:t>2.83</w:t>
            </w:r>
          </w:p>
        </w:tc>
        <w:tc>
          <w:tcPr>
            <w:tcW w:w="1402" w:type="dxa"/>
            <w:shd w:val="clear" w:color="auto" w:fill="auto"/>
            <w:vAlign w:val="center"/>
            <w:hideMark/>
          </w:tcPr>
          <w:p w14:paraId="228EBC15" w14:textId="77777777" w:rsidR="008E2374" w:rsidRPr="00EC6B2A" w:rsidRDefault="008E2374" w:rsidP="00C211A9">
            <w:pPr>
              <w:pStyle w:val="Tables"/>
            </w:pPr>
            <w:r w:rsidRPr="00EC6B2A">
              <w:t>18.4</w:t>
            </w:r>
          </w:p>
        </w:tc>
        <w:tc>
          <w:tcPr>
            <w:tcW w:w="2430" w:type="dxa"/>
            <w:shd w:val="clear" w:color="auto" w:fill="auto"/>
            <w:vAlign w:val="center"/>
            <w:hideMark/>
          </w:tcPr>
          <w:p w14:paraId="58D2324A" w14:textId="77777777" w:rsidR="008E2374" w:rsidRPr="00EC6B2A" w:rsidRDefault="008E2374" w:rsidP="00C211A9">
            <w:pPr>
              <w:pStyle w:val="Tables"/>
            </w:pPr>
            <w:r w:rsidRPr="00EC6B2A">
              <w:t>6.5</w:t>
            </w:r>
          </w:p>
        </w:tc>
      </w:tr>
      <w:tr w:rsidR="00E01081" w:rsidRPr="008E2374" w14:paraId="784687AE" w14:textId="77777777" w:rsidTr="00224E89">
        <w:trPr>
          <w:trHeight w:val="360"/>
        </w:trPr>
        <w:tc>
          <w:tcPr>
            <w:tcW w:w="7274" w:type="dxa"/>
            <w:gridSpan w:val="5"/>
            <w:shd w:val="clear" w:color="auto" w:fill="auto"/>
            <w:vAlign w:val="bottom"/>
            <w:hideMark/>
          </w:tcPr>
          <w:p w14:paraId="5CFD30D0" w14:textId="414E6098" w:rsidR="00E01081" w:rsidRPr="00EC6B2A" w:rsidRDefault="00E01081" w:rsidP="00C211A9">
            <w:pPr>
              <w:pStyle w:val="Tables"/>
              <w:rPr>
                <w:color w:val="000000"/>
              </w:rPr>
            </w:pPr>
            <w:r w:rsidRPr="00EC6B2A">
              <w:rPr>
                <w:color w:val="000000"/>
              </w:rPr>
              <w:t>Constant Acid Sites Series</w:t>
            </w:r>
          </w:p>
        </w:tc>
      </w:tr>
      <w:tr w:rsidR="00E01081" w:rsidRPr="008E2374" w14:paraId="7633B761" w14:textId="77777777" w:rsidTr="00E01081">
        <w:trPr>
          <w:trHeight w:val="20"/>
        </w:trPr>
        <w:tc>
          <w:tcPr>
            <w:tcW w:w="1004" w:type="dxa"/>
            <w:shd w:val="clear" w:color="auto" w:fill="auto"/>
            <w:vAlign w:val="center"/>
            <w:hideMark/>
          </w:tcPr>
          <w:p w14:paraId="44D02289" w14:textId="77777777" w:rsidR="008E2374" w:rsidRPr="00EC6B2A" w:rsidRDefault="008E2374" w:rsidP="00C211A9">
            <w:pPr>
              <w:pStyle w:val="Tables"/>
              <w:rPr>
                <w:color w:val="000000"/>
              </w:rPr>
            </w:pPr>
            <w:r w:rsidRPr="00EC6B2A">
              <w:rPr>
                <w:color w:val="000000"/>
              </w:rPr>
              <w:t>40</w:t>
            </w:r>
          </w:p>
        </w:tc>
        <w:tc>
          <w:tcPr>
            <w:tcW w:w="870" w:type="dxa"/>
            <w:shd w:val="clear" w:color="auto" w:fill="auto"/>
            <w:vAlign w:val="center"/>
            <w:hideMark/>
          </w:tcPr>
          <w:p w14:paraId="7FC9B337" w14:textId="77777777" w:rsidR="008E2374" w:rsidRPr="00EC6B2A" w:rsidRDefault="008E2374" w:rsidP="00C211A9">
            <w:pPr>
              <w:pStyle w:val="Tables"/>
              <w:rPr>
                <w:color w:val="000000"/>
              </w:rPr>
            </w:pPr>
            <w:r w:rsidRPr="00EC6B2A">
              <w:rPr>
                <w:color w:val="000000"/>
              </w:rPr>
              <w:t>500</w:t>
            </w:r>
          </w:p>
        </w:tc>
        <w:tc>
          <w:tcPr>
            <w:tcW w:w="1568" w:type="dxa"/>
            <w:shd w:val="clear" w:color="auto" w:fill="auto"/>
            <w:vAlign w:val="center"/>
            <w:hideMark/>
          </w:tcPr>
          <w:p w14:paraId="77ED2FD3" w14:textId="77777777" w:rsidR="008E2374" w:rsidRPr="00EC6B2A" w:rsidRDefault="008E2374" w:rsidP="00C211A9">
            <w:pPr>
              <w:pStyle w:val="Tables"/>
              <w:rPr>
                <w:color w:val="000000"/>
              </w:rPr>
            </w:pPr>
            <w:r w:rsidRPr="00EC6B2A">
              <w:rPr>
                <w:color w:val="000000"/>
              </w:rPr>
              <w:t>4.46</w:t>
            </w:r>
          </w:p>
        </w:tc>
        <w:tc>
          <w:tcPr>
            <w:tcW w:w="1402" w:type="dxa"/>
            <w:shd w:val="clear" w:color="auto" w:fill="auto"/>
            <w:vAlign w:val="center"/>
            <w:hideMark/>
          </w:tcPr>
          <w:p w14:paraId="6150B2C1" w14:textId="77777777" w:rsidR="008E2374" w:rsidRPr="00EC6B2A" w:rsidRDefault="008E2374" w:rsidP="00C211A9">
            <w:pPr>
              <w:pStyle w:val="Tables"/>
              <w:rPr>
                <w:color w:val="000000"/>
              </w:rPr>
            </w:pPr>
            <w:r w:rsidRPr="00EC6B2A">
              <w:rPr>
                <w:color w:val="000000"/>
              </w:rPr>
              <w:t>42.4</w:t>
            </w:r>
          </w:p>
        </w:tc>
        <w:tc>
          <w:tcPr>
            <w:tcW w:w="2430" w:type="dxa"/>
            <w:shd w:val="clear" w:color="auto" w:fill="auto"/>
            <w:vAlign w:val="center"/>
            <w:hideMark/>
          </w:tcPr>
          <w:p w14:paraId="6FE66EC0" w14:textId="77777777" w:rsidR="008E2374" w:rsidRPr="00EC6B2A" w:rsidRDefault="008E2374" w:rsidP="00C211A9">
            <w:pPr>
              <w:pStyle w:val="Tables"/>
              <w:rPr>
                <w:color w:val="000000"/>
              </w:rPr>
            </w:pPr>
            <w:r w:rsidRPr="00EC6B2A">
              <w:rPr>
                <w:color w:val="000000"/>
              </w:rPr>
              <w:t>9.5</w:t>
            </w:r>
          </w:p>
        </w:tc>
      </w:tr>
      <w:tr w:rsidR="00E01081" w:rsidRPr="008E2374" w14:paraId="18D916B5" w14:textId="77777777" w:rsidTr="00E01081">
        <w:trPr>
          <w:trHeight w:val="20"/>
        </w:trPr>
        <w:tc>
          <w:tcPr>
            <w:tcW w:w="1004" w:type="dxa"/>
            <w:shd w:val="clear" w:color="auto" w:fill="auto"/>
            <w:vAlign w:val="center"/>
            <w:hideMark/>
          </w:tcPr>
          <w:p w14:paraId="390EF95A" w14:textId="77777777" w:rsidR="008E2374" w:rsidRPr="00EC6B2A" w:rsidRDefault="008E2374" w:rsidP="00C211A9">
            <w:pPr>
              <w:pStyle w:val="Tables"/>
              <w:rPr>
                <w:color w:val="000000"/>
              </w:rPr>
            </w:pPr>
            <w:r w:rsidRPr="00EC6B2A">
              <w:rPr>
                <w:color w:val="000000"/>
              </w:rPr>
              <w:t>25</w:t>
            </w:r>
          </w:p>
        </w:tc>
        <w:tc>
          <w:tcPr>
            <w:tcW w:w="870" w:type="dxa"/>
            <w:shd w:val="clear" w:color="auto" w:fill="auto"/>
            <w:vAlign w:val="center"/>
            <w:hideMark/>
          </w:tcPr>
          <w:p w14:paraId="0E80C7F1" w14:textId="77777777" w:rsidR="008E2374" w:rsidRPr="00EC6B2A" w:rsidRDefault="008E2374" w:rsidP="00C211A9">
            <w:pPr>
              <w:pStyle w:val="Tables"/>
              <w:rPr>
                <w:color w:val="000000"/>
              </w:rPr>
            </w:pPr>
            <w:r w:rsidRPr="00EC6B2A">
              <w:rPr>
                <w:color w:val="000000"/>
              </w:rPr>
              <w:t>500</w:t>
            </w:r>
          </w:p>
        </w:tc>
        <w:tc>
          <w:tcPr>
            <w:tcW w:w="1568" w:type="dxa"/>
            <w:shd w:val="clear" w:color="auto" w:fill="auto"/>
            <w:vAlign w:val="center"/>
            <w:hideMark/>
          </w:tcPr>
          <w:p w14:paraId="7D831EA5" w14:textId="77777777" w:rsidR="008E2374" w:rsidRPr="00EC6B2A" w:rsidRDefault="008E2374" w:rsidP="00C211A9">
            <w:pPr>
              <w:pStyle w:val="Tables"/>
              <w:rPr>
                <w:color w:val="000000"/>
              </w:rPr>
            </w:pPr>
            <w:r w:rsidRPr="00EC6B2A">
              <w:rPr>
                <w:color w:val="000000"/>
              </w:rPr>
              <w:t>2.83</w:t>
            </w:r>
          </w:p>
        </w:tc>
        <w:tc>
          <w:tcPr>
            <w:tcW w:w="1402" w:type="dxa"/>
            <w:shd w:val="clear" w:color="auto" w:fill="auto"/>
            <w:vAlign w:val="center"/>
            <w:hideMark/>
          </w:tcPr>
          <w:p w14:paraId="2A3BA5B1" w14:textId="77777777" w:rsidR="008E2374" w:rsidRPr="00EC6B2A" w:rsidRDefault="008E2374" w:rsidP="00C211A9">
            <w:pPr>
              <w:pStyle w:val="Tables"/>
              <w:rPr>
                <w:color w:val="000000"/>
              </w:rPr>
            </w:pPr>
            <w:r w:rsidRPr="00EC6B2A">
              <w:rPr>
                <w:color w:val="000000"/>
              </w:rPr>
              <w:t>36.8</w:t>
            </w:r>
          </w:p>
        </w:tc>
        <w:tc>
          <w:tcPr>
            <w:tcW w:w="2430" w:type="dxa"/>
            <w:shd w:val="clear" w:color="auto" w:fill="auto"/>
            <w:vAlign w:val="center"/>
            <w:hideMark/>
          </w:tcPr>
          <w:p w14:paraId="4D50339E" w14:textId="77777777" w:rsidR="008E2374" w:rsidRPr="00EC6B2A" w:rsidRDefault="008E2374" w:rsidP="00C211A9">
            <w:pPr>
              <w:pStyle w:val="Tables"/>
              <w:rPr>
                <w:color w:val="000000"/>
              </w:rPr>
            </w:pPr>
            <w:r w:rsidRPr="00EC6B2A">
              <w:rPr>
                <w:color w:val="000000"/>
              </w:rPr>
              <w:t>13</w:t>
            </w:r>
          </w:p>
        </w:tc>
      </w:tr>
      <w:tr w:rsidR="00E01081" w:rsidRPr="008E2374" w14:paraId="4A70CDA8" w14:textId="77777777" w:rsidTr="00E01081">
        <w:trPr>
          <w:trHeight w:val="20"/>
        </w:trPr>
        <w:tc>
          <w:tcPr>
            <w:tcW w:w="1004" w:type="dxa"/>
            <w:shd w:val="clear" w:color="auto" w:fill="auto"/>
            <w:vAlign w:val="center"/>
            <w:hideMark/>
          </w:tcPr>
          <w:p w14:paraId="5B48DD38" w14:textId="77777777" w:rsidR="008E2374" w:rsidRPr="00EC6B2A" w:rsidRDefault="008E2374" w:rsidP="00C211A9">
            <w:pPr>
              <w:pStyle w:val="Tables"/>
              <w:rPr>
                <w:color w:val="000000"/>
              </w:rPr>
            </w:pPr>
            <w:r w:rsidRPr="00EC6B2A">
              <w:rPr>
                <w:color w:val="000000"/>
              </w:rPr>
              <w:t>11.5</w:t>
            </w:r>
          </w:p>
        </w:tc>
        <w:tc>
          <w:tcPr>
            <w:tcW w:w="870" w:type="dxa"/>
            <w:shd w:val="clear" w:color="auto" w:fill="auto"/>
            <w:vAlign w:val="center"/>
            <w:hideMark/>
          </w:tcPr>
          <w:p w14:paraId="155B816B" w14:textId="77777777" w:rsidR="008E2374" w:rsidRPr="00EC6B2A" w:rsidRDefault="008E2374" w:rsidP="00C211A9">
            <w:pPr>
              <w:pStyle w:val="Tables"/>
              <w:rPr>
                <w:color w:val="000000"/>
              </w:rPr>
            </w:pPr>
            <w:r w:rsidRPr="00EC6B2A">
              <w:rPr>
                <w:color w:val="000000"/>
              </w:rPr>
              <w:t>500</w:t>
            </w:r>
          </w:p>
        </w:tc>
        <w:tc>
          <w:tcPr>
            <w:tcW w:w="1568" w:type="dxa"/>
            <w:shd w:val="clear" w:color="auto" w:fill="auto"/>
            <w:vAlign w:val="center"/>
            <w:hideMark/>
          </w:tcPr>
          <w:p w14:paraId="728091B4" w14:textId="77777777" w:rsidR="008E2374" w:rsidRPr="00EC6B2A" w:rsidRDefault="008E2374" w:rsidP="00C211A9">
            <w:pPr>
              <w:pStyle w:val="Tables"/>
              <w:rPr>
                <w:color w:val="000000"/>
              </w:rPr>
            </w:pPr>
            <w:r w:rsidRPr="00EC6B2A">
              <w:rPr>
                <w:color w:val="000000"/>
              </w:rPr>
              <w:t>1.36</w:t>
            </w:r>
          </w:p>
        </w:tc>
        <w:tc>
          <w:tcPr>
            <w:tcW w:w="1402" w:type="dxa"/>
            <w:shd w:val="clear" w:color="auto" w:fill="auto"/>
            <w:vAlign w:val="center"/>
            <w:hideMark/>
          </w:tcPr>
          <w:p w14:paraId="49628A32" w14:textId="77777777" w:rsidR="008E2374" w:rsidRPr="00EC6B2A" w:rsidRDefault="008E2374" w:rsidP="00C211A9">
            <w:pPr>
              <w:pStyle w:val="Tables"/>
              <w:rPr>
                <w:color w:val="000000"/>
              </w:rPr>
            </w:pPr>
            <w:r w:rsidRPr="00EC6B2A">
              <w:rPr>
                <w:color w:val="000000"/>
              </w:rPr>
              <w:t>6.8</w:t>
            </w:r>
          </w:p>
        </w:tc>
        <w:tc>
          <w:tcPr>
            <w:tcW w:w="2430" w:type="dxa"/>
            <w:shd w:val="clear" w:color="auto" w:fill="auto"/>
            <w:vAlign w:val="center"/>
            <w:hideMark/>
          </w:tcPr>
          <w:p w14:paraId="645C77E7" w14:textId="77777777" w:rsidR="008E2374" w:rsidRPr="00EC6B2A" w:rsidRDefault="008E2374" w:rsidP="00C211A9">
            <w:pPr>
              <w:pStyle w:val="Tables"/>
              <w:rPr>
                <w:color w:val="000000"/>
              </w:rPr>
            </w:pPr>
            <w:r w:rsidRPr="00EC6B2A">
              <w:rPr>
                <w:color w:val="000000"/>
              </w:rPr>
              <w:t>5</w:t>
            </w:r>
          </w:p>
        </w:tc>
      </w:tr>
    </w:tbl>
    <w:p w14:paraId="6A4B1E1D" w14:textId="4630B7F0" w:rsidR="008E2374" w:rsidRDefault="008E2374" w:rsidP="008E2374">
      <w:pPr>
        <w:pStyle w:val="Caption"/>
        <w:rPr>
          <w:b w:val="0"/>
        </w:rPr>
      </w:pPr>
      <w:bookmarkStart w:id="83" w:name="_Toc449964927"/>
      <w:r>
        <w:t xml:space="preserve">Table </w:t>
      </w:r>
      <w:fldSimple w:instr=" STYLEREF &quot;Chapter&quot; \s ">
        <w:r w:rsidR="00463F52">
          <w:rPr>
            <w:noProof/>
          </w:rPr>
          <w:t>4</w:t>
        </w:r>
      </w:fldSimple>
      <w:r>
        <w:t>.</w:t>
      </w:r>
      <w:r w:rsidR="00714B85">
        <w:fldChar w:fldCharType="begin"/>
      </w:r>
      <w:r w:rsidR="00714B85">
        <w:instrText xml:space="preserve"> SEQ Table</w:instrText>
      </w:r>
      <w:r w:rsidR="00D31934">
        <w:instrText xml:space="preserve"> \r 1</w:instrText>
      </w:r>
      <w:r w:rsidR="00714B85">
        <w:instrText xml:space="preserve"> \* ARABIC \s 1 </w:instrText>
      </w:r>
      <w:r w:rsidR="00714B85">
        <w:fldChar w:fldCharType="separate"/>
      </w:r>
      <w:r w:rsidR="00463F52">
        <w:rPr>
          <w:noProof/>
        </w:rPr>
        <w:t>1</w:t>
      </w:r>
      <w:r w:rsidR="00714B85">
        <w:rPr>
          <w:noProof/>
        </w:rPr>
        <w:fldChar w:fldCharType="end"/>
      </w:r>
      <w:r>
        <w:t>.</w:t>
      </w:r>
      <w:r w:rsidRPr="008E2374">
        <w:t xml:space="preserve"> </w:t>
      </w:r>
      <w:r w:rsidRPr="008E2374">
        <w:rPr>
          <w:b w:val="0"/>
        </w:rPr>
        <w:t xml:space="preserve">Comparison of coke </w:t>
      </w:r>
      <w:r>
        <w:rPr>
          <w:b w:val="0"/>
        </w:rPr>
        <w:t>on</w:t>
      </w:r>
      <w:r w:rsidRPr="008E2374">
        <w:rPr>
          <w:b w:val="0"/>
        </w:rPr>
        <w:t xml:space="preserve"> spent catalysts</w:t>
      </w:r>
      <w:r>
        <w:rPr>
          <w:b w:val="0"/>
        </w:rPr>
        <w:t xml:space="preserve"> after 10 pulses of biomass injected.</w:t>
      </w:r>
      <w:bookmarkEnd w:id="83"/>
      <w:r>
        <w:rPr>
          <w:b w:val="0"/>
        </w:rPr>
        <w:t xml:space="preserve"> </w:t>
      </w:r>
    </w:p>
    <w:p w14:paraId="105EB59E" w14:textId="2F1966AB" w:rsidR="001D05B7" w:rsidRDefault="001D05B7" w:rsidP="001D05B7">
      <w:pPr>
        <w:pStyle w:val="Heading3"/>
      </w:pPr>
      <w:bookmarkStart w:id="84" w:name="_Toc449964864"/>
      <w:r>
        <w:lastRenderedPageBreak/>
        <w:t>Varying acid site density</w:t>
      </w:r>
      <w:bookmarkEnd w:id="84"/>
    </w:p>
    <w:p w14:paraId="1A501ABE" w14:textId="667B429B" w:rsidR="001C12CB" w:rsidRDefault="001D05B7" w:rsidP="001C12CB">
      <w:r w:rsidRPr="001D05B7">
        <w:t>The alkylbenzene yields that result from the conversion of pyrolysis vapors over three different commercial zeolites with various Si</w:t>
      </w:r>
      <w:r w:rsidR="009664F0">
        <w:t>/Al ratios are shown in Figure 4</w:t>
      </w:r>
      <w:r w:rsidR="00423876">
        <w:t>.16</w:t>
      </w:r>
      <w:r w:rsidRPr="001D05B7">
        <w:t>. Repeated pulses of biomass were pyrolyzed in which the vapors passed over the catalyst. The sum of the masses of these pulses is reported on the x axis, analogous to increasing time-on-stream. The pyrolysis temperature and the catalytic reaction temperature were maintained at 500°C in each case. A reaction temperature of 500°C was chosen because of the optimal alkylbenzene yields obtained at this temperature, as discussed in the previous section. So as not to introduce additional bias, the number of acid sites was maintained at a constant level of 1.81 mmol for each catalyst bed by appropriate variation of catalyst mass. Interestingly, the yield of alkylbenzenes is comparable for the initial pulse in each case. This implies that the initial activity of the HZSM-5 zeolites is comparable for the production of alkylbenzenes independent of the acid site density. This comparable initial activity is significant and would not be obtained through traditional experiments conducted in situ in which catalyst deactivation rates and catalyst activity contribute simultaneously to product yields.</w:t>
      </w:r>
    </w:p>
    <w:p w14:paraId="6902B96E" w14:textId="1E3A2A49" w:rsidR="00AF4D16" w:rsidRDefault="00AF4D16" w:rsidP="005B60FA">
      <w:pPr>
        <w:pStyle w:val="NoSpacing"/>
      </w:pPr>
      <w:r>
        <w:rPr>
          <w:noProof/>
        </w:rPr>
        <w:lastRenderedPageBreak/>
        <w:drawing>
          <wp:inline distT="0" distB="0" distL="0" distR="0" wp14:anchorId="3874ED6A" wp14:editId="5AF5FF8C">
            <wp:extent cx="5394960" cy="3200400"/>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7A05EF44" w14:textId="50C95AD7" w:rsidR="00AF4D16" w:rsidRDefault="00AF4D16" w:rsidP="00AF4D16">
      <w:pPr>
        <w:pStyle w:val="Caption"/>
      </w:pPr>
      <w:bookmarkStart w:id="85" w:name="_Toc449964977"/>
      <w:r>
        <w:t xml:space="preserve">Figure </w:t>
      </w:r>
      <w:fldSimple w:instr=" STYLEREF &quot;Chapter&quot; \s ">
        <w:r w:rsidR="00463F52">
          <w:rPr>
            <w:noProof/>
          </w:rPr>
          <w:t>4</w:t>
        </w:r>
      </w:fldSimple>
      <w:r>
        <w:t>.</w:t>
      </w:r>
      <w:fldSimple w:instr=" SEQ Figure \* ARABIC \s 1 ">
        <w:r w:rsidR="00463F52">
          <w:rPr>
            <w:noProof/>
          </w:rPr>
          <w:t>16</w:t>
        </w:r>
      </w:fldSimple>
      <w:r>
        <w:rPr>
          <w:noProof/>
        </w:rPr>
        <w:t xml:space="preserve">. </w:t>
      </w:r>
      <w:r w:rsidRPr="00AF4D16">
        <w:rPr>
          <w:b w:val="0"/>
          <w:noProof/>
        </w:rPr>
        <w:t>Comparison of alkyl benzenes production on HZSM-5 for Si/Al=11.5, 25 and 40 from oak pyrolysis vapors with the fixed total sites at 500˚C.</w:t>
      </w:r>
      <w:bookmarkEnd w:id="85"/>
    </w:p>
    <w:p w14:paraId="406ECBE8" w14:textId="77777777" w:rsidR="00AF4D16" w:rsidRDefault="00AF4D16" w:rsidP="001C12CB"/>
    <w:p w14:paraId="0D1A7E69" w14:textId="29FF9FE3" w:rsidR="0014283F" w:rsidRDefault="0014283F" w:rsidP="001C12CB">
      <w:r>
        <w:t>The deactivation rates of the three catalysts are markedly different, with increased deactivation rates for the production of alkylbenzenes that result from increased acid site density. These trends were similar for the other aromatic product groups: naphthalene, indane/indene, benzofuran, and their derivatives (</w:t>
      </w:r>
      <w:r w:rsidR="009664F0">
        <w:t>Figures 4.8 - 4</w:t>
      </w:r>
      <w:r w:rsidR="00423876" w:rsidRPr="00423876">
        <w:t>.10)</w:t>
      </w:r>
      <w:r w:rsidR="00423876">
        <w:t xml:space="preserve">. </w:t>
      </w:r>
      <w:r>
        <w:t xml:space="preserve">A similar trend in deactivation can be observed for methoxyphenols (Figure </w:t>
      </w:r>
      <w:r w:rsidR="009664F0">
        <w:t>4</w:t>
      </w:r>
      <w:r w:rsidR="00423876">
        <w:t>.17</w:t>
      </w:r>
      <w:r>
        <w:t xml:space="preserve">) and light oxygenates (Figure </w:t>
      </w:r>
      <w:r w:rsidR="009664F0">
        <w:t>4</w:t>
      </w:r>
      <w:r w:rsidR="00423876">
        <w:t>.18</w:t>
      </w:r>
      <w:r>
        <w:t xml:space="preserve">). The trends in the deactivation rates for intermediate compounds alkylphenols, furans, and furan derivatives are shown in Figures </w:t>
      </w:r>
      <w:r w:rsidR="009664F0">
        <w:t>4</w:t>
      </w:r>
      <w:r w:rsidR="005B2F51">
        <w:t xml:space="preserve">.19, </w:t>
      </w:r>
      <w:r w:rsidR="009664F0">
        <w:t>4</w:t>
      </w:r>
      <w:r w:rsidR="005B2F51">
        <w:t>.20</w:t>
      </w:r>
      <w:r>
        <w:t xml:space="preserve">, and </w:t>
      </w:r>
      <w:r w:rsidR="009664F0">
        <w:t>4</w:t>
      </w:r>
      <w:r w:rsidR="005B2F51">
        <w:t>.21</w:t>
      </w:r>
      <w:r>
        <w:t xml:space="preserve">, respectively. Levoglucosan again demonstrates high stability across all catalysts (Figure </w:t>
      </w:r>
      <w:r w:rsidR="009664F0">
        <w:t>4</w:t>
      </w:r>
      <w:r w:rsidR="005B2F51">
        <w:t>.22</w:t>
      </w:r>
      <w:r>
        <w:t xml:space="preserve">). These results show that higher acid density, with a constant total number of acid sites (acid density mass), results in a severe deactivation of the catalyst. This result is not completely surprising as similar behavior has been observed by Bell et al. upon the conversion of propylene over HZSM-5 obtained from Zeolyst, the same </w:t>
      </w:r>
      <w:r>
        <w:lastRenderedPageBreak/>
        <w:t>source used in these experiments</w:t>
      </w:r>
      <w:r w:rsidR="009D6B86">
        <w:t xml:space="preserve"> </w:t>
      </w:r>
      <w:r w:rsidR="009D6B86">
        <w:fldChar w:fldCharType="begin"/>
      </w:r>
      <w:r w:rsidR="00807999">
        <w:instrText xml:space="preserve"> ADDIN PAPERS2_CITATIONS &lt;citation&gt;&lt;uuid&gt;60F1E831-EAD5-4C7C-8EA3-38C58FED2407&lt;/uuid&gt;&lt;priority&gt;0&lt;/priority&gt;&lt;publications&gt;&lt;publication&gt;&lt;volume&gt;288&lt;/volume&gt;&lt;publication_date&gt;99201204001200000000220000&lt;/publication_date&gt;&lt;doi&gt;10.1016/j.jcat.2012.01.002&lt;/doi&gt;&lt;startpage&gt;65&lt;/startpage&gt;&lt;title&gt;Effects of Brønsted-acid site proximity on the oligomerization of propene in H-MFI&lt;/title&gt;&lt;uuid&gt;D67CFF14-2AF7-476C-9D47-A9D8E9879EB7&lt;/uuid&gt;&lt;subtype&gt;400&lt;/subtype&gt;&lt;endpage&gt;73&lt;/endpage&gt;&lt;type&gt;400&lt;/type&gt;&lt;url&gt;http://linkinghub.elsevier.com/retrieve/pii/S0021951712000048&lt;/url&gt;&lt;bundle&gt;&lt;publication&gt;&lt;publisher&gt;Elsevier Inc.&lt;/publisher&gt;&lt;title&gt;Journal of Catalysis&lt;/title&gt;&lt;type&gt;-100&lt;/type&gt;&lt;subtype&gt;-100&lt;/subtype&gt;&lt;uuid&gt;39423B3D-1066-4CBD-8FE8-8CD5C3E0CDCD&lt;/uuid&gt;&lt;/publication&gt;&lt;/bundle&gt;&lt;authors&gt;&lt;author&gt;&lt;firstName&gt;Anton&lt;/firstName&gt;&lt;middleNames&gt;N&lt;/middleNames&gt;&lt;lastName&gt;Mlinar&lt;/lastName&gt;&lt;/author&gt;&lt;author&gt;&lt;firstName&gt;Paul&lt;/firstName&gt;&lt;middleNames&gt;M&lt;/middleNames&gt;&lt;lastName&gt;Zimmerman&lt;/lastName&gt;&lt;/author&gt;&lt;author&gt;&lt;firstName&gt;Fuat&lt;/firstName&gt;&lt;middleNames&gt;E&lt;/middleNames&gt;&lt;lastName&gt;Celik&lt;/lastName&gt;&lt;/author&gt;&lt;author&gt;&lt;firstName&gt;Martin&lt;/firstName&gt;&lt;lastName&gt;Head-Gordon&lt;/lastName&gt;&lt;/author&gt;&lt;author&gt;&lt;firstName&gt;Alexis&lt;/firstName&gt;&lt;middleNames&gt;T&lt;/middleNames&gt;&lt;lastName&gt;Bell&lt;/lastName&gt;&lt;/author&gt;&lt;/authors&gt;&lt;/publication&gt;&lt;/publications&gt;&lt;cites&gt;&lt;/cites&gt;&lt;/citation&gt;</w:instrText>
      </w:r>
      <w:r w:rsidR="009D6B86">
        <w:fldChar w:fldCharType="separate"/>
      </w:r>
      <w:r w:rsidR="001C1AAC">
        <w:t>(</w:t>
      </w:r>
      <w:r w:rsidR="001C1AAC">
        <w:rPr>
          <w:i/>
          <w:iCs/>
        </w:rPr>
        <w:t>150</w:t>
      </w:r>
      <w:r w:rsidR="001C1AAC">
        <w:t>)</w:t>
      </w:r>
      <w:r w:rsidR="009D6B86">
        <w:fldChar w:fldCharType="end"/>
      </w:r>
      <w:r w:rsidR="009D6B86">
        <w:t xml:space="preserve">. </w:t>
      </w:r>
      <w:r>
        <w:t xml:space="preserve">They observed decreased activity and a greater potential for aromatics formation over the catalysts with in-creased acid </w:t>
      </w:r>
      <w:r w:rsidRPr="00687997">
        <w:rPr>
          <w:rFonts w:cstheme="minorHAnsi"/>
        </w:rPr>
        <w:t>site</w:t>
      </w:r>
      <w:r>
        <w:t xml:space="preserve"> density, which they attributed to a higher population of oligomers in close proximity that led ultimately to aromatics production. For the feedstocks considered here,</w:t>
      </w:r>
      <w:r w:rsidR="005B2F51">
        <w:t xml:space="preserve"> </w:t>
      </w:r>
      <w:r>
        <w:t>a closer proximity of sites may influence the potential for condensation reactions such as aldol condensation</w:t>
      </w:r>
      <w:r w:rsidR="009D6B86">
        <w:t xml:space="preserve"> </w:t>
      </w:r>
      <w:r w:rsidR="009D6B86">
        <w:fldChar w:fldCharType="begin"/>
      </w:r>
      <w:r w:rsidR="00807999">
        <w:instrText xml:space="preserve"> ADDIN PAPERS2_CITATIONS &lt;citation&gt;&lt;uuid&gt;67608F19-C752-454C-B4DA-683B8C9382EA&lt;/uuid&gt;&lt;priority&gt;0&lt;/priority&gt;&lt;publications&gt;&lt;publication&gt;&lt;uuid&gt;2432854C-CF9E-4CFD-B323-68504D9A7C73&lt;/uuid&gt;&lt;volume&gt;271&lt;/volume&gt;&lt;doi&gt;10.1016/j.jcat.2010.01.017&lt;/doi&gt;&lt;startpage&gt;201&lt;/startpage&gt;&lt;publication_date&gt;99201005041200000000222000&lt;/publication_date&gt;&lt;url&gt;http://dx.doi.org/10.1016/j.jcat.2010.01.017&lt;/url&gt;&lt;type&gt;400&lt;/type&gt;&lt;title&gt;A comparison of the reactivities of propanal and propylene on HZSM-5&lt;/title&gt;&lt;publisher&gt;Elsevier Inc.&lt;/publisher&gt;&lt;number&gt;2&lt;/number&gt;&lt;subtype&gt;400&lt;/subtype&gt;&lt;endpage&gt;208&lt;/endpage&gt;&lt;bundle&gt;&lt;publication&gt;&lt;publisher&gt;Elsevier Inc.&lt;/publisher&gt;&lt;title&gt;Journal of Catalysis&lt;/title&gt;&lt;type&gt;-100&lt;/type&gt;&lt;subtype&gt;-100&lt;/subtype&gt;&lt;uuid&gt;39423B3D-1066-4CBD-8FE8-8CD5C3E0CDCD&lt;/uuid&gt;&lt;/publication&gt;&lt;/bundle&gt;&lt;authors&gt;&lt;author&gt;&lt;firstName&gt;Trung&lt;/firstName&gt;&lt;middleNames&gt;Q&lt;/middleNames&gt;&lt;lastName&gt;Hoang&lt;/lastName&gt;&lt;/author&gt;&lt;author&gt;&lt;firstName&gt;Xinli&lt;/firstName&gt;&lt;lastName&gt;Zhu&lt;/lastName&gt;&lt;/author&gt;&lt;author&gt;&lt;firstName&gt;Tawan&lt;/firstName&gt;&lt;lastName&gt;Sooknoi&lt;/lastName&gt;&lt;/author&gt;&lt;author&gt;&lt;firstName&gt;D&lt;/firstName&gt;&lt;middleNames&gt;E&lt;/middleNames&gt;&lt;lastName&gt;Resasco&lt;/lastName&gt;&lt;/author&gt;&lt;author&gt;&lt;firstName&gt;R&lt;/firstName&gt;&lt;middleNames&gt;G&lt;/middleNames&gt;&lt;lastName&gt;Mallinson&lt;/lastName&gt;&lt;/author&gt;&lt;/authors&gt;&lt;/publication&gt;&lt;/publications&gt;&lt;cites&gt;&lt;/cites&gt;&lt;/citation&gt;</w:instrText>
      </w:r>
      <w:r w:rsidR="009D6B86">
        <w:fldChar w:fldCharType="separate"/>
      </w:r>
      <w:r w:rsidR="001C1AAC">
        <w:t>(</w:t>
      </w:r>
      <w:r w:rsidR="001C1AAC">
        <w:rPr>
          <w:i/>
          <w:iCs/>
        </w:rPr>
        <w:t>156</w:t>
      </w:r>
      <w:r w:rsidR="001C1AAC">
        <w:t>)</w:t>
      </w:r>
      <w:r w:rsidR="009D6B86">
        <w:fldChar w:fldCharType="end"/>
      </w:r>
      <w:r>
        <w:t xml:space="preserve"> that could lead ultimately to pore plugging and catalyst deactivation.</w:t>
      </w:r>
    </w:p>
    <w:p w14:paraId="33BBB1FF" w14:textId="1E62A746" w:rsidR="00423876" w:rsidRDefault="00423876" w:rsidP="005B60FA">
      <w:pPr>
        <w:pStyle w:val="NoSpacing"/>
      </w:pPr>
      <w:r>
        <w:rPr>
          <w:noProof/>
        </w:rPr>
        <w:drawing>
          <wp:inline distT="0" distB="0" distL="0" distR="0" wp14:anchorId="49B7DB88" wp14:editId="6BB1373B">
            <wp:extent cx="5394960" cy="3843875"/>
            <wp:effectExtent l="0" t="0" r="0" b="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50A6749F" w14:textId="77777777" w:rsidR="00573E4C" w:rsidRDefault="00423876" w:rsidP="00423876">
      <w:pPr>
        <w:pStyle w:val="Caption"/>
        <w:rPr>
          <w:b w:val="0"/>
          <w:noProof/>
        </w:rPr>
      </w:pPr>
      <w:bookmarkStart w:id="86" w:name="_Toc449964978"/>
      <w:r>
        <w:t xml:space="preserve">Figure </w:t>
      </w:r>
      <w:fldSimple w:instr=" STYLEREF &quot;Chapter&quot; \s ">
        <w:r w:rsidR="00463F52">
          <w:rPr>
            <w:noProof/>
          </w:rPr>
          <w:t>4</w:t>
        </w:r>
      </w:fldSimple>
      <w:r>
        <w:t>.</w:t>
      </w:r>
      <w:fldSimple w:instr=" SEQ Figure \* ARABIC \s 1 ">
        <w:r w:rsidR="00463F52">
          <w:rPr>
            <w:noProof/>
          </w:rPr>
          <w:t>17</w:t>
        </w:r>
      </w:fldSimple>
      <w:r>
        <w:rPr>
          <w:noProof/>
        </w:rPr>
        <w:t xml:space="preserve">. </w:t>
      </w:r>
      <w:r w:rsidRPr="00423876">
        <w:rPr>
          <w:b w:val="0"/>
          <w:noProof/>
        </w:rPr>
        <w:t>Comparison of methoxyphenols conversion on HZSM-5 for Si/Al=11.5, 25 and 40 from oak pyrolysis vapors wi</w:t>
      </w:r>
      <w:r>
        <w:rPr>
          <w:b w:val="0"/>
          <w:noProof/>
        </w:rPr>
        <w:t>th the fixed total sites at 500°</w:t>
      </w:r>
      <w:r w:rsidRPr="00423876">
        <w:rPr>
          <w:b w:val="0"/>
          <w:noProof/>
        </w:rPr>
        <w:t>C.</w:t>
      </w:r>
      <w:bookmarkEnd w:id="86"/>
    </w:p>
    <w:p w14:paraId="0EE6913D" w14:textId="1CD4E89B" w:rsidR="00423876" w:rsidRDefault="00423876" w:rsidP="00423876">
      <w:pPr>
        <w:pStyle w:val="Caption"/>
      </w:pPr>
      <w:r w:rsidRPr="00423876">
        <w:rPr>
          <w:b w:val="0"/>
          <w:noProof/>
        </w:rPr>
        <w:t>Compounds in this group mainly include Creosol, Acetovanillone, Syringaldehyde, and Methoxyeugenol etc., which contain one, or more methoxy group attached in the benzene ring.</w:t>
      </w:r>
    </w:p>
    <w:p w14:paraId="21A14890" w14:textId="77777777" w:rsidR="00423876" w:rsidRDefault="00423876" w:rsidP="001C12CB"/>
    <w:p w14:paraId="43697243" w14:textId="01D18A9D" w:rsidR="00423876" w:rsidRDefault="00423876" w:rsidP="005B60FA">
      <w:pPr>
        <w:pStyle w:val="NoSpacing"/>
      </w:pPr>
      <w:r>
        <w:rPr>
          <w:noProof/>
        </w:rPr>
        <w:lastRenderedPageBreak/>
        <w:drawing>
          <wp:inline distT="0" distB="0" distL="0" distR="0" wp14:anchorId="5EBF5A30" wp14:editId="2DD03A03">
            <wp:extent cx="5394960" cy="3200400"/>
            <wp:effectExtent l="0" t="0" r="0" b="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3A02CD39" w14:textId="77777777" w:rsidR="00573E4C" w:rsidRDefault="00423876" w:rsidP="00423876">
      <w:pPr>
        <w:pStyle w:val="Caption"/>
        <w:rPr>
          <w:b w:val="0"/>
          <w:noProof/>
        </w:rPr>
      </w:pPr>
      <w:bookmarkStart w:id="87" w:name="_Toc449964979"/>
      <w:r>
        <w:t xml:space="preserve">Figure </w:t>
      </w:r>
      <w:fldSimple w:instr=" STYLEREF &quot;Chapter&quot; \s ">
        <w:r w:rsidR="00463F52">
          <w:rPr>
            <w:noProof/>
          </w:rPr>
          <w:t>4</w:t>
        </w:r>
      </w:fldSimple>
      <w:r>
        <w:t>.</w:t>
      </w:r>
      <w:fldSimple w:instr=" SEQ Figure \* ARABIC \s 1 ">
        <w:r w:rsidR="00463F52">
          <w:rPr>
            <w:noProof/>
          </w:rPr>
          <w:t>18</w:t>
        </w:r>
      </w:fldSimple>
      <w:r>
        <w:rPr>
          <w:noProof/>
        </w:rPr>
        <w:t xml:space="preserve">. </w:t>
      </w:r>
      <w:r w:rsidRPr="00423876">
        <w:rPr>
          <w:b w:val="0"/>
          <w:noProof/>
        </w:rPr>
        <w:t>Comparison of light oxygenates conversion on HZSM-5 for Si/Al=11.5, 25 and 40 from oak pyrolysis vapors with the fixed total sites at 50</w:t>
      </w:r>
      <w:r w:rsidR="00DE4AAB">
        <w:rPr>
          <w:b w:val="0"/>
          <w:noProof/>
        </w:rPr>
        <w:t>0°C</w:t>
      </w:r>
      <w:r w:rsidR="00573E4C">
        <w:rPr>
          <w:b w:val="0"/>
          <w:noProof/>
        </w:rPr>
        <w:t>.</w:t>
      </w:r>
      <w:bookmarkEnd w:id="87"/>
    </w:p>
    <w:p w14:paraId="337CC39F" w14:textId="1887D1DC" w:rsidR="00423876" w:rsidRDefault="00423876" w:rsidP="00423876">
      <w:pPr>
        <w:pStyle w:val="Caption"/>
      </w:pPr>
      <w:r w:rsidRPr="00423876">
        <w:rPr>
          <w:b w:val="0"/>
          <w:noProof/>
        </w:rPr>
        <w:t>Compounds in this group include 2,3-butanedione, acetol, Hydroxybutanal, 2,3-Pentanedione, etc. Acetic acid and intermediate oxygenate products like acetone, furan and methyl-furan were not listed in this group.</w:t>
      </w:r>
    </w:p>
    <w:p w14:paraId="3F5145CA" w14:textId="4064F92B" w:rsidR="00423876" w:rsidRDefault="00423876" w:rsidP="005B60FA">
      <w:pPr>
        <w:pStyle w:val="NoSpacing"/>
      </w:pPr>
      <w:r>
        <w:rPr>
          <w:noProof/>
        </w:rPr>
        <w:drawing>
          <wp:inline distT="0" distB="0" distL="0" distR="0" wp14:anchorId="7CB7BF68" wp14:editId="690A3470">
            <wp:extent cx="5394960" cy="3200400"/>
            <wp:effectExtent l="0" t="0" r="0" b="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3B9D54DA" w14:textId="77777777" w:rsidR="00573E4C" w:rsidRDefault="00423876" w:rsidP="00423876">
      <w:pPr>
        <w:pStyle w:val="Caption"/>
        <w:rPr>
          <w:b w:val="0"/>
          <w:noProof/>
        </w:rPr>
      </w:pPr>
      <w:bookmarkStart w:id="88" w:name="_Toc449964980"/>
      <w:r>
        <w:t xml:space="preserve">Figure </w:t>
      </w:r>
      <w:fldSimple w:instr=" STYLEREF &quot;Chapter&quot; \s ">
        <w:r w:rsidR="00463F52">
          <w:rPr>
            <w:noProof/>
          </w:rPr>
          <w:t>4</w:t>
        </w:r>
      </w:fldSimple>
      <w:r>
        <w:t>.</w:t>
      </w:r>
      <w:fldSimple w:instr=" SEQ Figure \* ARABIC \s 1 ">
        <w:r w:rsidR="00463F52">
          <w:rPr>
            <w:noProof/>
          </w:rPr>
          <w:t>19</w:t>
        </w:r>
      </w:fldSimple>
      <w:r>
        <w:rPr>
          <w:noProof/>
        </w:rPr>
        <w:t xml:space="preserve">. </w:t>
      </w:r>
      <w:r w:rsidRPr="00423876">
        <w:rPr>
          <w:b w:val="0"/>
          <w:noProof/>
        </w:rPr>
        <w:t>Comparison of alkyl phenols production on HZSM-5 for Si/Al=11.5, 25 and 40 from oak pyrolysis vapors with the fixed total sites at 50</w:t>
      </w:r>
      <w:r w:rsidR="00DE4AAB">
        <w:rPr>
          <w:b w:val="0"/>
          <w:noProof/>
        </w:rPr>
        <w:t>0°C</w:t>
      </w:r>
      <w:r w:rsidR="00573E4C">
        <w:rPr>
          <w:b w:val="0"/>
          <w:noProof/>
        </w:rPr>
        <w:t>.</w:t>
      </w:r>
      <w:bookmarkEnd w:id="88"/>
    </w:p>
    <w:p w14:paraId="569A938A" w14:textId="1DCD0FB5" w:rsidR="00423876" w:rsidRDefault="00423876" w:rsidP="00423876">
      <w:pPr>
        <w:pStyle w:val="Caption"/>
      </w:pPr>
      <w:r w:rsidRPr="00423876">
        <w:rPr>
          <w:b w:val="0"/>
          <w:noProof/>
        </w:rPr>
        <w:t>Compounds in this group mainly include Phenol, Methyl Phenol, and Dimethyl Phenol.</w:t>
      </w:r>
    </w:p>
    <w:p w14:paraId="39AE7DA6" w14:textId="6D1E41A5" w:rsidR="00423876" w:rsidRDefault="00423876" w:rsidP="005B60FA">
      <w:pPr>
        <w:pStyle w:val="NoSpacing"/>
      </w:pPr>
      <w:r>
        <w:rPr>
          <w:noProof/>
        </w:rPr>
        <w:lastRenderedPageBreak/>
        <w:drawing>
          <wp:inline distT="0" distB="0" distL="0" distR="0" wp14:anchorId="3CC93667" wp14:editId="7C268016">
            <wp:extent cx="5394960" cy="3200400"/>
            <wp:effectExtent l="0" t="0" r="0" b="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5CAE1A35" w14:textId="77777777" w:rsidR="00573E4C" w:rsidRDefault="00423876" w:rsidP="00423876">
      <w:pPr>
        <w:pStyle w:val="Caption"/>
        <w:rPr>
          <w:b w:val="0"/>
          <w:noProof/>
        </w:rPr>
      </w:pPr>
      <w:bookmarkStart w:id="89" w:name="_Toc449964981"/>
      <w:r>
        <w:t xml:space="preserve">Figure </w:t>
      </w:r>
      <w:fldSimple w:instr=" STYLEREF &quot;Chapter&quot; \s ">
        <w:r w:rsidR="00463F52">
          <w:rPr>
            <w:noProof/>
          </w:rPr>
          <w:t>4</w:t>
        </w:r>
      </w:fldSimple>
      <w:r>
        <w:t>.</w:t>
      </w:r>
      <w:fldSimple w:instr=" SEQ Figure \* ARABIC \s 1 ">
        <w:r w:rsidR="00463F52">
          <w:rPr>
            <w:noProof/>
          </w:rPr>
          <w:t>20</w:t>
        </w:r>
      </w:fldSimple>
      <w:r>
        <w:rPr>
          <w:noProof/>
        </w:rPr>
        <w:t xml:space="preserve">. </w:t>
      </w:r>
      <w:r w:rsidRPr="00423876">
        <w:rPr>
          <w:b w:val="0"/>
          <w:noProof/>
        </w:rPr>
        <w:t>Comparison of furans production on HZSM-5 for Si/Al=11.5, 25 and 40 from oak pyrolysis vapors with the fixed total sites at 50</w:t>
      </w:r>
      <w:r w:rsidR="00DE4AAB">
        <w:rPr>
          <w:b w:val="0"/>
          <w:noProof/>
        </w:rPr>
        <w:t>0°C</w:t>
      </w:r>
      <w:r w:rsidR="00573E4C">
        <w:rPr>
          <w:b w:val="0"/>
          <w:noProof/>
        </w:rPr>
        <w:t>.</w:t>
      </w:r>
      <w:bookmarkEnd w:id="89"/>
    </w:p>
    <w:p w14:paraId="3F734868" w14:textId="1E3052D3" w:rsidR="00423876" w:rsidRDefault="00423876" w:rsidP="00423876">
      <w:pPr>
        <w:pStyle w:val="Caption"/>
      </w:pPr>
      <w:r w:rsidRPr="00423876">
        <w:rPr>
          <w:b w:val="0"/>
          <w:noProof/>
        </w:rPr>
        <w:t>Compounds in this group include Furan and Methyl Furan.Acetic acid and intermediate oxygenate products like acetone, furan and methyl-furan were not listed in this group.</w:t>
      </w:r>
    </w:p>
    <w:p w14:paraId="031B0AA0" w14:textId="778180F8" w:rsidR="00423876" w:rsidRDefault="00423876" w:rsidP="005B60FA">
      <w:pPr>
        <w:pStyle w:val="NoSpacing"/>
      </w:pPr>
      <w:r>
        <w:rPr>
          <w:noProof/>
        </w:rPr>
        <w:drawing>
          <wp:inline distT="0" distB="0" distL="0" distR="0" wp14:anchorId="3E3D9D09" wp14:editId="524E52F8">
            <wp:extent cx="5394960" cy="3200400"/>
            <wp:effectExtent l="0" t="0" r="0" b="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1F7B3103" w14:textId="77777777" w:rsidR="00573E4C" w:rsidRDefault="00423876" w:rsidP="00423876">
      <w:pPr>
        <w:pStyle w:val="Caption"/>
        <w:rPr>
          <w:b w:val="0"/>
          <w:noProof/>
        </w:rPr>
      </w:pPr>
      <w:bookmarkStart w:id="90" w:name="_Toc449964982"/>
      <w:r>
        <w:t xml:space="preserve">Figure </w:t>
      </w:r>
      <w:fldSimple w:instr=" STYLEREF &quot;Chapter&quot; \s ">
        <w:r w:rsidR="00463F52">
          <w:rPr>
            <w:noProof/>
          </w:rPr>
          <w:t>4</w:t>
        </w:r>
      </w:fldSimple>
      <w:r>
        <w:t>.</w:t>
      </w:r>
      <w:fldSimple w:instr=" SEQ Figure \* ARABIC \s 1 ">
        <w:r w:rsidR="00463F52">
          <w:rPr>
            <w:noProof/>
          </w:rPr>
          <w:t>21</w:t>
        </w:r>
      </w:fldSimple>
      <w:r>
        <w:rPr>
          <w:noProof/>
        </w:rPr>
        <w:t xml:space="preserve">. </w:t>
      </w:r>
      <w:r w:rsidRPr="00423876">
        <w:rPr>
          <w:b w:val="0"/>
          <w:noProof/>
        </w:rPr>
        <w:t>Comparison of furan derivatives production on HZSM-5 for Si/Al=11.5, 25 and 40 from oak pyrolysis vapors with the fixed total sites at 50</w:t>
      </w:r>
      <w:r w:rsidR="00DE4AAB">
        <w:rPr>
          <w:b w:val="0"/>
          <w:noProof/>
        </w:rPr>
        <w:t>0°C</w:t>
      </w:r>
      <w:r w:rsidR="00573E4C">
        <w:rPr>
          <w:b w:val="0"/>
          <w:noProof/>
        </w:rPr>
        <w:t>.</w:t>
      </w:r>
      <w:bookmarkEnd w:id="90"/>
    </w:p>
    <w:p w14:paraId="54A12049" w14:textId="541407DF" w:rsidR="00423876" w:rsidRDefault="00423876" w:rsidP="00423876">
      <w:pPr>
        <w:pStyle w:val="Caption"/>
      </w:pPr>
      <w:r w:rsidRPr="00423876">
        <w:rPr>
          <w:b w:val="0"/>
          <w:noProof/>
        </w:rPr>
        <w:t>Compounds in this group include 2-Cyclopenten-1-one, 2-Cyclopenten-1-one, 2,3-dimethyl-, and Furfural.</w:t>
      </w:r>
    </w:p>
    <w:p w14:paraId="44ADA509" w14:textId="77777777" w:rsidR="00423876" w:rsidRDefault="00423876" w:rsidP="001C12CB"/>
    <w:p w14:paraId="76170D1D" w14:textId="3A26452B" w:rsidR="00423876" w:rsidRDefault="005B2F51" w:rsidP="005B60FA">
      <w:pPr>
        <w:pStyle w:val="NoSpacing"/>
      </w:pPr>
      <w:r>
        <w:rPr>
          <w:noProof/>
        </w:rPr>
        <w:lastRenderedPageBreak/>
        <w:drawing>
          <wp:inline distT="0" distB="0" distL="0" distR="0" wp14:anchorId="69385FE8" wp14:editId="6B4316C3">
            <wp:extent cx="5394960" cy="3200400"/>
            <wp:effectExtent l="0" t="0" r="0" b="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3F901E3B" w14:textId="306EC42A" w:rsidR="005B2F51" w:rsidRDefault="005B2F51" w:rsidP="005B2F51">
      <w:pPr>
        <w:pStyle w:val="Caption"/>
      </w:pPr>
      <w:bookmarkStart w:id="91" w:name="_Toc449964983"/>
      <w:r>
        <w:t xml:space="preserve">Figure </w:t>
      </w:r>
      <w:fldSimple w:instr=" STYLEREF &quot;Chapter&quot; \s ">
        <w:r w:rsidR="00463F52">
          <w:rPr>
            <w:noProof/>
          </w:rPr>
          <w:t>4</w:t>
        </w:r>
      </w:fldSimple>
      <w:r>
        <w:t>.</w:t>
      </w:r>
      <w:fldSimple w:instr=" SEQ Figure \* ARABIC \s 1 ">
        <w:r w:rsidR="00463F52">
          <w:rPr>
            <w:noProof/>
          </w:rPr>
          <w:t>22</w:t>
        </w:r>
      </w:fldSimple>
      <w:r>
        <w:rPr>
          <w:noProof/>
        </w:rPr>
        <w:t xml:space="preserve">. </w:t>
      </w:r>
      <w:r w:rsidRPr="005B2F51">
        <w:rPr>
          <w:b w:val="0"/>
          <w:noProof/>
        </w:rPr>
        <w:t>Comparison of levoglucosan conversion on HZSM-5 for Si/Al=11.5, 25 and 40 from oak pyrolysis vapors wi</w:t>
      </w:r>
      <w:r>
        <w:rPr>
          <w:b w:val="0"/>
          <w:noProof/>
        </w:rPr>
        <w:t>th the fixed total sites at 500°</w:t>
      </w:r>
      <w:r w:rsidRPr="005B2F51">
        <w:rPr>
          <w:b w:val="0"/>
          <w:noProof/>
        </w:rPr>
        <w:t>C.</w:t>
      </w:r>
      <w:bookmarkEnd w:id="91"/>
    </w:p>
    <w:p w14:paraId="21F0B7C9" w14:textId="77777777" w:rsidR="00423876" w:rsidRDefault="00423876" w:rsidP="001C12CB"/>
    <w:p w14:paraId="4C7038EB" w14:textId="3C272538" w:rsidR="0014283F" w:rsidRDefault="0014283F" w:rsidP="001C12CB">
      <w:r>
        <w:t>One may suggest that this phenomenon could be a result of changes in acid site strength with different Si/Al ratios, which would impact product distribution. However, a number of studies have suggested that the strength of acid sites does not change over the range of Si/Al ratios used in this study</w:t>
      </w:r>
      <w:r w:rsidR="009D6B86">
        <w:t xml:space="preserve"> </w:t>
      </w:r>
      <w:r w:rsidR="009D6B86">
        <w:fldChar w:fldCharType="begin"/>
      </w:r>
      <w:r w:rsidR="00807999">
        <w:instrText xml:space="preserve"> ADDIN PAPERS2_CITATIONS &lt;citation&gt;&lt;uuid&gt;EFF1C4C2-965C-4A18-A06D-8E68776E0599&lt;/uuid&gt;&lt;priority&gt;0&lt;/priority&gt;&lt;publications&gt;&lt;publication&gt;&lt;uuid&gt;DE5FEF91-0A9C-4FC2-8464-50D5E08F1739&lt;/uuid&gt;&lt;volume&gt;110&lt;/volume&gt;&lt;doi&gt;10.1016/0926-860X(94)80106-1&lt;/doi&gt;&lt;startpage&gt;67&lt;/startpage&gt;&lt;publication_date&gt;99199403171200000000222000&lt;/publication_date&gt;&lt;url&gt;http://linkinghub.elsevier.com/retrieve/pii/0926860X94801061&lt;/url&gt;&lt;type&gt;400&lt;/type&gt;&lt;title&gt;Heats of adsorption for ammonia and pyridine in H-ZSM-5: evidence for identical Brønsted-acid sites&lt;/title&gt;&lt;publisher&gt;Elsevier&lt;/publisher&gt;&lt;number&gt;1&lt;/number&gt;&lt;subtype&gt;400&lt;/subtype&gt;&lt;endpage&gt;74&lt;/endpage&gt;&lt;bundle&gt;&lt;publication&gt;&lt;publisher&gt;Elsevier B.V.&lt;/publisher&gt;&lt;url&gt;http://www.google.com/search?client=safari&amp;amp;rls=10_7_4&amp;amp;q=Applied+Catalysis+A+General&amp;amp;ie=UTF-8&amp;amp;oe=UTF-8&lt;/url&gt;&lt;title&gt;Applied Catalysis A: General&lt;/title&gt;&lt;type&gt;-100&lt;/type&gt;&lt;subtype&gt;-100&lt;/subtype&gt;&lt;uuid&gt;E2C4D3ED-AA0E-40CD-AC16-1ADC89FE681C&lt;/uuid&gt;&lt;/publication&gt;&lt;/bundle&gt;&lt;authors&gt;&lt;author&gt;&lt;firstName&gt;D&lt;/firstName&gt;&lt;middleNames&gt;J&lt;/middleNames&gt;&lt;lastName&gt;Parrillo&lt;/lastName&gt;&lt;/author&gt;&lt;author&gt;&lt;firstName&gt;C&lt;/firstName&gt;&lt;lastName&gt;Lee&lt;/lastName&gt;&lt;/author&gt;&lt;author&gt;&lt;firstName&gt;R&lt;/firstName&gt;&lt;middleNames&gt;J&lt;/middleNames&gt;&lt;lastName&gt;Gorte&lt;/lastName&gt;&lt;/author&gt;&lt;/authors&gt;&lt;/publication&gt;&lt;publication&gt;&lt;uuid&gt;CBC789A9-1F33-4FEC-A35F-1938032CB8AA&lt;/uuid&gt;&lt;volume&gt;128&lt;/volume&gt;&lt;doi&gt;10.1016/0009-2614(86)80146-4&lt;/doi&gt;&lt;startpage&gt;62&lt;/startpage&gt;&lt;publication_date&gt;99198607111200000000222000&lt;/publication_date&gt;&lt;url&gt;http://linkinghub.elsevier.com/retrieve/pii/0009261486801464&lt;/url&gt;&lt;type&gt;400&lt;/type&gt;&lt;title&gt;1H MAS NMR studies on the acidity of zeolites&lt;/title&gt;&lt;publisher&gt;North-Holland&lt;/publisher&gt;&lt;number&gt;1&lt;/number&gt;&lt;subtype&gt;400&lt;/subtype&gt;&lt;endpage&gt;66&lt;/endpage&gt;&lt;bundle&gt;&lt;publication&gt;&lt;title&gt;Chemical physics letters&lt;/title&gt;&lt;type&gt;-100&lt;/type&gt;&lt;subtype&gt;-100&lt;/subtype&gt;&lt;uuid&gt;79A4C3D8-D095-445E-A5D2-2D75FC809D1A&lt;/uuid&gt;&lt;/publication&gt;&lt;/bundle&gt;&lt;authors&gt;&lt;author&gt;&lt;firstName&gt;D&lt;/firstName&gt;&lt;lastName&gt;Freude&lt;/lastName&gt;&lt;/author&gt;&lt;author&gt;&lt;firstName&gt;M&lt;/firstName&gt;&lt;lastName&gt;Hunger&lt;/lastName&gt;&lt;/author&gt;&lt;author&gt;&lt;firstName&gt;H&lt;/firstName&gt;&lt;lastName&gt;Pfeifer&lt;/lastName&gt;&lt;/author&gt;&lt;author&gt;&lt;firstName&gt;W&lt;/firstName&gt;&lt;lastName&gt;Schwieger&lt;/lastName&gt;&lt;/author&gt;&lt;/authors&gt;&lt;/publication&gt;&lt;publication&gt;&lt;volume&gt;254&lt;/volume&gt;&lt;publication_date&gt;99200803101200000000222000&lt;/publication_date&gt;&lt;number&gt;2&lt;/number&gt;&lt;doi&gt;10.1016/j.jcat.2007.12.005&lt;/doi&gt;&lt;startpage&gt;180&lt;/startpage&gt;&lt;title&gt;Effect of aluminium distribution in the framework of ZSM-5 on hydrocarbon transformation. Cracking of 1-butene&lt;/title&gt;&lt;uuid&gt;44731590-2B6E-47E9-84A8-D9FBF533DF34&lt;/uuid&gt;&lt;subtype&gt;400&lt;/subtype&gt;&lt;endpage&gt;189&lt;/endpage&gt;&lt;type&gt;400&lt;/type&gt;&lt;url&gt;http://linkinghub.elsevier.com/retrieve/pii/S0021951707004617&lt;/url&gt;&lt;bundle&gt;&lt;publication&gt;&lt;publisher&gt;Elsevier Inc.&lt;/publisher&gt;&lt;title&gt;Journal of Catalysis&lt;/title&gt;&lt;type&gt;-100&lt;/type&gt;&lt;subtype&gt;-100&lt;/subtype&gt;&lt;uuid&gt;39423B3D-1066-4CBD-8FE8-8CD5C3E0CDCD&lt;/uuid&gt;&lt;/publication&gt;&lt;/bundle&gt;&lt;authors&gt;&lt;author&gt;&lt;firstName&gt;P&lt;/firstName&gt;&lt;lastName&gt;Sazama&lt;/lastName&gt;&lt;/author&gt;&lt;author&gt;&lt;firstName&gt;J&lt;/firstName&gt;&lt;lastName&gt;Dědeček&lt;/lastName&gt;&lt;/author&gt;&lt;author&gt;&lt;firstName&gt;V&lt;/firstName&gt;&lt;lastName&gt;Gabova&lt;/lastName&gt;&lt;/author&gt;&lt;author&gt;&lt;firstName&gt;B&lt;/firstName&gt;&lt;lastName&gt;Wichterlova&lt;/lastName&gt;&lt;/author&gt;&lt;author&gt;&lt;firstName&gt;G&lt;/firstName&gt;&lt;lastName&gt;SPOTO&lt;/lastName&gt;&lt;/author&gt;&lt;author&gt;&lt;firstName&gt;S&lt;/firstName&gt;&lt;lastName&gt;BORDIGA&lt;/lastName&gt;&lt;/author&gt;&lt;/authors&gt;&lt;/publication&gt;&lt;/publications&gt;&lt;cites&gt;&lt;/cites&gt;&lt;/citation&gt;</w:instrText>
      </w:r>
      <w:r w:rsidR="009D6B86">
        <w:fldChar w:fldCharType="separate"/>
      </w:r>
      <w:r w:rsidR="001C1AAC">
        <w:t>(</w:t>
      </w:r>
      <w:r w:rsidR="001C1AAC">
        <w:rPr>
          <w:i/>
          <w:iCs/>
        </w:rPr>
        <w:t>157</w:t>
      </w:r>
      <w:r w:rsidR="001C1AAC">
        <w:t>-</w:t>
      </w:r>
      <w:r w:rsidR="001C1AAC">
        <w:rPr>
          <w:i/>
          <w:iCs/>
        </w:rPr>
        <w:t>159</w:t>
      </w:r>
      <w:r w:rsidR="001C1AAC">
        <w:t>)</w:t>
      </w:r>
      <w:r w:rsidR="009D6B86">
        <w:fldChar w:fldCharType="end"/>
      </w:r>
      <w:r>
        <w:t>. Another possible explanation could be that varying degrees of extraframework Al may exist in these samples, which could serve as nucleation sites for coke formation. It has been shown that internal defects have a strong correlation with deactivation rates for reactions with oxygenates over HZSM-5 such as methanol to olefins</w:t>
      </w:r>
      <w:r w:rsidR="009D6B86">
        <w:t xml:space="preserve"> </w:t>
      </w:r>
      <w:r w:rsidR="009D6B86">
        <w:fldChar w:fldCharType="begin"/>
      </w:r>
      <w:r w:rsidR="00807999">
        <w:instrText xml:space="preserve"> ADDIN PAPERS2_CITATIONS &lt;citation&gt;&lt;uuid&gt;CB487E9B-41DC-4B01-A810-ADBA5C26B529&lt;/uuid&gt;&lt;priority&gt;0&lt;/priority&gt;&lt;publications&gt;&lt;publication&gt;&lt;uuid&gt;FBD8F4AD-5AE1-452F-9B49-9865F003112A&lt;/uuid&gt;&lt;volume&gt;51&lt;/volume&gt;&lt;doi&gt;10.1002/anie.201103657&lt;/doi&gt;&lt;startpage&gt;5810&lt;/startpage&gt;&lt;publication_date&gt;99201200001200000000200000&lt;/publication_date&gt;&lt;url&gt;http://onlinelibrary.wiley.com/doi/10.1002/anie.201103657/full&lt;/url&gt;&lt;type&gt;400&lt;/type&gt;&lt;title&gt;Conversion of methanol to hydrocarbons: how zeolite cavity and pore size controls product selectivity&lt;/title&gt;&lt;publisher&gt;Wiley Online Library&lt;/publisher&gt;&lt;number&gt;24&lt;/number&gt;&lt;subtype&gt;400&lt;/subtype&gt;&lt;endpage&gt;5831&lt;/endpage&gt;&lt;bundle&gt;&lt;publication&gt;&lt;title&gt;Angewandte Chemie&lt;/title&gt;&lt;type&gt;-100&lt;/type&gt;&lt;subtype&gt;-100&lt;/subtype&gt;&lt;uuid&gt;C62315AF-D93F-4ADE-864F-CF643AF3B103&lt;/uuid&gt;&lt;/publication&gt;&lt;/bundle&gt;&lt;authors&gt;&lt;author&gt;&lt;firstName&gt;Unni&lt;/firstName&gt;&lt;lastName&gt;Olsbye&lt;/lastName&gt;&lt;/author&gt;&lt;author&gt;&lt;firstName&gt;Stian&lt;/firstName&gt;&lt;lastName&gt;Svelle&lt;/lastName&gt;&lt;/author&gt;&lt;author&gt;&lt;firstName&gt;Morten&lt;/firstName&gt;&lt;lastName&gt;Bjørgen&lt;/lastName&gt;&lt;/author&gt;&lt;author&gt;&lt;firstName&gt;Pablo&lt;/firstName&gt;&lt;lastName&gt;Beato&lt;/lastName&gt;&lt;/author&gt;&lt;author&gt;&lt;firstName&gt;Ton&lt;/firstName&gt;&lt;middleNames&gt;V W&lt;/middleNames&gt;&lt;lastName&gt;Janssens&lt;/lastName&gt;&lt;/author&gt;&lt;author&gt;&lt;firstName&gt;Finn&lt;/firstName&gt;&lt;lastName&gt;Joensen&lt;/lastName&gt;&lt;/author&gt;&lt;author&gt;&lt;firstName&gt;Silvia&lt;/firstName&gt;&lt;lastName&gt;Bordiga&lt;/lastName&gt;&lt;/author&gt;&lt;author&gt;&lt;firstName&gt;Karl&lt;/firstName&gt;&lt;middleNames&gt;Petter&lt;/middleNames&gt;&lt;lastName&gt;Lillerud&lt;/lastName&gt;&lt;/author&gt;&lt;/authors&gt;&lt;/publication&gt;&lt;/publications&gt;&lt;cites&gt;&lt;/cites&gt;&lt;/citation&gt;</w:instrText>
      </w:r>
      <w:r w:rsidR="009D6B86">
        <w:fldChar w:fldCharType="separate"/>
      </w:r>
      <w:r w:rsidR="001C1AAC">
        <w:t>(</w:t>
      </w:r>
      <w:r w:rsidR="001C1AAC">
        <w:rPr>
          <w:i/>
          <w:iCs/>
        </w:rPr>
        <w:t>160</w:t>
      </w:r>
      <w:r w:rsidR="001C1AAC">
        <w:t>)</w:t>
      </w:r>
      <w:r w:rsidR="009D6B86">
        <w:fldChar w:fldCharType="end"/>
      </w:r>
      <w:r w:rsidR="009D6B86">
        <w:t>.</w:t>
      </w:r>
      <w:r>
        <w:t xml:space="preserve"> Two studies that used MFI samples from Zeolyst led to conclusions that the fraction of extraframework Al per total Al in the sample is very low and does not change with the Si/Al ratio</w:t>
      </w:r>
      <w:r w:rsidR="009D6B86">
        <w:t xml:space="preserve"> </w:t>
      </w:r>
      <w:r w:rsidR="009D6B86">
        <w:fldChar w:fldCharType="begin"/>
      </w:r>
      <w:r w:rsidR="00807999">
        <w:instrText xml:space="preserve"> ADDIN PAPERS2_CITATIONS &lt;citation&gt;&lt;uuid&gt;3E871E35-ADBD-42F9-BB6B-CAA0189B2D1A&lt;/uuid&gt;&lt;priority&gt;0&lt;/priority&gt;&lt;publications&gt;&lt;publication&gt;&lt;volume&gt;288&lt;/volume&gt;&lt;publication_date&gt;99201204001200000000220000&lt;/publication_date&gt;&lt;doi&gt;10.1016/j.jcat.2012.01.002&lt;/doi&gt;&lt;startpage&gt;65&lt;/startpage&gt;&lt;title&gt;Effects of Brønsted-acid site proximity on the oligomerization of propene in H-MFI&lt;/title&gt;&lt;uuid&gt;D67CFF14-2AF7-476C-9D47-A9D8E9879EB7&lt;/uuid&gt;&lt;subtype&gt;400&lt;/subtype&gt;&lt;endpage&gt;73&lt;/endpage&gt;&lt;type&gt;400&lt;/type&gt;&lt;url&gt;http://linkinghub.elsevier.com/retrieve/pii/S0021951712000048&lt;/url&gt;&lt;bundle&gt;&lt;publication&gt;&lt;publisher&gt;Elsevier Inc.&lt;/publisher&gt;&lt;title&gt;Journal of Catalysis&lt;/title&gt;&lt;type&gt;-100&lt;/type&gt;&lt;subtype&gt;-100&lt;/subtype&gt;&lt;uuid&gt;39423B3D-1066-4CBD-8FE8-8CD5C3E0CDCD&lt;/uuid&gt;&lt;/publication&gt;&lt;/bundle&gt;&lt;authors&gt;&lt;author&gt;&lt;firstName&gt;Anton&lt;/firstName&gt;&lt;middleNames&gt;N&lt;/middleNames&gt;&lt;lastName&gt;Mlinar&lt;/lastName&gt;&lt;/author&gt;&lt;author&gt;&lt;firstName&gt;Paul&lt;/firstName&gt;&lt;middleNames&gt;M&lt;/middleNames&gt;&lt;lastName&gt;Zimmerman&lt;/lastName&gt;&lt;/author&gt;&lt;author&gt;&lt;firstName&gt;Fuat&lt;/firstName&gt;&lt;middleNames&gt;E&lt;/middleNames&gt;&lt;lastName&gt;Celik&lt;/lastName&gt;&lt;/author&gt;&lt;author&gt;&lt;firstName&gt;Martin&lt;/firstName&gt;&lt;lastName&gt;Head-Gordon&lt;/lastName&gt;&lt;/author&gt;&lt;author&gt;&lt;firstName&gt;Alexis&lt;/firstName&gt;&lt;middleNames&gt;T&lt;/middleNames&gt;&lt;lastName&gt;Bell&lt;/lastName&gt;&lt;/author&gt;&lt;/authors&gt;&lt;/publication&gt;&lt;publication&gt;&lt;uuid&gt;3CD36DB7-95A4-428A-87BD-E534632C01EA&lt;/uuid&gt;&lt;volume&gt;131&lt;/volume&gt;&lt;doi&gt;10.1021/ja808292c&lt;/doi&gt;&lt;startpage&gt;1958&lt;/startpage&gt;&lt;publication_date&gt;99200901151200000000222000&lt;/publication_date&gt;&lt;url&gt;http://pubs.acs.org/doi/abs/10.1021/ja808292c&lt;/url&gt;&lt;type&gt;400&lt;/type&gt;&lt;title&gt;Catalytic Consequences of Spatial Constraints and Acid Site Location for Monomolecular Alkane Activation on Zeolites&lt;/title&gt;&lt;publisher&gt;American Chemical Society&lt;/publisher&gt;&lt;number&gt;5&lt;/number&gt;&lt;subtype&gt;400&lt;/subtype&gt;&lt;endpage&gt;1971&lt;/endpage&gt;&lt;bundle&gt;&lt;publication&gt;&lt;url&gt;http://pubs.acs.org/journal/jacsat&lt;/url&gt;&lt;title&gt;Journal of the American Chemical Society&lt;/title&gt;&lt;type&gt;-100&lt;/type&gt;&lt;subtype&gt;-100&lt;/subtype&gt;&lt;uuid&gt;5520A53D-DE39-45D8-B5BD-A521AAA7B30F&lt;/uuid&gt;&lt;/publication&gt;&lt;/bundle&gt;&lt;authors&gt;&lt;author&gt;&lt;firstName&gt;Rajamani&lt;/firstName&gt;&lt;lastName&gt;Gounder&lt;/lastName&gt;&lt;/author&gt;&lt;author&gt;&lt;firstName&gt;Enrique&lt;/firstName&gt;&lt;lastName&gt;Iglesia&lt;/lastName&gt;&lt;/author&gt;&lt;/authors&gt;&lt;/publication&gt;&lt;/publications&gt;&lt;cites&gt;&lt;/cites&gt;&lt;/citation&gt;</w:instrText>
      </w:r>
      <w:r w:rsidR="009D6B86">
        <w:fldChar w:fldCharType="separate"/>
      </w:r>
      <w:r w:rsidR="001C1AAC">
        <w:t>(</w:t>
      </w:r>
      <w:r w:rsidR="001C1AAC">
        <w:rPr>
          <w:i/>
          <w:iCs/>
        </w:rPr>
        <w:t>150</w:t>
      </w:r>
      <w:r w:rsidR="001C1AAC">
        <w:t xml:space="preserve">, </w:t>
      </w:r>
      <w:r w:rsidR="001C1AAC">
        <w:rPr>
          <w:i/>
          <w:iCs/>
        </w:rPr>
        <w:t>161</w:t>
      </w:r>
      <w:r w:rsidR="001C1AAC">
        <w:t>)</w:t>
      </w:r>
      <w:r w:rsidR="009D6B86">
        <w:fldChar w:fldCharType="end"/>
      </w:r>
      <w:r>
        <w:t>. As these catalysts are compared on a constant acid site basis, each catalyst should have a comparable amount of extraframework Al.</w:t>
      </w:r>
    </w:p>
    <w:p w14:paraId="084460BF" w14:textId="77777777" w:rsidR="0014283F" w:rsidRDefault="0014283F" w:rsidP="001C12CB">
      <w:r>
        <w:lastRenderedPageBreak/>
        <w:t>Notably, the three catalysts with different Si/Al ratios share a similar pore size distribution per unit mass as they have the same MFI structure. Thus, in the case of higher-acid-density catalysts, a lower mass results in a lower total surface area. This may make these catalysts more susceptible to pore plugging, which could cause faster deactivation.</w:t>
      </w:r>
    </w:p>
    <w:p w14:paraId="42403CE7" w14:textId="7F9FE495" w:rsidR="0014283F" w:rsidRDefault="0014283F" w:rsidP="001C12CB">
      <w:r>
        <w:t>To examine this further, another set of experiments was performed with the same mass, 2.83 mg, of each of the three catalysts, to give similar surface areas and pore volumes for each catalyst. The Si/Al = 40 catalyst has a lower initial yield of alkylbenzenes after the first pulse because of the lower number of acid sites but shows rather stable performance over the 10 pulses of exposure to vapors (</w:t>
      </w:r>
      <w:r w:rsidR="00581512">
        <w:t xml:space="preserve">Figure </w:t>
      </w:r>
      <w:r w:rsidR="009664F0">
        <w:t>4</w:t>
      </w:r>
      <w:r w:rsidR="00581512">
        <w:t>.23</w:t>
      </w:r>
      <w:r>
        <w:t>). Si/Al = 11.5 (which contains two times the number of total acid sites than Si/Al</w:t>
      </w:r>
      <w:r w:rsidR="009C7895">
        <w:t xml:space="preserve"> </w:t>
      </w:r>
      <w:r>
        <w:t>= 25 and 3.3 times that of Si/Al = 40) shows a stable aromatics yield at a high level in the first four pulses, after which deactivation proceeds at a faster rate than that in the other two catalysts. The Si/Al = 25 catalyst demonstrates an intermediate deactivation rate.</w:t>
      </w:r>
    </w:p>
    <w:p w14:paraId="550DAA68" w14:textId="5BE72BC5" w:rsidR="00C935A6" w:rsidRDefault="00C935A6" w:rsidP="005B60FA">
      <w:pPr>
        <w:pStyle w:val="NoSpacing"/>
      </w:pPr>
      <w:r>
        <w:rPr>
          <w:noProof/>
        </w:rPr>
        <w:drawing>
          <wp:inline distT="0" distB="0" distL="0" distR="0" wp14:anchorId="4E8700F4" wp14:editId="0DD22947">
            <wp:extent cx="5394960" cy="2755354"/>
            <wp:effectExtent l="0" t="0" r="0" b="0"/>
            <wp:docPr id="5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6865B00D" w14:textId="502265D8" w:rsidR="00C935A6" w:rsidRDefault="00C935A6" w:rsidP="00C935A6">
      <w:pPr>
        <w:pStyle w:val="Caption"/>
      </w:pPr>
      <w:bookmarkStart w:id="92" w:name="_Toc449964984"/>
      <w:r>
        <w:t xml:space="preserve">Figure </w:t>
      </w:r>
      <w:fldSimple w:instr=" STYLEREF &quot;Chapter&quot; \s ">
        <w:r w:rsidR="00463F52">
          <w:rPr>
            <w:noProof/>
          </w:rPr>
          <w:t>4</w:t>
        </w:r>
      </w:fldSimple>
      <w:r>
        <w:t>.</w:t>
      </w:r>
      <w:fldSimple w:instr=" SEQ Figure \* ARABIC \s 1 ">
        <w:r w:rsidR="00463F52">
          <w:rPr>
            <w:noProof/>
          </w:rPr>
          <w:t>23</w:t>
        </w:r>
      </w:fldSimple>
      <w:r>
        <w:rPr>
          <w:noProof/>
        </w:rPr>
        <w:t xml:space="preserve">. </w:t>
      </w:r>
      <w:r w:rsidRPr="00C935A6">
        <w:rPr>
          <w:b w:val="0"/>
          <w:noProof/>
        </w:rPr>
        <w:t>Comparison of alkyl benzenes production on HZSM-5 of Si/Al=11.5, 25 and 40 from oak pyrolysis vapors wi</w:t>
      </w:r>
      <w:r>
        <w:rPr>
          <w:b w:val="0"/>
          <w:noProof/>
        </w:rPr>
        <w:t>th fixed catalyst mass at 500°</w:t>
      </w:r>
      <w:r w:rsidRPr="00C935A6">
        <w:rPr>
          <w:b w:val="0"/>
          <w:noProof/>
        </w:rPr>
        <w:t>C.</w:t>
      </w:r>
      <w:bookmarkEnd w:id="92"/>
    </w:p>
    <w:p w14:paraId="24B93DB4" w14:textId="77777777" w:rsidR="00C935A6" w:rsidRDefault="00C935A6" w:rsidP="001C12CB"/>
    <w:p w14:paraId="356D48A1" w14:textId="1178EB3B" w:rsidR="0014283F" w:rsidRDefault="0014283F" w:rsidP="001C12CB">
      <w:r>
        <w:lastRenderedPageBreak/>
        <w:t xml:space="preserve">Clearly, the initial stable yield for the Si/Al = 11.5 catalyst is caused by an excess of catalyst and is not an indication of the absence of deactivation. This trend is more evident if the Si/Al = 11.5 catalyst is compared at two different mass loadings (Figure </w:t>
      </w:r>
      <w:r w:rsidR="009664F0">
        <w:t>4</w:t>
      </w:r>
      <w:r w:rsidR="00581512">
        <w:t>.24</w:t>
      </w:r>
      <w:r>
        <w:t xml:space="preserve">), for which the initial yield of alkylbenzenes is constant between the two series. The catalyst deactivates continuously in both studies, but the excess catalyst results in a constant level of aromatics production. This result is significant, especially if we consider that most studies of catalytic pyrolysis use excess catalyst and far greater catalyst/biomass ratios than those used here. Attempts to quantify catalyst deactivation under these conditions may lead to the incorrect conclusion that the catalysts are more stable than they actually are. </w:t>
      </w:r>
    </w:p>
    <w:p w14:paraId="532D7AA9" w14:textId="0B42FE8C" w:rsidR="0099115A" w:rsidRDefault="0099115A" w:rsidP="005B60FA">
      <w:pPr>
        <w:pStyle w:val="NoSpacing"/>
      </w:pPr>
      <w:r>
        <w:rPr>
          <w:noProof/>
        </w:rPr>
        <w:drawing>
          <wp:inline distT="0" distB="0" distL="0" distR="0" wp14:anchorId="242C0160" wp14:editId="6C8E8A38">
            <wp:extent cx="5394960" cy="3200400"/>
            <wp:effectExtent l="0" t="0" r="0" b="0"/>
            <wp:docPr id="5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5F09EF17" w14:textId="77777777" w:rsidR="00573E4C" w:rsidRDefault="0099115A" w:rsidP="0099115A">
      <w:pPr>
        <w:pStyle w:val="Caption"/>
        <w:rPr>
          <w:b w:val="0"/>
          <w:noProof/>
        </w:rPr>
      </w:pPr>
      <w:bookmarkStart w:id="93" w:name="_Toc449964985"/>
      <w:r>
        <w:t xml:space="preserve">Figure </w:t>
      </w:r>
      <w:fldSimple w:instr=" STYLEREF &quot;Chapter&quot; \s ">
        <w:r w:rsidR="00463F52">
          <w:rPr>
            <w:noProof/>
          </w:rPr>
          <w:t>4</w:t>
        </w:r>
      </w:fldSimple>
      <w:r>
        <w:t>.</w:t>
      </w:r>
      <w:fldSimple w:instr=" SEQ Figure \* ARABIC \s 1 ">
        <w:r w:rsidR="00463F52">
          <w:rPr>
            <w:noProof/>
          </w:rPr>
          <w:t>24</w:t>
        </w:r>
      </w:fldSimple>
      <w:r>
        <w:rPr>
          <w:noProof/>
        </w:rPr>
        <w:t xml:space="preserve">. </w:t>
      </w:r>
      <w:r w:rsidRPr="0099115A">
        <w:rPr>
          <w:b w:val="0"/>
          <w:noProof/>
        </w:rPr>
        <w:t>Alkyl benzenes exiting the reactor over HZSM-5 of Si/Al=11.5 from oak pyrolysis vapors wit</w:t>
      </w:r>
      <w:r w:rsidR="00573E4C">
        <w:rPr>
          <w:b w:val="0"/>
          <w:noProof/>
        </w:rPr>
        <w:t>h fixed catalyst mass at 500°C.</w:t>
      </w:r>
      <w:bookmarkEnd w:id="93"/>
    </w:p>
    <w:p w14:paraId="4B443130" w14:textId="1B262C62" w:rsidR="0099115A" w:rsidRDefault="0099115A" w:rsidP="0099115A">
      <w:pPr>
        <w:pStyle w:val="Caption"/>
      </w:pPr>
      <w:r w:rsidRPr="0099115A">
        <w:rPr>
          <w:b w:val="0"/>
          <w:noProof/>
        </w:rPr>
        <w:t>Catalyst mass was varied from 1.36mg to 2.83mg.</w:t>
      </w:r>
    </w:p>
    <w:p w14:paraId="28FAF918" w14:textId="77777777" w:rsidR="0099115A" w:rsidRDefault="0099115A" w:rsidP="001C12CB"/>
    <w:p w14:paraId="3C8812BE" w14:textId="0B68513B" w:rsidR="0014283F" w:rsidRDefault="0014283F" w:rsidP="001C12CB">
      <w:r>
        <w:t xml:space="preserve">Once the excess catalyst is deactivated, after four pulses, the deactivation becomes observable as a decrease in product yields. These results demonstrate clearly that it is </w:t>
      </w:r>
      <w:r>
        <w:lastRenderedPageBreak/>
        <w:t>the higher acid density that leads to a more rapid deactivation rate. The plateau in aromatics yield with excess catalyst is proposed to be caused by the complete conversion of the precursors for aromatics products. For example, the light oxygenates and acetic acid are converted fully for the initial pulses over 2.8 mg of HZSM-5 Si/Al = 11.5, and these pyrolysis compounds begin to appear aft</w:t>
      </w:r>
      <w:r w:rsidR="00581512">
        <w:t>er pulse 4, as shown in Figure 5.25</w:t>
      </w:r>
      <w:r>
        <w:t xml:space="preserve"> for acetic acid. </w:t>
      </w:r>
    </w:p>
    <w:p w14:paraId="3DB1B27D" w14:textId="65193BF3" w:rsidR="009076BD" w:rsidRDefault="009076BD" w:rsidP="005B60FA">
      <w:pPr>
        <w:pStyle w:val="NoSpacing"/>
      </w:pPr>
      <w:r>
        <w:rPr>
          <w:noProof/>
        </w:rPr>
        <w:drawing>
          <wp:inline distT="0" distB="0" distL="0" distR="0" wp14:anchorId="141DD19D" wp14:editId="32E15083">
            <wp:extent cx="5394960" cy="3200400"/>
            <wp:effectExtent l="0" t="0" r="0" b="0"/>
            <wp:docPr id="59"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5C81C1E3" w14:textId="77777777" w:rsidR="00573E4C" w:rsidRDefault="009076BD" w:rsidP="009076BD">
      <w:pPr>
        <w:pStyle w:val="Caption"/>
        <w:rPr>
          <w:b w:val="0"/>
          <w:noProof/>
        </w:rPr>
      </w:pPr>
      <w:bookmarkStart w:id="94" w:name="_Toc449964986"/>
      <w:r>
        <w:t xml:space="preserve">Figure </w:t>
      </w:r>
      <w:fldSimple w:instr=" STYLEREF &quot;Chapter&quot; \s ">
        <w:r w:rsidR="00463F52">
          <w:rPr>
            <w:noProof/>
          </w:rPr>
          <w:t>4</w:t>
        </w:r>
      </w:fldSimple>
      <w:r>
        <w:t>.</w:t>
      </w:r>
      <w:fldSimple w:instr=" SEQ Figure \* ARABIC \s 1 ">
        <w:r w:rsidR="00463F52">
          <w:rPr>
            <w:noProof/>
          </w:rPr>
          <w:t>25</w:t>
        </w:r>
      </w:fldSimple>
      <w:r>
        <w:rPr>
          <w:noProof/>
        </w:rPr>
        <w:t xml:space="preserve">. </w:t>
      </w:r>
      <w:r w:rsidRPr="009076BD">
        <w:rPr>
          <w:b w:val="0"/>
          <w:noProof/>
        </w:rPr>
        <w:t>Acetic acid exiting the reactor over HZSM-5 of Si/Al=11.5 from oak pyrolysis vapors with fixed catalyst mass at 500</w:t>
      </w:r>
      <w:r>
        <w:rPr>
          <w:b w:val="0"/>
          <w:noProof/>
        </w:rPr>
        <w:t>°</w:t>
      </w:r>
      <w:r w:rsidR="00573E4C">
        <w:rPr>
          <w:b w:val="0"/>
          <w:noProof/>
        </w:rPr>
        <w:t>C.</w:t>
      </w:r>
      <w:bookmarkEnd w:id="94"/>
    </w:p>
    <w:p w14:paraId="7845A4CD" w14:textId="78F80B43" w:rsidR="009076BD" w:rsidRDefault="009076BD" w:rsidP="009076BD">
      <w:pPr>
        <w:pStyle w:val="Caption"/>
      </w:pPr>
      <w:r w:rsidRPr="009076BD">
        <w:rPr>
          <w:b w:val="0"/>
          <w:noProof/>
        </w:rPr>
        <w:t>Catalyst mass</w:t>
      </w:r>
      <w:r>
        <w:rPr>
          <w:b w:val="0"/>
          <w:noProof/>
        </w:rPr>
        <w:t xml:space="preserve"> was varied from 1.36mg to 2.83</w:t>
      </w:r>
      <w:r w:rsidRPr="009076BD">
        <w:rPr>
          <w:b w:val="0"/>
          <w:noProof/>
        </w:rPr>
        <w:t>mg.</w:t>
      </w:r>
    </w:p>
    <w:p w14:paraId="63FD18D0" w14:textId="77777777" w:rsidR="009076BD" w:rsidRDefault="009076BD" w:rsidP="001C12CB"/>
    <w:p w14:paraId="4B43DD16" w14:textId="33B5B24B" w:rsidR="0014283F" w:rsidRDefault="0014283F" w:rsidP="001C12CB">
      <w:r>
        <w:t xml:space="preserve">A similar trend is observed upon analysis of the light gases for the case of Si/Al = 11.5 with 1.36 mg of catalyst. The noncondensable gases </w:t>
      </w:r>
      <w:r w:rsidR="00A05B76">
        <w:t>CH</w:t>
      </w:r>
      <w:r w:rsidR="00A05B76" w:rsidRPr="00A05B76">
        <w:rPr>
          <w:vertAlign w:val="subscript"/>
        </w:rPr>
        <w:t>4</w:t>
      </w:r>
      <w:r>
        <w:t xml:space="preserve">, CO, and </w:t>
      </w:r>
      <w:r w:rsidR="00A05B76">
        <w:t>CO</w:t>
      </w:r>
      <w:r w:rsidR="00A05B76" w:rsidRPr="00A05B76">
        <w:rPr>
          <w:vertAlign w:val="subscript"/>
        </w:rPr>
        <w:t>2</w:t>
      </w:r>
      <w:r>
        <w:t xml:space="preserve"> that result from conversion over the Si/Al = 11.5 zeolite as a function of b</w:t>
      </w:r>
      <w:r w:rsidR="00581512">
        <w:t xml:space="preserve">iomass fed are shown in Figure </w:t>
      </w:r>
      <w:r w:rsidR="009664F0">
        <w:t>4</w:t>
      </w:r>
      <w:r w:rsidR="00581512">
        <w:t>.26</w:t>
      </w:r>
      <w:r>
        <w:t xml:space="preserve">. Interestingly, the </w:t>
      </w:r>
      <w:r w:rsidR="00A05B76">
        <w:t>CH</w:t>
      </w:r>
      <w:r w:rsidR="00A05B76" w:rsidRPr="00A05B76">
        <w:rPr>
          <w:vertAlign w:val="subscript"/>
        </w:rPr>
        <w:t>4</w:t>
      </w:r>
      <w:r w:rsidR="00A05B76">
        <w:rPr>
          <w:vertAlign w:val="subscript"/>
        </w:rPr>
        <w:t xml:space="preserve"> </w:t>
      </w:r>
      <w:r>
        <w:t xml:space="preserve">yield does not change considerably, which is in agreement with the results shown in </w:t>
      </w:r>
      <w:r w:rsidR="009664F0">
        <w:t>4</w:t>
      </w:r>
      <w:r w:rsidR="004210DD">
        <w:t>.4</w:t>
      </w:r>
      <w:r>
        <w:t xml:space="preserve"> that show that </w:t>
      </w:r>
      <w:r w:rsidR="00A05B76">
        <w:t>CH</w:t>
      </w:r>
      <w:r w:rsidR="00A05B76" w:rsidRPr="00A05B76">
        <w:rPr>
          <w:vertAlign w:val="subscript"/>
        </w:rPr>
        <w:t>4</w:t>
      </w:r>
      <w:r>
        <w:t xml:space="preserve"> is not generated catalytically at this temperature. Both the CO and </w:t>
      </w:r>
      <w:r w:rsidR="00A05B76">
        <w:t>CO</w:t>
      </w:r>
      <w:r w:rsidR="00A05B76" w:rsidRPr="00A05B76">
        <w:rPr>
          <w:vertAlign w:val="subscript"/>
        </w:rPr>
        <w:t>2</w:t>
      </w:r>
      <w:r>
        <w:t xml:space="preserve"> yields decrease as the catalyst </w:t>
      </w:r>
      <w:r>
        <w:lastRenderedPageBreak/>
        <w:t xml:space="preserve">begins to deactivate. The decreased light gas yield is in agreement with greater amounts of oxygenates observed exiting the reactor (less conversion) over the deactivated catalyst. </w:t>
      </w:r>
    </w:p>
    <w:p w14:paraId="74AB5092" w14:textId="6B3EF50F" w:rsidR="00CF0B13" w:rsidRDefault="00CF0B13" w:rsidP="005B60FA">
      <w:pPr>
        <w:pStyle w:val="NoSpacing"/>
      </w:pPr>
      <w:r>
        <w:rPr>
          <w:noProof/>
        </w:rPr>
        <w:drawing>
          <wp:inline distT="0" distB="0" distL="0" distR="0" wp14:anchorId="694C42BF" wp14:editId="02A990D0">
            <wp:extent cx="5394960" cy="2402840"/>
            <wp:effectExtent l="0" t="0" r="0" b="10160"/>
            <wp:docPr id="60"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6A62D55C" w14:textId="2F2A8FAF" w:rsidR="00CF0B13" w:rsidRDefault="00CF0B13" w:rsidP="00CF0B13">
      <w:pPr>
        <w:pStyle w:val="Caption"/>
        <w:rPr>
          <w:b w:val="0"/>
        </w:rPr>
      </w:pPr>
      <w:bookmarkStart w:id="95" w:name="_Toc449964987"/>
      <w:r>
        <w:t xml:space="preserve">Figure </w:t>
      </w:r>
      <w:fldSimple w:instr=" STYLEREF &quot;Chapter&quot; \s ">
        <w:r w:rsidR="00463F52">
          <w:rPr>
            <w:noProof/>
          </w:rPr>
          <w:t>4</w:t>
        </w:r>
      </w:fldSimple>
      <w:r>
        <w:t>.</w:t>
      </w:r>
      <w:fldSimple w:instr=" SEQ Figure \* ARABIC \s 1 ">
        <w:r w:rsidR="00463F52">
          <w:rPr>
            <w:noProof/>
          </w:rPr>
          <w:t>26</w:t>
        </w:r>
      </w:fldSimple>
      <w:r>
        <w:rPr>
          <w:noProof/>
        </w:rPr>
        <w:t xml:space="preserve">. </w:t>
      </w:r>
      <w:r w:rsidRPr="00CF0B13">
        <w:rPr>
          <w:b w:val="0"/>
        </w:rPr>
        <w:t>Gas yield from the 10 pulses of pyrolysis with HZSM5 of Si/Al=11.5 1.36mg under 500°C.</w:t>
      </w:r>
      <w:bookmarkEnd w:id="95"/>
    </w:p>
    <w:p w14:paraId="23F0B7AB" w14:textId="77777777" w:rsidR="007E5DFB" w:rsidRDefault="007E5DFB" w:rsidP="001C12CB"/>
    <w:p w14:paraId="64C2ED51" w14:textId="13474F6A" w:rsidR="007E5DFB" w:rsidRDefault="0014283F" w:rsidP="001C12CB">
      <w:r>
        <w:t xml:space="preserve">Analysis of the coke on the spent catalysts is shown in Table </w:t>
      </w:r>
      <w:r w:rsidR="009664F0">
        <w:t>4</w:t>
      </w:r>
      <w:r w:rsidR="000B45E4">
        <w:t>.</w:t>
      </w:r>
      <w:r>
        <w:t>1. For a constant catalyst mass, the most coke formation was observed with the medium acid density catalyst (Si/Al = 25). The lower acid density catalyst (Si/Al = 40) produced less coke, likely because of the lower amount of acid sites present compared with the Si/Al = 25 catalyst. The least coke formation occurred with the highest acid density catalyst (Si/Al = 11.5), which exhibited a very rapid deactivation rate in spite of its high initial reactivity. The close proximity of sites may have led to more coke initially, but this rapid coke formation could have resulted in pore plugging. The rapid deactivation of the active sites may reduce the rate of further coke formation. The same trend of decreased coke for the Si/Al = 11.5 catalyst was observed if comparable acid sites were used. If compared on an equivalent acid site basis, the total coke yield for the Si/Al = 40 catalyst was slightly higher than that of the Si/Al = 25 catalyst.</w:t>
      </w:r>
    </w:p>
    <w:p w14:paraId="43528BB4" w14:textId="71D98B07" w:rsidR="007E5DFB" w:rsidRDefault="0014283F" w:rsidP="001C12CB">
      <w:r>
        <w:lastRenderedPageBreak/>
        <w:t>To further test the hypothesis of pore plugging for the low Si/Al ratio catalyst, experiments were conducted with both the Si/Al = 11.5 and Si/Al = 40 catalysts based on constant acid sites with increased catalyst volumes to enable characterization. If the amount of the Si/Al</w:t>
      </w:r>
      <w:r w:rsidR="0040659E">
        <w:t xml:space="preserve"> =</w:t>
      </w:r>
      <w:r>
        <w:t xml:space="preserve"> 11.5 catalyst was increased to 5 mg, a micropore</w:t>
      </w:r>
      <w:r w:rsidR="00157AEC">
        <w:t xml:space="preserve"> volume of 0.10 cm</w:t>
      </w:r>
      <w:r w:rsidR="00157AEC" w:rsidRPr="009D5C38">
        <w:rPr>
          <w:vertAlign w:val="superscript"/>
        </w:rPr>
        <w:t>3</w:t>
      </w:r>
      <w:r w:rsidR="009D5C38">
        <w:t xml:space="preserve"> </w:t>
      </w:r>
      <w:r>
        <w:t>g</w:t>
      </w:r>
      <w:r w:rsidR="009D5C38" w:rsidRPr="009D5C38">
        <w:rPr>
          <w:vertAlign w:val="superscript"/>
        </w:rPr>
        <w:t>-</w:t>
      </w:r>
      <w:r w:rsidRPr="009D5C38">
        <w:rPr>
          <w:vertAlign w:val="superscript"/>
        </w:rPr>
        <w:t>1</w:t>
      </w:r>
      <w:r>
        <w:t xml:space="preserve"> is obtained for the fresh catalyst as shown in Table </w:t>
      </w:r>
      <w:r w:rsidR="009664F0">
        <w:t>4</w:t>
      </w:r>
      <w:r w:rsidR="004210DD">
        <w:t>.</w:t>
      </w:r>
      <w:r>
        <w:t>2, which is in agreement with values obtained in the literature</w:t>
      </w:r>
      <w:r w:rsidR="009D6B86">
        <w:t xml:space="preserve"> </w:t>
      </w:r>
      <w:r w:rsidR="009D6B86">
        <w:fldChar w:fldCharType="begin"/>
      </w:r>
      <w:r w:rsidR="00807999">
        <w:instrText xml:space="preserve"> ADDIN PAPERS2_CITATIONS &lt;citation&gt;&lt;uuid&gt;AAE1DE6B-F43E-416A-A5A4-977CBE925D70&lt;/uuid&gt;&lt;priority&gt;0&lt;/priority&gt;&lt;publications&gt;&lt;publication&gt;&lt;uuid&gt;C247761B-C9B0-4173-B11A-84F4C62D9951&lt;/uuid&gt;&lt;volume&gt;270&lt;/volume&gt;&lt;doi&gt;10.1016/j.jcat.2009.12.013&lt;/doi&gt;&lt;startpage&gt;110&lt;/startpage&gt;&lt;publication_date&gt;99201003221200000000222000&lt;/publication_date&gt;&lt;url&gt;http://linkinghub.elsevier.com/retrieve/pii/S0021951709004217&lt;/url&gt;&lt;citekey&gt;Carlson:2010gt&lt;/citekey&gt;&lt;type&gt;400&lt;/type&gt;&lt;title&gt;Catalytic fast pyrolysis of glucose with HZSM-5: The combined homogeneous and heterogeneous reactions&lt;/title&gt;&lt;number&gt;1&lt;/number&gt;&lt;subtype&gt;400&lt;/subtype&gt;&lt;endpage&gt;124&lt;/endpage&gt;&lt;bundle&gt;&lt;publication&gt;&lt;publisher&gt;Elsevier Inc.&lt;/publisher&gt;&lt;title&gt;Journal of Catalysis&lt;/title&gt;&lt;type&gt;-100&lt;/type&gt;&lt;subtype&gt;-100&lt;/subtype&gt;&lt;uuid&gt;39423B3D-1066-4CBD-8FE8-8CD5C3E0CDCD&lt;/uuid&gt;&lt;/publication&gt;&lt;/bundle&gt;&lt;authors&gt;&lt;author&gt;&lt;firstName&gt;Torren&lt;/firstName&gt;&lt;middleNames&gt;R&lt;/middleNames&gt;&lt;lastName&gt;Carlson&lt;/lastName&gt;&lt;/author&gt;&lt;author&gt;&lt;firstName&gt;Jungho&lt;/firstName&gt;&lt;lastName&gt;Jae&lt;/lastName&gt;&lt;/author&gt;&lt;author&gt;&lt;firstName&gt;Yu-Chuan&lt;/firstName&gt;&lt;lastName&gt;Lin&lt;/lastName&gt;&lt;/author&gt;&lt;author&gt;&lt;firstName&gt;Geoffrey&lt;/firstName&gt;&lt;middleNames&gt;a&lt;/middleNames&gt;&lt;lastName&gt;Tompsett&lt;/lastName&gt;&lt;/author&gt;&lt;author&gt;&lt;firstName&gt;G W&lt;/firstName&gt;&lt;lastName&gt;Huber&lt;/lastName&gt;&lt;/author&gt;&lt;/authors&gt;&lt;/publication&gt;&lt;/publications&gt;&lt;cites&gt;&lt;/cites&gt;&lt;/citation&gt;</w:instrText>
      </w:r>
      <w:r w:rsidR="009D6B86">
        <w:fldChar w:fldCharType="separate"/>
      </w:r>
      <w:r w:rsidR="001C1AAC">
        <w:t>(</w:t>
      </w:r>
      <w:r w:rsidR="001C1AAC">
        <w:rPr>
          <w:i/>
          <w:iCs/>
        </w:rPr>
        <w:t>162</w:t>
      </w:r>
      <w:r w:rsidR="001C1AAC">
        <w:t>)</w:t>
      </w:r>
      <w:r w:rsidR="009D6B86">
        <w:fldChar w:fldCharType="end"/>
      </w:r>
      <w:r>
        <w:t>. After pulsing 46 mg of biomass over this catalyst, the larger catalyst bed volume exhibited a similar rapid deactivation based on a yield of alkylbenzenes of less than 15% of the initial yield obtained during the first pulses. A pore volume less than the detection limit of the instrument was obtained for the spent sample. We can claim accurately that the micropore volume is low, in line with the pore plugging hypothesis, and the surface area is below the detection limit of 100 m</w:t>
      </w:r>
      <w:r w:rsidRPr="00722896">
        <w:rPr>
          <w:vertAlign w:val="superscript"/>
        </w:rPr>
        <w:t>2</w:t>
      </w:r>
      <w:r>
        <w:t xml:space="preserve"> g</w:t>
      </w:r>
      <w:r w:rsidR="00722896" w:rsidRPr="00722896">
        <w:rPr>
          <w:vertAlign w:val="superscript"/>
        </w:rPr>
        <w:t>-</w:t>
      </w:r>
      <w:r w:rsidRPr="00722896">
        <w:rPr>
          <w:vertAlign w:val="superscript"/>
        </w:rPr>
        <w:t>1</w:t>
      </w:r>
      <w:r>
        <w:t xml:space="preserve"> for this sample size. </w:t>
      </w:r>
    </w:p>
    <w:tbl>
      <w:tblPr>
        <w:tblStyle w:val="TableGrid"/>
        <w:tblW w:w="0" w:type="auto"/>
        <w:tblLook w:val="04A0" w:firstRow="1" w:lastRow="0" w:firstColumn="1" w:lastColumn="0" w:noHBand="0" w:noVBand="1"/>
      </w:tblPr>
      <w:tblGrid>
        <w:gridCol w:w="2239"/>
        <w:gridCol w:w="2627"/>
        <w:gridCol w:w="696"/>
        <w:gridCol w:w="1807"/>
      </w:tblGrid>
      <w:tr w:rsidR="0049277A" w14:paraId="609259B1" w14:textId="321E21E4" w:rsidTr="0049277A">
        <w:trPr>
          <w:trHeight w:val="20"/>
        </w:trPr>
        <w:tc>
          <w:tcPr>
            <w:tcW w:w="2239" w:type="dxa"/>
            <w:tcBorders>
              <w:bottom w:val="nil"/>
              <w:right w:val="nil"/>
            </w:tcBorders>
            <w:vAlign w:val="center"/>
          </w:tcPr>
          <w:p w14:paraId="2AD8D532" w14:textId="6BB7C53B" w:rsidR="00C50657" w:rsidRDefault="00C50657" w:rsidP="00C50657">
            <w:pPr>
              <w:pStyle w:val="Tables"/>
            </w:pPr>
            <w:r w:rsidRPr="00EC6B2A">
              <w:t>Catalyst</w:t>
            </w:r>
          </w:p>
        </w:tc>
        <w:tc>
          <w:tcPr>
            <w:tcW w:w="2627" w:type="dxa"/>
            <w:tcBorders>
              <w:left w:val="nil"/>
              <w:bottom w:val="nil"/>
              <w:right w:val="nil"/>
            </w:tcBorders>
          </w:tcPr>
          <w:p w14:paraId="5B77A30C" w14:textId="0924A12D" w:rsidR="00C50657" w:rsidRDefault="00C50657" w:rsidP="00C50657">
            <w:pPr>
              <w:pStyle w:val="Tables"/>
            </w:pPr>
            <w:r>
              <w:t>Micropore Volume</w:t>
            </w:r>
            <w:r w:rsidRPr="00C50657">
              <w:rPr>
                <w:vertAlign w:val="superscript"/>
              </w:rPr>
              <w:t>[</w:t>
            </w:r>
            <w:r>
              <w:rPr>
                <w:vertAlign w:val="superscript"/>
              </w:rPr>
              <w:t>a</w:t>
            </w:r>
            <w:r w:rsidRPr="00C50657">
              <w:rPr>
                <w:vertAlign w:val="superscript"/>
              </w:rPr>
              <w:t>]</w:t>
            </w:r>
          </w:p>
        </w:tc>
        <w:tc>
          <w:tcPr>
            <w:tcW w:w="2503" w:type="dxa"/>
            <w:gridSpan w:val="2"/>
            <w:tcBorders>
              <w:left w:val="nil"/>
              <w:bottom w:val="nil"/>
            </w:tcBorders>
          </w:tcPr>
          <w:p w14:paraId="17B6F2EE" w14:textId="35AB0AAE" w:rsidR="00C50657" w:rsidRDefault="00C50657" w:rsidP="00C50657">
            <w:pPr>
              <w:pStyle w:val="Tables"/>
            </w:pPr>
            <w:r>
              <w:t>Brønsted site density</w:t>
            </w:r>
            <w:r w:rsidRPr="00C50657">
              <w:rPr>
                <w:vertAlign w:val="superscript"/>
              </w:rPr>
              <w:t>[</w:t>
            </w:r>
            <w:r>
              <w:rPr>
                <w:vertAlign w:val="superscript"/>
              </w:rPr>
              <w:t>b</w:t>
            </w:r>
            <w:r w:rsidRPr="00C50657">
              <w:rPr>
                <w:vertAlign w:val="superscript"/>
              </w:rPr>
              <w:t>]</w:t>
            </w:r>
          </w:p>
        </w:tc>
      </w:tr>
      <w:tr w:rsidR="0049277A" w14:paraId="6B99FC16" w14:textId="2C1FD712" w:rsidTr="0049277A">
        <w:trPr>
          <w:trHeight w:val="20"/>
        </w:trPr>
        <w:tc>
          <w:tcPr>
            <w:tcW w:w="2239" w:type="dxa"/>
            <w:tcBorders>
              <w:top w:val="nil"/>
              <w:bottom w:val="single" w:sz="4" w:space="0" w:color="auto"/>
              <w:right w:val="nil"/>
            </w:tcBorders>
            <w:vAlign w:val="center"/>
          </w:tcPr>
          <w:p w14:paraId="6987D535" w14:textId="0416584E" w:rsidR="00C50657" w:rsidRDefault="00C50657" w:rsidP="00C50657">
            <w:pPr>
              <w:pStyle w:val="Tables"/>
            </w:pPr>
            <w:r w:rsidRPr="00EC6B2A">
              <w:t>Si/Al</w:t>
            </w:r>
          </w:p>
        </w:tc>
        <w:tc>
          <w:tcPr>
            <w:tcW w:w="2627" w:type="dxa"/>
            <w:tcBorders>
              <w:top w:val="nil"/>
              <w:left w:val="nil"/>
              <w:bottom w:val="single" w:sz="4" w:space="0" w:color="auto"/>
              <w:right w:val="nil"/>
            </w:tcBorders>
          </w:tcPr>
          <w:p w14:paraId="1B0B4067" w14:textId="6F6AFD2F" w:rsidR="00C50657" w:rsidRDefault="00C50657" w:rsidP="00C50657">
            <w:pPr>
              <w:pStyle w:val="Tables"/>
            </w:pPr>
            <w:r>
              <w:t>[cm</w:t>
            </w:r>
            <w:r w:rsidRPr="007E5DFB">
              <w:rPr>
                <w:vertAlign w:val="superscript"/>
              </w:rPr>
              <w:t>3</w:t>
            </w:r>
            <w:r>
              <w:t xml:space="preserve"> </w:t>
            </w:r>
            <w:r w:rsidRPr="00EC6B2A">
              <w:t>g</w:t>
            </w:r>
            <w:r>
              <w:rPr>
                <w:vertAlign w:val="superscript"/>
              </w:rPr>
              <w:t>-1</w:t>
            </w:r>
            <w:r w:rsidRPr="00E01081">
              <w:t>]</w:t>
            </w:r>
          </w:p>
        </w:tc>
        <w:tc>
          <w:tcPr>
            <w:tcW w:w="2503" w:type="dxa"/>
            <w:gridSpan w:val="2"/>
            <w:tcBorders>
              <w:top w:val="nil"/>
              <w:left w:val="nil"/>
              <w:bottom w:val="single" w:sz="4" w:space="0" w:color="auto"/>
            </w:tcBorders>
          </w:tcPr>
          <w:p w14:paraId="19B26359" w14:textId="767FE1D7" w:rsidR="00C50657" w:rsidRDefault="00C50657" w:rsidP="00C50657">
            <w:pPr>
              <w:pStyle w:val="Tables"/>
            </w:pPr>
            <w:r>
              <w:t>[µmol g</w:t>
            </w:r>
            <w:r w:rsidRPr="007E5DFB">
              <w:rPr>
                <w:vertAlign w:val="superscript"/>
              </w:rPr>
              <w:t>-1</w:t>
            </w:r>
            <w:r>
              <w:t>]</w:t>
            </w:r>
          </w:p>
        </w:tc>
      </w:tr>
      <w:tr w:rsidR="0049277A" w14:paraId="2573AA57" w14:textId="4D7ACEF6" w:rsidTr="0049277A">
        <w:trPr>
          <w:trHeight w:val="377"/>
        </w:trPr>
        <w:tc>
          <w:tcPr>
            <w:tcW w:w="2239" w:type="dxa"/>
            <w:tcBorders>
              <w:top w:val="single" w:sz="4" w:space="0" w:color="auto"/>
              <w:bottom w:val="nil"/>
              <w:right w:val="nil"/>
            </w:tcBorders>
            <w:vAlign w:val="bottom"/>
          </w:tcPr>
          <w:p w14:paraId="0D68BF06" w14:textId="4C8D7D21" w:rsidR="00C50657" w:rsidRDefault="00C50657" w:rsidP="0049277A">
            <w:pPr>
              <w:pStyle w:val="Tables"/>
            </w:pPr>
            <w:r>
              <w:t>11.5 fresh</w:t>
            </w:r>
          </w:p>
        </w:tc>
        <w:tc>
          <w:tcPr>
            <w:tcW w:w="2627" w:type="dxa"/>
            <w:tcBorders>
              <w:top w:val="single" w:sz="4" w:space="0" w:color="auto"/>
              <w:left w:val="nil"/>
              <w:bottom w:val="nil"/>
              <w:right w:val="nil"/>
            </w:tcBorders>
            <w:vAlign w:val="bottom"/>
          </w:tcPr>
          <w:p w14:paraId="0674F35E" w14:textId="1F64BD39" w:rsidR="00C50657" w:rsidRDefault="00C50657" w:rsidP="0049277A">
            <w:pPr>
              <w:pStyle w:val="Tables"/>
            </w:pPr>
            <w:r>
              <w:t>0.10</w:t>
            </w:r>
          </w:p>
        </w:tc>
        <w:tc>
          <w:tcPr>
            <w:tcW w:w="696" w:type="dxa"/>
            <w:tcBorders>
              <w:top w:val="single" w:sz="4" w:space="0" w:color="auto"/>
              <w:left w:val="nil"/>
              <w:bottom w:val="nil"/>
              <w:right w:val="nil"/>
            </w:tcBorders>
            <w:vAlign w:val="bottom"/>
          </w:tcPr>
          <w:p w14:paraId="2C72B97B" w14:textId="77777777" w:rsidR="00C50657" w:rsidRDefault="00C50657" w:rsidP="0049277A">
            <w:pPr>
              <w:pStyle w:val="Tables"/>
            </w:pPr>
            <w:r>
              <w:t>1093</w:t>
            </w:r>
          </w:p>
        </w:tc>
        <w:tc>
          <w:tcPr>
            <w:tcW w:w="1807" w:type="dxa"/>
            <w:tcBorders>
              <w:top w:val="single" w:sz="4" w:space="0" w:color="auto"/>
              <w:left w:val="nil"/>
              <w:bottom w:val="nil"/>
            </w:tcBorders>
            <w:vAlign w:val="bottom"/>
          </w:tcPr>
          <w:p w14:paraId="4FA91ABD" w14:textId="1A7C4513" w:rsidR="00C50657" w:rsidRDefault="00C50657" w:rsidP="0049277A">
            <w:pPr>
              <w:pStyle w:val="Tables"/>
            </w:pPr>
          </w:p>
        </w:tc>
      </w:tr>
      <w:tr w:rsidR="0049277A" w14:paraId="5FC3217F" w14:textId="11BB5A4E" w:rsidTr="0049277A">
        <w:tc>
          <w:tcPr>
            <w:tcW w:w="2239" w:type="dxa"/>
            <w:tcBorders>
              <w:top w:val="nil"/>
              <w:bottom w:val="nil"/>
              <w:right w:val="nil"/>
            </w:tcBorders>
          </w:tcPr>
          <w:p w14:paraId="615A91BD" w14:textId="6B064097" w:rsidR="00C50657" w:rsidRDefault="00C50657" w:rsidP="00C50657">
            <w:pPr>
              <w:pStyle w:val="Tables"/>
            </w:pPr>
            <w:r>
              <w:t>11.5 spent</w:t>
            </w:r>
          </w:p>
        </w:tc>
        <w:tc>
          <w:tcPr>
            <w:tcW w:w="2627" w:type="dxa"/>
            <w:tcBorders>
              <w:top w:val="nil"/>
              <w:left w:val="nil"/>
              <w:bottom w:val="nil"/>
              <w:right w:val="nil"/>
            </w:tcBorders>
          </w:tcPr>
          <w:p w14:paraId="6A95DA19" w14:textId="7C893BC2" w:rsidR="00C50657" w:rsidRDefault="00C50657" w:rsidP="00C50657">
            <w:pPr>
              <w:pStyle w:val="Tables"/>
            </w:pPr>
            <w:r>
              <w:t>&lt;0.02</w:t>
            </w:r>
            <w:r w:rsidRPr="00C50657">
              <w:rPr>
                <w:vertAlign w:val="superscript"/>
              </w:rPr>
              <w:t>[c]</w:t>
            </w:r>
          </w:p>
        </w:tc>
        <w:tc>
          <w:tcPr>
            <w:tcW w:w="696" w:type="dxa"/>
            <w:tcBorders>
              <w:top w:val="nil"/>
              <w:left w:val="nil"/>
              <w:bottom w:val="nil"/>
              <w:right w:val="nil"/>
            </w:tcBorders>
          </w:tcPr>
          <w:p w14:paraId="005A124A" w14:textId="77777777" w:rsidR="00C50657" w:rsidRDefault="00C50657" w:rsidP="00C50657">
            <w:pPr>
              <w:pStyle w:val="Tables"/>
              <w:jc w:val="right"/>
            </w:pPr>
            <w:r>
              <w:t>23</w:t>
            </w:r>
          </w:p>
        </w:tc>
        <w:tc>
          <w:tcPr>
            <w:tcW w:w="1807" w:type="dxa"/>
            <w:tcBorders>
              <w:top w:val="nil"/>
              <w:left w:val="nil"/>
              <w:bottom w:val="nil"/>
            </w:tcBorders>
          </w:tcPr>
          <w:p w14:paraId="11DCD424" w14:textId="7F19157B" w:rsidR="00C50657" w:rsidRDefault="00C50657" w:rsidP="00C50657">
            <w:pPr>
              <w:pStyle w:val="Tables"/>
              <w:jc w:val="right"/>
            </w:pPr>
          </w:p>
        </w:tc>
      </w:tr>
      <w:tr w:rsidR="0049277A" w14:paraId="2D5346FC" w14:textId="75A19A18" w:rsidTr="0049277A">
        <w:tc>
          <w:tcPr>
            <w:tcW w:w="2239" w:type="dxa"/>
            <w:tcBorders>
              <w:top w:val="nil"/>
              <w:bottom w:val="nil"/>
              <w:right w:val="nil"/>
            </w:tcBorders>
          </w:tcPr>
          <w:p w14:paraId="5BE8FCB9" w14:textId="69E8C662" w:rsidR="00C50657" w:rsidRDefault="00C50657" w:rsidP="00C50657">
            <w:pPr>
              <w:pStyle w:val="Tables"/>
            </w:pPr>
            <w:r>
              <w:t>40 fresh</w:t>
            </w:r>
          </w:p>
        </w:tc>
        <w:tc>
          <w:tcPr>
            <w:tcW w:w="2627" w:type="dxa"/>
            <w:tcBorders>
              <w:top w:val="nil"/>
              <w:left w:val="nil"/>
              <w:bottom w:val="nil"/>
              <w:right w:val="nil"/>
            </w:tcBorders>
          </w:tcPr>
          <w:p w14:paraId="14341B27" w14:textId="23139711" w:rsidR="00C50657" w:rsidRDefault="00C50657" w:rsidP="00C50657">
            <w:pPr>
              <w:pStyle w:val="Tables"/>
            </w:pPr>
            <w:r>
              <w:t>0.12</w:t>
            </w:r>
          </w:p>
        </w:tc>
        <w:tc>
          <w:tcPr>
            <w:tcW w:w="696" w:type="dxa"/>
            <w:tcBorders>
              <w:top w:val="nil"/>
              <w:left w:val="nil"/>
              <w:bottom w:val="nil"/>
              <w:right w:val="nil"/>
            </w:tcBorders>
          </w:tcPr>
          <w:p w14:paraId="75274899" w14:textId="77777777" w:rsidR="00C50657" w:rsidRDefault="00C50657" w:rsidP="00C50657">
            <w:pPr>
              <w:pStyle w:val="Tables"/>
              <w:jc w:val="right"/>
            </w:pPr>
            <w:r>
              <w:t>391</w:t>
            </w:r>
          </w:p>
        </w:tc>
        <w:tc>
          <w:tcPr>
            <w:tcW w:w="1807" w:type="dxa"/>
            <w:tcBorders>
              <w:top w:val="nil"/>
              <w:left w:val="nil"/>
              <w:bottom w:val="nil"/>
            </w:tcBorders>
          </w:tcPr>
          <w:p w14:paraId="2E0267C2" w14:textId="0B8129A5" w:rsidR="00C50657" w:rsidRDefault="00C50657" w:rsidP="00C50657">
            <w:pPr>
              <w:pStyle w:val="Tables"/>
              <w:jc w:val="right"/>
            </w:pPr>
          </w:p>
        </w:tc>
      </w:tr>
      <w:tr w:rsidR="0049277A" w14:paraId="2F2BA842" w14:textId="74C62F39" w:rsidTr="0049277A">
        <w:trPr>
          <w:trHeight w:val="378"/>
        </w:trPr>
        <w:tc>
          <w:tcPr>
            <w:tcW w:w="2239" w:type="dxa"/>
            <w:tcBorders>
              <w:top w:val="nil"/>
              <w:bottom w:val="single" w:sz="4" w:space="0" w:color="auto"/>
              <w:right w:val="nil"/>
            </w:tcBorders>
          </w:tcPr>
          <w:p w14:paraId="6ED6EC4A" w14:textId="220F7C3D" w:rsidR="00C50657" w:rsidRDefault="00C50657" w:rsidP="00C50657">
            <w:pPr>
              <w:pStyle w:val="Tables"/>
            </w:pPr>
            <w:r>
              <w:t>40 spent</w:t>
            </w:r>
          </w:p>
        </w:tc>
        <w:tc>
          <w:tcPr>
            <w:tcW w:w="2627" w:type="dxa"/>
            <w:tcBorders>
              <w:top w:val="nil"/>
              <w:left w:val="nil"/>
              <w:bottom w:val="single" w:sz="4" w:space="0" w:color="auto"/>
              <w:right w:val="nil"/>
            </w:tcBorders>
          </w:tcPr>
          <w:p w14:paraId="4633BC4F" w14:textId="41971FBF" w:rsidR="00C50657" w:rsidRDefault="00C50657" w:rsidP="00C50657">
            <w:pPr>
              <w:pStyle w:val="Tables"/>
            </w:pPr>
            <w:r>
              <w:t>0.09</w:t>
            </w:r>
          </w:p>
        </w:tc>
        <w:tc>
          <w:tcPr>
            <w:tcW w:w="696" w:type="dxa"/>
            <w:tcBorders>
              <w:top w:val="nil"/>
              <w:left w:val="nil"/>
              <w:bottom w:val="single" w:sz="4" w:space="0" w:color="auto"/>
              <w:right w:val="nil"/>
            </w:tcBorders>
          </w:tcPr>
          <w:p w14:paraId="1CC6A3A8" w14:textId="77777777" w:rsidR="00C50657" w:rsidRDefault="00C50657" w:rsidP="00C50657">
            <w:pPr>
              <w:pStyle w:val="Tables"/>
              <w:jc w:val="right"/>
            </w:pPr>
            <w:r>
              <w:t>123</w:t>
            </w:r>
          </w:p>
        </w:tc>
        <w:tc>
          <w:tcPr>
            <w:tcW w:w="1807" w:type="dxa"/>
            <w:tcBorders>
              <w:top w:val="nil"/>
              <w:left w:val="nil"/>
              <w:bottom w:val="single" w:sz="4" w:space="0" w:color="auto"/>
            </w:tcBorders>
          </w:tcPr>
          <w:p w14:paraId="49CBEC0E" w14:textId="10580BBA" w:rsidR="00C50657" w:rsidRDefault="00C50657" w:rsidP="00C50657">
            <w:pPr>
              <w:pStyle w:val="Tables"/>
              <w:jc w:val="right"/>
            </w:pPr>
          </w:p>
        </w:tc>
      </w:tr>
      <w:tr w:rsidR="00C50657" w14:paraId="7494996B" w14:textId="3517AD77" w:rsidTr="0049277A">
        <w:trPr>
          <w:trHeight w:val="674"/>
        </w:trPr>
        <w:tc>
          <w:tcPr>
            <w:tcW w:w="7369" w:type="dxa"/>
            <w:gridSpan w:val="4"/>
            <w:tcBorders>
              <w:top w:val="single" w:sz="4" w:space="0" w:color="auto"/>
            </w:tcBorders>
            <w:vAlign w:val="bottom"/>
          </w:tcPr>
          <w:p w14:paraId="067FEC30" w14:textId="03A65703" w:rsidR="00C50657" w:rsidRDefault="00C50657" w:rsidP="007F0887">
            <w:pPr>
              <w:pStyle w:val="Tables"/>
            </w:pPr>
            <w:r>
              <w:t>[a] Measured using the t-plot method. [b] Measured by IPA-TPD. [c] Below the 100 m2 g-1 minimum detection limit of the instrument for this sample size.</w:t>
            </w:r>
          </w:p>
        </w:tc>
      </w:tr>
    </w:tbl>
    <w:p w14:paraId="4C6ACCB3" w14:textId="43CB58D5" w:rsidR="0049277A" w:rsidRDefault="0049277A" w:rsidP="0049277A">
      <w:pPr>
        <w:pStyle w:val="Caption"/>
        <w:rPr>
          <w:b w:val="0"/>
        </w:rPr>
      </w:pPr>
      <w:bookmarkStart w:id="96" w:name="_Toc449964928"/>
      <w:r>
        <w:t xml:space="preserve">Table </w:t>
      </w:r>
      <w:fldSimple w:instr=" STYLEREF &quot;Chapter&quot; \s ">
        <w:r w:rsidR="00463F52">
          <w:rPr>
            <w:noProof/>
          </w:rPr>
          <w:t>4</w:t>
        </w:r>
      </w:fldSimple>
      <w:r>
        <w:t>.</w:t>
      </w:r>
      <w:fldSimple w:instr=" SEQ Table \* ARABIC \s 1 ">
        <w:r w:rsidR="00463F52">
          <w:rPr>
            <w:noProof/>
          </w:rPr>
          <w:t>2</w:t>
        </w:r>
      </w:fldSimple>
      <w:r>
        <w:t>.</w:t>
      </w:r>
      <w:r w:rsidRPr="008E2374">
        <w:t xml:space="preserve"> </w:t>
      </w:r>
      <w:r w:rsidRPr="008E2374">
        <w:rPr>
          <w:b w:val="0"/>
        </w:rPr>
        <w:t xml:space="preserve">Comparison of </w:t>
      </w:r>
      <w:r>
        <w:rPr>
          <w:b w:val="0"/>
        </w:rPr>
        <w:t xml:space="preserve">micropore volume and measured Brønsted sites on fresh and </w:t>
      </w:r>
      <w:r w:rsidRPr="008E2374">
        <w:rPr>
          <w:b w:val="0"/>
        </w:rPr>
        <w:t>spent catalysts</w:t>
      </w:r>
      <w:r>
        <w:rPr>
          <w:b w:val="0"/>
        </w:rPr>
        <w:t xml:space="preserve"> after exposure to 46 mg of biomass at 500°C.</w:t>
      </w:r>
      <w:bookmarkEnd w:id="96"/>
      <w:r>
        <w:rPr>
          <w:b w:val="0"/>
        </w:rPr>
        <w:t xml:space="preserve"> </w:t>
      </w:r>
    </w:p>
    <w:p w14:paraId="033C4F2E" w14:textId="0C2CD672" w:rsidR="007E5DFB" w:rsidRDefault="007E5DFB" w:rsidP="0049277A">
      <w:pPr>
        <w:tabs>
          <w:tab w:val="left" w:pos="5685"/>
        </w:tabs>
      </w:pPr>
    </w:p>
    <w:p w14:paraId="059554FB" w14:textId="03F2ED82" w:rsidR="00327692" w:rsidRDefault="0014283F" w:rsidP="001C12CB">
      <w:r>
        <w:t xml:space="preserve">Additional support for this conclusion of pore plugging over the Si/Al = 11.5 catalyst is found by the accessible acid sites post reaction. The acid sites were characterized by isopropylamine temperature-programmed desorption (IPA-TPD) to quantify the accessible Brønsted sites before and after reaction. The measured number of Brønsted </w:t>
      </w:r>
      <w:r w:rsidR="004D66EC">
        <w:t>sites post reaction for the Si/</w:t>
      </w:r>
      <w:r>
        <w:t>Al=11.5 catalyst decreased to 2% of the initial value (</w:t>
      </w:r>
      <w:r w:rsidR="00F92174">
        <w:t>t</w:t>
      </w:r>
      <w:r w:rsidRPr="00F92174">
        <w:t xml:space="preserve">able </w:t>
      </w:r>
      <w:r w:rsidR="00084C99" w:rsidRPr="00F92174">
        <w:lastRenderedPageBreak/>
        <w:t>4</w:t>
      </w:r>
      <w:r w:rsidR="004210DD" w:rsidRPr="00F92174">
        <w:t>.</w:t>
      </w:r>
      <w:r w:rsidRPr="00F92174">
        <w:t xml:space="preserve">2; the corresponding propylene spectra are shown in </w:t>
      </w:r>
      <w:r w:rsidR="00584047" w:rsidRPr="00F92174">
        <w:t>f</w:t>
      </w:r>
      <w:r w:rsidRPr="00F92174">
        <w:t xml:space="preserve">igure </w:t>
      </w:r>
      <w:r w:rsidR="00584047">
        <w:t>4.27</w:t>
      </w:r>
      <w:r>
        <w:t>). By contrast, for the Si/Al = 40 catalyst, the micropore volume decreases by less than 30% of the initial value, and the accessible acid sites decrease by 70% of the initial value. The greater relative reduction in accessible acid sites than the pore volume is an additional indication that the Si/Al = 40 catalyst is not de-activated solely by pore plugging under these conditions.</w:t>
      </w:r>
    </w:p>
    <w:p w14:paraId="6A81732C" w14:textId="4CE9D449" w:rsidR="004210DD" w:rsidRDefault="00327692" w:rsidP="00584047">
      <w:pPr>
        <w:pStyle w:val="NoSpacing"/>
        <w:jc w:val="center"/>
      </w:pPr>
      <w:r>
        <w:rPr>
          <w:noProof/>
        </w:rPr>
        <w:drawing>
          <wp:inline distT="0" distB="0" distL="0" distR="0" wp14:anchorId="7D4AD598" wp14:editId="76F11181">
            <wp:extent cx="5394960" cy="4560395"/>
            <wp:effectExtent l="0" t="0" r="0" b="12065"/>
            <wp:docPr id="76" name="Picture 76" descr="chem%20sus%20chem%20s21.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hem%20sus%20chem%20s21.pdf"/>
                    <pic:cNvPicPr>
                      <a:picLocks noChangeAspect="1" noChangeArrowheads="1"/>
                    </pic:cNvPicPr>
                  </pic:nvPicPr>
                  <pic:blipFill rotWithShape="1">
                    <a:blip r:embed="rId47">
                      <a:extLst>
                        <a:ext uri="{28A0092B-C50C-407E-A947-70E740481C1C}">
                          <a14:useLocalDpi xmlns:a14="http://schemas.microsoft.com/office/drawing/2010/main" val="0"/>
                        </a:ext>
                      </a:extLst>
                    </a:blip>
                    <a:srcRect l="19707" t="10826" r="18404" b="48709"/>
                    <a:stretch/>
                  </pic:blipFill>
                  <pic:spPr bwMode="auto">
                    <a:xfrm>
                      <a:off x="0" y="0"/>
                      <a:ext cx="5394960" cy="4560395"/>
                    </a:xfrm>
                    <a:prstGeom prst="rect">
                      <a:avLst/>
                    </a:prstGeom>
                    <a:noFill/>
                    <a:ln>
                      <a:noFill/>
                    </a:ln>
                    <a:extLst>
                      <a:ext uri="{53640926-AAD7-44D8-BBD7-CCE9431645EC}">
                        <a14:shadowObscured xmlns:a14="http://schemas.microsoft.com/office/drawing/2010/main"/>
                      </a:ext>
                    </a:extLst>
                  </pic:spPr>
                </pic:pic>
              </a:graphicData>
            </a:graphic>
          </wp:inline>
        </w:drawing>
      </w:r>
    </w:p>
    <w:p w14:paraId="3EC265A0" w14:textId="77777777" w:rsidR="00584047" w:rsidRDefault="00584047" w:rsidP="00584047">
      <w:pPr>
        <w:pStyle w:val="Caption"/>
        <w:rPr>
          <w:b w:val="0"/>
        </w:rPr>
      </w:pPr>
      <w:bookmarkStart w:id="97" w:name="_Toc449964988"/>
      <w:r>
        <w:t xml:space="preserve">Figure </w:t>
      </w:r>
      <w:fldSimple w:instr=" STYLEREF &quot;Chapter&quot; \s ">
        <w:r w:rsidR="00463F52">
          <w:rPr>
            <w:noProof/>
          </w:rPr>
          <w:t>4</w:t>
        </w:r>
      </w:fldSimple>
      <w:r>
        <w:t>.</w:t>
      </w:r>
      <w:fldSimple w:instr=" SEQ Figure \* ARABIC \s 1 ">
        <w:r w:rsidR="00463F52">
          <w:rPr>
            <w:noProof/>
          </w:rPr>
          <w:t>27</w:t>
        </w:r>
      </w:fldSimple>
      <w:r>
        <w:rPr>
          <w:noProof/>
        </w:rPr>
        <w:t xml:space="preserve">. </w:t>
      </w:r>
      <w:r w:rsidRPr="00CF0B13">
        <w:rPr>
          <w:b w:val="0"/>
        </w:rPr>
        <w:t>Gas yield from the 10 pulses of pyrolysis with HZSM5 of Si/Al=11.5 1.36mg under 500°C.</w:t>
      </w:r>
      <w:bookmarkEnd w:id="97"/>
    </w:p>
    <w:p w14:paraId="04F1792D" w14:textId="77777777" w:rsidR="00584047" w:rsidRDefault="00584047" w:rsidP="001C12CB"/>
    <w:p w14:paraId="5DCC47F4" w14:textId="1A6B60DD" w:rsidR="0074036B" w:rsidRDefault="0014283F" w:rsidP="001C12CB">
      <w:r>
        <w:t xml:space="preserve">These results help to clarify others that occur in more complex systems in which several factors, such as rapid deactivation, excess catalyst, and the presence of an active </w:t>
      </w:r>
      <w:r>
        <w:lastRenderedPageBreak/>
        <w:t xml:space="preserve">mesoporous support, make the identification of the role of the zeolite very challenging. As the catalyst with a high site density deactivates so rapidly, the net amount of catalytic coke may be lower and could easily lead to the wrong conclusions. </w:t>
      </w:r>
    </w:p>
    <w:p w14:paraId="14FFF559" w14:textId="6D485C66" w:rsidR="00157AEC" w:rsidRDefault="00157AEC" w:rsidP="00157AEC">
      <w:pPr>
        <w:pStyle w:val="Heading3"/>
      </w:pPr>
      <w:bookmarkStart w:id="98" w:name="_Toc449964865"/>
      <w:r>
        <w:t>Product yields</w:t>
      </w:r>
      <w:bookmarkEnd w:id="98"/>
    </w:p>
    <w:p w14:paraId="5A3DB3ED" w14:textId="026475F0" w:rsidR="00E73E07" w:rsidRDefault="00F70ADD" w:rsidP="00F70ADD">
      <w:r>
        <w:t>The overall mass balance for the first pulse of six different catalytic and b</w:t>
      </w:r>
      <w:r w:rsidR="004210DD">
        <w:t xml:space="preserve">lank series is shown in Figure </w:t>
      </w:r>
      <w:r w:rsidR="00E143BD">
        <w:t>4</w:t>
      </w:r>
      <w:r w:rsidR="00F92174">
        <w:t>.28</w:t>
      </w:r>
      <w:r>
        <w:t xml:space="preserve">. As a result of the separation of the pyrolysis bed from the reactor bed, the char and ash can be quantified separately from the catalytic coke. </w:t>
      </w:r>
    </w:p>
    <w:p w14:paraId="22310E6F" w14:textId="5CD700C8" w:rsidR="00E73E07" w:rsidRDefault="00E73E07" w:rsidP="005B60FA">
      <w:pPr>
        <w:pStyle w:val="NoSpacing"/>
      </w:pPr>
      <w:r>
        <w:rPr>
          <w:noProof/>
        </w:rPr>
        <w:drawing>
          <wp:inline distT="0" distB="0" distL="0" distR="0" wp14:anchorId="3F45DC89" wp14:editId="50F0FC4B">
            <wp:extent cx="5394960" cy="3200400"/>
            <wp:effectExtent l="0" t="0" r="0" b="0"/>
            <wp:docPr id="61"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2AD98DE7" w14:textId="77777777" w:rsidR="00573E4C" w:rsidRDefault="00E73E07" w:rsidP="00BB1CAB">
      <w:pPr>
        <w:pStyle w:val="Caption"/>
        <w:rPr>
          <w:b w:val="0"/>
        </w:rPr>
      </w:pPr>
      <w:bookmarkStart w:id="99" w:name="_Toc449964989"/>
      <w:r w:rsidRPr="00E73E07">
        <w:t xml:space="preserve">Figure </w:t>
      </w:r>
      <w:fldSimple w:instr=" STYLEREF &quot;Chapter&quot; \s ">
        <w:r w:rsidR="00463F52">
          <w:rPr>
            <w:noProof/>
          </w:rPr>
          <w:t>4</w:t>
        </w:r>
      </w:fldSimple>
      <w:r w:rsidRPr="00E73E07">
        <w:t>.</w:t>
      </w:r>
      <w:fldSimple w:instr=" SEQ Figure \* ARABIC \s 1 ">
        <w:r w:rsidR="00463F52">
          <w:rPr>
            <w:noProof/>
          </w:rPr>
          <w:t>28</w:t>
        </w:r>
      </w:fldSimple>
      <w:r w:rsidRPr="00E73E07">
        <w:rPr>
          <w:noProof/>
        </w:rPr>
        <w:t>.</w:t>
      </w:r>
      <w:r>
        <w:rPr>
          <w:noProof/>
        </w:rPr>
        <w:t xml:space="preserve"> </w:t>
      </w:r>
      <w:r w:rsidRPr="00BB1CAB">
        <w:rPr>
          <w:b w:val="0"/>
        </w:rPr>
        <w:t>Overall mass balance from the first pulse of three different temperatures series and another two fixed acid sites s</w:t>
      </w:r>
      <w:r w:rsidR="00573E4C">
        <w:rPr>
          <w:b w:val="0"/>
        </w:rPr>
        <w:t>eries under 500˚C respectively.</w:t>
      </w:r>
      <w:bookmarkEnd w:id="99"/>
    </w:p>
    <w:p w14:paraId="484027FE" w14:textId="7725AF2E" w:rsidR="00E73E07" w:rsidRPr="00E73E07" w:rsidRDefault="00E73E07" w:rsidP="00BB1CAB">
      <w:pPr>
        <w:pStyle w:val="Caption"/>
      </w:pPr>
      <w:r w:rsidRPr="00BB1CAB">
        <w:rPr>
          <w:b w:val="0"/>
        </w:rPr>
        <w:t>The coke amount [mg mg</w:t>
      </w:r>
      <w:r w:rsidRPr="00BB1CAB">
        <w:rPr>
          <w:b w:val="0"/>
          <w:vertAlign w:val="subscript"/>
        </w:rPr>
        <w:t>oak input</w:t>
      </w:r>
      <w:r w:rsidRPr="00BB1CAB">
        <w:rPr>
          <w:b w:val="0"/>
          <w:vertAlign w:val="superscript"/>
        </w:rPr>
        <w:t>-1</w:t>
      </w:r>
      <w:r w:rsidRPr="00BB1CAB">
        <w:rPr>
          <w:b w:val="0"/>
        </w:rPr>
        <w:t>] in each catalytic case is averaged from the total coke in the spent catalyst after undertaking 10 pulses of pyrolysis vapors.</w:t>
      </w:r>
      <w:r w:rsidRPr="00E73E07">
        <w:t xml:space="preserve"> </w:t>
      </w:r>
    </w:p>
    <w:p w14:paraId="4F037C0F" w14:textId="77777777" w:rsidR="00E73E07" w:rsidRDefault="00E73E07" w:rsidP="00F70ADD"/>
    <w:p w14:paraId="63B3A64A" w14:textId="4634420B" w:rsidR="00F70ADD" w:rsidRDefault="00F70ADD" w:rsidP="00F70ADD">
      <w:r>
        <w:t>Quantification of the char, ash, coke, and noncondensable gases allows the estimation of an overall mass balance for the system. The coke yields reported are based on the amount of coke accumulated after 10</w:t>
      </w:r>
      <w:r w:rsidR="000457E2">
        <w:t xml:space="preserve"> </w:t>
      </w:r>
      <w:r>
        <w:t xml:space="preserve">pulses of biomass injected (to enable a quantifiable amount measured by </w:t>
      </w:r>
      <w:r w:rsidR="00E143BD" w:rsidRPr="00E143BD">
        <w:t>TGA as described in section 3.4.3</w:t>
      </w:r>
      <w:r>
        <w:t xml:space="preserve">). The cumulative </w:t>
      </w:r>
      <w:r>
        <w:lastRenderedPageBreak/>
        <w:t>amount of coke after 10 pulses was divided by the amount of biomass injected to estimate the average amount of coke per pulse. The coke yield makes up a small portion of the biomass, so differences in coke yield that occur from the 1st to 10th pulse are not likely to have a great impact on th</w:t>
      </w:r>
      <w:r w:rsidR="000457E2">
        <w:t xml:space="preserve">e overall mass balance (Figure </w:t>
      </w:r>
      <w:r w:rsidR="00E143BD">
        <w:t>4</w:t>
      </w:r>
      <w:r w:rsidR="000457E2">
        <w:t>.2</w:t>
      </w:r>
      <w:r w:rsidR="00F92174">
        <w:t>8</w:t>
      </w:r>
      <w:r>
        <w:t>). The C</w:t>
      </w:r>
      <w:r w:rsidRPr="00E143BD">
        <w:rPr>
          <w:vertAlign w:val="subscript"/>
        </w:rPr>
        <w:t>2+</w:t>
      </w:r>
      <w:r>
        <w:t xml:space="preserve"> vapor and water yields reported in </w:t>
      </w:r>
      <w:r w:rsidR="000457E2">
        <w:t xml:space="preserve">Figure </w:t>
      </w:r>
      <w:r w:rsidR="00E143BD">
        <w:t>4</w:t>
      </w:r>
      <w:r w:rsidR="00F92174">
        <w:t>.28</w:t>
      </w:r>
      <w:r w:rsidR="000457E2">
        <w:t xml:space="preserve"> </w:t>
      </w:r>
      <w:r>
        <w:t>are taken by difference because of the small amounts of biomass vapors produced per pulse</w:t>
      </w:r>
      <w:r w:rsidR="009D6B86">
        <w:t xml:space="preserve"> </w:t>
      </w:r>
      <w:r w:rsidR="009D6B86">
        <w:fldChar w:fldCharType="begin"/>
      </w:r>
      <w:r w:rsidR="00807999">
        <w:instrText xml:space="preserve"> ADDIN PAPERS2_CITATIONS &lt;citation&gt;&lt;uuid&gt;861209AE-4404-406B-81A4-3F7A9AE8DE90&lt;/uuid&gt;&lt;priority&gt;0&lt;/priority&gt;&lt;publications&gt;&lt;publication&gt;&lt;volume&gt;16&lt;/volume&gt;&lt;publication_date&gt;99201400001200000000200000&lt;/publication_date&gt;&lt;number&gt;3&lt;/number&gt;&lt;doi&gt;10.1039/C3GC42065E&lt;/doi&gt;&lt;startpage&gt;1444&lt;/startpage&gt;&lt;title&gt;Real-time monitoring of the deactivation of HZSM-5 during upgrading of pine pyrolysis vapors&lt;/title&gt;&lt;uuid&gt;5986703A-F7FF-489A-8BC5-30F59E0BC61A&lt;/uuid&gt;&lt;subtype&gt;400&lt;/subtype&gt;&lt;endpage&gt;1461&lt;/endpage&gt;&lt;type&gt;400&lt;/type&gt;&lt;url&gt;http://xlink.rsc.org/?DOI=C3GC42065E&lt;/url&gt;&lt;bundle&gt;&lt;publication&gt;&lt;title&gt;Green Chemistry&lt;/title&gt;&lt;type&gt;-100&lt;/type&gt;&lt;subtype&gt;-100&lt;/subtype&gt;&lt;uuid&gt;045E1331-77DD-4BA3-926E-44A87D72FBCE&lt;/uuid&gt;&lt;/publication&gt;&lt;/bundle&gt;&lt;authors&gt;&lt;author&gt;&lt;firstName&gt;Calvin&lt;/firstName&gt;&lt;lastName&gt;Mukarakate&lt;/lastName&gt;&lt;/author&gt;&lt;author&gt;&lt;firstName&gt;Xiaodong&lt;/firstName&gt;&lt;lastName&gt;Zhang&lt;/lastName&gt;&lt;/author&gt;&lt;author&gt;&lt;firstName&gt;Alexander&lt;/firstName&gt;&lt;middleNames&gt;R&lt;/middleNames&gt;&lt;lastName&gt;Stanton&lt;/lastName&gt;&lt;/author&gt;&lt;author&gt;&lt;firstName&gt;David&lt;/firstName&gt;&lt;middleNames&gt;J&lt;/middleNames&gt;&lt;lastName&gt;Robichaud&lt;/lastName&gt;&lt;/author&gt;&lt;author&gt;&lt;firstName&gt;Peter&lt;/firstName&gt;&lt;middleNames&gt;N&lt;/middleNames&gt;&lt;lastName&gt;Ciesielski&lt;/lastName&gt;&lt;/author&gt;&lt;author&gt;&lt;firstName&gt;Kara&lt;/firstName&gt;&lt;lastName&gt;Malhotra&lt;/lastName&gt;&lt;/author&gt;&lt;author&gt;&lt;firstName&gt;Bryon&lt;/firstName&gt;&lt;middleNames&gt;S&lt;/middleNames&gt;&lt;lastName&gt;Donohoe&lt;/lastName&gt;&lt;/author&gt;&lt;author&gt;&lt;firstName&gt;Erica&lt;/firstName&gt;&lt;lastName&gt;Gjersing&lt;/lastName&gt;&lt;/author&gt;&lt;author&gt;&lt;firstName&gt;Robert&lt;/firstName&gt;&lt;middleNames&gt;J&lt;/middleNames&gt;&lt;lastName&gt;Evans&lt;/lastName&gt;&lt;/author&gt;&lt;author&gt;&lt;firstName&gt;David&lt;/firstName&gt;&lt;middleNames&gt;S&lt;/middleNames&gt;&lt;lastName&gt;Heroux&lt;/lastName&gt;&lt;/author&gt;&lt;author&gt;&lt;firstName&gt;Ryan&lt;/firstName&gt;&lt;lastName&gt;Richards&lt;/lastName&gt;&lt;/author&gt;&lt;author&gt;&lt;firstName&gt;Kristiina&lt;/firstName&gt;&lt;lastName&gt;Iisa&lt;/lastName&gt;&lt;/author&gt;&lt;author&gt;&lt;firstName&gt;Mark&lt;/firstName&gt;&lt;middleNames&gt;R&lt;/middleNames&gt;&lt;lastName&gt;Nimlos&lt;/lastName&gt;&lt;/author&gt;&lt;/authors&gt;&lt;/publication&gt;&lt;/publications&gt;&lt;cites&gt;&lt;/cites&gt;&lt;/citation&gt;</w:instrText>
      </w:r>
      <w:r w:rsidR="009D6B86">
        <w:fldChar w:fldCharType="separate"/>
      </w:r>
      <w:r w:rsidR="001C1AAC">
        <w:t>(</w:t>
      </w:r>
      <w:r w:rsidR="001C1AAC">
        <w:rPr>
          <w:i/>
          <w:iCs/>
        </w:rPr>
        <w:t>153</w:t>
      </w:r>
      <w:r w:rsidR="001C1AAC">
        <w:t>)</w:t>
      </w:r>
      <w:r w:rsidR="009D6B86">
        <w:fldChar w:fldCharType="end"/>
      </w:r>
      <w:r w:rsidR="009D6B86">
        <w:t>.</w:t>
      </w:r>
    </w:p>
    <w:p w14:paraId="7DFF62C2" w14:textId="77513C4C" w:rsidR="00F70ADD" w:rsidRDefault="00F70ADD" w:rsidP="00F70ADD">
      <w:r>
        <w:t xml:space="preserve">Interestingly, the coke values on the spent catalysts shown in </w:t>
      </w:r>
      <w:r w:rsidR="000457E2">
        <w:t xml:space="preserve">Figure </w:t>
      </w:r>
      <w:r w:rsidR="00E143BD">
        <w:t>4</w:t>
      </w:r>
      <w:r w:rsidR="00F92174">
        <w:t>.28</w:t>
      </w:r>
      <w:r w:rsidR="000457E2">
        <w:t xml:space="preserve"> </w:t>
      </w:r>
      <w:r>
        <w:t>are far less than coke values reported typically in in situ catalytic pyrolysis runs. This is because of the inability to distinguish catalytic coke from char during in situ catalytic pyrolysis experiments. The amount of char+coke reported here is in agreement with typical coke levels reported in the literature for in situ catalytic pyrolysis runs</w:t>
      </w:r>
      <w:r w:rsidR="009D6B86">
        <w:t xml:space="preserve"> </w:t>
      </w:r>
      <w:r w:rsidR="009D6B86">
        <w:fldChar w:fldCharType="begin"/>
      </w:r>
      <w:r w:rsidR="00807999">
        <w:instrText xml:space="preserve"> ADDIN PAPERS2_CITATIONS &lt;citation&gt;&lt;uuid&gt;0E6BFD5A-218D-4387-97CC-50A511C20536&lt;/uuid&gt;&lt;priority&gt;0&lt;/priority&gt;&lt;publications&gt;&lt;publication&gt;&lt;type&gt;400&lt;/type&gt;&lt;publication_date&gt;99201100001200000000200000&lt;/publication_date&gt;&lt;title&gt;Production of green aromatics and olefins by catalytic fast pyrolysis of wood sawdust - Energy &amp;amp; Environmental Science (RSC Publishing) DOI:10.1039/C0EE00341G&lt;/title&gt;&lt;url&gt;http://pubs.rsc.org/en/content/articlehtml/2011/ee/c0ee00341g&lt;/url&gt;&lt;subtype&gt;400&lt;/subtype&gt;&lt;uuid&gt;88D10271-E866-43F0-87BB-EBE9560EC1AA&lt;/uuid&gt;&lt;bundle&gt;&lt;publication&gt;&lt;title&gt;Energy &amp;amp; Environmental Science&lt;/title&gt;&lt;type&gt;-100&lt;/type&gt;&lt;subtype&gt;-100&lt;/subtype&gt;&lt;uuid&gt;E64DE592-61F4-41A7-AE89-5752A37B01CB&lt;/uuid&gt;&lt;/publication&gt;&lt;/bundle&gt;&lt;authors&gt;&lt;author&gt;&lt;firstName&gt;Torren&lt;/firstName&gt;&lt;middleNames&gt;R&lt;/middleNames&gt;&lt;lastName&gt;Carlson&lt;/lastName&gt;&lt;/author&gt;&lt;author&gt;&lt;firstName&gt;Yu-Ting&lt;/firstName&gt;&lt;middleNames&gt;T&lt;/middleNames&gt;&lt;lastName&gt;Cheng&lt;/lastName&gt;&lt;/author&gt;&lt;author&gt;&lt;firstName&gt;Jungho&lt;/firstName&gt;&lt;lastName&gt;Jae&lt;/lastName&gt;&lt;/author&gt;&lt;author&gt;&lt;firstName&gt;G W&lt;/firstName&gt;&lt;lastName&gt;Huber&lt;/lastName&gt;&lt;/author&gt;&lt;/authors&gt;&lt;/publication&gt;&lt;/publications&gt;&lt;cites&gt;&lt;/cites&gt;&lt;/citation&gt;</w:instrText>
      </w:r>
      <w:r w:rsidR="009D6B86">
        <w:fldChar w:fldCharType="separate"/>
      </w:r>
      <w:r w:rsidR="001C1AAC">
        <w:t>(</w:t>
      </w:r>
      <w:r w:rsidR="001C1AAC">
        <w:rPr>
          <w:i/>
          <w:iCs/>
        </w:rPr>
        <w:t>151</w:t>
      </w:r>
      <w:r w:rsidR="001C1AAC">
        <w:t>)</w:t>
      </w:r>
      <w:r w:rsidR="009D6B86">
        <w:fldChar w:fldCharType="end"/>
      </w:r>
      <w:r w:rsidR="009D6B86">
        <w:t xml:space="preserve">. </w:t>
      </w:r>
      <w:r>
        <w:t>The values of coke reported here that correspond to ~4.5% of the biomass fed are in agreement with other results reported for ex situ catalytic pyrolysis using a separate bed of HZSM-5</w:t>
      </w:r>
      <w:r w:rsidR="009D6B86">
        <w:t xml:space="preserve"> </w:t>
      </w:r>
      <w:r w:rsidR="009D6B86">
        <w:fldChar w:fldCharType="begin"/>
      </w:r>
      <w:r w:rsidR="00807999">
        <w:instrText xml:space="preserve"> ADDIN PAPERS2_CITATIONS &lt;citation&gt;&lt;uuid&gt;AFD42BC8-BE84-4066-85D5-0D6E1DF7154A&lt;/uuid&gt;&lt;priority&gt;0&lt;/priority&gt;&lt;publications&gt;&lt;publication&gt;&lt;volume&gt;16&lt;/volume&gt;&lt;publication_date&gt;99201400001200000000200000&lt;/publication_date&gt;&lt;number&gt;3&lt;/number&gt;&lt;doi&gt;10.1039/C3GC42065E&lt;/doi&gt;&lt;startpage&gt;1444&lt;/startpage&gt;&lt;title&gt;Real-time monitoring of the deactivation of HZSM-5 during upgrading of pine pyrolysis vapors&lt;/title&gt;&lt;uuid&gt;5986703A-F7FF-489A-8BC5-30F59E0BC61A&lt;/uuid&gt;&lt;subtype&gt;400&lt;/subtype&gt;&lt;endpage&gt;1461&lt;/endpage&gt;&lt;type&gt;400&lt;/type&gt;&lt;url&gt;http://xlink.rsc.org/?DOI=C3GC42065E&lt;/url&gt;&lt;bundle&gt;&lt;publication&gt;&lt;title&gt;Green Chemistry&lt;/title&gt;&lt;type&gt;-100&lt;/type&gt;&lt;subtype&gt;-100&lt;/subtype&gt;&lt;uuid&gt;045E1331-77DD-4BA3-926E-44A87D72FBCE&lt;/uuid&gt;&lt;/publication&gt;&lt;/bundle&gt;&lt;authors&gt;&lt;author&gt;&lt;firstName&gt;Calvin&lt;/firstName&gt;&lt;lastName&gt;Mukarakate&lt;/lastName&gt;&lt;/author&gt;&lt;author&gt;&lt;firstName&gt;Xiaodong&lt;/firstName&gt;&lt;lastName&gt;Zhang&lt;/lastName&gt;&lt;/author&gt;&lt;author&gt;&lt;firstName&gt;Alexander&lt;/firstName&gt;&lt;middleNames&gt;R&lt;/middleNames&gt;&lt;lastName&gt;Stanton&lt;/lastName&gt;&lt;/author&gt;&lt;author&gt;&lt;firstName&gt;David&lt;/firstName&gt;&lt;middleNames&gt;J&lt;/middleNames&gt;&lt;lastName&gt;Robichaud&lt;/lastName&gt;&lt;/author&gt;&lt;author&gt;&lt;firstName&gt;Peter&lt;/firstName&gt;&lt;middleNames&gt;N&lt;/middleNames&gt;&lt;lastName&gt;Ciesielski&lt;/lastName&gt;&lt;/author&gt;&lt;author&gt;&lt;firstName&gt;Kara&lt;/firstName&gt;&lt;lastName&gt;Malhotra&lt;/lastName&gt;&lt;/author&gt;&lt;author&gt;&lt;firstName&gt;Bryon&lt;/firstName&gt;&lt;middleNames&gt;S&lt;/middleNames&gt;&lt;lastName&gt;Donohoe&lt;/lastName&gt;&lt;/author&gt;&lt;author&gt;&lt;firstName&gt;Erica&lt;/firstName&gt;&lt;lastName&gt;Gjersing&lt;/lastName&gt;&lt;/author&gt;&lt;author&gt;&lt;firstName&gt;Robert&lt;/firstName&gt;&lt;middleNames&gt;J&lt;/middleNames&gt;&lt;lastName&gt;Evans&lt;/lastName&gt;&lt;/author&gt;&lt;author&gt;&lt;firstName&gt;David&lt;/firstName&gt;&lt;middleNames&gt;S&lt;/middleNames&gt;&lt;lastName&gt;Heroux&lt;/lastName&gt;&lt;/author&gt;&lt;author&gt;&lt;firstName&gt;Ryan&lt;/firstName&gt;&lt;lastName&gt;Richards&lt;/lastName&gt;&lt;/author&gt;&lt;author&gt;&lt;firstName&gt;Kristiina&lt;/firstName&gt;&lt;lastName&gt;Iisa&lt;/lastName&gt;&lt;/author&gt;&lt;author&gt;&lt;firstName&gt;Mark&lt;/firstName&gt;&lt;middleNames&gt;R&lt;/middleNames&gt;&lt;lastName&gt;Nimlos&lt;/lastName&gt;&lt;/author&gt;&lt;/authors&gt;&lt;/publication&gt;&lt;/publications&gt;&lt;cites&gt;&lt;/cites&gt;&lt;/citation&gt;</w:instrText>
      </w:r>
      <w:r w:rsidR="009D6B86">
        <w:fldChar w:fldCharType="separate"/>
      </w:r>
      <w:r w:rsidR="001C1AAC">
        <w:t>(</w:t>
      </w:r>
      <w:r w:rsidR="001C1AAC">
        <w:rPr>
          <w:i/>
          <w:iCs/>
        </w:rPr>
        <w:t>153</w:t>
      </w:r>
      <w:r w:rsidR="001C1AAC">
        <w:t>)</w:t>
      </w:r>
      <w:r w:rsidR="009D6B86">
        <w:fldChar w:fldCharType="end"/>
      </w:r>
      <w:r>
        <w:t>.</w:t>
      </w:r>
      <w:r w:rsidR="009D6B86">
        <w:t xml:space="preserve"> </w:t>
      </w:r>
    </w:p>
    <w:p w14:paraId="497CB2AC" w14:textId="0C4668E2" w:rsidR="00F70ADD" w:rsidRDefault="00F70ADD" w:rsidP="00F70ADD">
      <w:r>
        <w:t xml:space="preserve">All the catalytic runs have a higher yield of CO, </w:t>
      </w:r>
      <w:r w:rsidR="00A05B76">
        <w:t>CO</w:t>
      </w:r>
      <w:r w:rsidR="00A05B76" w:rsidRPr="00A05B76">
        <w:rPr>
          <w:vertAlign w:val="subscript"/>
        </w:rPr>
        <w:t>2</w:t>
      </w:r>
      <w:r>
        <w:t xml:space="preserve">, and </w:t>
      </w:r>
      <w:r w:rsidR="00A05B76">
        <w:t>CH</w:t>
      </w:r>
      <w:r w:rsidR="00A05B76" w:rsidRPr="00A05B76">
        <w:rPr>
          <w:vertAlign w:val="subscript"/>
        </w:rPr>
        <w:t>4</w:t>
      </w:r>
      <w:r>
        <w:t xml:space="preserve"> and lower yield of C</w:t>
      </w:r>
      <w:r w:rsidRPr="00E143BD">
        <w:rPr>
          <w:vertAlign w:val="subscript"/>
        </w:rPr>
        <w:t>2+</w:t>
      </w:r>
      <w:r>
        <w:t xml:space="preserve"> vapors and water than the blank runs. As the temperature of the catalyst increases, the gas yield increases and the coke yield decreases as discussed previously. The aromatics yield passes through a maximum at 500°C (Figure </w:t>
      </w:r>
      <w:r w:rsidR="00E143BD">
        <w:t>4</w:t>
      </w:r>
      <w:r w:rsidR="000457E2">
        <w:t>.3</w:t>
      </w:r>
      <w:r>
        <w:t>), which highlights the significant difference in the composition of the vapor products as the temperature is increased.</w:t>
      </w:r>
    </w:p>
    <w:p w14:paraId="460A8E9D" w14:textId="1CA8BD29" w:rsidR="00F70ADD" w:rsidRDefault="00F70ADD" w:rsidP="00F70ADD">
      <w:r>
        <w:t xml:space="preserve">Variation of the acid site density results in nearly identical product yields for the first pulse if a comparable amount of acid sites are used. The lower coke yield over the Si/Al = 11.5 catalyst is because of the rapid deactivation of the catalyst, likely caused by pore plugging, and the fact that coke yields are measured after 10 pulses of biomass. These </w:t>
      </w:r>
      <w:r>
        <w:lastRenderedPageBreak/>
        <w:t>results indicate that product yields that result from all three catalysts on a per acid site basis are initially very similar, but the major difference lies in the more rapid deactivation rates that result over the catalysts with acid si</w:t>
      </w:r>
      <w:r w:rsidR="000457E2">
        <w:t xml:space="preserve">tes in close proximity (Figure </w:t>
      </w:r>
      <w:r w:rsidR="00E143BD">
        <w:t>4</w:t>
      </w:r>
      <w:r w:rsidR="000457E2">
        <w:t>.16</w:t>
      </w:r>
      <w:r>
        <w:t xml:space="preserve">). </w:t>
      </w:r>
    </w:p>
    <w:p w14:paraId="1AE6E87A" w14:textId="77777777" w:rsidR="00F70ADD" w:rsidRDefault="00F70ADD" w:rsidP="005C7E19">
      <w:pPr>
        <w:pStyle w:val="Heading2"/>
      </w:pPr>
      <w:bookmarkStart w:id="100" w:name="_Toc449964866"/>
      <w:r>
        <w:t>Conclusions</w:t>
      </w:r>
      <w:bookmarkEnd w:id="100"/>
      <w:r>
        <w:t xml:space="preserve"> </w:t>
      </w:r>
    </w:p>
    <w:p w14:paraId="3A7418F9" w14:textId="277159FA" w:rsidR="00157AEC" w:rsidRDefault="00F70ADD" w:rsidP="00F70ADD">
      <w:r>
        <w:t>The use of a separate catalytic reactor in the custom pyroprobe allows independent evaluation of catalyst activity and catalyst deactivation. The conversion of biomass pyrolysis vapors to aromatics over HZSM-5 is favored at moderate temperatures around 500°C, with a tradeoff between low activity at lower temperature and the formation of excessive light gasses at higher temperatures. Initial yields of aromatics are comparable per acid site for the range of Si/Al tested here. It was found that the density of acid sites plays a critical role on catalyst stability under these conditions, and lower Si/Al ratios lead to increased catalyst deactivation rates.</w:t>
      </w:r>
    </w:p>
    <w:p w14:paraId="28580629" w14:textId="53F1216B" w:rsidR="00CA0949" w:rsidRDefault="00CA0949" w:rsidP="00CA0949">
      <w:pPr>
        <w:pStyle w:val="Heading2"/>
      </w:pPr>
      <w:bookmarkStart w:id="101" w:name="_Toc449964867"/>
      <w:r>
        <w:t>Acknowledgements</w:t>
      </w:r>
      <w:bookmarkEnd w:id="101"/>
    </w:p>
    <w:p w14:paraId="6988ABDA" w14:textId="6364AD44" w:rsidR="00CA0949" w:rsidRDefault="00CA0949" w:rsidP="00F70ADD">
      <w:r w:rsidRPr="00CA0949">
        <w:t>The work has been financially supported by the NIFA-USDA BRDI (2012-10008-20271), the National Science Foundation (EPSCoR 0814361), and the US Department of Energy (DE-FG36GO88064). The assistance of Dr. Charles Mullen, of the Agricultural Research Service of the USDA, with the GC–MS analysis is gratefully acknowledged. We would also like to thank Nick Briggs for taking the SEM images and Zhenxi Liang for help with the char analysis.</w:t>
      </w:r>
    </w:p>
    <w:p w14:paraId="6241A11A" w14:textId="77777777" w:rsidR="003B659C" w:rsidRPr="003B659C" w:rsidRDefault="0074036B" w:rsidP="00610540">
      <w:pPr>
        <w:pStyle w:val="Chapter"/>
      </w:pPr>
      <w:r>
        <w:br w:type="page"/>
      </w:r>
      <w:bookmarkStart w:id="102" w:name="_Toc449964868"/>
      <w:r w:rsidR="003B659C" w:rsidRPr="003B659C">
        <w:lastRenderedPageBreak/>
        <w:t>Staged Thermal Fractionation for Segregation of Lignin and Cellulose Pyrolysis Products: An Experimental Study of Residence Time and Temperature Effects</w:t>
      </w:r>
      <w:bookmarkEnd w:id="102"/>
    </w:p>
    <w:p w14:paraId="1C7A6FB4" w14:textId="77777777" w:rsidR="007E4720" w:rsidRDefault="007E4720" w:rsidP="007E4720">
      <w:r>
        <w:t>Extracted from a manuscript in preparation</w:t>
      </w:r>
    </w:p>
    <w:p w14:paraId="201C1466" w14:textId="77777777" w:rsidR="007E4720" w:rsidRDefault="007E4720" w:rsidP="007E4720">
      <w:r>
        <w:t>Christopher Waters, Rajiv Janupala, Richard Mallinson, Lance Lobban</w:t>
      </w:r>
    </w:p>
    <w:p w14:paraId="3C4E8997" w14:textId="77777777" w:rsidR="007E4720" w:rsidRDefault="007E4720" w:rsidP="005C7E19">
      <w:pPr>
        <w:pStyle w:val="Heading2"/>
      </w:pPr>
      <w:bookmarkStart w:id="103" w:name="_Toc449964869"/>
      <w:r>
        <w:t>Abstract</w:t>
      </w:r>
      <w:bookmarkEnd w:id="103"/>
    </w:p>
    <w:p w14:paraId="2C013941" w14:textId="77777777" w:rsidR="007E4720" w:rsidRDefault="007E4720" w:rsidP="007E4720">
      <w:r>
        <w:t xml:space="preserve">Thermal conversion technologies may be the most efficient means of production of transportation fuels from lignocellulosic biomass. In order to increase the viability and improve the carbon emissions profile of pyrolysis biofuels, improvements must be made to the required catalytic upgrading to increase both hydrogen utilization efficiency and final liquid carbon yields. However, no current single catalytic valorization strategy can be optimized to convert the complex mixture of compounds produced upon fast pyrolysis of biomass. Staged thermal fractionation, which entails a series of sequentially increasing temperature steps to decompose biomass, has been proposed as a simple means to create vapor product streams of enhanced purity as compared to fast pyrolysis. In this work we use analytical pyrolysis to investigate the effects of time and temperature on a thermal step designed to segregate the lignin and cellulose pyrolysis products of a biomass which has been pre-torrefied to remove hemicellulose. At process conditions of 380°C and 180 second isothermal hold time, a stream containing less than 20% phenolics (carbon basis) was produced, and upon subsequent fast pyrolysis of the residual solid a stream of 81.5% levoglucosan (carbon basis) was produced. The thermal segregation comes at the expense of vapor product carbon yield, but the improvement in catalytic performance may offset these losses. </w:t>
      </w:r>
    </w:p>
    <w:p w14:paraId="704755E2" w14:textId="709CD4D6" w:rsidR="007E4720" w:rsidRDefault="00A56156" w:rsidP="005C7E19">
      <w:pPr>
        <w:pStyle w:val="Heading2"/>
      </w:pPr>
      <w:bookmarkStart w:id="104" w:name="_Toc449964870"/>
      <w:r>
        <w:lastRenderedPageBreak/>
        <w:t>Introduction</w:t>
      </w:r>
      <w:bookmarkEnd w:id="104"/>
    </w:p>
    <w:p w14:paraId="59579579" w14:textId="2847EEB6" w:rsidR="00A56156" w:rsidRDefault="00A56156" w:rsidP="00A56156">
      <w:r>
        <w:t xml:space="preserve">Achieving a purely thermal separation of the cellulose- and lignin- derived components from biomass (e.g., levoglucosan and phenolic species) is of particular interest due to the inherent overlapping thermal stability regimes of these components and challenges of downstream separation </w:t>
      </w:r>
      <w:r w:rsidR="00E143BD">
        <w:t xml:space="preserve">as discussed in </w:t>
      </w:r>
      <w:r w:rsidR="006B24EE">
        <w:t>chapter 1</w:t>
      </w:r>
      <w:r w:rsidR="007D7029">
        <w:t xml:space="preserve">. </w:t>
      </w:r>
      <w:r>
        <w:t xml:space="preserve">In this work, analytical pyrolysis is used to study the effects of time and temperature on an intermediate thermal treatment step designed to achieve separation of cellulose and lignin products from torrefied oak biomass. The objective of this study is to assess the efficacy of the staged thermal fractionation process in achieving enhanced purity of thermochemical vapor product streams. </w:t>
      </w:r>
      <w:r w:rsidR="001662BD">
        <w:t>Time &amp; temperature p</w:t>
      </w:r>
      <w:r>
        <w:t xml:space="preserve">rocess parameters are varied and resulting products are characterized to better understand options for and potential of advanced catalytic valorization strategies. </w:t>
      </w:r>
    </w:p>
    <w:p w14:paraId="7175DD17" w14:textId="77777777" w:rsidR="00A56156" w:rsidRDefault="00A56156" w:rsidP="005C7E19">
      <w:pPr>
        <w:pStyle w:val="Heading2"/>
      </w:pPr>
      <w:bookmarkStart w:id="105" w:name="_Toc449964871"/>
      <w:r>
        <w:t>Experimental</w:t>
      </w:r>
      <w:bookmarkEnd w:id="105"/>
    </w:p>
    <w:p w14:paraId="51AFA946" w14:textId="77777777" w:rsidR="00A56156" w:rsidRDefault="00A56156" w:rsidP="00A56156">
      <w:pPr>
        <w:pStyle w:val="Heading3"/>
      </w:pPr>
      <w:bookmarkStart w:id="106" w:name="_Toc449964872"/>
      <w:r>
        <w:t>Biomass Feedstock</w:t>
      </w:r>
      <w:bookmarkEnd w:id="106"/>
    </w:p>
    <w:p w14:paraId="5AFDCE40" w14:textId="1CC6B29D" w:rsidR="00960C10" w:rsidRDefault="00A56156" w:rsidP="00A56156">
      <w:r>
        <w:t>Red oak (</w:t>
      </w:r>
      <w:r w:rsidRPr="00A56156">
        <w:rPr>
          <w:i/>
        </w:rPr>
        <w:t>Q. Rubra</w:t>
      </w:r>
      <w:r>
        <w:t xml:space="preserve">) sawdust was generated with a table saw from boards acquired at a local wood supplier. Sawdust was sieved to sizes between 250 and 425 µm and then dried in vacuum (0.02 MPa) at 60˚C overnight before use. Cell wall composition was measured for the oak samples using </w:t>
      </w:r>
      <w:r w:rsidR="001B25DE">
        <w:t xml:space="preserve">described in </w:t>
      </w:r>
      <w:r w:rsidR="00E143BD" w:rsidRPr="00E143BD">
        <w:t>section 3.5.1</w:t>
      </w:r>
      <w:r w:rsidR="00703179">
        <w:t xml:space="preserve">. Elemental analysis was performed by Galbraith laboratories (Knoxville, TN). </w:t>
      </w:r>
      <w:r>
        <w:t xml:space="preserve">The composition is summarized in </w:t>
      </w:r>
      <w:r w:rsidRPr="00E143BD">
        <w:t xml:space="preserve">table </w:t>
      </w:r>
      <w:r w:rsidR="00E143BD" w:rsidRPr="00E143BD">
        <w:t>5.</w:t>
      </w:r>
      <w:r w:rsidRPr="00E143BD">
        <w:t>1</w:t>
      </w:r>
      <w:r w:rsidR="009F4DBE">
        <w:t xml:space="preserve"> and 5.2</w:t>
      </w:r>
      <w:r>
        <w:t>.</w:t>
      </w:r>
    </w:p>
    <w:p w14:paraId="1300B259" w14:textId="6EA1EF26" w:rsidR="00A56156" w:rsidRDefault="00960C10" w:rsidP="00960C10">
      <w:pPr>
        <w:spacing w:line="240" w:lineRule="auto"/>
      </w:pPr>
      <w:r>
        <w:br w:type="page"/>
      </w:r>
    </w:p>
    <w:tbl>
      <w:tblPr>
        <w:tblStyle w:val="ListTable7Colorful"/>
        <w:tblW w:w="4585" w:type="dxa"/>
        <w:jc w:val="center"/>
        <w:tblLayout w:type="fixed"/>
        <w:tblLook w:val="06E0" w:firstRow="1" w:lastRow="1" w:firstColumn="1" w:lastColumn="0" w:noHBand="1" w:noVBand="1"/>
      </w:tblPr>
      <w:tblGrid>
        <w:gridCol w:w="2682"/>
        <w:gridCol w:w="1903"/>
      </w:tblGrid>
      <w:tr w:rsidR="00A56156" w:rsidRPr="00BD2752" w14:paraId="1713C093" w14:textId="77777777" w:rsidTr="005B60FA">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100" w:firstRow="0" w:lastRow="0" w:firstColumn="1" w:lastColumn="0" w:oddVBand="0" w:evenVBand="0" w:oddHBand="0" w:evenHBand="0" w:firstRowFirstColumn="1" w:firstRowLastColumn="0" w:lastRowFirstColumn="0" w:lastRowLastColumn="0"/>
            <w:tcW w:w="2682" w:type="dxa"/>
            <w:tcBorders>
              <w:top w:val="single" w:sz="4" w:space="0" w:color="auto"/>
              <w:left w:val="single" w:sz="4" w:space="0" w:color="auto"/>
            </w:tcBorders>
            <w:noWrap/>
            <w:hideMark/>
          </w:tcPr>
          <w:p w14:paraId="54FD955F" w14:textId="77777777" w:rsidR="00A56156" w:rsidRPr="00BD2752" w:rsidRDefault="00A56156" w:rsidP="003A5BB0">
            <w:pPr>
              <w:pStyle w:val="NoSpacing"/>
              <w:jc w:val="left"/>
            </w:pPr>
            <w:r w:rsidRPr="00BD2752">
              <w:lastRenderedPageBreak/>
              <w:t>Oak Component</w:t>
            </w:r>
          </w:p>
        </w:tc>
        <w:tc>
          <w:tcPr>
            <w:tcW w:w="1903" w:type="dxa"/>
            <w:tcBorders>
              <w:top w:val="single" w:sz="4" w:space="0" w:color="auto"/>
              <w:right w:val="single" w:sz="4" w:space="0" w:color="auto"/>
            </w:tcBorders>
            <w:noWrap/>
            <w:hideMark/>
          </w:tcPr>
          <w:p w14:paraId="1F583C73" w14:textId="77777777" w:rsidR="00A56156" w:rsidRPr="00BD2752" w:rsidRDefault="00A56156" w:rsidP="003A5BB0">
            <w:pPr>
              <w:pStyle w:val="NoSpacing"/>
              <w:jc w:val="right"/>
              <w:cnfStyle w:val="100000000000" w:firstRow="1" w:lastRow="0" w:firstColumn="0" w:lastColumn="0" w:oddVBand="0" w:evenVBand="0" w:oddHBand="0" w:evenHBand="0" w:firstRowFirstColumn="0" w:firstRowLastColumn="0" w:lastRowFirstColumn="0" w:lastRowLastColumn="0"/>
            </w:pPr>
            <w:r w:rsidRPr="00BD2752">
              <w:t>wt%</w:t>
            </w:r>
          </w:p>
        </w:tc>
      </w:tr>
      <w:tr w:rsidR="00A56156" w:rsidRPr="00BD2752" w14:paraId="0097EA45" w14:textId="77777777" w:rsidTr="005B60FA">
        <w:trPr>
          <w:trHeight w:val="20"/>
          <w:jc w:val="center"/>
        </w:trPr>
        <w:tc>
          <w:tcPr>
            <w:cnfStyle w:val="001000000000" w:firstRow="0" w:lastRow="0" w:firstColumn="1" w:lastColumn="0" w:oddVBand="0" w:evenVBand="0" w:oddHBand="0" w:evenHBand="0" w:firstRowFirstColumn="0" w:firstRowLastColumn="0" w:lastRowFirstColumn="0" w:lastRowLastColumn="0"/>
            <w:tcW w:w="2682" w:type="dxa"/>
            <w:tcBorders>
              <w:left w:val="single" w:sz="4" w:space="0" w:color="auto"/>
            </w:tcBorders>
            <w:noWrap/>
            <w:hideMark/>
          </w:tcPr>
          <w:p w14:paraId="6BCF951A" w14:textId="77777777" w:rsidR="00A56156" w:rsidRPr="00BD2752" w:rsidRDefault="00A56156" w:rsidP="003A5BB0">
            <w:pPr>
              <w:pStyle w:val="NoSpacing"/>
              <w:jc w:val="left"/>
            </w:pPr>
            <w:r w:rsidRPr="00BD2752">
              <w:t>Lignin</w:t>
            </w:r>
          </w:p>
        </w:tc>
        <w:tc>
          <w:tcPr>
            <w:tcW w:w="1903" w:type="dxa"/>
            <w:tcBorders>
              <w:right w:val="single" w:sz="4" w:space="0" w:color="auto"/>
            </w:tcBorders>
            <w:noWrap/>
            <w:hideMark/>
          </w:tcPr>
          <w:p w14:paraId="1597EE26" w14:textId="77777777" w:rsidR="00A56156" w:rsidRPr="00BD2752" w:rsidRDefault="00A56156" w:rsidP="003A5BB0">
            <w:pPr>
              <w:pStyle w:val="NoSpacing"/>
              <w:jc w:val="right"/>
              <w:cnfStyle w:val="000000000000" w:firstRow="0" w:lastRow="0" w:firstColumn="0" w:lastColumn="0" w:oddVBand="0" w:evenVBand="0" w:oddHBand="0" w:evenHBand="0" w:firstRowFirstColumn="0" w:firstRowLastColumn="0" w:lastRowFirstColumn="0" w:lastRowLastColumn="0"/>
            </w:pPr>
            <w:r>
              <w:t>22</w:t>
            </w:r>
            <w:r w:rsidRPr="00BD2752">
              <w:t>.</w:t>
            </w:r>
            <w:r>
              <w:t>67</w:t>
            </w:r>
            <w:r w:rsidRPr="00BD2752">
              <w:t>%</w:t>
            </w:r>
          </w:p>
        </w:tc>
      </w:tr>
      <w:tr w:rsidR="00A56156" w:rsidRPr="00BD2752" w14:paraId="2C6B7806" w14:textId="77777777" w:rsidTr="005B60FA">
        <w:trPr>
          <w:trHeight w:val="20"/>
          <w:jc w:val="center"/>
        </w:trPr>
        <w:tc>
          <w:tcPr>
            <w:cnfStyle w:val="001000000000" w:firstRow="0" w:lastRow="0" w:firstColumn="1" w:lastColumn="0" w:oddVBand="0" w:evenVBand="0" w:oddHBand="0" w:evenHBand="0" w:firstRowFirstColumn="0" w:firstRowLastColumn="0" w:lastRowFirstColumn="0" w:lastRowLastColumn="0"/>
            <w:tcW w:w="2682" w:type="dxa"/>
            <w:tcBorders>
              <w:left w:val="single" w:sz="4" w:space="0" w:color="auto"/>
            </w:tcBorders>
            <w:noWrap/>
            <w:hideMark/>
          </w:tcPr>
          <w:p w14:paraId="5F0310F6" w14:textId="77777777" w:rsidR="00A56156" w:rsidRPr="00BD2752" w:rsidRDefault="00A56156" w:rsidP="003A5BB0">
            <w:pPr>
              <w:pStyle w:val="NoSpacing"/>
              <w:jc w:val="left"/>
            </w:pPr>
            <w:r w:rsidRPr="00BD2752">
              <w:t>Cellulose</w:t>
            </w:r>
          </w:p>
        </w:tc>
        <w:tc>
          <w:tcPr>
            <w:tcW w:w="1903" w:type="dxa"/>
            <w:tcBorders>
              <w:right w:val="single" w:sz="4" w:space="0" w:color="auto"/>
            </w:tcBorders>
            <w:noWrap/>
            <w:hideMark/>
          </w:tcPr>
          <w:p w14:paraId="13AE9A8B" w14:textId="77777777" w:rsidR="00A56156" w:rsidRPr="00BD2752" w:rsidRDefault="00A56156" w:rsidP="003A5BB0">
            <w:pPr>
              <w:pStyle w:val="NoSpacing"/>
              <w:jc w:val="right"/>
              <w:cnfStyle w:val="000000000000" w:firstRow="0" w:lastRow="0" w:firstColumn="0" w:lastColumn="0" w:oddVBand="0" w:evenVBand="0" w:oddHBand="0" w:evenHBand="0" w:firstRowFirstColumn="0" w:firstRowLastColumn="0" w:lastRowFirstColumn="0" w:lastRowLastColumn="0"/>
            </w:pPr>
            <w:r w:rsidRPr="00BD2752">
              <w:t>27.70%</w:t>
            </w:r>
          </w:p>
        </w:tc>
      </w:tr>
      <w:tr w:rsidR="00A56156" w:rsidRPr="00BD2752" w14:paraId="0A0C0032" w14:textId="77777777" w:rsidTr="005B60FA">
        <w:trPr>
          <w:trHeight w:val="20"/>
          <w:jc w:val="center"/>
        </w:trPr>
        <w:tc>
          <w:tcPr>
            <w:cnfStyle w:val="001000000000" w:firstRow="0" w:lastRow="0" w:firstColumn="1" w:lastColumn="0" w:oddVBand="0" w:evenVBand="0" w:oddHBand="0" w:evenHBand="0" w:firstRowFirstColumn="0" w:firstRowLastColumn="0" w:lastRowFirstColumn="0" w:lastRowLastColumn="0"/>
            <w:tcW w:w="2682" w:type="dxa"/>
            <w:tcBorders>
              <w:left w:val="single" w:sz="4" w:space="0" w:color="auto"/>
            </w:tcBorders>
            <w:noWrap/>
            <w:hideMark/>
          </w:tcPr>
          <w:p w14:paraId="31E85A7E" w14:textId="77777777" w:rsidR="00A56156" w:rsidRPr="00BD2752" w:rsidRDefault="00A56156" w:rsidP="003A5BB0">
            <w:pPr>
              <w:pStyle w:val="NoSpacing"/>
              <w:jc w:val="left"/>
            </w:pPr>
            <w:r w:rsidRPr="00BD2752">
              <w:t>Hemicellulose</w:t>
            </w:r>
          </w:p>
        </w:tc>
        <w:tc>
          <w:tcPr>
            <w:tcW w:w="1903" w:type="dxa"/>
            <w:tcBorders>
              <w:right w:val="single" w:sz="4" w:space="0" w:color="auto"/>
            </w:tcBorders>
            <w:noWrap/>
            <w:hideMark/>
          </w:tcPr>
          <w:p w14:paraId="39E46539" w14:textId="77777777" w:rsidR="00A56156" w:rsidRPr="00BD2752" w:rsidRDefault="00A56156" w:rsidP="003A5BB0">
            <w:pPr>
              <w:pStyle w:val="NoSpacing"/>
              <w:jc w:val="right"/>
              <w:cnfStyle w:val="000000000000" w:firstRow="0" w:lastRow="0" w:firstColumn="0" w:lastColumn="0" w:oddVBand="0" w:evenVBand="0" w:oddHBand="0" w:evenHBand="0" w:firstRowFirstColumn="0" w:firstRowLastColumn="0" w:lastRowFirstColumn="0" w:lastRowLastColumn="0"/>
            </w:pPr>
            <w:r w:rsidRPr="00BD2752">
              <w:t>30.24%</w:t>
            </w:r>
          </w:p>
        </w:tc>
      </w:tr>
      <w:tr w:rsidR="00A56156" w:rsidRPr="00BD2752" w14:paraId="1FADBD8C" w14:textId="77777777" w:rsidTr="005B60FA">
        <w:trPr>
          <w:trHeight w:val="20"/>
          <w:jc w:val="center"/>
        </w:trPr>
        <w:tc>
          <w:tcPr>
            <w:cnfStyle w:val="001000000000" w:firstRow="0" w:lastRow="0" w:firstColumn="1" w:lastColumn="0" w:oddVBand="0" w:evenVBand="0" w:oddHBand="0" w:evenHBand="0" w:firstRowFirstColumn="0" w:firstRowLastColumn="0" w:lastRowFirstColumn="0" w:lastRowLastColumn="0"/>
            <w:tcW w:w="2682" w:type="dxa"/>
            <w:tcBorders>
              <w:left w:val="single" w:sz="4" w:space="0" w:color="auto"/>
            </w:tcBorders>
            <w:noWrap/>
            <w:hideMark/>
          </w:tcPr>
          <w:p w14:paraId="09703265" w14:textId="77777777" w:rsidR="00A56156" w:rsidRPr="00BD2752" w:rsidRDefault="00A56156" w:rsidP="003A5BB0">
            <w:pPr>
              <w:pStyle w:val="NoSpacing"/>
              <w:jc w:val="left"/>
            </w:pPr>
            <w:r w:rsidRPr="00BD2752">
              <w:t>Non-structural sugars</w:t>
            </w:r>
          </w:p>
        </w:tc>
        <w:tc>
          <w:tcPr>
            <w:tcW w:w="1903" w:type="dxa"/>
            <w:tcBorders>
              <w:right w:val="single" w:sz="4" w:space="0" w:color="auto"/>
            </w:tcBorders>
            <w:noWrap/>
            <w:hideMark/>
          </w:tcPr>
          <w:p w14:paraId="3049F0F5" w14:textId="77777777" w:rsidR="00A56156" w:rsidRPr="00BD2752" w:rsidRDefault="00A56156" w:rsidP="003A5BB0">
            <w:pPr>
              <w:pStyle w:val="NoSpacing"/>
              <w:jc w:val="right"/>
              <w:cnfStyle w:val="000000000000" w:firstRow="0" w:lastRow="0" w:firstColumn="0" w:lastColumn="0" w:oddVBand="0" w:evenVBand="0" w:oddHBand="0" w:evenHBand="0" w:firstRowFirstColumn="0" w:firstRowLastColumn="0" w:lastRowFirstColumn="0" w:lastRowLastColumn="0"/>
            </w:pPr>
            <w:r w:rsidRPr="00BD2752">
              <w:t>2.15%</w:t>
            </w:r>
          </w:p>
        </w:tc>
      </w:tr>
      <w:tr w:rsidR="00A56156" w:rsidRPr="00BD2752" w14:paraId="3424F6E6" w14:textId="77777777" w:rsidTr="005B60FA">
        <w:trPr>
          <w:cnfStyle w:val="010000000000" w:firstRow="0" w:lastRow="1" w:firstColumn="0" w:lastColumn="0" w:oddVBand="0" w:evenVBand="0" w:oddHBand="0" w:evenHBand="0" w:firstRowFirstColumn="0" w:firstRowLastColumn="0" w:lastRowFirstColumn="0" w:lastRowLastColumn="0"/>
          <w:trHeight w:val="20"/>
          <w:jc w:val="center"/>
        </w:trPr>
        <w:tc>
          <w:tcPr>
            <w:cnfStyle w:val="001000000001" w:firstRow="0" w:lastRow="0" w:firstColumn="1" w:lastColumn="0" w:oddVBand="0" w:evenVBand="0" w:oddHBand="0" w:evenHBand="0" w:firstRowFirstColumn="0" w:firstRowLastColumn="0" w:lastRowFirstColumn="1" w:lastRowLastColumn="0"/>
            <w:tcW w:w="2682" w:type="dxa"/>
            <w:tcBorders>
              <w:left w:val="single" w:sz="4" w:space="0" w:color="auto"/>
              <w:bottom w:val="single" w:sz="4" w:space="0" w:color="auto"/>
            </w:tcBorders>
            <w:noWrap/>
            <w:hideMark/>
          </w:tcPr>
          <w:p w14:paraId="674D75D4" w14:textId="77777777" w:rsidR="00A56156" w:rsidRPr="00BD2752" w:rsidRDefault="00A56156" w:rsidP="003A5BB0">
            <w:pPr>
              <w:pStyle w:val="NoSpacing"/>
              <w:jc w:val="left"/>
            </w:pPr>
            <w:r w:rsidRPr="00BD2752">
              <w:t>Sum</w:t>
            </w:r>
          </w:p>
        </w:tc>
        <w:tc>
          <w:tcPr>
            <w:tcW w:w="1903" w:type="dxa"/>
            <w:tcBorders>
              <w:bottom w:val="single" w:sz="4" w:space="0" w:color="auto"/>
              <w:right w:val="single" w:sz="4" w:space="0" w:color="auto"/>
            </w:tcBorders>
            <w:noWrap/>
            <w:hideMark/>
          </w:tcPr>
          <w:p w14:paraId="21AE3B48" w14:textId="77777777" w:rsidR="00A56156" w:rsidRPr="00BD2752" w:rsidRDefault="00A56156" w:rsidP="003A5BB0">
            <w:pPr>
              <w:pStyle w:val="NoSpacing"/>
              <w:jc w:val="right"/>
              <w:cnfStyle w:val="010000000000" w:firstRow="0" w:lastRow="1" w:firstColumn="0" w:lastColumn="0" w:oddVBand="0" w:evenVBand="0" w:oddHBand="0" w:evenHBand="0" w:firstRowFirstColumn="0" w:firstRowLastColumn="0" w:lastRowFirstColumn="0" w:lastRowLastColumn="0"/>
            </w:pPr>
            <w:r>
              <w:t>82.76</w:t>
            </w:r>
            <w:r w:rsidRPr="00BD2752">
              <w:t>%</w:t>
            </w:r>
          </w:p>
        </w:tc>
      </w:tr>
    </w:tbl>
    <w:p w14:paraId="44129D17" w14:textId="3B5A1A54" w:rsidR="00A56156" w:rsidRDefault="00A56156" w:rsidP="005B60FA">
      <w:pPr>
        <w:pStyle w:val="Caption"/>
        <w:jc w:val="center"/>
        <w:rPr>
          <w:b w:val="0"/>
        </w:rPr>
      </w:pPr>
      <w:bookmarkStart w:id="107" w:name="_Toc449964929"/>
      <w:r>
        <w:t xml:space="preserve">Table </w:t>
      </w:r>
      <w:fldSimple w:instr=" STYLEREF &quot;Chapter&quot; \s ">
        <w:r w:rsidR="00463F52">
          <w:rPr>
            <w:noProof/>
          </w:rPr>
          <w:t>5</w:t>
        </w:r>
      </w:fldSimple>
      <w:r>
        <w:t>.</w:t>
      </w:r>
      <w:r w:rsidR="003D7D2C">
        <w:fldChar w:fldCharType="begin"/>
      </w:r>
      <w:r w:rsidR="003D7D2C">
        <w:instrText xml:space="preserve"> SEQ Table</w:instrText>
      </w:r>
      <w:r w:rsidR="000330AD">
        <w:instrText xml:space="preserve"> \r 1</w:instrText>
      </w:r>
      <w:r w:rsidR="003D7D2C">
        <w:instrText xml:space="preserve"> \* ARABIC \s 1 </w:instrText>
      </w:r>
      <w:r w:rsidR="003D7D2C">
        <w:fldChar w:fldCharType="separate"/>
      </w:r>
      <w:r w:rsidR="00463F52">
        <w:rPr>
          <w:noProof/>
        </w:rPr>
        <w:t>1</w:t>
      </w:r>
      <w:r w:rsidR="003D7D2C">
        <w:rPr>
          <w:noProof/>
        </w:rPr>
        <w:fldChar w:fldCharType="end"/>
      </w:r>
      <w:r>
        <w:t>.</w:t>
      </w:r>
      <w:r w:rsidRPr="008E2374">
        <w:t xml:space="preserve"> </w:t>
      </w:r>
      <w:r w:rsidR="00614F30" w:rsidRPr="00614F30">
        <w:rPr>
          <w:b w:val="0"/>
        </w:rPr>
        <w:t>Oak feedstock compositional data</w:t>
      </w:r>
      <w:r>
        <w:rPr>
          <w:b w:val="0"/>
        </w:rPr>
        <w:t>.</w:t>
      </w:r>
      <w:bookmarkEnd w:id="107"/>
    </w:p>
    <w:p w14:paraId="26C13731" w14:textId="77777777" w:rsidR="00A56156" w:rsidRDefault="00A56156" w:rsidP="00A56156"/>
    <w:tbl>
      <w:tblPr>
        <w:tblW w:w="4490" w:type="dxa"/>
        <w:jc w:val="center"/>
        <w:tblLayout w:type="fixed"/>
        <w:tblLook w:val="04A0" w:firstRow="1" w:lastRow="0" w:firstColumn="1" w:lastColumn="0" w:noHBand="0" w:noVBand="1"/>
      </w:tblPr>
      <w:tblGrid>
        <w:gridCol w:w="2092"/>
        <w:gridCol w:w="2398"/>
      </w:tblGrid>
      <w:tr w:rsidR="00614F30" w:rsidRPr="00614F30" w14:paraId="027F424A" w14:textId="77777777" w:rsidTr="00356EE9">
        <w:trPr>
          <w:trHeight w:val="20"/>
          <w:jc w:val="center"/>
        </w:trPr>
        <w:tc>
          <w:tcPr>
            <w:tcW w:w="2092" w:type="dxa"/>
            <w:tcBorders>
              <w:top w:val="single" w:sz="4" w:space="0" w:color="auto"/>
              <w:left w:val="single" w:sz="8" w:space="0" w:color="auto"/>
              <w:bottom w:val="single" w:sz="4" w:space="0" w:color="auto"/>
            </w:tcBorders>
            <w:shd w:val="clear" w:color="000000" w:fill="FFFFFF"/>
            <w:noWrap/>
            <w:vAlign w:val="center"/>
            <w:hideMark/>
          </w:tcPr>
          <w:p w14:paraId="416AC2D3" w14:textId="77777777" w:rsidR="00614F30" w:rsidRPr="00356EE9" w:rsidRDefault="00614F30" w:rsidP="00356EE9">
            <w:pPr>
              <w:pStyle w:val="Tables"/>
              <w:rPr>
                <w:i/>
              </w:rPr>
            </w:pPr>
            <w:r w:rsidRPr="00356EE9">
              <w:rPr>
                <w:i/>
              </w:rPr>
              <w:t>Oak Component</w:t>
            </w:r>
          </w:p>
        </w:tc>
        <w:tc>
          <w:tcPr>
            <w:tcW w:w="2398" w:type="dxa"/>
            <w:tcBorders>
              <w:top w:val="single" w:sz="4" w:space="0" w:color="auto"/>
              <w:bottom w:val="single" w:sz="4" w:space="0" w:color="auto"/>
              <w:right w:val="single" w:sz="8" w:space="0" w:color="auto"/>
            </w:tcBorders>
            <w:shd w:val="clear" w:color="auto" w:fill="auto"/>
            <w:noWrap/>
            <w:vAlign w:val="center"/>
            <w:hideMark/>
          </w:tcPr>
          <w:p w14:paraId="37C1023A" w14:textId="77777777" w:rsidR="00614F30" w:rsidRPr="00356EE9" w:rsidRDefault="00614F30" w:rsidP="00356EE9">
            <w:pPr>
              <w:pStyle w:val="Tables"/>
              <w:jc w:val="right"/>
              <w:rPr>
                <w:i/>
              </w:rPr>
            </w:pPr>
            <w:r w:rsidRPr="00356EE9">
              <w:rPr>
                <w:i/>
              </w:rPr>
              <w:t>wt%</w:t>
            </w:r>
          </w:p>
        </w:tc>
      </w:tr>
      <w:tr w:rsidR="00614F30" w:rsidRPr="0076035A" w14:paraId="151BBC0F" w14:textId="77777777" w:rsidTr="00356EE9">
        <w:trPr>
          <w:trHeight w:val="20"/>
          <w:jc w:val="center"/>
        </w:trPr>
        <w:tc>
          <w:tcPr>
            <w:tcW w:w="2092" w:type="dxa"/>
            <w:tcBorders>
              <w:top w:val="single" w:sz="4" w:space="0" w:color="auto"/>
              <w:left w:val="single" w:sz="8" w:space="0" w:color="auto"/>
              <w:bottom w:val="nil"/>
              <w:right w:val="single" w:sz="8" w:space="0" w:color="000000"/>
            </w:tcBorders>
            <w:shd w:val="clear" w:color="000000" w:fill="FFFFFF"/>
            <w:noWrap/>
            <w:vAlign w:val="center"/>
            <w:hideMark/>
          </w:tcPr>
          <w:p w14:paraId="671ED4D7" w14:textId="77777777" w:rsidR="00614F30" w:rsidRPr="005E2DC5" w:rsidRDefault="00614F30" w:rsidP="00356EE9">
            <w:pPr>
              <w:pStyle w:val="Tables"/>
              <w:rPr>
                <w:i/>
              </w:rPr>
            </w:pPr>
            <w:r w:rsidRPr="005E2DC5">
              <w:rPr>
                <w:i/>
              </w:rPr>
              <w:t>Carbon</w:t>
            </w:r>
          </w:p>
        </w:tc>
        <w:tc>
          <w:tcPr>
            <w:tcW w:w="2398" w:type="dxa"/>
            <w:tcBorders>
              <w:top w:val="single" w:sz="4" w:space="0" w:color="auto"/>
              <w:left w:val="nil"/>
              <w:bottom w:val="nil"/>
              <w:right w:val="single" w:sz="8" w:space="0" w:color="auto"/>
            </w:tcBorders>
            <w:shd w:val="clear" w:color="auto" w:fill="auto"/>
            <w:noWrap/>
            <w:vAlign w:val="center"/>
            <w:hideMark/>
          </w:tcPr>
          <w:p w14:paraId="24D832A5" w14:textId="77777777" w:rsidR="00614F30" w:rsidRPr="0076035A" w:rsidRDefault="00614F30" w:rsidP="00356EE9">
            <w:pPr>
              <w:pStyle w:val="Tables"/>
              <w:jc w:val="right"/>
            </w:pPr>
            <w:r w:rsidRPr="0076035A">
              <w:t>48.22%</w:t>
            </w:r>
          </w:p>
        </w:tc>
      </w:tr>
      <w:tr w:rsidR="00614F30" w:rsidRPr="0076035A" w14:paraId="6BF8FBD7" w14:textId="77777777" w:rsidTr="00356EE9">
        <w:trPr>
          <w:trHeight w:val="20"/>
          <w:jc w:val="center"/>
        </w:trPr>
        <w:tc>
          <w:tcPr>
            <w:tcW w:w="2092" w:type="dxa"/>
            <w:tcBorders>
              <w:top w:val="nil"/>
              <w:left w:val="single" w:sz="8" w:space="0" w:color="auto"/>
              <w:bottom w:val="nil"/>
              <w:right w:val="single" w:sz="8" w:space="0" w:color="000000"/>
            </w:tcBorders>
            <w:shd w:val="clear" w:color="000000" w:fill="FFFFFF"/>
            <w:noWrap/>
            <w:vAlign w:val="center"/>
            <w:hideMark/>
          </w:tcPr>
          <w:p w14:paraId="640A564D" w14:textId="77777777" w:rsidR="00614F30" w:rsidRPr="005E2DC5" w:rsidRDefault="00614F30" w:rsidP="00356EE9">
            <w:pPr>
              <w:pStyle w:val="Tables"/>
              <w:rPr>
                <w:i/>
              </w:rPr>
            </w:pPr>
            <w:r w:rsidRPr="005E2DC5">
              <w:rPr>
                <w:i/>
              </w:rPr>
              <w:t>Hydrogen</w:t>
            </w:r>
          </w:p>
        </w:tc>
        <w:tc>
          <w:tcPr>
            <w:tcW w:w="2398" w:type="dxa"/>
            <w:tcBorders>
              <w:top w:val="nil"/>
              <w:left w:val="nil"/>
              <w:bottom w:val="nil"/>
              <w:right w:val="single" w:sz="8" w:space="0" w:color="auto"/>
            </w:tcBorders>
            <w:shd w:val="clear" w:color="auto" w:fill="auto"/>
            <w:noWrap/>
            <w:vAlign w:val="center"/>
            <w:hideMark/>
          </w:tcPr>
          <w:p w14:paraId="7B9DB36B" w14:textId="77777777" w:rsidR="00614F30" w:rsidRPr="0076035A" w:rsidRDefault="00614F30" w:rsidP="00356EE9">
            <w:pPr>
              <w:pStyle w:val="Tables"/>
              <w:jc w:val="right"/>
            </w:pPr>
            <w:r w:rsidRPr="0076035A">
              <w:t>6.03%</w:t>
            </w:r>
          </w:p>
        </w:tc>
      </w:tr>
      <w:tr w:rsidR="00614F30" w:rsidRPr="0076035A" w14:paraId="1E0F16FD" w14:textId="77777777" w:rsidTr="00356EE9">
        <w:trPr>
          <w:trHeight w:val="20"/>
          <w:jc w:val="center"/>
        </w:trPr>
        <w:tc>
          <w:tcPr>
            <w:tcW w:w="2092" w:type="dxa"/>
            <w:tcBorders>
              <w:top w:val="nil"/>
              <w:left w:val="single" w:sz="8" w:space="0" w:color="auto"/>
              <w:bottom w:val="nil"/>
              <w:right w:val="single" w:sz="8" w:space="0" w:color="000000"/>
            </w:tcBorders>
            <w:shd w:val="clear" w:color="000000" w:fill="FFFFFF"/>
            <w:noWrap/>
            <w:vAlign w:val="center"/>
            <w:hideMark/>
          </w:tcPr>
          <w:p w14:paraId="49E25D91" w14:textId="77777777" w:rsidR="00614F30" w:rsidRPr="005E2DC5" w:rsidRDefault="00614F30" w:rsidP="00356EE9">
            <w:pPr>
              <w:pStyle w:val="Tables"/>
              <w:rPr>
                <w:i/>
              </w:rPr>
            </w:pPr>
            <w:r w:rsidRPr="005E2DC5">
              <w:rPr>
                <w:i/>
              </w:rPr>
              <w:t>Oxygen</w:t>
            </w:r>
          </w:p>
        </w:tc>
        <w:tc>
          <w:tcPr>
            <w:tcW w:w="2398" w:type="dxa"/>
            <w:tcBorders>
              <w:top w:val="nil"/>
              <w:left w:val="nil"/>
              <w:bottom w:val="nil"/>
              <w:right w:val="single" w:sz="8" w:space="0" w:color="auto"/>
            </w:tcBorders>
            <w:shd w:val="clear" w:color="auto" w:fill="auto"/>
            <w:noWrap/>
            <w:vAlign w:val="center"/>
            <w:hideMark/>
          </w:tcPr>
          <w:p w14:paraId="0C2C6443" w14:textId="77777777" w:rsidR="00614F30" w:rsidRPr="0076035A" w:rsidRDefault="00614F30" w:rsidP="00356EE9">
            <w:pPr>
              <w:pStyle w:val="Tables"/>
              <w:jc w:val="right"/>
            </w:pPr>
            <w:r w:rsidRPr="0076035A">
              <w:t>44.33%</w:t>
            </w:r>
          </w:p>
        </w:tc>
      </w:tr>
      <w:tr w:rsidR="00614F30" w:rsidRPr="0076035A" w14:paraId="11387AAD" w14:textId="77777777" w:rsidTr="00356EE9">
        <w:trPr>
          <w:trHeight w:val="20"/>
          <w:jc w:val="center"/>
        </w:trPr>
        <w:tc>
          <w:tcPr>
            <w:tcW w:w="2092" w:type="dxa"/>
            <w:tcBorders>
              <w:top w:val="single" w:sz="8" w:space="0" w:color="000000"/>
              <w:left w:val="single" w:sz="8" w:space="0" w:color="auto"/>
              <w:bottom w:val="single" w:sz="8" w:space="0" w:color="auto"/>
              <w:right w:val="nil"/>
            </w:tcBorders>
            <w:shd w:val="clear" w:color="000000" w:fill="FFFFFF"/>
            <w:noWrap/>
            <w:vAlign w:val="center"/>
            <w:hideMark/>
          </w:tcPr>
          <w:p w14:paraId="43F1A7AD" w14:textId="77777777" w:rsidR="00614F30" w:rsidRPr="005E2DC5" w:rsidRDefault="00614F30" w:rsidP="00356EE9">
            <w:pPr>
              <w:pStyle w:val="Tables"/>
              <w:rPr>
                <w:i/>
              </w:rPr>
            </w:pPr>
            <w:r w:rsidRPr="005E2DC5">
              <w:rPr>
                <w:i/>
              </w:rPr>
              <w:t>Sum</w:t>
            </w:r>
          </w:p>
        </w:tc>
        <w:tc>
          <w:tcPr>
            <w:tcW w:w="2398" w:type="dxa"/>
            <w:tcBorders>
              <w:top w:val="single" w:sz="8" w:space="0" w:color="000000"/>
              <w:left w:val="nil"/>
              <w:bottom w:val="single" w:sz="8" w:space="0" w:color="auto"/>
              <w:right w:val="single" w:sz="8" w:space="0" w:color="auto"/>
            </w:tcBorders>
            <w:shd w:val="clear" w:color="000000" w:fill="FFFFFF"/>
            <w:noWrap/>
            <w:vAlign w:val="center"/>
            <w:hideMark/>
          </w:tcPr>
          <w:p w14:paraId="28BA616E" w14:textId="77777777" w:rsidR="00614F30" w:rsidRPr="009A3CBF" w:rsidRDefault="00614F30" w:rsidP="00356EE9">
            <w:pPr>
              <w:pStyle w:val="Tables"/>
              <w:jc w:val="right"/>
              <w:rPr>
                <w:i/>
              </w:rPr>
            </w:pPr>
            <w:r w:rsidRPr="009A3CBF">
              <w:rPr>
                <w:i/>
              </w:rPr>
              <w:t>98.58%</w:t>
            </w:r>
          </w:p>
        </w:tc>
      </w:tr>
    </w:tbl>
    <w:p w14:paraId="7302F809" w14:textId="6D71AB4E" w:rsidR="00614F30" w:rsidRDefault="00614F30" w:rsidP="005B60FA">
      <w:pPr>
        <w:pStyle w:val="Caption"/>
        <w:jc w:val="center"/>
        <w:rPr>
          <w:b w:val="0"/>
        </w:rPr>
      </w:pPr>
      <w:bookmarkStart w:id="108" w:name="_Toc449964930"/>
      <w:r>
        <w:t xml:space="preserve">Table </w:t>
      </w:r>
      <w:fldSimple w:instr=" STYLEREF &quot;Chapter&quot; \s ">
        <w:r w:rsidR="00463F52">
          <w:rPr>
            <w:noProof/>
          </w:rPr>
          <w:t>5</w:t>
        </w:r>
      </w:fldSimple>
      <w:r>
        <w:t>.</w:t>
      </w:r>
      <w:fldSimple w:instr=" SEQ Table \* ARABIC \s 1 ">
        <w:r w:rsidR="00463F52">
          <w:rPr>
            <w:noProof/>
          </w:rPr>
          <w:t>2</w:t>
        </w:r>
      </w:fldSimple>
      <w:r>
        <w:t>.</w:t>
      </w:r>
      <w:r w:rsidRPr="008E2374">
        <w:t xml:space="preserve"> </w:t>
      </w:r>
      <w:r w:rsidRPr="00614F30">
        <w:rPr>
          <w:b w:val="0"/>
        </w:rPr>
        <w:t xml:space="preserve">Oak feedstock </w:t>
      </w:r>
      <w:r w:rsidR="003B243F">
        <w:rPr>
          <w:b w:val="0"/>
        </w:rPr>
        <w:t>elemental analysis</w:t>
      </w:r>
      <w:r w:rsidRPr="00614F30">
        <w:rPr>
          <w:b w:val="0"/>
        </w:rPr>
        <w:t xml:space="preserve"> data</w:t>
      </w:r>
      <w:r>
        <w:rPr>
          <w:b w:val="0"/>
        </w:rPr>
        <w:t>.</w:t>
      </w:r>
      <w:bookmarkEnd w:id="108"/>
    </w:p>
    <w:p w14:paraId="178EEBBE" w14:textId="77777777" w:rsidR="00614F30" w:rsidRDefault="00614F30" w:rsidP="00A56156"/>
    <w:p w14:paraId="7853B39F" w14:textId="77777777" w:rsidR="002E5103" w:rsidRDefault="002E5103" w:rsidP="002E5103">
      <w:pPr>
        <w:pStyle w:val="Heading3"/>
      </w:pPr>
      <w:bookmarkStart w:id="109" w:name="_Toc449964873"/>
      <w:r>
        <w:t>Selection of initial conditions</w:t>
      </w:r>
      <w:bookmarkEnd w:id="109"/>
    </w:p>
    <w:p w14:paraId="3E1EC11D" w14:textId="42CEC4D4" w:rsidR="002E5103" w:rsidRDefault="002E5103" w:rsidP="002E5103">
      <w:r>
        <w:t>With the goal of biopolymer thermal segregation in mind, biopolymer thermal stability regimes in the literature in tandem with a kinetic weight loss model developed specifically for oak biomass were employed to determine initial experimental conditions. As previously stated, hemicellulose decomposes at a lower temperature than cellulose while lignin decomposes over a broad range of temperatures. Cellulose has been shown to not undergo significant mass loss at temperatures below 275°C</w:t>
      </w:r>
      <w:r w:rsidR="0074623B">
        <w:t xml:space="preserve"> </w:t>
      </w:r>
      <w:r w:rsidR="00980B82">
        <w:fldChar w:fldCharType="begin"/>
      </w:r>
      <w:r w:rsidR="00807999">
        <w:instrText xml:space="preserve"> ADDIN PAPERS2_CITATIONS &lt;citation&gt;&lt;uuid&gt;34290689-E42C-42B5-833F-BE0723939A7C&lt;/uuid&gt;&lt;priority&gt;252&lt;/priority&gt;&lt;publications&gt;&lt;publication&gt;&lt;publication_date&gt;99201100001200000000200000&lt;/publication_date&gt;&lt;doi&gt;10.1016/j.energy.2010.12.036&lt;/doi&gt;&lt;title&gt;Torrefaction and co-torrefaction characterization of hemicellulose, cellulose and lignin as well as torrefaction of some basic constituents in biomass&lt;/title&gt;&lt;uuid&gt;FFA9900A-FF1F-4061-971C-B9912203D624&lt;/uuid&gt;&lt;subtype&gt;400&lt;/subtype&gt;&lt;type&gt;400&lt;/type&gt;&lt;url&gt;http://dx.doi.org/10.1016/j.energy.2010.12.036&lt;/url&gt;&lt;bundle&gt;&lt;publication&gt;&lt;publisher&gt;Elsevier Ltd&lt;/publisher&gt;&lt;title&gt;Energy&lt;/title&gt;&lt;type&gt;-100&lt;/type&gt;&lt;subtype&gt;-100&lt;/subtype&gt;&lt;uuid&gt;3D64147F-B309-4821-AFA5-331A6496BF65&lt;/uuid&gt;&lt;/publication&gt;&lt;/bundle&gt;&lt;authors&gt;&lt;author&gt;&lt;firstName&gt;W&lt;/firstName&gt;&lt;middleNames&gt;H&lt;/middleNames&gt;&lt;lastName&gt;Chen&lt;/lastName&gt;&lt;/author&gt;&lt;author&gt;&lt;firstName&gt;P&lt;/firstName&gt;&lt;middleNames&gt;C&lt;/middleNames&gt;&lt;lastName&gt;Kuo&lt;/lastName&gt;&lt;/author&gt;&lt;/authors&gt;&lt;/publication&gt;&lt;publication&gt;&lt;publication_date&gt;99201100001200000000200000&lt;/publication_date&gt;&lt;doi&gt;10.1016/j.energy.2011.09.022&lt;/doi&gt;&lt;title&gt;Isothermal torrefaction kinetics of hemicellulose, cellulose, lignin and xylan using thermogravimetric analysis&lt;/title&gt;&lt;uuid&gt;DA554900-F055-4AC0-9750-47A6E19B6963&lt;/uuid&gt;&lt;subtype&gt;400&lt;/subtype&gt;&lt;type&gt;400&lt;/type&gt;&lt;citekey&gt;Chen:2011hv&lt;/citekey&gt;&lt;url&gt;http://dx.doi.org/10.1016/j.energy.2011.09.022&lt;/url&gt;&lt;bundle&gt;&lt;publication&gt;&lt;publisher&gt;Elsevier Ltd&lt;/publisher&gt;&lt;title&gt;Energy&lt;/title&gt;&lt;type&gt;-100&lt;/type&gt;&lt;subtype&gt;-100&lt;/subtype&gt;&lt;uuid&gt;3D64147F-B309-4821-AFA5-331A6496BF65&lt;/uuid&gt;&lt;/publication&gt;&lt;/bundle&gt;&lt;authors&gt;&lt;author&gt;&lt;firstName&gt;W&lt;/firstName&gt;&lt;middleNames&gt;H&lt;/middleNames&gt;&lt;lastName&gt;Chen&lt;/lastName&gt;&lt;/author&gt;&lt;author&gt;&lt;firstName&gt;P&lt;/firstName&gt;&lt;middleNames&gt;C&lt;/middleNames&gt;&lt;lastName&gt;Kuo&lt;/lastName&gt;&lt;/author&gt;&lt;/authors&gt;&lt;/publication&gt;&lt;/publications&gt;&lt;cites&gt;&lt;/cites&gt;&lt;/citation&gt;</w:instrText>
      </w:r>
      <w:r w:rsidR="00980B82">
        <w:fldChar w:fldCharType="separate"/>
      </w:r>
      <w:r w:rsidR="001C1AAC">
        <w:t>(</w:t>
      </w:r>
      <w:r w:rsidR="001C1AAC">
        <w:rPr>
          <w:i/>
          <w:iCs/>
        </w:rPr>
        <w:t>163</w:t>
      </w:r>
      <w:r w:rsidR="001C1AAC">
        <w:t xml:space="preserve">, </w:t>
      </w:r>
      <w:r w:rsidR="001C1AAC">
        <w:rPr>
          <w:i/>
          <w:iCs/>
        </w:rPr>
        <w:t>164</w:t>
      </w:r>
      <w:r w:rsidR="001C1AAC">
        <w:t>)</w:t>
      </w:r>
      <w:r w:rsidR="00980B82">
        <w:fldChar w:fldCharType="end"/>
      </w:r>
      <w:r>
        <w:t xml:space="preserve">. As the hemicelluloses are much less thermally stable, a stage 1 temperature not exceeding 275°C should decompose hemicellulose while leaving the cellulose unconverted. Therefore, a temperature of 270°C was selected for stage 1. Additionally, </w:t>
      </w:r>
      <w:r w:rsidR="00ED278C">
        <w:t xml:space="preserve">temperatures between </w:t>
      </w:r>
      <w:r>
        <w:t>500°C</w:t>
      </w:r>
      <w:r w:rsidR="00ED278C">
        <w:t xml:space="preserve"> – 550°C </w:t>
      </w:r>
      <w:r>
        <w:t xml:space="preserve"> has been shown to be an optimal temperature for biomass fast pyrolysis to optimize overall liquid yield</w:t>
      </w:r>
      <w:r w:rsidR="00ED278C">
        <w:t xml:space="preserve"> </w:t>
      </w:r>
      <w:r w:rsidR="00980B82">
        <w:fldChar w:fldCharType="begin"/>
      </w:r>
      <w:r w:rsidR="00807999">
        <w:instrText xml:space="preserve"> ADDIN PAPERS2_CITATIONS &lt;citation&gt;&lt;uuid&gt;A69CFAF7-11AF-4040-BF5D-6614A0A7BE67&lt;/uuid&gt;&lt;priority&gt;253&lt;/priority&gt;&lt;publications&gt;&lt;publication&gt;&lt;type&gt;400&lt;/type&gt;&lt;publication_date&gt;99199600001200000000200000&lt;/publication_date&gt;&lt;title&gt;Influence of temperature on the products from the flash pyrolysis of biomass&lt;/title&gt;&lt;url&gt;http://www.sciencedirect.com/science/article/pii/0016236196000816&lt;/url&gt;&lt;subtype&gt;400&lt;/subtype&gt;&lt;uuid&gt;8B5D0571-2CA9-4135-ABF0-D46119904004&lt;/uuid&gt;&lt;bundle&gt;&lt;publication&gt;&lt;publisher&gt;Elsevier Ltd&lt;/publisher&gt;&lt;title&gt;Fuel&lt;/title&gt;&lt;type&gt;-100&lt;/type&gt;&lt;subtype&gt;-100&lt;/subtype&gt;&lt;uuid&gt;E286CABA-D6F1-4A09-A385-6AFE55FAD8F4&lt;/uuid&gt;&lt;/publication&gt;&lt;/bundle&gt;&lt;authors&gt;&lt;author&gt;&lt;firstName&gt;P&lt;/firstName&gt;&lt;middleNames&gt;A&lt;/middleNames&gt;&lt;lastName&gt;Horne&lt;/lastName&gt;&lt;/author&gt;&lt;author&gt;&lt;firstName&gt;P&lt;/firstName&gt;&lt;middleNames&gt;T&lt;/middleNames&gt;&lt;lastName&gt;Williams&lt;/lastName&gt;&lt;/author&gt;&lt;/authors&gt;&lt;/publication&gt;&lt;publication&gt;&lt;type&gt;500&lt;/type&gt;&lt;publication_date&gt;99199900001200000000200000&lt;/publication_date&gt;&lt;title&gt;An overview of fast pyrolysis of biomass&lt;/title&gt;&lt;url&gt;http://www.sciencedirect.com/science/article/pii/S0146638099001205&lt;/url&gt;&lt;subtype&gt;520&lt;/subtype&gt;&lt;uuid&gt;1175B5B0-693A-4722-A239-07BABEB20493&lt;/uuid&gt;&lt;bundle&gt;&lt;publication&gt;&lt;title&gt;Organic Geochemistry&lt;/title&gt;&lt;type&gt;-100&lt;/type&gt;&lt;subtype&gt;-100&lt;/subtype&gt;&lt;uuid&gt;8C55C28C-D8BE-4B5E-984A-EBE053458B9B&lt;/uuid&gt;&lt;/publication&gt;&lt;/bundle&gt;&lt;authors&gt;&lt;author&gt;&lt;firstName&gt;Anthony&lt;/firstName&gt;&lt;middleNames&gt;V&lt;/middleNames&gt;&lt;lastName&gt;Bridgwater&lt;/lastName&gt;&lt;/author&gt;&lt;author&gt;&lt;firstName&gt;Dietrich&lt;/firstName&gt;&lt;lastName&gt;Meier&lt;/lastName&gt;&lt;/author&gt;&lt;author&gt;&lt;firstName&gt;D&lt;/firstName&gt;&lt;lastName&gt;Radlein&lt;/lastName&gt;&lt;/author&gt;&lt;/authors&gt;&lt;/publication&gt;&lt;/publications&gt;&lt;cites&gt;&lt;/cites&gt;&lt;/citation&gt;</w:instrText>
      </w:r>
      <w:r w:rsidR="00980B82">
        <w:fldChar w:fldCharType="separate"/>
      </w:r>
      <w:r w:rsidR="001C1AAC">
        <w:t>(</w:t>
      </w:r>
      <w:r w:rsidR="001C1AAC">
        <w:rPr>
          <w:i/>
          <w:iCs/>
        </w:rPr>
        <w:t>106</w:t>
      </w:r>
      <w:r w:rsidR="001C1AAC">
        <w:t xml:space="preserve">, </w:t>
      </w:r>
      <w:r w:rsidR="001C1AAC">
        <w:rPr>
          <w:i/>
          <w:iCs/>
        </w:rPr>
        <w:t>165</w:t>
      </w:r>
      <w:r w:rsidR="001C1AAC">
        <w:t>)</w:t>
      </w:r>
      <w:r w:rsidR="00980B82">
        <w:fldChar w:fldCharType="end"/>
      </w:r>
      <w:r>
        <w:t xml:space="preserve">. Therefore, stage 3 was carried out at 500°C. </w:t>
      </w:r>
    </w:p>
    <w:p w14:paraId="390DAB69" w14:textId="469632BE" w:rsidR="002B25A4" w:rsidRDefault="002E5103" w:rsidP="002E5103">
      <w:r w:rsidRPr="002E5103">
        <w:t>The weight loss model described and parameterized for oak by Di Blasi</w:t>
      </w:r>
      <w:r w:rsidR="00ED278C">
        <w:t xml:space="preserve"> </w:t>
      </w:r>
      <w:r w:rsidR="00ED278C">
        <w:fldChar w:fldCharType="begin"/>
      </w:r>
      <w:r w:rsidR="00807999">
        <w:instrText xml:space="preserve"> ADDIN PAPERS2_CITATIONS &lt;citation&gt;&lt;uuid&gt;180FBF89-1C9B-44B0-A982-C0EB4EF9B0C7&lt;/uuid&gt;&lt;priority&gt;0&lt;/priority&gt;&lt;publications&gt;&lt;publication&gt;&lt;publication_date&gt;99200200001200000000200000&lt;/publication_date&gt;&lt;doi&gt;10.1016/j.carbpol.2014.01.086&lt;/doi&gt;&lt;title&gt;Thermogravimetric analysis and devolatilization kinetics of wood&lt;/title&gt;&lt;uuid&gt;A933408A-4EE7-430F-83A7-6301AEF33652&lt;/uuid&gt;&lt;subtype&gt;400&lt;/subtype&gt;&lt;type&gt;400&lt;/type&gt;&lt;citekey&gt;Grigsby:2002cm&lt;/citekey&gt;&lt;url&gt;http://pubs.acs.org/doi/abs/10.1021/ie0201157&lt;/url&gt;&lt;bundle&gt;&lt;publication&gt;&lt;publisher&gt;&lt;/publisher&gt;&lt;title&gt;Industrial &amp;amp; Engineering Chemistry Research&lt;/title&gt;&lt;type&gt;-100&lt;/type&gt;&lt;subtype&gt;-100&lt;/subtype&gt;&lt;uuid&gt;3EB2AD93-F0E9-43F2-A1C5-49893E3B73E3&lt;/uuid&gt;&lt;/publication&gt;&lt;/bundle&gt;&lt;authors&gt;&lt;author&gt;&lt;firstName&gt;Warren&lt;/firstName&gt;&lt;middleNames&gt;J&lt;/middleNames&gt;&lt;lastName&gt;Grigsby&lt;/lastName&gt;&lt;/author&gt;&lt;author&gt;&lt;firstName&gt;Gabor&lt;/firstName&gt;&lt;lastName&gt;Varhegyi&lt;/lastName&gt;&lt;/author&gt;&lt;author&gt;&lt;nonDroppingParticle&gt;Di&lt;/nonDroppingParticle&gt;&lt;firstName&gt;Colomba&lt;/firstName&gt;&lt;lastName&gt;Blasi&lt;/lastName&gt;&lt;/author&gt;&lt;/authors&gt;&lt;/publication&gt;&lt;/publications&gt;&lt;cites&gt;&lt;/cites&gt;&lt;/citation&gt;</w:instrText>
      </w:r>
      <w:r w:rsidR="00ED278C">
        <w:fldChar w:fldCharType="separate"/>
      </w:r>
      <w:r w:rsidR="001C1AAC">
        <w:t>(</w:t>
      </w:r>
      <w:r w:rsidR="001C1AAC">
        <w:rPr>
          <w:i/>
          <w:iCs/>
        </w:rPr>
        <w:t>166</w:t>
      </w:r>
      <w:r w:rsidR="001C1AAC">
        <w:t>)</w:t>
      </w:r>
      <w:r w:rsidR="00ED278C">
        <w:fldChar w:fldCharType="end"/>
      </w:r>
      <w:r w:rsidRPr="002E5103">
        <w:t xml:space="preserve"> was used to choose the initial conditions for stage 2 and the hold time for stage 1, given the </w:t>
      </w:r>
      <w:r w:rsidRPr="002E5103">
        <w:lastRenderedPageBreak/>
        <w:t>condit</w:t>
      </w:r>
      <w:r w:rsidR="00C95D31">
        <w:t>ions</w:t>
      </w:r>
      <w:r w:rsidRPr="002E5103">
        <w:t xml:space="preserve"> selected for the other two based on TGA studies in the literature. </w:t>
      </w:r>
      <w:r w:rsidR="00291E59">
        <w:t>The source code for the implemented</w:t>
      </w:r>
      <w:r w:rsidR="00402B37">
        <w:t xml:space="preserve"> model can be found in Appendix A.</w:t>
      </w:r>
    </w:p>
    <w:p w14:paraId="2364F522" w14:textId="15091F19" w:rsidR="002E5103" w:rsidRPr="002E5103" w:rsidRDefault="002E5103" w:rsidP="002E5103">
      <w:r w:rsidRPr="002E5103">
        <w:t xml:space="preserve">The model results for the conditions selected are presented in </w:t>
      </w:r>
      <w:r w:rsidR="00703179" w:rsidRPr="00703179">
        <w:t>table 5.3</w:t>
      </w:r>
      <w:r w:rsidRPr="00703179">
        <w:t xml:space="preserve"> and figure</w:t>
      </w:r>
      <w:r w:rsidR="00703179" w:rsidRPr="00703179">
        <w:t>s 5.1 – 5.3.</w:t>
      </w:r>
      <w:r w:rsidRPr="002E5103">
        <w:t xml:space="preserve"> For the 270°C stage 1, 20 minutes was selected as the process time to achieve conversion of most of the hemicellulose. 350°C for 3 minutes was chosen as the initial stage 2 condition, as the kinetic model predicts near total conversion of the cellulose while leaving some lignin still available for conversion at stage 3. The prediction offered by this kinetic model suggests that the goal of separating the two polysaccharides via thermal degradation is achievable. The significant overlap of lignin is noteworthy, as the results of this work do not reflect high degrees of lignin degradation at the lowest temperature.</w:t>
      </w:r>
      <w:r w:rsidR="000E4AD4">
        <w:t xml:space="preserve"> The source code for this model can be found in </w:t>
      </w:r>
      <w:r w:rsidR="000E4AD4" w:rsidRPr="000E4AD4">
        <w:t>Appendix A</w:t>
      </w:r>
      <w:r w:rsidR="000E4AD4">
        <w:t>.</w:t>
      </w:r>
    </w:p>
    <w:tbl>
      <w:tblPr>
        <w:tblStyle w:val="TableGrid"/>
        <w:tblW w:w="0" w:type="auto"/>
        <w:tblLook w:val="04A0" w:firstRow="1" w:lastRow="0" w:firstColumn="1" w:lastColumn="0" w:noHBand="0" w:noVBand="1"/>
      </w:tblPr>
      <w:tblGrid>
        <w:gridCol w:w="2103"/>
        <w:gridCol w:w="1554"/>
        <w:gridCol w:w="1719"/>
        <w:gridCol w:w="1555"/>
        <w:gridCol w:w="1555"/>
      </w:tblGrid>
      <w:tr w:rsidR="00A71C26" w14:paraId="7A7DCAC7" w14:textId="77777777" w:rsidTr="00A71C26">
        <w:tc>
          <w:tcPr>
            <w:tcW w:w="2103" w:type="dxa"/>
          </w:tcPr>
          <w:p w14:paraId="28F4B1E4" w14:textId="77777777" w:rsidR="00A71C26" w:rsidRPr="009A44E8" w:rsidRDefault="00A71C26" w:rsidP="00A71C26">
            <w:pPr>
              <w:pStyle w:val="NoSpacing"/>
            </w:pPr>
            <w:r w:rsidRPr="009A44E8">
              <w:t>Temperature/Time</w:t>
            </w:r>
          </w:p>
        </w:tc>
        <w:tc>
          <w:tcPr>
            <w:tcW w:w="1554" w:type="dxa"/>
          </w:tcPr>
          <w:p w14:paraId="4E593592" w14:textId="77777777" w:rsidR="00A71C26" w:rsidRPr="009A44E8" w:rsidRDefault="00A71C26" w:rsidP="00A71C26">
            <w:pPr>
              <w:pStyle w:val="NoSpacing"/>
            </w:pPr>
            <w:r w:rsidRPr="009A44E8">
              <w:t>Predicted</w:t>
            </w:r>
          </w:p>
          <w:p w14:paraId="4F68EF4A" w14:textId="77777777" w:rsidR="00A71C26" w:rsidRPr="009A44E8" w:rsidRDefault="00A71C26" w:rsidP="00A71C26">
            <w:pPr>
              <w:pStyle w:val="NoSpacing"/>
            </w:pPr>
            <w:r w:rsidRPr="009A44E8">
              <w:t>Cumulative Mass conversion</w:t>
            </w:r>
          </w:p>
        </w:tc>
        <w:tc>
          <w:tcPr>
            <w:tcW w:w="1719" w:type="dxa"/>
          </w:tcPr>
          <w:p w14:paraId="07B0CE24" w14:textId="77777777" w:rsidR="00A71C26" w:rsidRPr="009A44E8" w:rsidRDefault="00A71C26" w:rsidP="00A71C26">
            <w:pPr>
              <w:pStyle w:val="NoSpacing"/>
            </w:pPr>
            <w:r w:rsidRPr="009A44E8">
              <w:t>Predicted</w:t>
            </w:r>
          </w:p>
          <w:p w14:paraId="24E0EFE8" w14:textId="77777777" w:rsidR="00A71C26" w:rsidRPr="009A44E8" w:rsidRDefault="00A71C26" w:rsidP="00A71C26">
            <w:pPr>
              <w:pStyle w:val="NoSpacing"/>
            </w:pPr>
            <w:r w:rsidRPr="009A44E8">
              <w:t>Cumulative Hemicellulose conversion</w:t>
            </w:r>
          </w:p>
        </w:tc>
        <w:tc>
          <w:tcPr>
            <w:tcW w:w="1555" w:type="dxa"/>
          </w:tcPr>
          <w:p w14:paraId="64604CEE" w14:textId="77777777" w:rsidR="00A71C26" w:rsidRPr="009A44E8" w:rsidRDefault="00A71C26" w:rsidP="00A71C26">
            <w:pPr>
              <w:pStyle w:val="NoSpacing"/>
            </w:pPr>
            <w:r w:rsidRPr="009A44E8">
              <w:t>Predicted</w:t>
            </w:r>
          </w:p>
          <w:p w14:paraId="5D742265" w14:textId="77777777" w:rsidR="00A71C26" w:rsidRPr="009A44E8" w:rsidRDefault="00A71C26" w:rsidP="00A71C26">
            <w:pPr>
              <w:pStyle w:val="NoSpacing"/>
            </w:pPr>
            <w:r w:rsidRPr="009A44E8">
              <w:t>Cumulative Cellulose conversion</w:t>
            </w:r>
          </w:p>
        </w:tc>
        <w:tc>
          <w:tcPr>
            <w:tcW w:w="1555" w:type="dxa"/>
          </w:tcPr>
          <w:p w14:paraId="4B587806" w14:textId="77777777" w:rsidR="00A71C26" w:rsidRPr="009A44E8" w:rsidRDefault="00A71C26" w:rsidP="00A71C26">
            <w:pPr>
              <w:pStyle w:val="NoSpacing"/>
            </w:pPr>
            <w:r w:rsidRPr="009A44E8">
              <w:t>Predicted</w:t>
            </w:r>
          </w:p>
          <w:p w14:paraId="1C015746" w14:textId="77777777" w:rsidR="00A71C26" w:rsidRPr="009A44E8" w:rsidRDefault="00A71C26" w:rsidP="00A71C26">
            <w:pPr>
              <w:pStyle w:val="NoSpacing"/>
            </w:pPr>
            <w:r w:rsidRPr="009A44E8">
              <w:t>Cumulative Lignin conversion</w:t>
            </w:r>
          </w:p>
        </w:tc>
      </w:tr>
      <w:tr w:rsidR="00A71C26" w14:paraId="77BA06F3" w14:textId="77777777" w:rsidTr="00A71C26">
        <w:tc>
          <w:tcPr>
            <w:tcW w:w="2103" w:type="dxa"/>
          </w:tcPr>
          <w:p w14:paraId="46D936E5" w14:textId="77777777" w:rsidR="00A71C26" w:rsidRPr="009A44E8" w:rsidRDefault="00A71C26" w:rsidP="00A71C26">
            <w:pPr>
              <w:pStyle w:val="NoSpacing"/>
            </w:pPr>
            <w:r w:rsidRPr="009A44E8">
              <w:t>270°C, 20 min</w:t>
            </w:r>
          </w:p>
        </w:tc>
        <w:tc>
          <w:tcPr>
            <w:tcW w:w="1554" w:type="dxa"/>
          </w:tcPr>
          <w:p w14:paraId="161BB9BF" w14:textId="77777777" w:rsidR="00A71C26" w:rsidRPr="009A44E8" w:rsidRDefault="00A71C26" w:rsidP="00A71C26">
            <w:pPr>
              <w:pStyle w:val="NoSpacing"/>
            </w:pPr>
            <w:r w:rsidRPr="009A44E8">
              <w:t>30.</w:t>
            </w:r>
            <w:r>
              <w:t>9</w:t>
            </w:r>
            <w:r w:rsidRPr="009A44E8">
              <w:t>%</w:t>
            </w:r>
          </w:p>
        </w:tc>
        <w:tc>
          <w:tcPr>
            <w:tcW w:w="1719" w:type="dxa"/>
          </w:tcPr>
          <w:p w14:paraId="40B1A3F6" w14:textId="77777777" w:rsidR="00A71C26" w:rsidRPr="009A44E8" w:rsidRDefault="00A71C26" w:rsidP="00A71C26">
            <w:pPr>
              <w:pStyle w:val="NoSpacing"/>
            </w:pPr>
            <w:r w:rsidRPr="009A44E8">
              <w:t>8</w:t>
            </w:r>
            <w:r>
              <w:t>7</w:t>
            </w:r>
            <w:r w:rsidRPr="009A44E8">
              <w:t>.</w:t>
            </w:r>
            <w:r>
              <w:t>3</w:t>
            </w:r>
            <w:r w:rsidRPr="009A44E8">
              <w:t>%</w:t>
            </w:r>
          </w:p>
        </w:tc>
        <w:tc>
          <w:tcPr>
            <w:tcW w:w="1555" w:type="dxa"/>
          </w:tcPr>
          <w:p w14:paraId="79EBEA75" w14:textId="77777777" w:rsidR="00A71C26" w:rsidRPr="009A44E8" w:rsidRDefault="00A71C26" w:rsidP="00A71C26">
            <w:pPr>
              <w:pStyle w:val="NoSpacing"/>
            </w:pPr>
            <w:r w:rsidRPr="009A44E8">
              <w:t>2.</w:t>
            </w:r>
            <w:r>
              <w:t>3</w:t>
            </w:r>
            <w:r w:rsidRPr="009A44E8">
              <w:t>%</w:t>
            </w:r>
          </w:p>
        </w:tc>
        <w:tc>
          <w:tcPr>
            <w:tcW w:w="1555" w:type="dxa"/>
          </w:tcPr>
          <w:p w14:paraId="6A8E7F64" w14:textId="77777777" w:rsidR="00A71C26" w:rsidRPr="009A44E8" w:rsidRDefault="00A71C26" w:rsidP="00A71C26">
            <w:pPr>
              <w:pStyle w:val="NoSpacing"/>
            </w:pPr>
            <w:r w:rsidRPr="009A44E8">
              <w:t>1</w:t>
            </w:r>
            <w:r>
              <w:t>7</w:t>
            </w:r>
            <w:r w:rsidRPr="009A44E8">
              <w:t>.</w:t>
            </w:r>
            <w:r>
              <w:t>0</w:t>
            </w:r>
            <w:r w:rsidRPr="009A44E8">
              <w:t>%</w:t>
            </w:r>
          </w:p>
        </w:tc>
      </w:tr>
      <w:tr w:rsidR="00A71C26" w14:paraId="32F2189B" w14:textId="77777777" w:rsidTr="00A71C26">
        <w:tc>
          <w:tcPr>
            <w:tcW w:w="2103" w:type="dxa"/>
          </w:tcPr>
          <w:p w14:paraId="36A9A07F" w14:textId="77777777" w:rsidR="00A71C26" w:rsidRPr="009A44E8" w:rsidRDefault="00A71C26" w:rsidP="00A71C26">
            <w:pPr>
              <w:pStyle w:val="NoSpacing"/>
            </w:pPr>
            <w:r w:rsidRPr="009A44E8">
              <w:t xml:space="preserve">350°C, </w:t>
            </w:r>
            <w:r>
              <w:t>3</w:t>
            </w:r>
            <w:r w:rsidRPr="009A44E8">
              <w:t xml:space="preserve"> min</w:t>
            </w:r>
          </w:p>
        </w:tc>
        <w:tc>
          <w:tcPr>
            <w:tcW w:w="1554" w:type="dxa"/>
          </w:tcPr>
          <w:p w14:paraId="247F0AAB" w14:textId="77777777" w:rsidR="00A71C26" w:rsidRPr="009A44E8" w:rsidRDefault="00A71C26" w:rsidP="00A71C26">
            <w:pPr>
              <w:pStyle w:val="NoSpacing"/>
            </w:pPr>
            <w:r>
              <w:t>61</w:t>
            </w:r>
            <w:r w:rsidRPr="009A44E8">
              <w:t>.</w:t>
            </w:r>
            <w:r>
              <w:t>1</w:t>
            </w:r>
            <w:r w:rsidRPr="009A44E8">
              <w:t>%</w:t>
            </w:r>
          </w:p>
        </w:tc>
        <w:tc>
          <w:tcPr>
            <w:tcW w:w="1719" w:type="dxa"/>
          </w:tcPr>
          <w:p w14:paraId="38C9167E" w14:textId="77777777" w:rsidR="00A71C26" w:rsidRPr="009A44E8" w:rsidRDefault="00A71C26" w:rsidP="00A71C26">
            <w:pPr>
              <w:pStyle w:val="NoSpacing"/>
            </w:pPr>
            <w:r>
              <w:t>100.0</w:t>
            </w:r>
            <w:r w:rsidRPr="009A44E8">
              <w:t>%</w:t>
            </w:r>
          </w:p>
        </w:tc>
        <w:tc>
          <w:tcPr>
            <w:tcW w:w="1555" w:type="dxa"/>
          </w:tcPr>
          <w:p w14:paraId="1570A77C" w14:textId="77777777" w:rsidR="00A71C26" w:rsidRPr="009A44E8" w:rsidRDefault="00A71C26" w:rsidP="00A71C26">
            <w:pPr>
              <w:pStyle w:val="NoSpacing"/>
            </w:pPr>
            <w:r w:rsidRPr="009A44E8">
              <w:t>9</w:t>
            </w:r>
            <w:r>
              <w:t>9.0</w:t>
            </w:r>
            <w:r w:rsidRPr="009A44E8">
              <w:t>%</w:t>
            </w:r>
          </w:p>
        </w:tc>
        <w:tc>
          <w:tcPr>
            <w:tcW w:w="1555" w:type="dxa"/>
          </w:tcPr>
          <w:p w14:paraId="1DD5ED02" w14:textId="77777777" w:rsidR="00A71C26" w:rsidRPr="009A44E8" w:rsidRDefault="00A71C26" w:rsidP="00A71C26">
            <w:pPr>
              <w:pStyle w:val="NoSpacing"/>
            </w:pPr>
            <w:r>
              <w:t>15.2</w:t>
            </w:r>
            <w:r w:rsidRPr="009A44E8">
              <w:t>%</w:t>
            </w:r>
          </w:p>
        </w:tc>
      </w:tr>
      <w:tr w:rsidR="00A71C26" w14:paraId="094FBD17" w14:textId="77777777" w:rsidTr="00A71C26">
        <w:tc>
          <w:tcPr>
            <w:tcW w:w="2103" w:type="dxa"/>
          </w:tcPr>
          <w:p w14:paraId="0CA6B29A" w14:textId="77777777" w:rsidR="00A71C26" w:rsidRPr="009A44E8" w:rsidRDefault="00A71C26" w:rsidP="00A71C26">
            <w:pPr>
              <w:pStyle w:val="NoSpacing"/>
            </w:pPr>
            <w:r w:rsidRPr="009A44E8">
              <w:t>500°C, 1 min</w:t>
            </w:r>
          </w:p>
        </w:tc>
        <w:tc>
          <w:tcPr>
            <w:tcW w:w="1554" w:type="dxa"/>
          </w:tcPr>
          <w:p w14:paraId="721E6B93" w14:textId="77777777" w:rsidR="00A71C26" w:rsidRPr="009A44E8" w:rsidRDefault="00A71C26" w:rsidP="00A71C26">
            <w:pPr>
              <w:pStyle w:val="NoSpacing"/>
            </w:pPr>
            <w:r w:rsidRPr="009A44E8">
              <w:t>6</w:t>
            </w:r>
            <w:r>
              <w:t>1</w:t>
            </w:r>
            <w:r w:rsidRPr="009A44E8">
              <w:t>.</w:t>
            </w:r>
            <w:r>
              <w:t>8</w:t>
            </w:r>
            <w:r w:rsidRPr="009A44E8">
              <w:t>%</w:t>
            </w:r>
          </w:p>
        </w:tc>
        <w:tc>
          <w:tcPr>
            <w:tcW w:w="1719" w:type="dxa"/>
          </w:tcPr>
          <w:p w14:paraId="1411D7FF" w14:textId="77777777" w:rsidR="00A71C26" w:rsidRPr="009A44E8" w:rsidRDefault="00A71C26" w:rsidP="00A71C26">
            <w:pPr>
              <w:pStyle w:val="NoSpacing"/>
            </w:pPr>
            <w:r w:rsidRPr="009A44E8">
              <w:t>100.0%</w:t>
            </w:r>
          </w:p>
        </w:tc>
        <w:tc>
          <w:tcPr>
            <w:tcW w:w="1555" w:type="dxa"/>
          </w:tcPr>
          <w:p w14:paraId="0B981334" w14:textId="77777777" w:rsidR="00A71C26" w:rsidRPr="009A44E8" w:rsidRDefault="00A71C26" w:rsidP="00A71C26">
            <w:pPr>
              <w:pStyle w:val="NoSpacing"/>
            </w:pPr>
            <w:r w:rsidRPr="009A44E8">
              <w:t>100.0%</w:t>
            </w:r>
          </w:p>
        </w:tc>
        <w:tc>
          <w:tcPr>
            <w:tcW w:w="1555" w:type="dxa"/>
          </w:tcPr>
          <w:p w14:paraId="642562E4" w14:textId="77777777" w:rsidR="00A71C26" w:rsidRPr="009A44E8" w:rsidRDefault="00A71C26" w:rsidP="00A71C26">
            <w:pPr>
              <w:pStyle w:val="NoSpacing"/>
            </w:pPr>
            <w:r w:rsidRPr="009A44E8">
              <w:t>1</w:t>
            </w:r>
            <w:r>
              <w:t>7.0</w:t>
            </w:r>
            <w:r w:rsidRPr="009A44E8">
              <w:t>%</w:t>
            </w:r>
          </w:p>
        </w:tc>
      </w:tr>
    </w:tbl>
    <w:p w14:paraId="09BD4FC0" w14:textId="69AB7E35" w:rsidR="00A71C26" w:rsidRDefault="00A71C26" w:rsidP="00A71C26">
      <w:pPr>
        <w:pStyle w:val="Caption"/>
        <w:rPr>
          <w:b w:val="0"/>
        </w:rPr>
      </w:pPr>
      <w:bookmarkStart w:id="110" w:name="_Toc449964931"/>
      <w:r>
        <w:t xml:space="preserve">Table </w:t>
      </w:r>
      <w:fldSimple w:instr=" STYLEREF &quot;Chapter&quot; \s ">
        <w:r w:rsidR="00463F52">
          <w:rPr>
            <w:noProof/>
          </w:rPr>
          <w:t>5</w:t>
        </w:r>
      </w:fldSimple>
      <w:r>
        <w:t>.</w:t>
      </w:r>
      <w:fldSimple w:instr=" SEQ Table \* ARABIC \s 1 ">
        <w:r w:rsidR="00463F52">
          <w:rPr>
            <w:noProof/>
          </w:rPr>
          <w:t>3</w:t>
        </w:r>
      </w:fldSimple>
      <w:r>
        <w:t>.</w:t>
      </w:r>
      <w:r w:rsidRPr="008E2374">
        <w:t xml:space="preserve"> </w:t>
      </w:r>
      <w:r w:rsidR="00A87920" w:rsidRPr="00A87920">
        <w:rPr>
          <w:b w:val="0"/>
        </w:rPr>
        <w:t>Kinetic model weight loss predictions for oak biomass</w:t>
      </w:r>
      <w:r>
        <w:rPr>
          <w:b w:val="0"/>
        </w:rPr>
        <w:t>.</w:t>
      </w:r>
      <w:bookmarkEnd w:id="110"/>
    </w:p>
    <w:p w14:paraId="35745C00" w14:textId="07D0B4FB" w:rsidR="00037868" w:rsidRDefault="00037868">
      <w:pPr>
        <w:spacing w:line="240" w:lineRule="auto"/>
      </w:pPr>
      <w:r>
        <w:br w:type="page"/>
      </w:r>
    </w:p>
    <w:p w14:paraId="4E2D7CF7" w14:textId="421FF93B" w:rsidR="00C95D31" w:rsidRDefault="00C95D31" w:rsidP="005B60FA">
      <w:pPr>
        <w:pStyle w:val="NoSpacing"/>
        <w:jc w:val="center"/>
      </w:pPr>
      <w:r w:rsidRPr="00E11F87">
        <w:rPr>
          <w:noProof/>
        </w:rPr>
        <w:lastRenderedPageBreak/>
        <w:drawing>
          <wp:inline distT="0" distB="0" distL="0" distR="0" wp14:anchorId="5FA91CAE" wp14:editId="5E44A3FF">
            <wp:extent cx="4703318" cy="3429000"/>
            <wp:effectExtent l="0" t="0" r="0" b="0"/>
            <wp:docPr id="488" name="Picture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4703318" cy="3429000"/>
                    </a:xfrm>
                    <a:prstGeom prst="rect">
                      <a:avLst/>
                    </a:prstGeom>
                  </pic:spPr>
                </pic:pic>
              </a:graphicData>
            </a:graphic>
          </wp:inline>
        </w:drawing>
      </w:r>
    </w:p>
    <w:p w14:paraId="54E2DF90" w14:textId="77777777" w:rsidR="00573E4C" w:rsidRDefault="00C95D31" w:rsidP="00B939A2">
      <w:pPr>
        <w:pStyle w:val="Caption"/>
        <w:jc w:val="center"/>
        <w:rPr>
          <w:b w:val="0"/>
        </w:rPr>
      </w:pPr>
      <w:bookmarkStart w:id="111" w:name="_Toc449964990"/>
      <w:r w:rsidRPr="00E73E07">
        <w:t xml:space="preserve">Figure </w:t>
      </w:r>
      <w:fldSimple w:instr=" STYLEREF &quot;Chapter&quot; \s ">
        <w:r w:rsidR="00463F52">
          <w:rPr>
            <w:noProof/>
          </w:rPr>
          <w:t>5</w:t>
        </w:r>
      </w:fldSimple>
      <w:r w:rsidRPr="00E73E07">
        <w:t>.</w:t>
      </w:r>
      <w:r w:rsidRPr="00E73E07">
        <w:fldChar w:fldCharType="begin"/>
      </w:r>
      <w:r w:rsidRPr="00E73E07">
        <w:instrText xml:space="preserve"> SEQ Figure</w:instrText>
      </w:r>
      <w:r w:rsidR="000330AD">
        <w:instrText xml:space="preserve"> \r 1</w:instrText>
      </w:r>
      <w:r w:rsidRPr="00E73E07">
        <w:instrText xml:space="preserve"> \* ARABIC \s 1 </w:instrText>
      </w:r>
      <w:r w:rsidRPr="00E73E07">
        <w:fldChar w:fldCharType="separate"/>
      </w:r>
      <w:r w:rsidR="00463F52">
        <w:rPr>
          <w:noProof/>
        </w:rPr>
        <w:t>1</w:t>
      </w:r>
      <w:r w:rsidRPr="00E73E07">
        <w:rPr>
          <w:noProof/>
        </w:rPr>
        <w:fldChar w:fldCharType="end"/>
      </w:r>
      <w:r w:rsidRPr="00E73E07">
        <w:rPr>
          <w:noProof/>
        </w:rPr>
        <w:t>.</w:t>
      </w:r>
      <w:r>
        <w:rPr>
          <w:noProof/>
        </w:rPr>
        <w:t xml:space="preserve"> </w:t>
      </w:r>
      <w:r w:rsidRPr="00C95D31">
        <w:rPr>
          <w:b w:val="0"/>
        </w:rPr>
        <w:t>Model weight loss prediction, 270°C.</w:t>
      </w:r>
      <w:bookmarkEnd w:id="111"/>
    </w:p>
    <w:p w14:paraId="3DF43DF1" w14:textId="1EA78B14" w:rsidR="00C95D31" w:rsidRPr="00C95D31" w:rsidRDefault="00C95D31" w:rsidP="00B939A2">
      <w:pPr>
        <w:pStyle w:val="Caption"/>
        <w:jc w:val="center"/>
        <w:rPr>
          <w:b w:val="0"/>
        </w:rPr>
      </w:pPr>
      <w:r w:rsidRPr="00C95D31">
        <w:rPr>
          <w:b w:val="0"/>
        </w:rPr>
        <w:t>a_ext is the wt% of extractives volatilized, a_hc is the wt% of hemicellulose volatilized, a_c is the wt% of cellulose volatilized, and a_L is the wt% of lignin volatilized.</w:t>
      </w:r>
    </w:p>
    <w:p w14:paraId="48959F8F" w14:textId="77777777" w:rsidR="00C95D31" w:rsidRDefault="00C95D31" w:rsidP="00B939A2">
      <w:pPr>
        <w:jc w:val="center"/>
      </w:pPr>
    </w:p>
    <w:p w14:paraId="2F17023F" w14:textId="418BA45D" w:rsidR="00C95D31" w:rsidRDefault="00C95D31" w:rsidP="005B60FA">
      <w:pPr>
        <w:pStyle w:val="NoSpacing"/>
        <w:jc w:val="center"/>
      </w:pPr>
      <w:r w:rsidRPr="00E11F87">
        <w:rPr>
          <w:noProof/>
        </w:rPr>
        <w:drawing>
          <wp:inline distT="0" distB="0" distL="0" distR="0" wp14:anchorId="252D64BF" wp14:editId="2B26FD04">
            <wp:extent cx="4672505" cy="3429000"/>
            <wp:effectExtent l="0" t="0" r="1270" b="0"/>
            <wp:docPr id="489" name="Picture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4672505" cy="3429000"/>
                    </a:xfrm>
                    <a:prstGeom prst="rect">
                      <a:avLst/>
                    </a:prstGeom>
                  </pic:spPr>
                </pic:pic>
              </a:graphicData>
            </a:graphic>
          </wp:inline>
        </w:drawing>
      </w:r>
    </w:p>
    <w:p w14:paraId="5DF91FCA" w14:textId="2A405933" w:rsidR="00C95D31" w:rsidRDefault="00C95D31" w:rsidP="00B939A2">
      <w:pPr>
        <w:pStyle w:val="Caption"/>
        <w:jc w:val="center"/>
      </w:pPr>
      <w:bookmarkStart w:id="112" w:name="_Toc449964991"/>
      <w:r w:rsidRPr="00E73E07">
        <w:t xml:space="preserve">Figure </w:t>
      </w:r>
      <w:fldSimple w:instr=" STYLEREF &quot;Chapter&quot; \s ">
        <w:r w:rsidR="00463F52">
          <w:rPr>
            <w:noProof/>
          </w:rPr>
          <w:t>5</w:t>
        </w:r>
      </w:fldSimple>
      <w:r w:rsidRPr="00E73E07">
        <w:t>.</w:t>
      </w:r>
      <w:fldSimple w:instr=" SEQ Figure \* ARABIC \s 1 ">
        <w:r w:rsidR="00463F52">
          <w:rPr>
            <w:noProof/>
          </w:rPr>
          <w:t>2</w:t>
        </w:r>
      </w:fldSimple>
      <w:r w:rsidRPr="00E73E07">
        <w:rPr>
          <w:noProof/>
        </w:rPr>
        <w:t>.</w:t>
      </w:r>
      <w:r>
        <w:rPr>
          <w:noProof/>
        </w:rPr>
        <w:t xml:space="preserve"> </w:t>
      </w:r>
      <w:r w:rsidRPr="00C95D31">
        <w:rPr>
          <w:b w:val="0"/>
        </w:rPr>
        <w:t>Model weight loss prediction, 350°C.</w:t>
      </w:r>
      <w:bookmarkEnd w:id="112"/>
    </w:p>
    <w:p w14:paraId="15BAE197" w14:textId="435F7EAE" w:rsidR="00C95D31" w:rsidRDefault="00C95D31" w:rsidP="00B939A2">
      <w:pPr>
        <w:jc w:val="center"/>
      </w:pPr>
    </w:p>
    <w:p w14:paraId="1C4CE6E8" w14:textId="76812607" w:rsidR="00C95D31" w:rsidRDefault="00C95D31" w:rsidP="005B60FA">
      <w:pPr>
        <w:pStyle w:val="NoSpacing"/>
        <w:jc w:val="center"/>
      </w:pPr>
      <w:r w:rsidRPr="00E11F87">
        <w:rPr>
          <w:noProof/>
        </w:rPr>
        <w:lastRenderedPageBreak/>
        <w:drawing>
          <wp:inline distT="0" distB="0" distL="0" distR="0" wp14:anchorId="539CD041" wp14:editId="0D6406E2">
            <wp:extent cx="4665034" cy="3429000"/>
            <wp:effectExtent l="0" t="0" r="8890" b="0"/>
            <wp:docPr id="490" name="Picture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4665034" cy="3429000"/>
                    </a:xfrm>
                    <a:prstGeom prst="rect">
                      <a:avLst/>
                    </a:prstGeom>
                  </pic:spPr>
                </pic:pic>
              </a:graphicData>
            </a:graphic>
          </wp:inline>
        </w:drawing>
      </w:r>
    </w:p>
    <w:p w14:paraId="3EF1FF27" w14:textId="5B11852C" w:rsidR="00C95D31" w:rsidRPr="00C95D31" w:rsidRDefault="00C95D31" w:rsidP="00B939A2">
      <w:pPr>
        <w:pStyle w:val="Caption"/>
        <w:jc w:val="center"/>
        <w:rPr>
          <w:b w:val="0"/>
        </w:rPr>
      </w:pPr>
      <w:bookmarkStart w:id="113" w:name="_Toc449964992"/>
      <w:r w:rsidRPr="00E73E07">
        <w:t xml:space="preserve">Figure </w:t>
      </w:r>
      <w:fldSimple w:instr=" STYLEREF &quot;Chapter&quot; \s ">
        <w:r w:rsidR="00463F52">
          <w:rPr>
            <w:noProof/>
          </w:rPr>
          <w:t>5</w:t>
        </w:r>
      </w:fldSimple>
      <w:r w:rsidRPr="00E73E07">
        <w:t>.</w:t>
      </w:r>
      <w:fldSimple w:instr=" SEQ Figure \* ARABIC \s 1 ">
        <w:r w:rsidR="00463F52">
          <w:rPr>
            <w:noProof/>
          </w:rPr>
          <w:t>3</w:t>
        </w:r>
      </w:fldSimple>
      <w:r w:rsidRPr="00E73E07">
        <w:rPr>
          <w:noProof/>
        </w:rPr>
        <w:t>.</w:t>
      </w:r>
      <w:r>
        <w:rPr>
          <w:noProof/>
        </w:rPr>
        <w:t xml:space="preserve"> </w:t>
      </w:r>
      <w:r w:rsidRPr="00C95D31">
        <w:rPr>
          <w:b w:val="0"/>
        </w:rPr>
        <w:t>Model weight loss prediction, 500°C.</w:t>
      </w:r>
      <w:bookmarkEnd w:id="113"/>
    </w:p>
    <w:p w14:paraId="4A1CE683" w14:textId="77777777" w:rsidR="00C95D31" w:rsidRDefault="00C95D31" w:rsidP="00A56156"/>
    <w:p w14:paraId="7A78568D" w14:textId="77777777" w:rsidR="00C23443" w:rsidRDefault="00C23443" w:rsidP="00C23443">
      <w:pPr>
        <w:pStyle w:val="Heading3"/>
      </w:pPr>
      <w:bookmarkStart w:id="114" w:name="_Toc449964874"/>
      <w:r>
        <w:t>Conversion of stage 1 solid samples at stage 2 conditions</w:t>
      </w:r>
      <w:bookmarkEnd w:id="114"/>
    </w:p>
    <w:p w14:paraId="0EC7A47F" w14:textId="6100507C" w:rsidR="005738A6" w:rsidRDefault="00C23443" w:rsidP="000A7C5D">
      <w:r>
        <w:t xml:space="preserve"> </w:t>
      </w:r>
      <w:r w:rsidR="008A5845">
        <w:t xml:space="preserve">In preparation for the analytical pyrolysis investigation of the stage 2 conditions, sufficient quantities of stage 1 residual solids were generated from raw oak biomass using a bench scale system as described in </w:t>
      </w:r>
      <w:r w:rsidR="008A5845" w:rsidRPr="00D7541D">
        <w:t xml:space="preserve">section </w:t>
      </w:r>
      <w:r w:rsidR="00D7541D">
        <w:t>3.1</w:t>
      </w:r>
      <w:r w:rsidR="008A5845">
        <w:t xml:space="preserve">. </w:t>
      </w:r>
      <w:r w:rsidR="008A5845" w:rsidRPr="004D4B36">
        <w:t xml:space="preserve">Water content analysis </w:t>
      </w:r>
      <w:r w:rsidR="008A5845">
        <w:t xml:space="preserve">of the resulting liquid </w:t>
      </w:r>
      <w:r w:rsidR="008A5845" w:rsidRPr="004D4B36">
        <w:t xml:space="preserve">(reported as liquid weight percent) was </w:t>
      </w:r>
      <w:r w:rsidR="00D7541D">
        <w:t>performed</w:t>
      </w:r>
      <w:r w:rsidR="008A5845" w:rsidRPr="004D4B36">
        <w:t xml:space="preserve"> </w:t>
      </w:r>
      <w:r w:rsidR="008A5845">
        <w:t xml:space="preserve">as described in </w:t>
      </w:r>
      <w:r w:rsidR="008A5845" w:rsidRPr="00D7541D">
        <w:t xml:space="preserve">section </w:t>
      </w:r>
      <w:r w:rsidR="00D7541D">
        <w:t>3.3</w:t>
      </w:r>
      <w:r w:rsidR="008A5845">
        <w:t xml:space="preserve">. </w:t>
      </w:r>
      <w:r>
        <w:t>Samples from the stage 1 solid residue were then prepared for analytical pyrolysis</w:t>
      </w:r>
      <w:r w:rsidR="008A5845" w:rsidRPr="008A5845">
        <w:t xml:space="preserve"> </w:t>
      </w:r>
      <w:r w:rsidR="008A5845">
        <w:t xml:space="preserve">as described in </w:t>
      </w:r>
      <w:r w:rsidR="00D7541D">
        <w:t>section 3.2</w:t>
      </w:r>
      <w:r>
        <w:t xml:space="preserve">. Approximately 0.75 mg of stage 1 solid residue was </w:t>
      </w:r>
      <w:r w:rsidR="008A5845">
        <w:t xml:space="preserve">used in each </w:t>
      </w:r>
      <w:r w:rsidR="00D7541D">
        <w:t>analytical pyrolysis experiment</w:t>
      </w:r>
      <w:r w:rsidR="008A5845" w:rsidRPr="00D7541D">
        <w:t xml:space="preserve">. </w:t>
      </w:r>
      <w:r w:rsidR="000A7C5D" w:rsidRPr="00D7541D">
        <w:t xml:space="preserve">Table </w:t>
      </w:r>
      <w:r w:rsidR="00D7541D">
        <w:t xml:space="preserve">5.4 </w:t>
      </w:r>
      <w:r w:rsidR="000A7C5D">
        <w:t xml:space="preserve">lists compounds </w:t>
      </w:r>
      <w:r w:rsidR="008A5845">
        <w:t xml:space="preserve">and their lumps </w:t>
      </w:r>
      <w:r w:rsidR="000A7C5D">
        <w:t xml:space="preserve">as used in this work. </w:t>
      </w:r>
    </w:p>
    <w:p w14:paraId="2D432796" w14:textId="77777777" w:rsidR="005738A6" w:rsidRDefault="005738A6">
      <w:r>
        <w:br w:type="page"/>
      </w:r>
    </w:p>
    <w:tbl>
      <w:tblPr>
        <w:tblW w:w="7201"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5" w:type="dxa"/>
          <w:left w:w="0" w:type="dxa"/>
          <w:bottom w:w="115" w:type="dxa"/>
          <w:right w:w="0" w:type="dxa"/>
        </w:tblCellMar>
        <w:tblLook w:val="04A0" w:firstRow="1" w:lastRow="0" w:firstColumn="1" w:lastColumn="0" w:noHBand="0" w:noVBand="1"/>
      </w:tblPr>
      <w:tblGrid>
        <w:gridCol w:w="246"/>
        <w:gridCol w:w="246"/>
        <w:gridCol w:w="309"/>
        <w:gridCol w:w="246"/>
        <w:gridCol w:w="246"/>
        <w:gridCol w:w="309"/>
        <w:gridCol w:w="246"/>
        <w:gridCol w:w="244"/>
        <w:gridCol w:w="270"/>
        <w:gridCol w:w="270"/>
        <w:gridCol w:w="270"/>
        <w:gridCol w:w="270"/>
        <w:gridCol w:w="270"/>
        <w:gridCol w:w="270"/>
        <w:gridCol w:w="270"/>
        <w:gridCol w:w="270"/>
        <w:gridCol w:w="270"/>
        <w:gridCol w:w="270"/>
        <w:gridCol w:w="269"/>
        <w:gridCol w:w="271"/>
        <w:gridCol w:w="270"/>
        <w:gridCol w:w="270"/>
        <w:gridCol w:w="270"/>
        <w:gridCol w:w="270"/>
        <w:gridCol w:w="270"/>
        <w:gridCol w:w="270"/>
        <w:gridCol w:w="249"/>
      </w:tblGrid>
      <w:tr w:rsidR="003C6ECC" w:rsidRPr="005738A6" w14:paraId="6D2AEB09" w14:textId="27B3424B" w:rsidTr="00A54A8B">
        <w:trPr>
          <w:trHeight w:val="2089"/>
        </w:trPr>
        <w:tc>
          <w:tcPr>
            <w:tcW w:w="246" w:type="dxa"/>
            <w:shd w:val="clear" w:color="auto" w:fill="auto"/>
            <w:noWrap/>
            <w:textDirection w:val="btLr"/>
            <w:vAlign w:val="bottom"/>
            <w:hideMark/>
          </w:tcPr>
          <w:p w14:paraId="53B81024" w14:textId="77777777" w:rsidR="003140DB" w:rsidRPr="005738A6" w:rsidRDefault="003140DB" w:rsidP="005738A6">
            <w:pPr>
              <w:rPr>
                <w:b/>
                <w:bCs/>
                <w:color w:val="000000"/>
                <w:sz w:val="20"/>
                <w:szCs w:val="20"/>
                <w:u w:val="single"/>
              </w:rPr>
            </w:pPr>
            <w:r w:rsidRPr="005738A6">
              <w:rPr>
                <w:b/>
                <w:bCs/>
                <w:color w:val="000000"/>
                <w:sz w:val="20"/>
                <w:szCs w:val="20"/>
                <w:u w:val="single"/>
              </w:rPr>
              <w:lastRenderedPageBreak/>
              <w:t>Furans</w:t>
            </w:r>
          </w:p>
        </w:tc>
        <w:tc>
          <w:tcPr>
            <w:tcW w:w="246" w:type="dxa"/>
            <w:shd w:val="clear" w:color="auto" w:fill="auto"/>
            <w:noWrap/>
            <w:textDirection w:val="btLr"/>
            <w:vAlign w:val="bottom"/>
            <w:hideMark/>
          </w:tcPr>
          <w:p w14:paraId="57500D58" w14:textId="77777777" w:rsidR="003140DB" w:rsidRPr="005738A6" w:rsidRDefault="003140DB" w:rsidP="005738A6">
            <w:pPr>
              <w:rPr>
                <w:color w:val="000000"/>
                <w:sz w:val="20"/>
                <w:szCs w:val="20"/>
              </w:rPr>
            </w:pPr>
            <w:r w:rsidRPr="005738A6">
              <w:rPr>
                <w:color w:val="000000"/>
                <w:sz w:val="20"/>
                <w:szCs w:val="20"/>
              </w:rPr>
              <w:t>Furan</w:t>
            </w:r>
          </w:p>
        </w:tc>
        <w:tc>
          <w:tcPr>
            <w:tcW w:w="309" w:type="dxa"/>
            <w:shd w:val="clear" w:color="auto" w:fill="auto"/>
            <w:noWrap/>
            <w:textDirection w:val="btLr"/>
            <w:vAlign w:val="bottom"/>
            <w:hideMark/>
          </w:tcPr>
          <w:p w14:paraId="351CC1C3" w14:textId="77777777" w:rsidR="003140DB" w:rsidRPr="005738A6" w:rsidRDefault="003140DB" w:rsidP="005738A6">
            <w:pPr>
              <w:rPr>
                <w:color w:val="000000"/>
                <w:sz w:val="20"/>
                <w:szCs w:val="20"/>
              </w:rPr>
            </w:pPr>
            <w:r w:rsidRPr="005738A6">
              <w:rPr>
                <w:color w:val="000000"/>
                <w:sz w:val="20"/>
                <w:szCs w:val="20"/>
              </w:rPr>
              <w:t>Furan, 2-methyl-</w:t>
            </w:r>
          </w:p>
        </w:tc>
        <w:tc>
          <w:tcPr>
            <w:tcW w:w="246" w:type="dxa"/>
            <w:shd w:val="clear" w:color="auto" w:fill="auto"/>
            <w:noWrap/>
            <w:textDirection w:val="btLr"/>
            <w:vAlign w:val="bottom"/>
            <w:hideMark/>
          </w:tcPr>
          <w:p w14:paraId="2B4212AF" w14:textId="77777777" w:rsidR="003140DB" w:rsidRPr="005738A6" w:rsidRDefault="003140DB" w:rsidP="005738A6">
            <w:pPr>
              <w:rPr>
                <w:color w:val="000000"/>
                <w:sz w:val="20"/>
                <w:szCs w:val="20"/>
              </w:rPr>
            </w:pPr>
            <w:r w:rsidRPr="005738A6">
              <w:rPr>
                <w:color w:val="000000"/>
                <w:sz w:val="20"/>
                <w:szCs w:val="20"/>
              </w:rPr>
              <w:t>Furan, 2,5-dimethyl-</w:t>
            </w:r>
          </w:p>
        </w:tc>
        <w:tc>
          <w:tcPr>
            <w:tcW w:w="246" w:type="dxa"/>
            <w:shd w:val="clear" w:color="auto" w:fill="auto"/>
            <w:noWrap/>
            <w:textDirection w:val="btLr"/>
            <w:vAlign w:val="bottom"/>
            <w:hideMark/>
          </w:tcPr>
          <w:p w14:paraId="20D389EF" w14:textId="77777777" w:rsidR="003140DB" w:rsidRPr="005738A6" w:rsidRDefault="003140DB" w:rsidP="005738A6">
            <w:pPr>
              <w:rPr>
                <w:color w:val="000000"/>
                <w:sz w:val="20"/>
                <w:szCs w:val="20"/>
              </w:rPr>
            </w:pPr>
            <w:r w:rsidRPr="005738A6">
              <w:rPr>
                <w:color w:val="000000"/>
                <w:sz w:val="20"/>
                <w:szCs w:val="20"/>
              </w:rPr>
              <w:t>Furan, 3-methyl-</w:t>
            </w:r>
          </w:p>
        </w:tc>
        <w:tc>
          <w:tcPr>
            <w:tcW w:w="309" w:type="dxa"/>
            <w:shd w:val="clear" w:color="auto" w:fill="auto"/>
            <w:noWrap/>
            <w:textDirection w:val="btLr"/>
            <w:vAlign w:val="bottom"/>
            <w:hideMark/>
          </w:tcPr>
          <w:p w14:paraId="6E5F5ECD" w14:textId="77777777" w:rsidR="003140DB" w:rsidRPr="005738A6" w:rsidRDefault="003140DB" w:rsidP="005738A6">
            <w:pPr>
              <w:rPr>
                <w:rFonts w:ascii="Calibri" w:hAnsi="Calibri"/>
                <w:color w:val="000000"/>
              </w:rPr>
            </w:pPr>
            <w:r w:rsidRPr="005738A6">
              <w:rPr>
                <w:rFonts w:ascii="Calibri" w:hAnsi="Calibri"/>
                <w:color w:val="000000"/>
              </w:rPr>
              <w:t> </w:t>
            </w:r>
          </w:p>
        </w:tc>
        <w:tc>
          <w:tcPr>
            <w:tcW w:w="246" w:type="dxa"/>
            <w:shd w:val="clear" w:color="auto" w:fill="auto"/>
            <w:noWrap/>
            <w:textDirection w:val="btLr"/>
            <w:vAlign w:val="bottom"/>
            <w:hideMark/>
          </w:tcPr>
          <w:p w14:paraId="5BC4DB87" w14:textId="77777777" w:rsidR="003140DB" w:rsidRPr="005738A6" w:rsidRDefault="003140DB" w:rsidP="005738A6">
            <w:pPr>
              <w:rPr>
                <w:b/>
                <w:bCs/>
                <w:color w:val="000000"/>
                <w:sz w:val="20"/>
                <w:szCs w:val="20"/>
                <w:u w:val="single"/>
              </w:rPr>
            </w:pPr>
            <w:r w:rsidRPr="005738A6">
              <w:rPr>
                <w:b/>
                <w:bCs/>
                <w:color w:val="000000"/>
                <w:sz w:val="20"/>
                <w:szCs w:val="20"/>
                <w:u w:val="single"/>
              </w:rPr>
              <w:t>Sugars</w:t>
            </w:r>
          </w:p>
        </w:tc>
        <w:tc>
          <w:tcPr>
            <w:tcW w:w="514" w:type="dxa"/>
            <w:gridSpan w:val="2"/>
            <w:shd w:val="clear" w:color="auto" w:fill="auto"/>
            <w:noWrap/>
            <w:textDirection w:val="btLr"/>
            <w:vAlign w:val="bottom"/>
            <w:hideMark/>
          </w:tcPr>
          <w:p w14:paraId="28559C2C" w14:textId="4D0205D9" w:rsidR="003140DB" w:rsidRPr="00A54A8B" w:rsidRDefault="003140DB" w:rsidP="00A54A8B">
            <w:pPr>
              <w:pStyle w:val="Tables"/>
              <w:rPr>
                <w:sz w:val="20"/>
                <w:szCs w:val="20"/>
              </w:rPr>
            </w:pPr>
            <w:r w:rsidRPr="00A54A8B">
              <w:rPr>
                <w:sz w:val="20"/>
                <w:szCs w:val="20"/>
              </w:rPr>
              <w:t>1,4:3,6-Dianhydro-α-</w:t>
            </w:r>
            <w:r w:rsidRPr="00A54A8B">
              <w:rPr>
                <w:sz w:val="20"/>
                <w:szCs w:val="20"/>
              </w:rPr>
              <w:br/>
              <w:t>D-glucopyranose</w:t>
            </w:r>
          </w:p>
        </w:tc>
        <w:tc>
          <w:tcPr>
            <w:tcW w:w="540" w:type="dxa"/>
            <w:gridSpan w:val="2"/>
            <w:shd w:val="clear" w:color="auto" w:fill="auto"/>
            <w:noWrap/>
            <w:textDirection w:val="btLr"/>
            <w:vAlign w:val="bottom"/>
          </w:tcPr>
          <w:p w14:paraId="12AEAFA5" w14:textId="3B1CC612" w:rsidR="003140DB" w:rsidRPr="00A54A8B" w:rsidRDefault="003140DB" w:rsidP="00A54A8B">
            <w:pPr>
              <w:pStyle w:val="Tables"/>
              <w:rPr>
                <w:sz w:val="20"/>
                <w:szCs w:val="20"/>
              </w:rPr>
            </w:pPr>
            <w:r w:rsidRPr="00A54A8B">
              <w:rPr>
                <w:sz w:val="20"/>
                <w:szCs w:val="20"/>
              </w:rPr>
              <w:t>1,5-Anhydro-</w:t>
            </w:r>
            <w:r w:rsidRPr="00A54A8B">
              <w:rPr>
                <w:sz w:val="20"/>
                <w:szCs w:val="20"/>
              </w:rPr>
              <w:br/>
              <w:t>arabinofuranose</w:t>
            </w:r>
          </w:p>
        </w:tc>
        <w:tc>
          <w:tcPr>
            <w:tcW w:w="540" w:type="dxa"/>
            <w:gridSpan w:val="2"/>
            <w:shd w:val="clear" w:color="auto" w:fill="auto"/>
            <w:noWrap/>
            <w:textDirection w:val="btLr"/>
            <w:vAlign w:val="bottom"/>
          </w:tcPr>
          <w:p w14:paraId="39DED34D" w14:textId="304AA806" w:rsidR="003140DB" w:rsidRPr="00A54A8B" w:rsidRDefault="003140DB" w:rsidP="00A54A8B">
            <w:pPr>
              <w:pStyle w:val="Tables"/>
              <w:rPr>
                <w:b/>
                <w:bCs/>
                <w:sz w:val="20"/>
                <w:szCs w:val="20"/>
                <w:u w:val="single"/>
              </w:rPr>
            </w:pPr>
            <w:r w:rsidRPr="00A54A8B">
              <w:rPr>
                <w:sz w:val="20"/>
                <w:szCs w:val="20"/>
              </w:rPr>
              <w:t xml:space="preserve">ß-D-Glucopyranose, </w:t>
            </w:r>
            <w:r w:rsidRPr="00A54A8B">
              <w:rPr>
                <w:sz w:val="20"/>
                <w:szCs w:val="20"/>
              </w:rPr>
              <w:br/>
              <w:t>1,6-anhydro-</w:t>
            </w:r>
          </w:p>
        </w:tc>
        <w:tc>
          <w:tcPr>
            <w:tcW w:w="270" w:type="dxa"/>
            <w:shd w:val="clear" w:color="auto" w:fill="auto"/>
            <w:noWrap/>
            <w:textDirection w:val="btLr"/>
            <w:vAlign w:val="bottom"/>
          </w:tcPr>
          <w:p w14:paraId="345D09C4" w14:textId="011B3B17" w:rsidR="003140DB" w:rsidRPr="005738A6" w:rsidRDefault="003140DB" w:rsidP="005738A6">
            <w:pPr>
              <w:rPr>
                <w:color w:val="000000"/>
                <w:sz w:val="20"/>
                <w:szCs w:val="20"/>
              </w:rPr>
            </w:pPr>
            <w:r w:rsidRPr="005738A6">
              <w:rPr>
                <w:color w:val="000000"/>
                <w:sz w:val="20"/>
                <w:szCs w:val="20"/>
              </w:rPr>
              <w:t>Levoglucosanone</w:t>
            </w:r>
          </w:p>
        </w:tc>
        <w:tc>
          <w:tcPr>
            <w:tcW w:w="270" w:type="dxa"/>
            <w:shd w:val="clear" w:color="auto" w:fill="auto"/>
            <w:noWrap/>
            <w:textDirection w:val="btLr"/>
            <w:vAlign w:val="bottom"/>
          </w:tcPr>
          <w:p w14:paraId="704C610B" w14:textId="0CB69728" w:rsidR="003140DB" w:rsidRPr="005738A6" w:rsidRDefault="003140DB" w:rsidP="005738A6">
            <w:pPr>
              <w:rPr>
                <w:color w:val="000000"/>
                <w:sz w:val="20"/>
                <w:szCs w:val="20"/>
              </w:rPr>
            </w:pPr>
            <w:r w:rsidRPr="005738A6">
              <w:rPr>
                <w:rFonts w:ascii="Calibri" w:hAnsi="Calibri"/>
                <w:color w:val="000000"/>
              </w:rPr>
              <w:t> </w:t>
            </w:r>
          </w:p>
        </w:tc>
        <w:tc>
          <w:tcPr>
            <w:tcW w:w="270" w:type="dxa"/>
            <w:shd w:val="clear" w:color="auto" w:fill="auto"/>
            <w:noWrap/>
            <w:textDirection w:val="btLr"/>
            <w:vAlign w:val="bottom"/>
          </w:tcPr>
          <w:p w14:paraId="3D33CFB8" w14:textId="53D19D0B" w:rsidR="003140DB" w:rsidRPr="005738A6" w:rsidRDefault="003140DB" w:rsidP="005738A6">
            <w:pPr>
              <w:rPr>
                <w:color w:val="000000"/>
                <w:sz w:val="20"/>
                <w:szCs w:val="20"/>
              </w:rPr>
            </w:pPr>
            <w:r w:rsidRPr="005738A6">
              <w:rPr>
                <w:b/>
                <w:bCs/>
                <w:color w:val="000000"/>
                <w:sz w:val="20"/>
                <w:szCs w:val="20"/>
                <w:u w:val="single"/>
              </w:rPr>
              <w:t>Methoxyphenols</w:t>
            </w:r>
          </w:p>
        </w:tc>
        <w:tc>
          <w:tcPr>
            <w:tcW w:w="270" w:type="dxa"/>
            <w:shd w:val="clear" w:color="auto" w:fill="auto"/>
            <w:noWrap/>
            <w:textDirection w:val="btLr"/>
            <w:vAlign w:val="bottom"/>
          </w:tcPr>
          <w:p w14:paraId="07B48EE7" w14:textId="2B82873A" w:rsidR="003140DB" w:rsidRPr="005738A6" w:rsidRDefault="003140DB" w:rsidP="005738A6">
            <w:pPr>
              <w:rPr>
                <w:color w:val="000000"/>
                <w:sz w:val="20"/>
                <w:szCs w:val="20"/>
              </w:rPr>
            </w:pPr>
            <w:r w:rsidRPr="005738A6">
              <w:rPr>
                <w:color w:val="000000"/>
                <w:sz w:val="20"/>
                <w:szCs w:val="20"/>
              </w:rPr>
              <w:t>2-Methoxy-4-vinylphenol</w:t>
            </w:r>
          </w:p>
        </w:tc>
        <w:tc>
          <w:tcPr>
            <w:tcW w:w="270" w:type="dxa"/>
            <w:shd w:val="clear" w:color="auto" w:fill="auto"/>
            <w:noWrap/>
            <w:textDirection w:val="btLr"/>
            <w:vAlign w:val="bottom"/>
          </w:tcPr>
          <w:p w14:paraId="34DAEB37" w14:textId="498A7E28" w:rsidR="003140DB" w:rsidRPr="005738A6" w:rsidRDefault="003140DB" w:rsidP="005738A6">
            <w:pPr>
              <w:rPr>
                <w:color w:val="000000"/>
                <w:sz w:val="20"/>
                <w:szCs w:val="20"/>
              </w:rPr>
            </w:pPr>
            <w:r w:rsidRPr="005738A6">
              <w:rPr>
                <w:color w:val="000000"/>
                <w:sz w:val="20"/>
                <w:szCs w:val="20"/>
              </w:rPr>
              <w:t>Creosol</w:t>
            </w:r>
          </w:p>
        </w:tc>
        <w:tc>
          <w:tcPr>
            <w:tcW w:w="269" w:type="dxa"/>
            <w:shd w:val="clear" w:color="auto" w:fill="auto"/>
            <w:noWrap/>
            <w:textDirection w:val="btLr"/>
            <w:vAlign w:val="bottom"/>
          </w:tcPr>
          <w:p w14:paraId="4D7E78C4" w14:textId="6116A650" w:rsidR="003140DB" w:rsidRPr="005738A6" w:rsidRDefault="003140DB" w:rsidP="005738A6">
            <w:pPr>
              <w:rPr>
                <w:color w:val="000000"/>
                <w:sz w:val="20"/>
                <w:szCs w:val="20"/>
              </w:rPr>
            </w:pPr>
            <w:r w:rsidRPr="005738A6">
              <w:rPr>
                <w:color w:val="000000"/>
                <w:sz w:val="20"/>
                <w:szCs w:val="20"/>
              </w:rPr>
              <w:t>Guaiacylacetone</w:t>
            </w:r>
          </w:p>
        </w:tc>
        <w:tc>
          <w:tcPr>
            <w:tcW w:w="271" w:type="dxa"/>
            <w:shd w:val="clear" w:color="auto" w:fill="auto"/>
            <w:noWrap/>
            <w:textDirection w:val="btLr"/>
            <w:vAlign w:val="bottom"/>
          </w:tcPr>
          <w:p w14:paraId="07EBE49A" w14:textId="3CF7267A" w:rsidR="003140DB" w:rsidRPr="005738A6" w:rsidRDefault="003140DB" w:rsidP="005738A6">
            <w:pPr>
              <w:rPr>
                <w:color w:val="000000"/>
                <w:sz w:val="20"/>
                <w:szCs w:val="20"/>
              </w:rPr>
            </w:pPr>
            <w:r w:rsidRPr="005738A6">
              <w:rPr>
                <w:color w:val="000000"/>
                <w:sz w:val="20"/>
                <w:szCs w:val="20"/>
              </w:rPr>
              <w:t>Isoeugenol</w:t>
            </w:r>
          </w:p>
        </w:tc>
        <w:tc>
          <w:tcPr>
            <w:tcW w:w="270" w:type="dxa"/>
            <w:shd w:val="clear" w:color="auto" w:fill="auto"/>
            <w:noWrap/>
            <w:textDirection w:val="btLr"/>
            <w:vAlign w:val="bottom"/>
          </w:tcPr>
          <w:p w14:paraId="7FADA2E9" w14:textId="708BE0DF" w:rsidR="003140DB" w:rsidRPr="005738A6" w:rsidRDefault="003140DB" w:rsidP="005738A6">
            <w:pPr>
              <w:rPr>
                <w:color w:val="000000"/>
                <w:sz w:val="20"/>
                <w:szCs w:val="20"/>
              </w:rPr>
            </w:pPr>
            <w:r w:rsidRPr="005738A6">
              <w:rPr>
                <w:color w:val="000000"/>
                <w:sz w:val="20"/>
                <w:szCs w:val="20"/>
              </w:rPr>
              <w:t>Methoxyeugenol</w:t>
            </w:r>
          </w:p>
        </w:tc>
        <w:tc>
          <w:tcPr>
            <w:tcW w:w="270" w:type="dxa"/>
            <w:shd w:val="clear" w:color="auto" w:fill="auto"/>
            <w:noWrap/>
            <w:textDirection w:val="btLr"/>
            <w:vAlign w:val="bottom"/>
          </w:tcPr>
          <w:p w14:paraId="434FC2F9" w14:textId="413EC0F3" w:rsidR="003140DB" w:rsidRPr="0050092F" w:rsidRDefault="003140DB" w:rsidP="0050092F">
            <w:pPr>
              <w:pStyle w:val="Tables"/>
              <w:rPr>
                <w:sz w:val="20"/>
                <w:szCs w:val="20"/>
              </w:rPr>
            </w:pPr>
            <w:r w:rsidRPr="0050092F">
              <w:rPr>
                <w:sz w:val="20"/>
                <w:szCs w:val="20"/>
              </w:rPr>
              <w:t>Phenol, 2-methoxy-</w:t>
            </w:r>
          </w:p>
        </w:tc>
        <w:tc>
          <w:tcPr>
            <w:tcW w:w="540" w:type="dxa"/>
            <w:gridSpan w:val="2"/>
            <w:shd w:val="clear" w:color="auto" w:fill="auto"/>
            <w:noWrap/>
            <w:textDirection w:val="btLr"/>
            <w:vAlign w:val="bottom"/>
          </w:tcPr>
          <w:p w14:paraId="69D6B8BA" w14:textId="59E77CD9" w:rsidR="003140DB" w:rsidRPr="0050092F" w:rsidRDefault="003140DB" w:rsidP="0050092F">
            <w:pPr>
              <w:pStyle w:val="Tables"/>
              <w:rPr>
                <w:sz w:val="20"/>
                <w:szCs w:val="20"/>
              </w:rPr>
            </w:pPr>
            <w:r w:rsidRPr="0050092F">
              <w:rPr>
                <w:sz w:val="20"/>
                <w:szCs w:val="20"/>
              </w:rPr>
              <w:t>Phenol, 2,6-dimethoxy-</w:t>
            </w:r>
            <w:r w:rsidRPr="0050092F">
              <w:rPr>
                <w:sz w:val="20"/>
                <w:szCs w:val="20"/>
              </w:rPr>
              <w:br/>
              <w:t>4-(2-propenyl)-</w:t>
            </w:r>
          </w:p>
        </w:tc>
        <w:tc>
          <w:tcPr>
            <w:tcW w:w="270" w:type="dxa"/>
            <w:shd w:val="clear" w:color="auto" w:fill="auto"/>
            <w:noWrap/>
            <w:textDirection w:val="btLr"/>
            <w:vAlign w:val="bottom"/>
          </w:tcPr>
          <w:p w14:paraId="6D799A8C" w14:textId="1989CAC8" w:rsidR="003140DB" w:rsidRPr="005738A6" w:rsidRDefault="003140DB" w:rsidP="005738A6">
            <w:pPr>
              <w:rPr>
                <w:color w:val="000000"/>
                <w:sz w:val="20"/>
                <w:szCs w:val="20"/>
              </w:rPr>
            </w:pPr>
            <w:r w:rsidRPr="005738A6">
              <w:rPr>
                <w:color w:val="000000"/>
                <w:sz w:val="20"/>
                <w:szCs w:val="20"/>
              </w:rPr>
              <w:t>Syringol</w:t>
            </w:r>
          </w:p>
        </w:tc>
        <w:tc>
          <w:tcPr>
            <w:tcW w:w="270" w:type="dxa"/>
            <w:textDirection w:val="btLr"/>
            <w:vAlign w:val="bottom"/>
          </w:tcPr>
          <w:p w14:paraId="6720AC48" w14:textId="563513AD" w:rsidR="003140DB" w:rsidRPr="005738A6" w:rsidRDefault="003140DB" w:rsidP="005738A6">
            <w:pPr>
              <w:rPr>
                <w:color w:val="000000"/>
                <w:sz w:val="20"/>
                <w:szCs w:val="20"/>
              </w:rPr>
            </w:pPr>
            <w:r w:rsidRPr="005738A6">
              <w:rPr>
                <w:color w:val="000000"/>
                <w:sz w:val="20"/>
                <w:szCs w:val="20"/>
              </w:rPr>
              <w:t>Vanillin</w:t>
            </w:r>
          </w:p>
        </w:tc>
        <w:tc>
          <w:tcPr>
            <w:tcW w:w="249" w:type="dxa"/>
            <w:textDirection w:val="btLr"/>
          </w:tcPr>
          <w:p w14:paraId="2302F597" w14:textId="77777777" w:rsidR="003140DB" w:rsidRPr="005738A6" w:rsidRDefault="003140DB" w:rsidP="005738A6">
            <w:pPr>
              <w:rPr>
                <w:color w:val="000000"/>
                <w:sz w:val="20"/>
                <w:szCs w:val="20"/>
              </w:rPr>
            </w:pPr>
          </w:p>
        </w:tc>
      </w:tr>
      <w:tr w:rsidR="003C6ECC" w:rsidRPr="005738A6" w14:paraId="08D8F1A7" w14:textId="43945A20" w:rsidTr="00A54A8B">
        <w:trPr>
          <w:trHeight w:val="2494"/>
        </w:trPr>
        <w:tc>
          <w:tcPr>
            <w:tcW w:w="246" w:type="dxa"/>
            <w:shd w:val="clear" w:color="auto" w:fill="auto"/>
            <w:noWrap/>
            <w:textDirection w:val="btLr"/>
            <w:vAlign w:val="bottom"/>
            <w:hideMark/>
          </w:tcPr>
          <w:p w14:paraId="2287B3FA" w14:textId="77777777" w:rsidR="003140DB" w:rsidRPr="005738A6" w:rsidRDefault="003140DB" w:rsidP="005738A6">
            <w:pPr>
              <w:rPr>
                <w:b/>
                <w:bCs/>
                <w:color w:val="000000"/>
                <w:sz w:val="20"/>
                <w:szCs w:val="20"/>
                <w:u w:val="single"/>
              </w:rPr>
            </w:pPr>
            <w:r w:rsidRPr="005738A6">
              <w:rPr>
                <w:b/>
                <w:bCs/>
                <w:color w:val="000000"/>
                <w:sz w:val="20"/>
                <w:szCs w:val="20"/>
                <w:u w:val="single"/>
              </w:rPr>
              <w:t>Light Oxygenates</w:t>
            </w:r>
          </w:p>
        </w:tc>
        <w:tc>
          <w:tcPr>
            <w:tcW w:w="246" w:type="dxa"/>
            <w:shd w:val="clear" w:color="auto" w:fill="auto"/>
            <w:noWrap/>
            <w:textDirection w:val="btLr"/>
            <w:vAlign w:val="bottom"/>
            <w:hideMark/>
          </w:tcPr>
          <w:p w14:paraId="4B105377" w14:textId="77777777" w:rsidR="003140DB" w:rsidRPr="005738A6" w:rsidRDefault="003140DB" w:rsidP="005738A6">
            <w:pPr>
              <w:rPr>
                <w:color w:val="000000"/>
                <w:sz w:val="20"/>
                <w:szCs w:val="20"/>
              </w:rPr>
            </w:pPr>
            <w:r w:rsidRPr="005738A6">
              <w:rPr>
                <w:color w:val="000000"/>
                <w:sz w:val="20"/>
                <w:szCs w:val="20"/>
              </w:rPr>
              <w:t>1-Acetyloxypropane-2-one</w:t>
            </w:r>
          </w:p>
        </w:tc>
        <w:tc>
          <w:tcPr>
            <w:tcW w:w="309" w:type="dxa"/>
            <w:shd w:val="clear" w:color="auto" w:fill="auto"/>
            <w:noWrap/>
            <w:textDirection w:val="btLr"/>
            <w:vAlign w:val="bottom"/>
            <w:hideMark/>
          </w:tcPr>
          <w:p w14:paraId="4C5EC74F" w14:textId="77777777" w:rsidR="003140DB" w:rsidRPr="005738A6" w:rsidRDefault="003140DB" w:rsidP="005738A6">
            <w:pPr>
              <w:rPr>
                <w:color w:val="000000"/>
                <w:sz w:val="20"/>
                <w:szCs w:val="20"/>
              </w:rPr>
            </w:pPr>
            <w:r w:rsidRPr="005738A6">
              <w:rPr>
                <w:color w:val="000000"/>
                <w:sz w:val="20"/>
                <w:szCs w:val="20"/>
              </w:rPr>
              <w:t>1-Penten-3-ol</w:t>
            </w:r>
          </w:p>
        </w:tc>
        <w:tc>
          <w:tcPr>
            <w:tcW w:w="246" w:type="dxa"/>
            <w:shd w:val="clear" w:color="auto" w:fill="auto"/>
            <w:noWrap/>
            <w:textDirection w:val="btLr"/>
            <w:vAlign w:val="bottom"/>
            <w:hideMark/>
          </w:tcPr>
          <w:p w14:paraId="6B10FBB0" w14:textId="77777777" w:rsidR="003140DB" w:rsidRPr="005738A6" w:rsidRDefault="003140DB" w:rsidP="005738A6">
            <w:pPr>
              <w:rPr>
                <w:color w:val="000000"/>
                <w:sz w:val="20"/>
                <w:szCs w:val="20"/>
              </w:rPr>
            </w:pPr>
            <w:r w:rsidRPr="005738A6">
              <w:rPr>
                <w:color w:val="000000"/>
                <w:sz w:val="20"/>
                <w:szCs w:val="20"/>
              </w:rPr>
              <w:t>1,2-Dihydroxyethane</w:t>
            </w:r>
          </w:p>
        </w:tc>
        <w:tc>
          <w:tcPr>
            <w:tcW w:w="246" w:type="dxa"/>
            <w:shd w:val="clear" w:color="auto" w:fill="auto"/>
            <w:noWrap/>
            <w:textDirection w:val="btLr"/>
            <w:vAlign w:val="bottom"/>
            <w:hideMark/>
          </w:tcPr>
          <w:p w14:paraId="05946E8D" w14:textId="77777777" w:rsidR="003140DB" w:rsidRPr="005738A6" w:rsidRDefault="003140DB" w:rsidP="005738A6">
            <w:pPr>
              <w:rPr>
                <w:color w:val="000000"/>
                <w:sz w:val="20"/>
                <w:szCs w:val="20"/>
              </w:rPr>
            </w:pPr>
            <w:r w:rsidRPr="005738A6">
              <w:rPr>
                <w:color w:val="000000"/>
                <w:sz w:val="20"/>
                <w:szCs w:val="20"/>
              </w:rPr>
              <w:t>1,2-Dihydroxyethene</w:t>
            </w:r>
          </w:p>
        </w:tc>
        <w:tc>
          <w:tcPr>
            <w:tcW w:w="309" w:type="dxa"/>
            <w:shd w:val="clear" w:color="auto" w:fill="auto"/>
            <w:noWrap/>
            <w:textDirection w:val="btLr"/>
            <w:vAlign w:val="bottom"/>
            <w:hideMark/>
          </w:tcPr>
          <w:p w14:paraId="2A61C202" w14:textId="77777777" w:rsidR="003140DB" w:rsidRPr="005738A6" w:rsidRDefault="003140DB" w:rsidP="005738A6">
            <w:pPr>
              <w:rPr>
                <w:color w:val="000000"/>
                <w:sz w:val="20"/>
                <w:szCs w:val="20"/>
              </w:rPr>
            </w:pPr>
            <w:r w:rsidRPr="005738A6">
              <w:rPr>
                <w:color w:val="000000"/>
                <w:sz w:val="20"/>
                <w:szCs w:val="20"/>
              </w:rPr>
              <w:t>2-Butanone</w:t>
            </w:r>
          </w:p>
        </w:tc>
        <w:tc>
          <w:tcPr>
            <w:tcW w:w="246" w:type="dxa"/>
            <w:shd w:val="clear" w:color="auto" w:fill="auto"/>
            <w:noWrap/>
            <w:textDirection w:val="btLr"/>
            <w:vAlign w:val="bottom"/>
            <w:hideMark/>
          </w:tcPr>
          <w:p w14:paraId="035C95B4" w14:textId="77777777" w:rsidR="003140DB" w:rsidRPr="005738A6" w:rsidRDefault="003140DB" w:rsidP="005738A6">
            <w:pPr>
              <w:rPr>
                <w:color w:val="000000"/>
                <w:sz w:val="20"/>
                <w:szCs w:val="20"/>
              </w:rPr>
            </w:pPr>
            <w:r w:rsidRPr="005738A6">
              <w:rPr>
                <w:color w:val="000000"/>
                <w:sz w:val="20"/>
                <w:szCs w:val="20"/>
              </w:rPr>
              <w:t>2-Butenal</w:t>
            </w:r>
          </w:p>
        </w:tc>
        <w:tc>
          <w:tcPr>
            <w:tcW w:w="244" w:type="dxa"/>
            <w:shd w:val="clear" w:color="auto" w:fill="auto"/>
            <w:noWrap/>
            <w:textDirection w:val="btLr"/>
            <w:vAlign w:val="bottom"/>
            <w:hideMark/>
          </w:tcPr>
          <w:p w14:paraId="11E7DF1A" w14:textId="77777777" w:rsidR="003140DB" w:rsidRPr="005738A6" w:rsidRDefault="003140DB" w:rsidP="005738A6">
            <w:pPr>
              <w:rPr>
                <w:color w:val="000000"/>
                <w:sz w:val="20"/>
                <w:szCs w:val="20"/>
              </w:rPr>
            </w:pPr>
            <w:r w:rsidRPr="005738A6">
              <w:rPr>
                <w:color w:val="000000"/>
                <w:sz w:val="20"/>
                <w:szCs w:val="20"/>
              </w:rPr>
              <w:t>2-Hydroxy-3-oxobutanal</w:t>
            </w:r>
          </w:p>
        </w:tc>
        <w:tc>
          <w:tcPr>
            <w:tcW w:w="270" w:type="dxa"/>
            <w:shd w:val="clear" w:color="auto" w:fill="auto"/>
            <w:noWrap/>
            <w:textDirection w:val="btLr"/>
            <w:vAlign w:val="bottom"/>
            <w:hideMark/>
          </w:tcPr>
          <w:p w14:paraId="0766B194" w14:textId="77777777" w:rsidR="003140DB" w:rsidRPr="005738A6" w:rsidRDefault="003140DB" w:rsidP="005738A6">
            <w:pPr>
              <w:rPr>
                <w:color w:val="000000"/>
                <w:sz w:val="20"/>
                <w:szCs w:val="20"/>
              </w:rPr>
            </w:pPr>
            <w:r w:rsidRPr="005738A6">
              <w:rPr>
                <w:color w:val="000000"/>
                <w:sz w:val="20"/>
                <w:szCs w:val="20"/>
              </w:rPr>
              <w:t>2-Propanone, 1-(acetyloxy)-</w:t>
            </w:r>
          </w:p>
        </w:tc>
        <w:tc>
          <w:tcPr>
            <w:tcW w:w="270" w:type="dxa"/>
            <w:shd w:val="clear" w:color="auto" w:fill="auto"/>
            <w:noWrap/>
            <w:textDirection w:val="btLr"/>
            <w:vAlign w:val="bottom"/>
            <w:hideMark/>
          </w:tcPr>
          <w:p w14:paraId="09B73909" w14:textId="77777777" w:rsidR="003140DB" w:rsidRPr="005738A6" w:rsidRDefault="003140DB" w:rsidP="005738A6">
            <w:pPr>
              <w:rPr>
                <w:color w:val="000000"/>
                <w:sz w:val="20"/>
                <w:szCs w:val="20"/>
              </w:rPr>
            </w:pPr>
            <w:r w:rsidRPr="005738A6">
              <w:rPr>
                <w:color w:val="000000"/>
                <w:sz w:val="20"/>
                <w:szCs w:val="20"/>
              </w:rPr>
              <w:t>2-Propanone, 1-hydroxy-</w:t>
            </w:r>
          </w:p>
        </w:tc>
        <w:tc>
          <w:tcPr>
            <w:tcW w:w="270" w:type="dxa"/>
            <w:shd w:val="clear" w:color="auto" w:fill="auto"/>
            <w:noWrap/>
            <w:textDirection w:val="btLr"/>
            <w:vAlign w:val="bottom"/>
            <w:hideMark/>
          </w:tcPr>
          <w:p w14:paraId="5513BF92" w14:textId="77777777" w:rsidR="003140DB" w:rsidRPr="005738A6" w:rsidRDefault="003140DB" w:rsidP="005738A6">
            <w:pPr>
              <w:rPr>
                <w:color w:val="000000"/>
                <w:sz w:val="20"/>
                <w:szCs w:val="20"/>
              </w:rPr>
            </w:pPr>
            <w:r w:rsidRPr="005738A6">
              <w:rPr>
                <w:color w:val="000000"/>
                <w:sz w:val="20"/>
                <w:szCs w:val="20"/>
              </w:rPr>
              <w:t>2-Propenal</w:t>
            </w:r>
          </w:p>
        </w:tc>
        <w:tc>
          <w:tcPr>
            <w:tcW w:w="270" w:type="dxa"/>
            <w:shd w:val="clear" w:color="auto" w:fill="auto"/>
            <w:noWrap/>
            <w:textDirection w:val="btLr"/>
            <w:vAlign w:val="bottom"/>
            <w:hideMark/>
          </w:tcPr>
          <w:p w14:paraId="71A931CE" w14:textId="77777777" w:rsidR="003140DB" w:rsidRPr="005738A6" w:rsidRDefault="003140DB" w:rsidP="005738A6">
            <w:pPr>
              <w:rPr>
                <w:color w:val="000000"/>
                <w:sz w:val="20"/>
                <w:szCs w:val="20"/>
              </w:rPr>
            </w:pPr>
            <w:r w:rsidRPr="005738A6">
              <w:rPr>
                <w:color w:val="000000"/>
                <w:sz w:val="20"/>
                <w:szCs w:val="20"/>
              </w:rPr>
              <w:t>2-Propenoic acid, methyl ester</w:t>
            </w:r>
          </w:p>
        </w:tc>
        <w:tc>
          <w:tcPr>
            <w:tcW w:w="270" w:type="dxa"/>
            <w:shd w:val="clear" w:color="auto" w:fill="auto"/>
            <w:noWrap/>
            <w:textDirection w:val="btLr"/>
            <w:vAlign w:val="bottom"/>
            <w:hideMark/>
          </w:tcPr>
          <w:p w14:paraId="02E8B003" w14:textId="77777777" w:rsidR="003140DB" w:rsidRPr="005738A6" w:rsidRDefault="003140DB" w:rsidP="005738A6">
            <w:pPr>
              <w:rPr>
                <w:color w:val="000000"/>
                <w:sz w:val="20"/>
                <w:szCs w:val="20"/>
              </w:rPr>
            </w:pPr>
            <w:r w:rsidRPr="005738A6">
              <w:rPr>
                <w:color w:val="000000"/>
                <w:sz w:val="20"/>
                <w:szCs w:val="20"/>
              </w:rPr>
              <w:t>2,3-Butanedione</w:t>
            </w:r>
          </w:p>
        </w:tc>
        <w:tc>
          <w:tcPr>
            <w:tcW w:w="270" w:type="dxa"/>
            <w:shd w:val="clear" w:color="auto" w:fill="auto"/>
            <w:noWrap/>
            <w:textDirection w:val="btLr"/>
            <w:vAlign w:val="bottom"/>
            <w:hideMark/>
          </w:tcPr>
          <w:p w14:paraId="33B52674" w14:textId="77777777" w:rsidR="003140DB" w:rsidRPr="005738A6" w:rsidRDefault="003140DB" w:rsidP="005738A6">
            <w:pPr>
              <w:rPr>
                <w:color w:val="000000"/>
                <w:sz w:val="20"/>
                <w:szCs w:val="20"/>
              </w:rPr>
            </w:pPr>
            <w:r w:rsidRPr="005738A6">
              <w:rPr>
                <w:color w:val="000000"/>
                <w:sz w:val="20"/>
                <w:szCs w:val="20"/>
              </w:rPr>
              <w:t>3-Buten-2-one, 3-methyl-</w:t>
            </w:r>
          </w:p>
        </w:tc>
        <w:tc>
          <w:tcPr>
            <w:tcW w:w="270" w:type="dxa"/>
            <w:shd w:val="clear" w:color="auto" w:fill="auto"/>
            <w:noWrap/>
            <w:textDirection w:val="btLr"/>
            <w:vAlign w:val="bottom"/>
            <w:hideMark/>
          </w:tcPr>
          <w:p w14:paraId="4790EEEF" w14:textId="77777777" w:rsidR="003140DB" w:rsidRPr="005738A6" w:rsidRDefault="003140DB" w:rsidP="005738A6">
            <w:pPr>
              <w:rPr>
                <w:color w:val="000000"/>
                <w:sz w:val="20"/>
                <w:szCs w:val="20"/>
              </w:rPr>
            </w:pPr>
            <w:r w:rsidRPr="005738A6">
              <w:rPr>
                <w:color w:val="000000"/>
                <w:sz w:val="20"/>
                <w:szCs w:val="20"/>
              </w:rPr>
              <w:t>3-Hydroxypropanal</w:t>
            </w:r>
          </w:p>
        </w:tc>
        <w:tc>
          <w:tcPr>
            <w:tcW w:w="270" w:type="dxa"/>
            <w:shd w:val="clear" w:color="auto" w:fill="auto"/>
            <w:noWrap/>
            <w:textDirection w:val="btLr"/>
            <w:vAlign w:val="bottom"/>
            <w:hideMark/>
          </w:tcPr>
          <w:p w14:paraId="1E2B198C" w14:textId="77777777" w:rsidR="003140DB" w:rsidRPr="005738A6" w:rsidRDefault="003140DB" w:rsidP="005738A6">
            <w:pPr>
              <w:rPr>
                <w:color w:val="000000"/>
                <w:sz w:val="20"/>
                <w:szCs w:val="20"/>
              </w:rPr>
            </w:pPr>
            <w:r w:rsidRPr="005738A6">
              <w:rPr>
                <w:color w:val="000000"/>
                <w:sz w:val="20"/>
                <w:szCs w:val="20"/>
              </w:rPr>
              <w:t>Acetaldehyde</w:t>
            </w:r>
          </w:p>
        </w:tc>
        <w:tc>
          <w:tcPr>
            <w:tcW w:w="270" w:type="dxa"/>
            <w:shd w:val="clear" w:color="auto" w:fill="auto"/>
            <w:noWrap/>
            <w:textDirection w:val="btLr"/>
            <w:vAlign w:val="bottom"/>
            <w:hideMark/>
          </w:tcPr>
          <w:p w14:paraId="767FD7B6" w14:textId="77777777" w:rsidR="003140DB" w:rsidRPr="005738A6" w:rsidRDefault="003140DB" w:rsidP="005738A6">
            <w:pPr>
              <w:rPr>
                <w:color w:val="000000"/>
                <w:sz w:val="20"/>
                <w:szCs w:val="20"/>
              </w:rPr>
            </w:pPr>
            <w:r w:rsidRPr="005738A6">
              <w:rPr>
                <w:color w:val="000000"/>
                <w:sz w:val="20"/>
                <w:szCs w:val="20"/>
              </w:rPr>
              <w:t>Formic acid</w:t>
            </w:r>
          </w:p>
        </w:tc>
        <w:tc>
          <w:tcPr>
            <w:tcW w:w="270" w:type="dxa"/>
            <w:shd w:val="clear" w:color="auto" w:fill="auto"/>
            <w:noWrap/>
            <w:textDirection w:val="btLr"/>
            <w:vAlign w:val="bottom"/>
            <w:hideMark/>
          </w:tcPr>
          <w:p w14:paraId="218368BD" w14:textId="77777777" w:rsidR="003140DB" w:rsidRPr="005738A6" w:rsidRDefault="003140DB" w:rsidP="005738A6">
            <w:pPr>
              <w:rPr>
                <w:color w:val="000000"/>
                <w:sz w:val="20"/>
                <w:szCs w:val="20"/>
              </w:rPr>
            </w:pPr>
            <w:r w:rsidRPr="005738A6">
              <w:rPr>
                <w:color w:val="000000"/>
                <w:sz w:val="20"/>
                <w:szCs w:val="20"/>
              </w:rPr>
              <w:t>Hydroxyacetaldehyde</w:t>
            </w:r>
          </w:p>
        </w:tc>
        <w:tc>
          <w:tcPr>
            <w:tcW w:w="269" w:type="dxa"/>
            <w:shd w:val="clear" w:color="auto" w:fill="auto"/>
            <w:noWrap/>
            <w:textDirection w:val="btLr"/>
            <w:vAlign w:val="bottom"/>
            <w:hideMark/>
          </w:tcPr>
          <w:p w14:paraId="4955EBCF" w14:textId="77777777" w:rsidR="003140DB" w:rsidRPr="005738A6" w:rsidRDefault="003140DB" w:rsidP="005738A6">
            <w:pPr>
              <w:rPr>
                <w:color w:val="000000"/>
                <w:sz w:val="20"/>
                <w:szCs w:val="20"/>
              </w:rPr>
            </w:pPr>
            <w:r w:rsidRPr="005738A6">
              <w:rPr>
                <w:color w:val="000000"/>
                <w:sz w:val="20"/>
                <w:szCs w:val="20"/>
              </w:rPr>
              <w:t>Propanal-2-one</w:t>
            </w:r>
          </w:p>
        </w:tc>
        <w:tc>
          <w:tcPr>
            <w:tcW w:w="271" w:type="dxa"/>
            <w:shd w:val="clear" w:color="auto" w:fill="auto"/>
            <w:noWrap/>
            <w:textDirection w:val="btLr"/>
            <w:vAlign w:val="bottom"/>
            <w:hideMark/>
          </w:tcPr>
          <w:p w14:paraId="0044332E" w14:textId="77777777" w:rsidR="003140DB" w:rsidRPr="00A54A8B" w:rsidRDefault="003140DB" w:rsidP="00A54A8B">
            <w:pPr>
              <w:pStyle w:val="Tables"/>
              <w:rPr>
                <w:sz w:val="20"/>
                <w:szCs w:val="20"/>
              </w:rPr>
            </w:pPr>
            <w:r w:rsidRPr="00A54A8B">
              <w:rPr>
                <w:sz w:val="20"/>
                <w:szCs w:val="20"/>
              </w:rPr>
              <w:t>Propanal, 2-oxo-</w:t>
            </w:r>
          </w:p>
        </w:tc>
        <w:tc>
          <w:tcPr>
            <w:tcW w:w="540" w:type="dxa"/>
            <w:gridSpan w:val="2"/>
            <w:shd w:val="clear" w:color="auto" w:fill="auto"/>
            <w:noWrap/>
            <w:textDirection w:val="btLr"/>
            <w:vAlign w:val="bottom"/>
            <w:hideMark/>
          </w:tcPr>
          <w:p w14:paraId="72CAAA94" w14:textId="4033D57F" w:rsidR="003140DB" w:rsidRPr="0050092F" w:rsidRDefault="003140DB" w:rsidP="0050092F">
            <w:pPr>
              <w:pStyle w:val="Tables"/>
              <w:rPr>
                <w:sz w:val="20"/>
                <w:szCs w:val="20"/>
              </w:rPr>
            </w:pPr>
            <w:r w:rsidRPr="0050092F">
              <w:rPr>
                <w:sz w:val="20"/>
                <w:szCs w:val="20"/>
              </w:rPr>
              <w:t>Propanoic acid, 2-oxo-, methyl ester</w:t>
            </w:r>
          </w:p>
        </w:tc>
        <w:tc>
          <w:tcPr>
            <w:tcW w:w="540" w:type="dxa"/>
            <w:gridSpan w:val="2"/>
            <w:shd w:val="clear" w:color="auto" w:fill="auto"/>
            <w:noWrap/>
            <w:textDirection w:val="btLr"/>
            <w:vAlign w:val="bottom"/>
            <w:hideMark/>
          </w:tcPr>
          <w:p w14:paraId="444EE59A" w14:textId="2FFA27CA" w:rsidR="003140DB" w:rsidRPr="0050092F" w:rsidRDefault="003140DB" w:rsidP="0050092F">
            <w:pPr>
              <w:pStyle w:val="Tables"/>
              <w:rPr>
                <w:b/>
                <w:bCs/>
                <w:sz w:val="20"/>
                <w:szCs w:val="20"/>
                <w:u w:val="single"/>
              </w:rPr>
            </w:pPr>
            <w:r w:rsidRPr="0050092F">
              <w:rPr>
                <w:rFonts w:ascii="Calibri" w:hAnsi="Calibri"/>
                <w:sz w:val="20"/>
                <w:szCs w:val="20"/>
              </w:rPr>
              <w:t> </w:t>
            </w:r>
            <w:r w:rsidRPr="0050092F">
              <w:rPr>
                <w:sz w:val="20"/>
                <w:szCs w:val="20"/>
              </w:rPr>
              <w:t>Unknown with Aldehyde fragment</w:t>
            </w:r>
          </w:p>
        </w:tc>
        <w:tc>
          <w:tcPr>
            <w:tcW w:w="270" w:type="dxa"/>
            <w:shd w:val="clear" w:color="auto" w:fill="auto"/>
            <w:noWrap/>
            <w:textDirection w:val="btLr"/>
            <w:vAlign w:val="bottom"/>
          </w:tcPr>
          <w:p w14:paraId="21CB21B5" w14:textId="799978D1" w:rsidR="003140DB" w:rsidRPr="005738A6" w:rsidRDefault="003140DB" w:rsidP="005738A6">
            <w:pPr>
              <w:rPr>
                <w:color w:val="000000"/>
                <w:sz w:val="20"/>
                <w:szCs w:val="20"/>
              </w:rPr>
            </w:pPr>
          </w:p>
        </w:tc>
        <w:tc>
          <w:tcPr>
            <w:tcW w:w="270" w:type="dxa"/>
            <w:textDirection w:val="btLr"/>
            <w:vAlign w:val="bottom"/>
          </w:tcPr>
          <w:p w14:paraId="628F94EF" w14:textId="2D86A922" w:rsidR="003140DB" w:rsidRPr="005738A6" w:rsidRDefault="003140DB" w:rsidP="005738A6">
            <w:pPr>
              <w:rPr>
                <w:color w:val="000000"/>
                <w:sz w:val="20"/>
                <w:szCs w:val="20"/>
              </w:rPr>
            </w:pPr>
            <w:r w:rsidRPr="005738A6">
              <w:rPr>
                <w:b/>
                <w:bCs/>
                <w:color w:val="000000"/>
                <w:sz w:val="20"/>
                <w:szCs w:val="20"/>
                <w:u w:val="single"/>
              </w:rPr>
              <w:t>Levoglucosan</w:t>
            </w:r>
          </w:p>
        </w:tc>
        <w:tc>
          <w:tcPr>
            <w:tcW w:w="249" w:type="dxa"/>
            <w:textDirection w:val="btLr"/>
            <w:vAlign w:val="bottom"/>
          </w:tcPr>
          <w:p w14:paraId="2D526746" w14:textId="22133D6B" w:rsidR="003140DB" w:rsidRPr="005738A6" w:rsidRDefault="003140DB" w:rsidP="005738A6">
            <w:pPr>
              <w:rPr>
                <w:color w:val="000000"/>
                <w:sz w:val="20"/>
                <w:szCs w:val="20"/>
              </w:rPr>
            </w:pPr>
            <w:r w:rsidRPr="005738A6">
              <w:rPr>
                <w:color w:val="000000"/>
                <w:sz w:val="20"/>
                <w:szCs w:val="20"/>
              </w:rPr>
              <w:t>Levoglucosan</w:t>
            </w:r>
          </w:p>
        </w:tc>
      </w:tr>
      <w:tr w:rsidR="003C6ECC" w:rsidRPr="005738A6" w14:paraId="07E82D03" w14:textId="4D50C69D" w:rsidTr="003C6ECC">
        <w:trPr>
          <w:trHeight w:val="2242"/>
        </w:trPr>
        <w:tc>
          <w:tcPr>
            <w:tcW w:w="246" w:type="dxa"/>
            <w:shd w:val="clear" w:color="auto" w:fill="auto"/>
            <w:noWrap/>
            <w:textDirection w:val="btLr"/>
            <w:vAlign w:val="bottom"/>
            <w:hideMark/>
          </w:tcPr>
          <w:p w14:paraId="05BB3F6E" w14:textId="77777777" w:rsidR="003140DB" w:rsidRPr="005738A6" w:rsidRDefault="003140DB" w:rsidP="005738A6">
            <w:pPr>
              <w:rPr>
                <w:b/>
                <w:bCs/>
                <w:color w:val="000000"/>
                <w:sz w:val="20"/>
                <w:szCs w:val="20"/>
                <w:u w:val="single"/>
              </w:rPr>
            </w:pPr>
            <w:r w:rsidRPr="005738A6">
              <w:rPr>
                <w:b/>
                <w:bCs/>
                <w:color w:val="000000"/>
                <w:sz w:val="20"/>
                <w:szCs w:val="20"/>
                <w:u w:val="single"/>
              </w:rPr>
              <w:t>Acetic acid</w:t>
            </w:r>
          </w:p>
        </w:tc>
        <w:tc>
          <w:tcPr>
            <w:tcW w:w="246" w:type="dxa"/>
            <w:shd w:val="clear" w:color="auto" w:fill="auto"/>
            <w:noWrap/>
            <w:textDirection w:val="btLr"/>
            <w:vAlign w:val="bottom"/>
            <w:hideMark/>
          </w:tcPr>
          <w:p w14:paraId="7B7D156E" w14:textId="77777777" w:rsidR="003140DB" w:rsidRPr="005738A6" w:rsidRDefault="003140DB" w:rsidP="005738A6">
            <w:pPr>
              <w:rPr>
                <w:color w:val="000000"/>
                <w:sz w:val="20"/>
                <w:szCs w:val="20"/>
              </w:rPr>
            </w:pPr>
            <w:r w:rsidRPr="005738A6">
              <w:rPr>
                <w:color w:val="000000"/>
                <w:sz w:val="20"/>
                <w:szCs w:val="20"/>
              </w:rPr>
              <w:t>Acetic acid</w:t>
            </w:r>
          </w:p>
        </w:tc>
        <w:tc>
          <w:tcPr>
            <w:tcW w:w="309" w:type="dxa"/>
            <w:shd w:val="clear" w:color="auto" w:fill="auto"/>
            <w:noWrap/>
            <w:textDirection w:val="btLr"/>
            <w:vAlign w:val="bottom"/>
            <w:hideMark/>
          </w:tcPr>
          <w:p w14:paraId="08AC1F31" w14:textId="77777777" w:rsidR="003140DB" w:rsidRPr="005738A6" w:rsidRDefault="003140DB" w:rsidP="005738A6">
            <w:pPr>
              <w:rPr>
                <w:rFonts w:ascii="Calibri" w:hAnsi="Calibri"/>
                <w:b/>
                <w:bCs/>
                <w:color w:val="000000"/>
                <w:u w:val="single"/>
              </w:rPr>
            </w:pPr>
            <w:r w:rsidRPr="005738A6">
              <w:rPr>
                <w:rFonts w:ascii="Calibri" w:hAnsi="Calibri"/>
                <w:b/>
                <w:bCs/>
                <w:color w:val="000000"/>
                <w:u w:val="single"/>
              </w:rPr>
              <w:t> </w:t>
            </w:r>
          </w:p>
        </w:tc>
        <w:tc>
          <w:tcPr>
            <w:tcW w:w="246" w:type="dxa"/>
            <w:shd w:val="clear" w:color="auto" w:fill="auto"/>
            <w:noWrap/>
            <w:textDirection w:val="btLr"/>
            <w:vAlign w:val="bottom"/>
            <w:hideMark/>
          </w:tcPr>
          <w:p w14:paraId="4E354296" w14:textId="77777777" w:rsidR="003140DB" w:rsidRPr="005738A6" w:rsidRDefault="003140DB" w:rsidP="005738A6">
            <w:pPr>
              <w:rPr>
                <w:b/>
                <w:bCs/>
                <w:color w:val="000000"/>
                <w:sz w:val="20"/>
                <w:szCs w:val="20"/>
                <w:u w:val="single"/>
              </w:rPr>
            </w:pPr>
            <w:r w:rsidRPr="005738A6">
              <w:rPr>
                <w:b/>
                <w:bCs/>
                <w:color w:val="000000"/>
                <w:sz w:val="20"/>
                <w:szCs w:val="20"/>
                <w:u w:val="single"/>
              </w:rPr>
              <w:t>Alkyl Phenols</w:t>
            </w:r>
          </w:p>
        </w:tc>
        <w:tc>
          <w:tcPr>
            <w:tcW w:w="246" w:type="dxa"/>
            <w:shd w:val="clear" w:color="auto" w:fill="auto"/>
            <w:noWrap/>
            <w:textDirection w:val="btLr"/>
            <w:vAlign w:val="bottom"/>
            <w:hideMark/>
          </w:tcPr>
          <w:p w14:paraId="6C485FA3" w14:textId="77777777" w:rsidR="003140DB" w:rsidRPr="005738A6" w:rsidRDefault="003140DB" w:rsidP="005738A6">
            <w:pPr>
              <w:rPr>
                <w:color w:val="000000"/>
                <w:sz w:val="20"/>
                <w:szCs w:val="20"/>
              </w:rPr>
            </w:pPr>
            <w:r w:rsidRPr="005738A6">
              <w:rPr>
                <w:color w:val="000000"/>
                <w:sz w:val="20"/>
                <w:szCs w:val="20"/>
              </w:rPr>
              <w:t>Phenol</w:t>
            </w:r>
          </w:p>
        </w:tc>
        <w:tc>
          <w:tcPr>
            <w:tcW w:w="309" w:type="dxa"/>
            <w:shd w:val="clear" w:color="auto" w:fill="auto"/>
            <w:noWrap/>
            <w:textDirection w:val="btLr"/>
            <w:vAlign w:val="bottom"/>
            <w:hideMark/>
          </w:tcPr>
          <w:p w14:paraId="2F89E6AE" w14:textId="77777777" w:rsidR="003140DB" w:rsidRPr="005738A6" w:rsidRDefault="003140DB" w:rsidP="005738A6">
            <w:pPr>
              <w:rPr>
                <w:color w:val="000000"/>
                <w:sz w:val="20"/>
                <w:szCs w:val="20"/>
              </w:rPr>
            </w:pPr>
            <w:r w:rsidRPr="005738A6">
              <w:rPr>
                <w:color w:val="000000"/>
                <w:sz w:val="20"/>
                <w:szCs w:val="20"/>
              </w:rPr>
              <w:t>Phenol, 3-methyl-</w:t>
            </w:r>
          </w:p>
        </w:tc>
        <w:tc>
          <w:tcPr>
            <w:tcW w:w="246" w:type="dxa"/>
            <w:shd w:val="clear" w:color="auto" w:fill="auto"/>
            <w:noWrap/>
            <w:textDirection w:val="btLr"/>
            <w:vAlign w:val="bottom"/>
            <w:hideMark/>
          </w:tcPr>
          <w:p w14:paraId="58635B6E" w14:textId="77777777" w:rsidR="003140DB" w:rsidRPr="005738A6" w:rsidRDefault="003140DB" w:rsidP="005738A6">
            <w:pPr>
              <w:rPr>
                <w:color w:val="000000"/>
                <w:sz w:val="20"/>
                <w:szCs w:val="20"/>
              </w:rPr>
            </w:pPr>
            <w:r w:rsidRPr="005738A6">
              <w:rPr>
                <w:color w:val="000000"/>
                <w:sz w:val="20"/>
                <w:szCs w:val="20"/>
              </w:rPr>
              <w:t>Phenol, 3-ethyl-</w:t>
            </w:r>
          </w:p>
        </w:tc>
        <w:tc>
          <w:tcPr>
            <w:tcW w:w="244" w:type="dxa"/>
            <w:shd w:val="clear" w:color="auto" w:fill="auto"/>
            <w:noWrap/>
            <w:textDirection w:val="btLr"/>
            <w:vAlign w:val="bottom"/>
            <w:hideMark/>
          </w:tcPr>
          <w:p w14:paraId="76B769F8" w14:textId="77777777" w:rsidR="003140DB" w:rsidRPr="005738A6" w:rsidRDefault="003140DB" w:rsidP="005738A6">
            <w:pPr>
              <w:rPr>
                <w:color w:val="000000"/>
                <w:sz w:val="20"/>
                <w:szCs w:val="20"/>
              </w:rPr>
            </w:pPr>
            <w:r w:rsidRPr="005738A6">
              <w:rPr>
                <w:color w:val="000000"/>
                <w:sz w:val="20"/>
                <w:szCs w:val="20"/>
              </w:rPr>
              <w:t>Phenol, 4-vinyl-</w:t>
            </w:r>
          </w:p>
        </w:tc>
        <w:tc>
          <w:tcPr>
            <w:tcW w:w="270" w:type="dxa"/>
            <w:shd w:val="clear" w:color="auto" w:fill="auto"/>
            <w:noWrap/>
            <w:textDirection w:val="btLr"/>
            <w:vAlign w:val="bottom"/>
            <w:hideMark/>
          </w:tcPr>
          <w:p w14:paraId="75693538" w14:textId="77777777" w:rsidR="003140DB" w:rsidRPr="005738A6" w:rsidRDefault="003140DB" w:rsidP="005738A6">
            <w:pPr>
              <w:rPr>
                <w:rFonts w:ascii="Calibri" w:hAnsi="Calibri"/>
                <w:color w:val="000000"/>
              </w:rPr>
            </w:pPr>
            <w:r w:rsidRPr="005738A6">
              <w:rPr>
                <w:rFonts w:ascii="Calibri" w:hAnsi="Calibri"/>
                <w:color w:val="000000"/>
              </w:rPr>
              <w:t> </w:t>
            </w:r>
          </w:p>
        </w:tc>
        <w:tc>
          <w:tcPr>
            <w:tcW w:w="270" w:type="dxa"/>
            <w:shd w:val="clear" w:color="auto" w:fill="auto"/>
            <w:noWrap/>
            <w:textDirection w:val="btLr"/>
            <w:vAlign w:val="bottom"/>
            <w:hideMark/>
          </w:tcPr>
          <w:p w14:paraId="602B955C" w14:textId="77777777" w:rsidR="003140DB" w:rsidRPr="005738A6" w:rsidRDefault="003140DB" w:rsidP="005738A6">
            <w:pPr>
              <w:rPr>
                <w:b/>
                <w:bCs/>
                <w:color w:val="000000"/>
                <w:sz w:val="20"/>
                <w:szCs w:val="20"/>
                <w:u w:val="single"/>
              </w:rPr>
            </w:pPr>
            <w:r w:rsidRPr="005738A6">
              <w:rPr>
                <w:b/>
                <w:bCs/>
                <w:color w:val="000000"/>
                <w:sz w:val="20"/>
                <w:szCs w:val="20"/>
                <w:u w:val="single"/>
              </w:rPr>
              <w:t>Furfurals</w:t>
            </w:r>
          </w:p>
        </w:tc>
        <w:tc>
          <w:tcPr>
            <w:tcW w:w="270" w:type="dxa"/>
            <w:shd w:val="clear" w:color="auto" w:fill="auto"/>
            <w:noWrap/>
            <w:textDirection w:val="btLr"/>
            <w:vAlign w:val="bottom"/>
            <w:hideMark/>
          </w:tcPr>
          <w:p w14:paraId="030DD98B" w14:textId="77777777" w:rsidR="003140DB" w:rsidRPr="005738A6" w:rsidRDefault="003140DB" w:rsidP="005738A6">
            <w:pPr>
              <w:rPr>
                <w:color w:val="000000"/>
                <w:sz w:val="20"/>
                <w:szCs w:val="20"/>
              </w:rPr>
            </w:pPr>
            <w:r w:rsidRPr="005738A6">
              <w:rPr>
                <w:color w:val="000000"/>
                <w:sz w:val="20"/>
                <w:szCs w:val="20"/>
              </w:rPr>
              <w:t>(2H)-Furan-2-one</w:t>
            </w:r>
          </w:p>
        </w:tc>
        <w:tc>
          <w:tcPr>
            <w:tcW w:w="270" w:type="dxa"/>
            <w:shd w:val="clear" w:color="auto" w:fill="auto"/>
            <w:noWrap/>
            <w:textDirection w:val="btLr"/>
            <w:vAlign w:val="bottom"/>
            <w:hideMark/>
          </w:tcPr>
          <w:p w14:paraId="455F6B48" w14:textId="77777777" w:rsidR="003140DB" w:rsidRPr="005738A6" w:rsidRDefault="003140DB" w:rsidP="005738A6">
            <w:pPr>
              <w:rPr>
                <w:color w:val="000000"/>
                <w:sz w:val="20"/>
                <w:szCs w:val="20"/>
              </w:rPr>
            </w:pPr>
            <w:r w:rsidRPr="005738A6">
              <w:rPr>
                <w:color w:val="000000"/>
                <w:sz w:val="20"/>
                <w:szCs w:val="20"/>
              </w:rPr>
              <w:t>(2H)-Furan-3-one</w:t>
            </w:r>
          </w:p>
        </w:tc>
        <w:tc>
          <w:tcPr>
            <w:tcW w:w="270" w:type="dxa"/>
            <w:shd w:val="clear" w:color="auto" w:fill="auto"/>
            <w:noWrap/>
            <w:textDirection w:val="btLr"/>
            <w:vAlign w:val="bottom"/>
            <w:hideMark/>
          </w:tcPr>
          <w:p w14:paraId="78A3956D" w14:textId="77777777" w:rsidR="003140DB" w:rsidRPr="005738A6" w:rsidRDefault="003140DB" w:rsidP="005738A6">
            <w:pPr>
              <w:rPr>
                <w:color w:val="000000"/>
                <w:sz w:val="20"/>
                <w:szCs w:val="20"/>
              </w:rPr>
            </w:pPr>
            <w:r w:rsidRPr="005738A6">
              <w:rPr>
                <w:color w:val="000000"/>
                <w:sz w:val="20"/>
                <w:szCs w:val="20"/>
              </w:rPr>
              <w:t>(3H)-Furan-2-one</w:t>
            </w:r>
          </w:p>
        </w:tc>
        <w:tc>
          <w:tcPr>
            <w:tcW w:w="270" w:type="dxa"/>
            <w:shd w:val="clear" w:color="auto" w:fill="auto"/>
            <w:noWrap/>
            <w:textDirection w:val="btLr"/>
            <w:vAlign w:val="bottom"/>
            <w:hideMark/>
          </w:tcPr>
          <w:p w14:paraId="36A87980" w14:textId="77777777" w:rsidR="003140DB" w:rsidRPr="006E69B7" w:rsidRDefault="003140DB" w:rsidP="006E69B7">
            <w:pPr>
              <w:pStyle w:val="Tables"/>
              <w:rPr>
                <w:sz w:val="20"/>
                <w:szCs w:val="20"/>
              </w:rPr>
            </w:pPr>
            <w:r w:rsidRPr="006E69B7">
              <w:rPr>
                <w:sz w:val="20"/>
                <w:szCs w:val="20"/>
              </w:rPr>
              <w:t>(5H)-Furan-2-one</w:t>
            </w:r>
          </w:p>
        </w:tc>
        <w:tc>
          <w:tcPr>
            <w:tcW w:w="540" w:type="dxa"/>
            <w:gridSpan w:val="2"/>
            <w:shd w:val="clear" w:color="auto" w:fill="auto"/>
            <w:noWrap/>
            <w:textDirection w:val="btLr"/>
            <w:vAlign w:val="bottom"/>
            <w:hideMark/>
          </w:tcPr>
          <w:p w14:paraId="45ABF0C4" w14:textId="527B2631" w:rsidR="003140DB" w:rsidRPr="006E69B7" w:rsidRDefault="003140DB" w:rsidP="006E69B7">
            <w:pPr>
              <w:pStyle w:val="Tables"/>
              <w:rPr>
                <w:sz w:val="20"/>
                <w:szCs w:val="20"/>
              </w:rPr>
            </w:pPr>
            <w:r w:rsidRPr="006E69B7">
              <w:rPr>
                <w:sz w:val="20"/>
                <w:szCs w:val="20"/>
              </w:rPr>
              <w:t>1,3-Dioxol-2-one,</w:t>
            </w:r>
            <w:r w:rsidRPr="006E69B7">
              <w:rPr>
                <w:sz w:val="20"/>
                <w:szCs w:val="20"/>
              </w:rPr>
              <w:br/>
              <w:t>4,5-dimethyl-</w:t>
            </w:r>
          </w:p>
        </w:tc>
        <w:tc>
          <w:tcPr>
            <w:tcW w:w="270" w:type="dxa"/>
            <w:shd w:val="clear" w:color="auto" w:fill="auto"/>
            <w:noWrap/>
            <w:textDirection w:val="btLr"/>
            <w:vAlign w:val="bottom"/>
          </w:tcPr>
          <w:p w14:paraId="704066F1" w14:textId="0AF89CB0" w:rsidR="003140DB" w:rsidRPr="006E69B7" w:rsidRDefault="003140DB" w:rsidP="006E69B7">
            <w:pPr>
              <w:pStyle w:val="Tables"/>
              <w:rPr>
                <w:sz w:val="20"/>
                <w:szCs w:val="20"/>
              </w:rPr>
            </w:pPr>
            <w:r w:rsidRPr="006E69B7">
              <w:rPr>
                <w:sz w:val="20"/>
                <w:szCs w:val="20"/>
              </w:rPr>
              <w:t>2-Furanmethanol</w:t>
            </w:r>
          </w:p>
        </w:tc>
        <w:tc>
          <w:tcPr>
            <w:tcW w:w="270" w:type="dxa"/>
            <w:shd w:val="clear" w:color="auto" w:fill="auto"/>
            <w:noWrap/>
            <w:textDirection w:val="btLr"/>
            <w:vAlign w:val="bottom"/>
          </w:tcPr>
          <w:p w14:paraId="71BA2049" w14:textId="7E9FD30A" w:rsidR="003140DB" w:rsidRPr="005738A6" w:rsidRDefault="003140DB" w:rsidP="005738A6">
            <w:pPr>
              <w:rPr>
                <w:color w:val="000000"/>
                <w:sz w:val="20"/>
                <w:szCs w:val="20"/>
              </w:rPr>
            </w:pPr>
            <w:r w:rsidRPr="005738A6">
              <w:rPr>
                <w:color w:val="000000"/>
                <w:sz w:val="20"/>
                <w:szCs w:val="20"/>
              </w:rPr>
              <w:t>2-Furfuryl alcohol</w:t>
            </w:r>
          </w:p>
        </w:tc>
        <w:tc>
          <w:tcPr>
            <w:tcW w:w="540" w:type="dxa"/>
            <w:gridSpan w:val="2"/>
            <w:shd w:val="clear" w:color="auto" w:fill="auto"/>
            <w:noWrap/>
            <w:textDirection w:val="btLr"/>
            <w:vAlign w:val="bottom"/>
          </w:tcPr>
          <w:p w14:paraId="153DDAF5" w14:textId="5975161E" w:rsidR="003140DB" w:rsidRPr="00A54A8B" w:rsidRDefault="003140DB" w:rsidP="00A54A8B">
            <w:pPr>
              <w:pStyle w:val="Tables"/>
              <w:rPr>
                <w:sz w:val="20"/>
                <w:szCs w:val="20"/>
              </w:rPr>
            </w:pPr>
            <w:r w:rsidRPr="00A54A8B">
              <w:rPr>
                <w:sz w:val="20"/>
                <w:szCs w:val="20"/>
              </w:rPr>
              <w:t>2,4(3H,5H)-Furandione,</w:t>
            </w:r>
            <w:r w:rsidRPr="00A54A8B">
              <w:rPr>
                <w:sz w:val="20"/>
                <w:szCs w:val="20"/>
              </w:rPr>
              <w:br/>
              <w:t xml:space="preserve"> 3-methyl-</w:t>
            </w:r>
          </w:p>
        </w:tc>
        <w:tc>
          <w:tcPr>
            <w:tcW w:w="540" w:type="dxa"/>
            <w:gridSpan w:val="2"/>
            <w:shd w:val="clear" w:color="auto" w:fill="auto"/>
            <w:noWrap/>
            <w:textDirection w:val="btLr"/>
            <w:vAlign w:val="bottom"/>
          </w:tcPr>
          <w:p w14:paraId="504B011A" w14:textId="7BDE6173" w:rsidR="003140DB" w:rsidRPr="00A54A8B" w:rsidRDefault="003140DB" w:rsidP="00A54A8B">
            <w:pPr>
              <w:pStyle w:val="Tables"/>
              <w:rPr>
                <w:sz w:val="20"/>
                <w:szCs w:val="20"/>
              </w:rPr>
            </w:pPr>
            <w:r w:rsidRPr="00A54A8B">
              <w:rPr>
                <w:sz w:val="20"/>
                <w:szCs w:val="20"/>
              </w:rPr>
              <w:t xml:space="preserve">2,5-Furandione, </w:t>
            </w:r>
            <w:r w:rsidRPr="00A54A8B">
              <w:rPr>
                <w:sz w:val="20"/>
                <w:szCs w:val="20"/>
              </w:rPr>
              <w:br/>
              <w:t>dihydro-3-methylene-</w:t>
            </w:r>
          </w:p>
        </w:tc>
        <w:tc>
          <w:tcPr>
            <w:tcW w:w="270" w:type="dxa"/>
            <w:shd w:val="clear" w:color="auto" w:fill="auto"/>
            <w:noWrap/>
            <w:textDirection w:val="btLr"/>
            <w:vAlign w:val="bottom"/>
          </w:tcPr>
          <w:p w14:paraId="687634EF" w14:textId="23BF8D3F" w:rsidR="003140DB" w:rsidRPr="00A54A8B" w:rsidRDefault="003140DB" w:rsidP="00A54A8B">
            <w:pPr>
              <w:pStyle w:val="Tables"/>
              <w:rPr>
                <w:sz w:val="20"/>
                <w:szCs w:val="20"/>
              </w:rPr>
            </w:pPr>
            <w:r w:rsidRPr="00A54A8B">
              <w:rPr>
                <w:sz w:val="20"/>
                <w:szCs w:val="20"/>
              </w:rPr>
              <w:t>2(3H)-Furanone, 5-methyl-</w:t>
            </w:r>
          </w:p>
        </w:tc>
        <w:tc>
          <w:tcPr>
            <w:tcW w:w="270" w:type="dxa"/>
            <w:shd w:val="clear" w:color="auto" w:fill="auto"/>
            <w:noWrap/>
            <w:textDirection w:val="btLr"/>
            <w:vAlign w:val="bottom"/>
          </w:tcPr>
          <w:p w14:paraId="19D9AF1C" w14:textId="069A823B" w:rsidR="003140DB" w:rsidRPr="005738A6" w:rsidRDefault="003140DB" w:rsidP="005738A6">
            <w:pPr>
              <w:rPr>
                <w:color w:val="000000"/>
                <w:sz w:val="20"/>
                <w:szCs w:val="20"/>
              </w:rPr>
            </w:pPr>
            <w:r w:rsidRPr="005738A6">
              <w:rPr>
                <w:color w:val="000000"/>
                <w:sz w:val="20"/>
                <w:szCs w:val="20"/>
              </w:rPr>
              <w:t>5-Hydroxymethylfurfural</w:t>
            </w:r>
          </w:p>
        </w:tc>
        <w:tc>
          <w:tcPr>
            <w:tcW w:w="270" w:type="dxa"/>
            <w:shd w:val="clear" w:color="auto" w:fill="auto"/>
            <w:noWrap/>
            <w:textDirection w:val="btLr"/>
            <w:vAlign w:val="bottom"/>
          </w:tcPr>
          <w:p w14:paraId="4F1F896E" w14:textId="7082CAD3" w:rsidR="003140DB" w:rsidRPr="00A54A8B" w:rsidRDefault="003140DB" w:rsidP="005738A6">
            <w:pPr>
              <w:rPr>
                <w:color w:val="000000"/>
                <w:sz w:val="20"/>
                <w:szCs w:val="20"/>
              </w:rPr>
            </w:pPr>
            <w:r w:rsidRPr="00A54A8B">
              <w:rPr>
                <w:color w:val="000000"/>
                <w:sz w:val="20"/>
                <w:szCs w:val="20"/>
              </w:rPr>
              <w:t>Dihydro-methyl-furanone</w:t>
            </w:r>
          </w:p>
        </w:tc>
        <w:tc>
          <w:tcPr>
            <w:tcW w:w="519" w:type="dxa"/>
            <w:gridSpan w:val="2"/>
            <w:textDirection w:val="btLr"/>
            <w:vAlign w:val="bottom"/>
          </w:tcPr>
          <w:p w14:paraId="2EE05B3D" w14:textId="1D4D6FD7" w:rsidR="003140DB" w:rsidRPr="00A54A8B" w:rsidRDefault="003140DB" w:rsidP="00A54A8B">
            <w:pPr>
              <w:pStyle w:val="Tables"/>
              <w:rPr>
                <w:sz w:val="20"/>
                <w:szCs w:val="20"/>
              </w:rPr>
            </w:pPr>
            <w:r w:rsidRPr="00A54A8B">
              <w:rPr>
                <w:sz w:val="20"/>
                <w:szCs w:val="20"/>
              </w:rPr>
              <w:t xml:space="preserve">2-Cyclopenten-1-one, </w:t>
            </w:r>
            <w:r w:rsidRPr="00A54A8B">
              <w:rPr>
                <w:sz w:val="20"/>
                <w:szCs w:val="20"/>
              </w:rPr>
              <w:br/>
              <w:t>2-hydroxy-3-methyl-</w:t>
            </w:r>
          </w:p>
        </w:tc>
      </w:tr>
    </w:tbl>
    <w:p w14:paraId="12714017" w14:textId="51F7DBFE" w:rsidR="000A7C5D" w:rsidRDefault="00655865" w:rsidP="00655865">
      <w:pPr>
        <w:pStyle w:val="Caption"/>
        <w:rPr>
          <w:b w:val="0"/>
        </w:rPr>
      </w:pPr>
      <w:bookmarkStart w:id="115" w:name="_Toc449964932"/>
      <w:r>
        <w:t xml:space="preserve">Table </w:t>
      </w:r>
      <w:fldSimple w:instr=" STYLEREF &quot;Chapter&quot; \s ">
        <w:r w:rsidR="00463F52">
          <w:rPr>
            <w:noProof/>
          </w:rPr>
          <w:t>5</w:t>
        </w:r>
      </w:fldSimple>
      <w:r>
        <w:t>.</w:t>
      </w:r>
      <w:fldSimple w:instr=" SEQ Table \* ARABIC \s 1 ">
        <w:r w:rsidR="00463F52">
          <w:rPr>
            <w:noProof/>
          </w:rPr>
          <w:t>4</w:t>
        </w:r>
      </w:fldSimple>
      <w:r>
        <w:t>.</w:t>
      </w:r>
      <w:r w:rsidRPr="008E2374">
        <w:t xml:space="preserve"> </w:t>
      </w:r>
      <w:r w:rsidRPr="00655865">
        <w:rPr>
          <w:b w:val="0"/>
        </w:rPr>
        <w:t>Identified compounds and lumps in this study.</w:t>
      </w:r>
      <w:bookmarkEnd w:id="115"/>
    </w:p>
    <w:p w14:paraId="15CAD5F2" w14:textId="77777777" w:rsidR="004D4B36" w:rsidRDefault="004D4B36" w:rsidP="004D4B36"/>
    <w:p w14:paraId="23FE3E26" w14:textId="77777777" w:rsidR="004D4B36" w:rsidRDefault="004D4B36" w:rsidP="005C7E19">
      <w:pPr>
        <w:pStyle w:val="Heading2"/>
      </w:pPr>
      <w:bookmarkStart w:id="116" w:name="_Toc449964875"/>
      <w:r>
        <w:t>Results &amp; Discussion</w:t>
      </w:r>
      <w:bookmarkEnd w:id="116"/>
    </w:p>
    <w:p w14:paraId="6BA3080D" w14:textId="77777777" w:rsidR="004D4B36" w:rsidRDefault="004D4B36" w:rsidP="004D4B36">
      <w:pPr>
        <w:pStyle w:val="Heading3"/>
      </w:pPr>
      <w:bookmarkStart w:id="117" w:name="_Toc449964876"/>
      <w:r>
        <w:t>First temperature step products characterization</w:t>
      </w:r>
      <w:bookmarkEnd w:id="117"/>
    </w:p>
    <w:p w14:paraId="6878C92A" w14:textId="29B4AE60" w:rsidR="004D4B36" w:rsidRDefault="00D7541D" w:rsidP="004D4B36">
      <w:r w:rsidRPr="00D7541D">
        <w:t>Figure 5.4</w:t>
      </w:r>
      <w:r w:rsidR="004D4B36">
        <w:t xml:space="preserve"> shows the composition of the liquid collected from stage 1. The water content was determined by Karl-Fischer titration to be 64.9 weight percent (dry basis). A mass balance from this reaction is shown in </w:t>
      </w:r>
      <w:r w:rsidR="004D4B36" w:rsidRPr="00D7541D">
        <w:t xml:space="preserve">table </w:t>
      </w:r>
      <w:r w:rsidRPr="00D7541D">
        <w:t>5.5</w:t>
      </w:r>
      <w:r w:rsidR="004D4B36">
        <w:t>. As stated above, the stage 1 recovered solid was used as the starting material for the pyroprobe screenings to produce the intermediate and final tempera</w:t>
      </w:r>
      <w:r w:rsidR="00A63362">
        <w:t xml:space="preserve">ture step results that follow. </w:t>
      </w:r>
      <w:r w:rsidR="004D4B36">
        <w:t>Levoglucosan is the primary product of cellulose pyrolysis</w:t>
      </w:r>
      <w:r w:rsidR="0049371C">
        <w:t xml:space="preserve"> </w:t>
      </w:r>
      <w:r w:rsidR="0049371C">
        <w:fldChar w:fldCharType="begin"/>
      </w:r>
      <w:r w:rsidR="00807999">
        <w:instrText xml:space="preserve"> ADDIN PAPERS2_CITATIONS &lt;citation&gt;&lt;uuid&gt;4F3BDA50-CC1A-457D-8665-C4B0C84B282C&lt;/uuid&gt;&lt;priority&gt;0&lt;/priority&gt;&lt;publications&gt;&lt;publication&gt;&lt;uuid&gt;5E66D4BC-A345-42AB-A5B6-E2D1D2C83D31&lt;/uuid&gt;&lt;volume&gt;23&lt;/volume&gt;&lt;doi&gt;10.1002/app.1979.070231112&lt;/doi&gt;&lt;startpage&gt;3271&lt;/startpage&gt;&lt;publication_date&gt;99197906011200000000222000&lt;/publication_date&gt;&lt;url&gt;http://doi.wiley.com/10.1002/app.1979.070231112&lt;/url&gt;&lt;type&gt;400&lt;/type&gt;&lt;title&gt;A kinetic model for pyrolysis of cellulose&lt;/title&gt;&lt;publisher&gt;Wiley Subscription Services, Inc., A Wiley Company&lt;/publisher&gt;&lt;number&gt;11&lt;/number&gt;&lt;subtype&gt;400&lt;/subtype&gt;&lt;endpage&gt;3280&lt;/endpage&gt;&lt;bundle&gt;&lt;publication&gt;&lt;publisher&gt;Wiley Subscription Services, Inc., A Wiley Company&lt;/publisher&gt;&lt;title&gt;Journal of Applied Polymer Science&lt;/title&gt;&lt;type&gt;-100&lt;/type&gt;&lt;subtype&gt;-100&lt;/subtype&gt;&lt;uuid&gt;D9A22E83-993D-4D8E-AC3D-453EDF718719&lt;/uuid&gt;&lt;/publication&gt;&lt;/bundle&gt;&lt;authors&gt;&lt;author&gt;&lt;firstName&gt;Allan&lt;/firstName&gt;&lt;middleNames&gt;G W&lt;/middleNames&gt;&lt;lastName&gt;Bradbury&lt;/lastName&gt;&lt;/author&gt;&lt;author&gt;&lt;firstName&gt;Yoshio&lt;/firstName&gt;&lt;lastName&gt;Sakai&lt;/lastName&gt;&lt;/author&gt;&lt;author&gt;&lt;firstName&gt;Fred&lt;/firstName&gt;&lt;lastName&gt;Shafizadeh&lt;/lastName&gt;&lt;/author&gt;&lt;/authors&gt;&lt;/publication&gt;&lt;publication&gt;&lt;publication_date&gt;99201100001200000000200000&lt;/publication_date&gt;&lt;doi&gt;10.1016/j.biortech.2011.02.018&lt;/doi&gt;&lt;title&gt;Distinguishing primary and secondary reactions of cellulose pyrolysis&lt;/title&gt;&lt;uuid&gt;03ED85DE-07DF-4E32-B887-11673E3EDD28&lt;/uuid&gt;&lt;subtype&gt;400&lt;/subtype&gt;&lt;type&gt;400&lt;/type&gt;&lt;citekey&gt;Patwardhan:2011kaa&lt;/citekey&gt;&lt;url&gt;http://www.sciencedirect.com/science/article/pii/S0960852411002033&lt;/url&gt;&lt;bundle&gt;&lt;publication&gt;&lt;publisher&gt;Elsevier Ltd&lt;/publisher&gt;&lt;title&gt;Bioresource technology&lt;/title&gt;&lt;type&gt;-100&lt;/type&gt;&lt;subtype&gt;-100&lt;/subtype&gt;&lt;uuid&gt;20FABC45-BAD7-4D11-A180-BCA66580D347&lt;/uuid&gt;&lt;/publication&gt;&lt;/bundle&gt;&lt;authors&gt;&lt;author&gt;&lt;firstName&gt;Pushkaraj&lt;/firstName&gt;&lt;middleNames&gt;R&lt;/middleNames&gt;&lt;lastName&gt;Patwardhan&lt;/lastName&gt;&lt;/author&gt;&lt;author&gt;&lt;firstName&gt;Dustin&lt;/firstName&gt;&lt;middleNames&gt;L&lt;/middleNames&gt;&lt;lastName&gt;Dalluge&lt;/lastName&gt;&lt;/author&gt;&lt;author&gt;&lt;firstName&gt;Brent&lt;/firstName&gt;&lt;middleNames&gt;H&lt;/middleNames&gt;&lt;lastName&gt;Shanks&lt;/lastName&gt;&lt;/author&gt;&lt;/authors&gt;&lt;/publication&gt;&lt;/publications&gt;&lt;cites&gt;&lt;/cites&gt;&lt;/citation&gt;</w:instrText>
      </w:r>
      <w:r w:rsidR="0049371C">
        <w:fldChar w:fldCharType="separate"/>
      </w:r>
      <w:r w:rsidR="001C1AAC">
        <w:t>(</w:t>
      </w:r>
      <w:r w:rsidR="001C1AAC">
        <w:rPr>
          <w:i/>
          <w:iCs/>
        </w:rPr>
        <w:t>31</w:t>
      </w:r>
      <w:r w:rsidR="001C1AAC">
        <w:t xml:space="preserve">, </w:t>
      </w:r>
      <w:r w:rsidR="001C1AAC">
        <w:rPr>
          <w:i/>
          <w:iCs/>
        </w:rPr>
        <w:t>98</w:t>
      </w:r>
      <w:r w:rsidR="001C1AAC">
        <w:t>)</w:t>
      </w:r>
      <w:r w:rsidR="0049371C">
        <w:fldChar w:fldCharType="end"/>
      </w:r>
      <w:r w:rsidR="004D4B36">
        <w:t xml:space="preserve">; the low abundance in the liquid </w:t>
      </w:r>
      <w:r w:rsidR="004D4B36">
        <w:lastRenderedPageBreak/>
        <w:t>indicates that the cellulose was mostly unconverted by this stage 1 treatment, in agreement with the results predicted by the kinetic model. The relatively low yields of phenolic species and levoglucosan confirm that at these mild conditions, hemicellulose breakdown is the primary source of the volatile products formed.</w:t>
      </w:r>
    </w:p>
    <w:p w14:paraId="217E644E" w14:textId="1572D4F2" w:rsidR="004D4B36" w:rsidRDefault="004D4B36" w:rsidP="005B60FA">
      <w:pPr>
        <w:pStyle w:val="NoSpacing"/>
        <w:jc w:val="center"/>
      </w:pPr>
      <w:r>
        <w:rPr>
          <w:noProof/>
        </w:rPr>
        <w:drawing>
          <wp:inline distT="0" distB="0" distL="0" distR="0" wp14:anchorId="7702219B" wp14:editId="449A9E51">
            <wp:extent cx="2994660" cy="3280410"/>
            <wp:effectExtent l="0" t="0" r="2540" b="0"/>
            <wp:docPr id="480" name="Picture 480" descr="../My%20Papers/Stage%202%20Optimization/stage%201%20carbon%20yield%20graph.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y%20Papers/Stage%202%20Optimization/stage%201%20carbon%20yield%20graph.pdf"/>
                    <pic:cNvPicPr>
                      <a:picLocks noChangeAspect="1" noChangeArrowheads="1"/>
                    </pic:cNvPicPr>
                  </pic:nvPicPr>
                  <pic:blipFill rotWithShape="1">
                    <a:blip r:embed="rId52">
                      <a:extLst>
                        <a:ext uri="{28A0092B-C50C-407E-A947-70E740481C1C}">
                          <a14:useLocalDpi xmlns:a14="http://schemas.microsoft.com/office/drawing/2010/main" val="0"/>
                        </a:ext>
                      </a:extLst>
                    </a:blip>
                    <a:srcRect l="13559" t="10164" r="30932" b="10989"/>
                    <a:stretch/>
                  </pic:blipFill>
                  <pic:spPr bwMode="auto">
                    <a:xfrm>
                      <a:off x="0" y="0"/>
                      <a:ext cx="2994660" cy="3280410"/>
                    </a:xfrm>
                    <a:prstGeom prst="rect">
                      <a:avLst/>
                    </a:prstGeom>
                    <a:noFill/>
                    <a:ln>
                      <a:noFill/>
                    </a:ln>
                    <a:extLst>
                      <a:ext uri="{53640926-AAD7-44D8-BBD7-CCE9431645EC}">
                        <a14:shadowObscured xmlns:a14="http://schemas.microsoft.com/office/drawing/2010/main"/>
                      </a:ext>
                    </a:extLst>
                  </pic:spPr>
                </pic:pic>
              </a:graphicData>
            </a:graphic>
          </wp:inline>
        </w:drawing>
      </w:r>
    </w:p>
    <w:p w14:paraId="41E8201C" w14:textId="0963652F" w:rsidR="00CB2B13" w:rsidRDefault="00CB2B13" w:rsidP="0098490F">
      <w:pPr>
        <w:pStyle w:val="Caption"/>
        <w:jc w:val="center"/>
        <w:rPr>
          <w:b w:val="0"/>
        </w:rPr>
      </w:pPr>
      <w:bookmarkStart w:id="118" w:name="_Toc449964993"/>
      <w:r w:rsidRPr="00E73E07">
        <w:t xml:space="preserve">Figure </w:t>
      </w:r>
      <w:fldSimple w:instr=" STYLEREF &quot;Chapter&quot; \s ">
        <w:r w:rsidR="00463F52">
          <w:rPr>
            <w:noProof/>
          </w:rPr>
          <w:t>5</w:t>
        </w:r>
      </w:fldSimple>
      <w:r w:rsidRPr="00E73E07">
        <w:t>.</w:t>
      </w:r>
      <w:fldSimple w:instr=" SEQ Figure \* ARABIC \s 1 ">
        <w:r w:rsidR="00463F52">
          <w:rPr>
            <w:noProof/>
          </w:rPr>
          <w:t>4</w:t>
        </w:r>
      </w:fldSimple>
      <w:r w:rsidRPr="00E73E07">
        <w:rPr>
          <w:noProof/>
        </w:rPr>
        <w:t>.</w:t>
      </w:r>
      <w:r>
        <w:rPr>
          <w:noProof/>
        </w:rPr>
        <w:t xml:space="preserve"> </w:t>
      </w:r>
      <w:r w:rsidRPr="00CB2B13">
        <w:rPr>
          <w:b w:val="0"/>
        </w:rPr>
        <w:t>Stage</w:t>
      </w:r>
      <w:r>
        <w:rPr>
          <w:b w:val="0"/>
        </w:rPr>
        <w:t xml:space="preserve"> 1 collected liquid composition</w:t>
      </w:r>
      <w:r w:rsidRPr="00C95D31">
        <w:rPr>
          <w:b w:val="0"/>
        </w:rPr>
        <w:t>.</w:t>
      </w:r>
      <w:bookmarkEnd w:id="118"/>
    </w:p>
    <w:p w14:paraId="7E3E9507" w14:textId="77777777" w:rsidR="00CB2B13" w:rsidRPr="004D4B36" w:rsidRDefault="00CB2B13" w:rsidP="004D4B36"/>
    <w:tbl>
      <w:tblPr>
        <w:tblW w:w="56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00"/>
        <w:gridCol w:w="1499"/>
        <w:gridCol w:w="1548"/>
      </w:tblGrid>
      <w:tr w:rsidR="007C67EF" w:rsidRPr="004D20C7" w14:paraId="6AED2E63" w14:textId="77777777" w:rsidTr="0098490F">
        <w:trPr>
          <w:trHeight w:val="320"/>
          <w:jc w:val="center"/>
        </w:trPr>
        <w:tc>
          <w:tcPr>
            <w:tcW w:w="2600" w:type="dxa"/>
            <w:shd w:val="clear" w:color="auto" w:fill="auto"/>
            <w:noWrap/>
            <w:vAlign w:val="center"/>
            <w:hideMark/>
          </w:tcPr>
          <w:p w14:paraId="42A2B776" w14:textId="77777777" w:rsidR="007C67EF" w:rsidRPr="004D20C7" w:rsidRDefault="007C67EF" w:rsidP="007C67EF">
            <w:pPr>
              <w:pStyle w:val="Tables"/>
            </w:pPr>
            <w:r w:rsidRPr="004D20C7">
              <w:t>Total oak sawdust fed</w:t>
            </w:r>
          </w:p>
        </w:tc>
        <w:tc>
          <w:tcPr>
            <w:tcW w:w="1499" w:type="dxa"/>
            <w:shd w:val="clear" w:color="auto" w:fill="auto"/>
            <w:noWrap/>
            <w:vAlign w:val="center"/>
            <w:hideMark/>
          </w:tcPr>
          <w:p w14:paraId="776509B3" w14:textId="77777777" w:rsidR="007C67EF" w:rsidRPr="004D20C7" w:rsidRDefault="007C67EF" w:rsidP="007C67EF">
            <w:pPr>
              <w:pStyle w:val="Tables"/>
              <w:jc w:val="right"/>
            </w:pPr>
            <w:r w:rsidRPr="004D20C7">
              <w:t>15.8 gm</w:t>
            </w:r>
          </w:p>
        </w:tc>
        <w:tc>
          <w:tcPr>
            <w:tcW w:w="1548" w:type="dxa"/>
            <w:vAlign w:val="center"/>
          </w:tcPr>
          <w:p w14:paraId="7A31FE14" w14:textId="77777777" w:rsidR="007C67EF" w:rsidRPr="004D20C7" w:rsidRDefault="007C67EF" w:rsidP="007C67EF">
            <w:pPr>
              <w:pStyle w:val="Tables"/>
              <w:jc w:val="right"/>
            </w:pPr>
            <w:r>
              <w:t>100.0%</w:t>
            </w:r>
          </w:p>
        </w:tc>
      </w:tr>
      <w:tr w:rsidR="007C67EF" w:rsidRPr="004D20C7" w14:paraId="060CEA43" w14:textId="77777777" w:rsidTr="0098490F">
        <w:trPr>
          <w:trHeight w:val="320"/>
          <w:jc w:val="center"/>
        </w:trPr>
        <w:tc>
          <w:tcPr>
            <w:tcW w:w="2600" w:type="dxa"/>
            <w:shd w:val="clear" w:color="auto" w:fill="auto"/>
            <w:noWrap/>
            <w:vAlign w:val="center"/>
            <w:hideMark/>
          </w:tcPr>
          <w:p w14:paraId="2819862D" w14:textId="77777777" w:rsidR="007C67EF" w:rsidRPr="004D20C7" w:rsidRDefault="007C67EF" w:rsidP="007C67EF">
            <w:pPr>
              <w:pStyle w:val="Tables"/>
            </w:pPr>
            <w:r w:rsidRPr="004D20C7">
              <w:t>Total liquid collected</w:t>
            </w:r>
          </w:p>
        </w:tc>
        <w:tc>
          <w:tcPr>
            <w:tcW w:w="1499" w:type="dxa"/>
            <w:shd w:val="clear" w:color="auto" w:fill="auto"/>
            <w:noWrap/>
            <w:vAlign w:val="center"/>
            <w:hideMark/>
          </w:tcPr>
          <w:p w14:paraId="763D29B6" w14:textId="77777777" w:rsidR="007C67EF" w:rsidRPr="004D20C7" w:rsidRDefault="007C67EF" w:rsidP="007C67EF">
            <w:pPr>
              <w:pStyle w:val="Tables"/>
              <w:jc w:val="right"/>
            </w:pPr>
            <w:r w:rsidRPr="004D20C7">
              <w:t>3.3 gm</w:t>
            </w:r>
          </w:p>
        </w:tc>
        <w:tc>
          <w:tcPr>
            <w:tcW w:w="1548" w:type="dxa"/>
            <w:vAlign w:val="center"/>
          </w:tcPr>
          <w:p w14:paraId="23762241" w14:textId="77777777" w:rsidR="007C67EF" w:rsidRPr="004D20C7" w:rsidRDefault="007C67EF" w:rsidP="007C67EF">
            <w:pPr>
              <w:pStyle w:val="Tables"/>
              <w:jc w:val="right"/>
            </w:pPr>
            <w:r>
              <w:t>20.9%</w:t>
            </w:r>
          </w:p>
        </w:tc>
      </w:tr>
      <w:tr w:rsidR="007C67EF" w:rsidRPr="004D20C7" w14:paraId="123A56FB" w14:textId="77777777" w:rsidTr="0098490F">
        <w:trPr>
          <w:trHeight w:val="395"/>
          <w:jc w:val="center"/>
        </w:trPr>
        <w:tc>
          <w:tcPr>
            <w:tcW w:w="2600" w:type="dxa"/>
            <w:shd w:val="clear" w:color="auto" w:fill="auto"/>
            <w:noWrap/>
            <w:vAlign w:val="center"/>
            <w:hideMark/>
          </w:tcPr>
          <w:p w14:paraId="3883CD3B" w14:textId="77777777" w:rsidR="007C67EF" w:rsidRPr="004D20C7" w:rsidRDefault="007C67EF" w:rsidP="007C67EF">
            <w:pPr>
              <w:pStyle w:val="Tables"/>
            </w:pPr>
            <w:r w:rsidRPr="004D20C7">
              <w:t>Total solid collected</w:t>
            </w:r>
          </w:p>
        </w:tc>
        <w:tc>
          <w:tcPr>
            <w:tcW w:w="1499" w:type="dxa"/>
            <w:shd w:val="clear" w:color="auto" w:fill="auto"/>
            <w:noWrap/>
            <w:vAlign w:val="center"/>
            <w:hideMark/>
          </w:tcPr>
          <w:p w14:paraId="33650F73" w14:textId="77777777" w:rsidR="007C67EF" w:rsidRPr="004D20C7" w:rsidRDefault="007C67EF" w:rsidP="007C67EF">
            <w:pPr>
              <w:pStyle w:val="Tables"/>
              <w:jc w:val="right"/>
            </w:pPr>
            <w:r w:rsidRPr="004D20C7">
              <w:t>11.9 gm</w:t>
            </w:r>
          </w:p>
        </w:tc>
        <w:tc>
          <w:tcPr>
            <w:tcW w:w="1548" w:type="dxa"/>
            <w:vAlign w:val="center"/>
          </w:tcPr>
          <w:p w14:paraId="470E7F66" w14:textId="77777777" w:rsidR="007C67EF" w:rsidRPr="004D20C7" w:rsidRDefault="007C67EF" w:rsidP="007C67EF">
            <w:pPr>
              <w:pStyle w:val="Tables"/>
              <w:jc w:val="right"/>
            </w:pPr>
            <w:r>
              <w:t>75.3%</w:t>
            </w:r>
          </w:p>
        </w:tc>
      </w:tr>
      <w:tr w:rsidR="007C67EF" w:rsidRPr="004D20C7" w14:paraId="026651CB" w14:textId="77777777" w:rsidTr="0098490F">
        <w:trPr>
          <w:trHeight w:val="320"/>
          <w:jc w:val="center"/>
        </w:trPr>
        <w:tc>
          <w:tcPr>
            <w:tcW w:w="2600" w:type="dxa"/>
            <w:shd w:val="clear" w:color="auto" w:fill="auto"/>
            <w:noWrap/>
            <w:vAlign w:val="center"/>
            <w:hideMark/>
          </w:tcPr>
          <w:p w14:paraId="63279660" w14:textId="77777777" w:rsidR="007C67EF" w:rsidRPr="004D20C7" w:rsidRDefault="007C67EF" w:rsidP="007C67EF">
            <w:pPr>
              <w:pStyle w:val="Tables"/>
            </w:pPr>
            <w:r w:rsidRPr="004D20C7">
              <w:t>Non-condensable gases*</w:t>
            </w:r>
          </w:p>
        </w:tc>
        <w:tc>
          <w:tcPr>
            <w:tcW w:w="1499" w:type="dxa"/>
            <w:shd w:val="clear" w:color="auto" w:fill="auto"/>
            <w:noWrap/>
            <w:vAlign w:val="center"/>
            <w:hideMark/>
          </w:tcPr>
          <w:p w14:paraId="00C0CDC0" w14:textId="77777777" w:rsidR="007C67EF" w:rsidRPr="004D20C7" w:rsidRDefault="007C67EF" w:rsidP="007C67EF">
            <w:pPr>
              <w:pStyle w:val="Tables"/>
              <w:jc w:val="right"/>
            </w:pPr>
            <w:r w:rsidRPr="004D20C7">
              <w:t>0.6 gm</w:t>
            </w:r>
          </w:p>
        </w:tc>
        <w:tc>
          <w:tcPr>
            <w:tcW w:w="1548" w:type="dxa"/>
            <w:vAlign w:val="center"/>
          </w:tcPr>
          <w:p w14:paraId="7FA1EF4D" w14:textId="77777777" w:rsidR="007C67EF" w:rsidRPr="004D20C7" w:rsidRDefault="007C67EF" w:rsidP="007C67EF">
            <w:pPr>
              <w:pStyle w:val="Tables"/>
              <w:jc w:val="right"/>
            </w:pPr>
            <w:r>
              <w:t>3.8%</w:t>
            </w:r>
          </w:p>
        </w:tc>
      </w:tr>
    </w:tbl>
    <w:p w14:paraId="387F9AC8" w14:textId="12980185" w:rsidR="007C67EF" w:rsidRDefault="007C67EF" w:rsidP="0098490F">
      <w:pPr>
        <w:pStyle w:val="Caption"/>
        <w:jc w:val="center"/>
        <w:rPr>
          <w:b w:val="0"/>
        </w:rPr>
      </w:pPr>
      <w:bookmarkStart w:id="119" w:name="_Toc449964933"/>
      <w:r>
        <w:t xml:space="preserve">Table </w:t>
      </w:r>
      <w:fldSimple w:instr=" STYLEREF &quot;Chapter&quot; \s ">
        <w:r w:rsidR="00463F52">
          <w:rPr>
            <w:noProof/>
          </w:rPr>
          <w:t>5</w:t>
        </w:r>
      </w:fldSimple>
      <w:r>
        <w:t>.</w:t>
      </w:r>
      <w:fldSimple w:instr=" SEQ Table \* ARABIC \s 1 ">
        <w:r w:rsidR="00463F52">
          <w:rPr>
            <w:noProof/>
          </w:rPr>
          <w:t>5</w:t>
        </w:r>
      </w:fldSimple>
      <w:r>
        <w:t>.</w:t>
      </w:r>
      <w:r w:rsidRPr="008E2374">
        <w:t xml:space="preserve"> </w:t>
      </w:r>
      <w:r w:rsidRPr="007C67EF">
        <w:rPr>
          <w:b w:val="0"/>
        </w:rPr>
        <w:t>Mass balance of Stage 1 Thermal Treatment</w:t>
      </w:r>
      <w:r w:rsidRPr="00655865">
        <w:rPr>
          <w:b w:val="0"/>
        </w:rPr>
        <w:t>.</w:t>
      </w:r>
      <w:bookmarkEnd w:id="119"/>
    </w:p>
    <w:p w14:paraId="65B6275A" w14:textId="77777777" w:rsidR="000A7C5D" w:rsidRDefault="000A7C5D" w:rsidP="00A56156"/>
    <w:p w14:paraId="22060F3E" w14:textId="77777777" w:rsidR="004C7776" w:rsidRDefault="004C7776" w:rsidP="004C7776">
      <w:pPr>
        <w:pStyle w:val="Heading3"/>
      </w:pPr>
      <w:bookmarkStart w:id="120" w:name="_Toc449964877"/>
      <w:r>
        <w:t>Total Yields</w:t>
      </w:r>
      <w:bookmarkEnd w:id="120"/>
    </w:p>
    <w:p w14:paraId="5D837B0A" w14:textId="4C2B5F26" w:rsidR="004C7776" w:rsidRDefault="004C7776" w:rsidP="004C7776">
      <w:r>
        <w:t xml:space="preserve">The measured carbon content in the organic vapor product for </w:t>
      </w:r>
      <w:r w:rsidR="00A91904">
        <w:t xml:space="preserve">the sequential </w:t>
      </w:r>
      <w:r>
        <w:t xml:space="preserve">stages 2 and 3 in the pyroprobe were summed and are presented </w:t>
      </w:r>
      <w:r w:rsidRPr="00A63362">
        <w:t>in table 5</w:t>
      </w:r>
      <w:r w:rsidR="00A63362" w:rsidRPr="00A63362">
        <w:t>.6 and figure 5.5</w:t>
      </w:r>
      <w:r>
        <w:t xml:space="preserve"> with the stage 1 carbon yield as functions of the stage 2 independent process condition variables (</w:t>
      </w:r>
      <w:r w:rsidR="002D1CBF">
        <w:t>i.e</w:t>
      </w:r>
      <w:r>
        <w:t>., time &amp; temperature).</w:t>
      </w:r>
    </w:p>
    <w:p w14:paraId="10B11581" w14:textId="4F3B2F1C" w:rsidR="004C7776" w:rsidRDefault="000F190F" w:rsidP="005B60FA">
      <w:pPr>
        <w:pStyle w:val="NoSpacing"/>
        <w:jc w:val="center"/>
      </w:pPr>
      <w:r>
        <w:rPr>
          <w:noProof/>
        </w:rPr>
        <w:lastRenderedPageBreak/>
        <w:drawing>
          <wp:inline distT="0" distB="0" distL="0" distR="0" wp14:anchorId="42A15853" wp14:editId="2E1CCE6A">
            <wp:extent cx="5394960" cy="6970130"/>
            <wp:effectExtent l="0" t="0" r="0" b="0"/>
            <wp:docPr id="482" name="Picture 482" descr="../My%20Papers/Stage%202%20Optimization/combined%20stages%20overall%20carbon%20yiel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My%20Papers/Stage%202%20Optimization/combined%20stages%20overall%20carbon%20yield.pdf"/>
                    <pic:cNvPicPr>
                      <a:picLocks noChangeAspect="1" noChangeArrowheads="1"/>
                    </pic:cNvPicPr>
                  </pic:nvPicPr>
                  <pic:blipFill rotWithShape="1">
                    <a:blip r:embed="rId53">
                      <a:extLst>
                        <a:ext uri="{28A0092B-C50C-407E-A947-70E740481C1C}">
                          <a14:useLocalDpi xmlns:a14="http://schemas.microsoft.com/office/drawing/2010/main" val="0"/>
                        </a:ext>
                      </a:extLst>
                    </a:blip>
                    <a:srcRect l="21398" t="28805" r="20551" b="13257"/>
                    <a:stretch/>
                  </pic:blipFill>
                  <pic:spPr bwMode="auto">
                    <a:xfrm>
                      <a:off x="0" y="0"/>
                      <a:ext cx="5394960" cy="6970130"/>
                    </a:xfrm>
                    <a:prstGeom prst="rect">
                      <a:avLst/>
                    </a:prstGeom>
                    <a:noFill/>
                    <a:ln>
                      <a:noFill/>
                    </a:ln>
                    <a:extLst>
                      <a:ext uri="{53640926-AAD7-44D8-BBD7-CCE9431645EC}">
                        <a14:shadowObscured xmlns:a14="http://schemas.microsoft.com/office/drawing/2010/main"/>
                      </a:ext>
                    </a:extLst>
                  </pic:spPr>
                </pic:pic>
              </a:graphicData>
            </a:graphic>
          </wp:inline>
        </w:drawing>
      </w:r>
    </w:p>
    <w:p w14:paraId="6805A994" w14:textId="5206BECC" w:rsidR="001C13FB" w:rsidRDefault="008D180D" w:rsidP="008D180D">
      <w:pPr>
        <w:pStyle w:val="Caption"/>
        <w:rPr>
          <w:b w:val="0"/>
          <w:i/>
        </w:rPr>
      </w:pPr>
      <w:bookmarkStart w:id="121" w:name="_Toc449964994"/>
      <w:r w:rsidRPr="00E73E07">
        <w:t xml:space="preserve">Figure </w:t>
      </w:r>
      <w:fldSimple w:instr=" STYLEREF &quot;Chapter&quot; \s ">
        <w:r w:rsidR="00463F52">
          <w:rPr>
            <w:noProof/>
          </w:rPr>
          <w:t>5</w:t>
        </w:r>
      </w:fldSimple>
      <w:r w:rsidRPr="00E73E07">
        <w:t>.</w:t>
      </w:r>
      <w:fldSimple w:instr=" SEQ Figure \* ARABIC \s 1 ">
        <w:r w:rsidR="00463F52">
          <w:rPr>
            <w:noProof/>
          </w:rPr>
          <w:t>5</w:t>
        </w:r>
      </w:fldSimple>
      <w:r w:rsidRPr="00E73E07">
        <w:rPr>
          <w:noProof/>
        </w:rPr>
        <w:t>.</w:t>
      </w:r>
      <w:r>
        <w:rPr>
          <w:noProof/>
        </w:rPr>
        <w:t xml:space="preserve"> </w:t>
      </w:r>
      <w:r w:rsidRPr="008D180D">
        <w:rPr>
          <w:b w:val="0"/>
        </w:rPr>
        <w:t xml:space="preserve">Cumulative stages 1, 2 &amp; 3 carbon yields compared with single-step fast pyrolysis carbon yields. </w:t>
      </w:r>
      <w:r w:rsidRPr="008D180D">
        <w:rPr>
          <w:b w:val="0"/>
          <w:i/>
        </w:rPr>
        <w:t>(Does not include CO/CO</w:t>
      </w:r>
      <w:r w:rsidRPr="008D180D">
        <w:rPr>
          <w:b w:val="0"/>
          <w:i/>
          <w:vertAlign w:val="subscript"/>
        </w:rPr>
        <w:t>2</w:t>
      </w:r>
      <w:r w:rsidRPr="008D180D">
        <w:rPr>
          <w:b w:val="0"/>
          <w:i/>
        </w:rPr>
        <w:t>).</w:t>
      </w:r>
      <w:bookmarkEnd w:id="121"/>
    </w:p>
    <w:p w14:paraId="41795D86" w14:textId="63A7268E" w:rsidR="008D180D" w:rsidRPr="001C13FB" w:rsidRDefault="001C13FB" w:rsidP="001C13FB">
      <w:pPr>
        <w:spacing w:line="240" w:lineRule="auto"/>
        <w:rPr>
          <w:bCs/>
          <w:i/>
          <w:szCs w:val="18"/>
        </w:rPr>
      </w:pPr>
      <w:r>
        <w:rPr>
          <w:b/>
          <w:i/>
        </w:rPr>
        <w:br w:type="page"/>
      </w:r>
    </w:p>
    <w:tbl>
      <w:tblPr>
        <w:tblW w:w="84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9"/>
        <w:gridCol w:w="693"/>
        <w:gridCol w:w="1155"/>
        <w:gridCol w:w="195"/>
        <w:gridCol w:w="1350"/>
        <w:gridCol w:w="1440"/>
        <w:gridCol w:w="1350"/>
        <w:gridCol w:w="1044"/>
      </w:tblGrid>
      <w:tr w:rsidR="00587008" w:rsidRPr="003563C6" w14:paraId="0E9739CC" w14:textId="77777777" w:rsidTr="00587008">
        <w:trPr>
          <w:trHeight w:val="20"/>
        </w:trPr>
        <w:tc>
          <w:tcPr>
            <w:tcW w:w="1269" w:type="dxa"/>
            <w:tcBorders>
              <w:top w:val="nil"/>
              <w:left w:val="nil"/>
              <w:bottom w:val="single" w:sz="4" w:space="0" w:color="auto"/>
              <w:right w:val="nil"/>
            </w:tcBorders>
            <w:shd w:val="clear" w:color="auto" w:fill="auto"/>
            <w:hideMark/>
          </w:tcPr>
          <w:p w14:paraId="1597D669" w14:textId="77777777" w:rsidR="00E418B6" w:rsidRPr="00C83C4D" w:rsidRDefault="00E418B6" w:rsidP="003D7D2C">
            <w:pPr>
              <w:pStyle w:val="FigureCaptions"/>
            </w:pPr>
            <w:r w:rsidRPr="00F32798">
              <w:lastRenderedPageBreak/>
              <w:t>Temperature</w:t>
            </w:r>
          </w:p>
        </w:tc>
        <w:tc>
          <w:tcPr>
            <w:tcW w:w="693" w:type="dxa"/>
            <w:tcBorders>
              <w:top w:val="nil"/>
              <w:left w:val="nil"/>
              <w:bottom w:val="single" w:sz="4" w:space="0" w:color="auto"/>
              <w:right w:val="nil"/>
            </w:tcBorders>
            <w:shd w:val="clear" w:color="auto" w:fill="auto"/>
            <w:hideMark/>
          </w:tcPr>
          <w:p w14:paraId="7D092899" w14:textId="77777777" w:rsidR="00E418B6" w:rsidRPr="00C83C4D" w:rsidRDefault="00E418B6" w:rsidP="003D7D2C">
            <w:pPr>
              <w:pStyle w:val="FigureCaptions"/>
            </w:pPr>
            <w:r w:rsidRPr="00F32798">
              <w:t>Time</w:t>
            </w:r>
          </w:p>
        </w:tc>
        <w:tc>
          <w:tcPr>
            <w:tcW w:w="1350" w:type="dxa"/>
            <w:gridSpan w:val="2"/>
            <w:tcBorders>
              <w:top w:val="nil"/>
              <w:left w:val="nil"/>
              <w:bottom w:val="single" w:sz="4" w:space="0" w:color="auto"/>
              <w:right w:val="nil"/>
            </w:tcBorders>
            <w:shd w:val="clear" w:color="auto" w:fill="auto"/>
            <w:hideMark/>
          </w:tcPr>
          <w:p w14:paraId="63676719" w14:textId="77777777" w:rsidR="00E418B6" w:rsidRPr="00C83C4D" w:rsidRDefault="00E418B6" w:rsidP="003D7D2C">
            <w:pPr>
              <w:pStyle w:val="FigureCaptions"/>
              <w:jc w:val="right"/>
            </w:pPr>
            <w:r w:rsidRPr="00F32798">
              <w:t>Stage 1 Carbon Yield</w:t>
            </w:r>
          </w:p>
        </w:tc>
        <w:tc>
          <w:tcPr>
            <w:tcW w:w="1350" w:type="dxa"/>
            <w:tcBorders>
              <w:top w:val="nil"/>
              <w:left w:val="nil"/>
              <w:bottom w:val="single" w:sz="4" w:space="0" w:color="auto"/>
              <w:right w:val="nil"/>
            </w:tcBorders>
            <w:shd w:val="clear" w:color="auto" w:fill="auto"/>
            <w:hideMark/>
          </w:tcPr>
          <w:p w14:paraId="10EB0B1E" w14:textId="77777777" w:rsidR="00E418B6" w:rsidRPr="00C83C4D" w:rsidRDefault="00E418B6" w:rsidP="003D7D2C">
            <w:pPr>
              <w:pStyle w:val="FigureCaptions"/>
              <w:jc w:val="right"/>
            </w:pPr>
            <w:r w:rsidRPr="00F32798">
              <w:t>Stage 2 Carbon Yield</w:t>
            </w:r>
          </w:p>
        </w:tc>
        <w:tc>
          <w:tcPr>
            <w:tcW w:w="1440" w:type="dxa"/>
            <w:tcBorders>
              <w:top w:val="nil"/>
              <w:left w:val="nil"/>
              <w:bottom w:val="single" w:sz="4" w:space="0" w:color="auto"/>
              <w:right w:val="nil"/>
            </w:tcBorders>
            <w:shd w:val="clear" w:color="auto" w:fill="auto"/>
            <w:hideMark/>
          </w:tcPr>
          <w:p w14:paraId="241639FE" w14:textId="77777777" w:rsidR="00E418B6" w:rsidRPr="00C83C4D" w:rsidRDefault="00E418B6" w:rsidP="003D7D2C">
            <w:pPr>
              <w:pStyle w:val="FigureCaptions"/>
              <w:jc w:val="right"/>
            </w:pPr>
            <w:r w:rsidRPr="00F32798">
              <w:t>Stage 3 Carbon Yield</w:t>
            </w:r>
          </w:p>
        </w:tc>
        <w:tc>
          <w:tcPr>
            <w:tcW w:w="1350" w:type="dxa"/>
            <w:tcBorders>
              <w:top w:val="nil"/>
              <w:left w:val="nil"/>
              <w:bottom w:val="single" w:sz="4" w:space="0" w:color="auto"/>
              <w:right w:val="nil"/>
            </w:tcBorders>
            <w:shd w:val="clear" w:color="auto" w:fill="auto"/>
            <w:hideMark/>
          </w:tcPr>
          <w:p w14:paraId="03BB92AE" w14:textId="77777777" w:rsidR="00E418B6" w:rsidRPr="00C83C4D" w:rsidRDefault="00E418B6" w:rsidP="003D7D2C">
            <w:pPr>
              <w:pStyle w:val="FigureCaptions"/>
              <w:jc w:val="right"/>
            </w:pPr>
            <w:r w:rsidRPr="00F32798">
              <w:t>Combined Carbon Yield</w:t>
            </w:r>
          </w:p>
        </w:tc>
        <w:tc>
          <w:tcPr>
            <w:tcW w:w="1044" w:type="dxa"/>
            <w:tcBorders>
              <w:top w:val="nil"/>
              <w:left w:val="nil"/>
              <w:bottom w:val="single" w:sz="4" w:space="0" w:color="auto"/>
              <w:right w:val="nil"/>
            </w:tcBorders>
          </w:tcPr>
          <w:p w14:paraId="4DF6C2AD" w14:textId="77777777" w:rsidR="00E418B6" w:rsidRPr="00F32798" w:rsidRDefault="00E418B6" w:rsidP="003D7D2C">
            <w:pPr>
              <w:pStyle w:val="FigureCaptions"/>
              <w:jc w:val="right"/>
            </w:pPr>
            <w:r w:rsidRPr="00F32798">
              <w:t>% of fast pyrolysis</w:t>
            </w:r>
          </w:p>
        </w:tc>
      </w:tr>
      <w:tr w:rsidR="00587008" w:rsidRPr="003563C6" w14:paraId="2219317F" w14:textId="77777777" w:rsidTr="00587008">
        <w:trPr>
          <w:trHeight w:val="20"/>
        </w:trPr>
        <w:tc>
          <w:tcPr>
            <w:tcW w:w="1269" w:type="dxa"/>
            <w:tcBorders>
              <w:top w:val="single" w:sz="4" w:space="0" w:color="auto"/>
              <w:left w:val="nil"/>
              <w:bottom w:val="nil"/>
              <w:right w:val="nil"/>
            </w:tcBorders>
            <w:shd w:val="clear" w:color="auto" w:fill="auto"/>
            <w:noWrap/>
            <w:hideMark/>
          </w:tcPr>
          <w:p w14:paraId="5A90FD82" w14:textId="77777777" w:rsidR="00E418B6" w:rsidRPr="00C83C4D" w:rsidRDefault="00E418B6" w:rsidP="003D7D2C">
            <w:pPr>
              <w:pStyle w:val="FigureCaptions"/>
            </w:pPr>
            <w:r w:rsidRPr="00EF00EE">
              <w:t>350°C</w:t>
            </w:r>
          </w:p>
        </w:tc>
        <w:tc>
          <w:tcPr>
            <w:tcW w:w="693" w:type="dxa"/>
            <w:tcBorders>
              <w:top w:val="single" w:sz="4" w:space="0" w:color="auto"/>
              <w:left w:val="nil"/>
              <w:bottom w:val="nil"/>
              <w:right w:val="nil"/>
            </w:tcBorders>
            <w:shd w:val="clear" w:color="auto" w:fill="auto"/>
            <w:noWrap/>
            <w:hideMark/>
          </w:tcPr>
          <w:p w14:paraId="075A3920" w14:textId="77777777" w:rsidR="00E418B6" w:rsidRPr="00C83C4D" w:rsidRDefault="00E418B6" w:rsidP="003D7D2C">
            <w:pPr>
              <w:pStyle w:val="FigureCaptions"/>
            </w:pPr>
            <w:r w:rsidRPr="00EF00EE">
              <w:t>60s</w:t>
            </w:r>
          </w:p>
        </w:tc>
        <w:tc>
          <w:tcPr>
            <w:tcW w:w="1350" w:type="dxa"/>
            <w:gridSpan w:val="2"/>
            <w:tcBorders>
              <w:top w:val="single" w:sz="4" w:space="0" w:color="auto"/>
              <w:left w:val="nil"/>
              <w:bottom w:val="nil"/>
              <w:right w:val="nil"/>
            </w:tcBorders>
            <w:shd w:val="clear" w:color="auto" w:fill="auto"/>
            <w:noWrap/>
            <w:hideMark/>
          </w:tcPr>
          <w:p w14:paraId="2B4E2C62" w14:textId="77777777" w:rsidR="00E418B6" w:rsidRPr="00C83C4D" w:rsidRDefault="00E418B6" w:rsidP="003D7D2C">
            <w:pPr>
              <w:pStyle w:val="FigureCaptions"/>
              <w:jc w:val="right"/>
            </w:pPr>
            <w:r w:rsidRPr="00EF00EE">
              <w:t>30.9</w:t>
            </w:r>
          </w:p>
        </w:tc>
        <w:tc>
          <w:tcPr>
            <w:tcW w:w="1350" w:type="dxa"/>
            <w:tcBorders>
              <w:top w:val="single" w:sz="4" w:space="0" w:color="auto"/>
              <w:left w:val="nil"/>
              <w:bottom w:val="nil"/>
              <w:right w:val="nil"/>
            </w:tcBorders>
            <w:shd w:val="clear" w:color="auto" w:fill="auto"/>
            <w:noWrap/>
            <w:hideMark/>
          </w:tcPr>
          <w:p w14:paraId="7109886F" w14:textId="77777777" w:rsidR="00E418B6" w:rsidRPr="00C83C4D" w:rsidRDefault="00E418B6" w:rsidP="003D7D2C">
            <w:pPr>
              <w:pStyle w:val="FigureCaptions"/>
              <w:jc w:val="right"/>
            </w:pPr>
            <w:r w:rsidRPr="00EF00EE">
              <w:t>7.59</w:t>
            </w:r>
          </w:p>
        </w:tc>
        <w:tc>
          <w:tcPr>
            <w:tcW w:w="1440" w:type="dxa"/>
            <w:tcBorders>
              <w:top w:val="single" w:sz="4" w:space="0" w:color="auto"/>
              <w:left w:val="nil"/>
              <w:bottom w:val="nil"/>
              <w:right w:val="nil"/>
            </w:tcBorders>
            <w:shd w:val="clear" w:color="auto" w:fill="auto"/>
            <w:noWrap/>
            <w:hideMark/>
          </w:tcPr>
          <w:p w14:paraId="15C40C8D" w14:textId="77777777" w:rsidR="00E418B6" w:rsidRPr="00C83C4D" w:rsidRDefault="00E418B6" w:rsidP="003D7D2C">
            <w:pPr>
              <w:pStyle w:val="FigureCaptions"/>
              <w:jc w:val="right"/>
            </w:pPr>
            <w:r w:rsidRPr="00EF00EE">
              <w:t>56.45</w:t>
            </w:r>
          </w:p>
        </w:tc>
        <w:tc>
          <w:tcPr>
            <w:tcW w:w="1350" w:type="dxa"/>
            <w:tcBorders>
              <w:top w:val="single" w:sz="4" w:space="0" w:color="auto"/>
              <w:left w:val="nil"/>
              <w:bottom w:val="nil"/>
              <w:right w:val="nil"/>
            </w:tcBorders>
            <w:shd w:val="clear" w:color="auto" w:fill="auto"/>
            <w:noWrap/>
            <w:hideMark/>
          </w:tcPr>
          <w:p w14:paraId="1D224B60" w14:textId="77777777" w:rsidR="00E418B6" w:rsidRPr="00C83C4D" w:rsidRDefault="00E418B6" w:rsidP="003D7D2C">
            <w:pPr>
              <w:pStyle w:val="FigureCaptions"/>
              <w:jc w:val="right"/>
            </w:pPr>
            <w:r w:rsidRPr="00EF00EE">
              <w:t>94.94</w:t>
            </w:r>
          </w:p>
        </w:tc>
        <w:tc>
          <w:tcPr>
            <w:tcW w:w="1044" w:type="dxa"/>
            <w:tcBorders>
              <w:top w:val="single" w:sz="4" w:space="0" w:color="auto"/>
              <w:left w:val="nil"/>
              <w:bottom w:val="nil"/>
              <w:right w:val="nil"/>
            </w:tcBorders>
          </w:tcPr>
          <w:p w14:paraId="47B266A9" w14:textId="77777777" w:rsidR="00E418B6" w:rsidRPr="00F32798" w:rsidRDefault="00E418B6" w:rsidP="003D7D2C">
            <w:pPr>
              <w:pStyle w:val="FigureCaptions"/>
              <w:jc w:val="right"/>
            </w:pPr>
            <w:r w:rsidRPr="00EF00EE">
              <w:t>45.2%</w:t>
            </w:r>
          </w:p>
        </w:tc>
      </w:tr>
      <w:tr w:rsidR="00587008" w:rsidRPr="003563C6" w14:paraId="2692F371" w14:textId="77777777" w:rsidTr="00587008">
        <w:trPr>
          <w:trHeight w:val="20"/>
        </w:trPr>
        <w:tc>
          <w:tcPr>
            <w:tcW w:w="1269" w:type="dxa"/>
            <w:tcBorders>
              <w:top w:val="nil"/>
              <w:left w:val="nil"/>
              <w:bottom w:val="nil"/>
              <w:right w:val="nil"/>
            </w:tcBorders>
            <w:shd w:val="clear" w:color="auto" w:fill="auto"/>
            <w:noWrap/>
            <w:hideMark/>
          </w:tcPr>
          <w:p w14:paraId="3B8C8F48" w14:textId="77777777" w:rsidR="00E418B6" w:rsidRPr="00C83C4D" w:rsidRDefault="00E418B6" w:rsidP="003D7D2C">
            <w:pPr>
              <w:pStyle w:val="FigureCaptions"/>
            </w:pPr>
          </w:p>
        </w:tc>
        <w:tc>
          <w:tcPr>
            <w:tcW w:w="693" w:type="dxa"/>
            <w:tcBorders>
              <w:top w:val="nil"/>
              <w:left w:val="nil"/>
              <w:bottom w:val="nil"/>
              <w:right w:val="nil"/>
            </w:tcBorders>
            <w:shd w:val="clear" w:color="auto" w:fill="auto"/>
            <w:noWrap/>
            <w:hideMark/>
          </w:tcPr>
          <w:p w14:paraId="1A619533" w14:textId="77777777" w:rsidR="00E418B6" w:rsidRPr="00C83C4D" w:rsidRDefault="00E418B6" w:rsidP="003D7D2C">
            <w:pPr>
              <w:pStyle w:val="FigureCaptions"/>
            </w:pPr>
            <w:r w:rsidRPr="00EF00EE">
              <w:t>180s</w:t>
            </w:r>
          </w:p>
        </w:tc>
        <w:tc>
          <w:tcPr>
            <w:tcW w:w="1350" w:type="dxa"/>
            <w:gridSpan w:val="2"/>
            <w:tcBorders>
              <w:top w:val="nil"/>
              <w:left w:val="nil"/>
              <w:bottom w:val="nil"/>
              <w:right w:val="nil"/>
            </w:tcBorders>
            <w:shd w:val="clear" w:color="auto" w:fill="auto"/>
            <w:noWrap/>
            <w:hideMark/>
          </w:tcPr>
          <w:p w14:paraId="2CA5896A" w14:textId="77777777" w:rsidR="00E418B6" w:rsidRPr="00C83C4D" w:rsidRDefault="00E418B6" w:rsidP="003D7D2C">
            <w:pPr>
              <w:pStyle w:val="FigureCaptions"/>
              <w:jc w:val="right"/>
            </w:pPr>
            <w:r w:rsidRPr="00EF00EE">
              <w:t>30.9</w:t>
            </w:r>
          </w:p>
        </w:tc>
        <w:tc>
          <w:tcPr>
            <w:tcW w:w="1350" w:type="dxa"/>
            <w:tcBorders>
              <w:top w:val="nil"/>
              <w:left w:val="nil"/>
              <w:bottom w:val="nil"/>
              <w:right w:val="nil"/>
            </w:tcBorders>
            <w:shd w:val="clear" w:color="auto" w:fill="auto"/>
            <w:noWrap/>
            <w:hideMark/>
          </w:tcPr>
          <w:p w14:paraId="659570B6" w14:textId="77777777" w:rsidR="00E418B6" w:rsidRPr="00C83C4D" w:rsidRDefault="00E418B6" w:rsidP="003D7D2C">
            <w:pPr>
              <w:pStyle w:val="FigureCaptions"/>
              <w:jc w:val="right"/>
            </w:pPr>
            <w:r w:rsidRPr="00EF00EE">
              <w:t>17.28</w:t>
            </w:r>
          </w:p>
        </w:tc>
        <w:tc>
          <w:tcPr>
            <w:tcW w:w="1440" w:type="dxa"/>
            <w:tcBorders>
              <w:top w:val="nil"/>
              <w:left w:val="nil"/>
              <w:bottom w:val="nil"/>
              <w:right w:val="nil"/>
            </w:tcBorders>
            <w:shd w:val="clear" w:color="auto" w:fill="auto"/>
            <w:noWrap/>
            <w:hideMark/>
          </w:tcPr>
          <w:p w14:paraId="3111E1B7" w14:textId="77777777" w:rsidR="00E418B6" w:rsidRPr="00C83C4D" w:rsidRDefault="00E418B6" w:rsidP="003D7D2C">
            <w:pPr>
              <w:pStyle w:val="FigureCaptions"/>
              <w:jc w:val="right"/>
            </w:pPr>
            <w:r w:rsidRPr="00EF00EE">
              <w:t>27.15</w:t>
            </w:r>
          </w:p>
        </w:tc>
        <w:tc>
          <w:tcPr>
            <w:tcW w:w="1350" w:type="dxa"/>
            <w:tcBorders>
              <w:top w:val="nil"/>
              <w:left w:val="nil"/>
              <w:bottom w:val="nil"/>
              <w:right w:val="nil"/>
            </w:tcBorders>
            <w:shd w:val="clear" w:color="auto" w:fill="auto"/>
            <w:noWrap/>
            <w:hideMark/>
          </w:tcPr>
          <w:p w14:paraId="160CFD07" w14:textId="77777777" w:rsidR="00E418B6" w:rsidRPr="00C83C4D" w:rsidRDefault="00E418B6" w:rsidP="003D7D2C">
            <w:pPr>
              <w:pStyle w:val="FigureCaptions"/>
              <w:jc w:val="right"/>
            </w:pPr>
            <w:r>
              <w:t xml:space="preserve">† </w:t>
            </w:r>
            <w:r w:rsidRPr="00EF00EE">
              <w:t>75.33</w:t>
            </w:r>
          </w:p>
        </w:tc>
        <w:tc>
          <w:tcPr>
            <w:tcW w:w="1044" w:type="dxa"/>
            <w:tcBorders>
              <w:top w:val="nil"/>
              <w:left w:val="nil"/>
              <w:bottom w:val="nil"/>
              <w:right w:val="nil"/>
            </w:tcBorders>
          </w:tcPr>
          <w:p w14:paraId="0B53BD54" w14:textId="77777777" w:rsidR="00E418B6" w:rsidRPr="00F32798" w:rsidRDefault="00E418B6" w:rsidP="003D7D2C">
            <w:pPr>
              <w:pStyle w:val="FigureCaptions"/>
              <w:jc w:val="right"/>
            </w:pPr>
            <w:r w:rsidRPr="00EF00EE">
              <w:t>35.8%</w:t>
            </w:r>
          </w:p>
        </w:tc>
      </w:tr>
      <w:tr w:rsidR="00587008" w:rsidRPr="003563C6" w14:paraId="4AFE633B" w14:textId="77777777" w:rsidTr="00587008">
        <w:trPr>
          <w:trHeight w:val="20"/>
        </w:trPr>
        <w:tc>
          <w:tcPr>
            <w:tcW w:w="1269" w:type="dxa"/>
            <w:tcBorders>
              <w:top w:val="nil"/>
              <w:left w:val="nil"/>
              <w:bottom w:val="single" w:sz="4" w:space="0" w:color="auto"/>
              <w:right w:val="nil"/>
            </w:tcBorders>
            <w:shd w:val="clear" w:color="auto" w:fill="auto"/>
            <w:noWrap/>
            <w:hideMark/>
          </w:tcPr>
          <w:p w14:paraId="6E920B2B" w14:textId="77777777" w:rsidR="00E418B6" w:rsidRPr="00C83C4D" w:rsidRDefault="00E418B6" w:rsidP="003D7D2C">
            <w:pPr>
              <w:pStyle w:val="FigureCaptions"/>
            </w:pPr>
          </w:p>
        </w:tc>
        <w:tc>
          <w:tcPr>
            <w:tcW w:w="693" w:type="dxa"/>
            <w:tcBorders>
              <w:top w:val="nil"/>
              <w:left w:val="nil"/>
              <w:bottom w:val="single" w:sz="4" w:space="0" w:color="auto"/>
              <w:right w:val="nil"/>
            </w:tcBorders>
            <w:shd w:val="clear" w:color="auto" w:fill="auto"/>
            <w:noWrap/>
            <w:hideMark/>
          </w:tcPr>
          <w:p w14:paraId="73C357A5" w14:textId="77777777" w:rsidR="00E418B6" w:rsidRPr="00C83C4D" w:rsidRDefault="00E418B6" w:rsidP="003D7D2C">
            <w:pPr>
              <w:pStyle w:val="FigureCaptions"/>
            </w:pPr>
            <w:r w:rsidRPr="00EF00EE">
              <w:t>300s</w:t>
            </w:r>
          </w:p>
        </w:tc>
        <w:tc>
          <w:tcPr>
            <w:tcW w:w="1350" w:type="dxa"/>
            <w:gridSpan w:val="2"/>
            <w:tcBorders>
              <w:top w:val="nil"/>
              <w:left w:val="nil"/>
              <w:bottom w:val="single" w:sz="4" w:space="0" w:color="auto"/>
              <w:right w:val="nil"/>
            </w:tcBorders>
            <w:shd w:val="clear" w:color="auto" w:fill="auto"/>
            <w:noWrap/>
            <w:hideMark/>
          </w:tcPr>
          <w:p w14:paraId="28064BDB" w14:textId="77777777" w:rsidR="00E418B6" w:rsidRPr="00C83C4D" w:rsidRDefault="00E418B6" w:rsidP="003D7D2C">
            <w:pPr>
              <w:pStyle w:val="FigureCaptions"/>
              <w:jc w:val="right"/>
            </w:pPr>
            <w:r w:rsidRPr="00EF00EE">
              <w:t>30.9</w:t>
            </w:r>
          </w:p>
        </w:tc>
        <w:tc>
          <w:tcPr>
            <w:tcW w:w="1350" w:type="dxa"/>
            <w:tcBorders>
              <w:top w:val="nil"/>
              <w:left w:val="nil"/>
              <w:bottom w:val="single" w:sz="4" w:space="0" w:color="auto"/>
              <w:right w:val="nil"/>
            </w:tcBorders>
            <w:shd w:val="clear" w:color="auto" w:fill="auto"/>
            <w:noWrap/>
            <w:hideMark/>
          </w:tcPr>
          <w:p w14:paraId="1498CE3A" w14:textId="77777777" w:rsidR="00E418B6" w:rsidRPr="00C83C4D" w:rsidRDefault="00E418B6" w:rsidP="003D7D2C">
            <w:pPr>
              <w:pStyle w:val="FigureCaptions"/>
              <w:jc w:val="right"/>
            </w:pPr>
            <w:r w:rsidRPr="00EF00EE">
              <w:t>37.22</w:t>
            </w:r>
          </w:p>
        </w:tc>
        <w:tc>
          <w:tcPr>
            <w:tcW w:w="1440" w:type="dxa"/>
            <w:tcBorders>
              <w:top w:val="nil"/>
              <w:left w:val="nil"/>
              <w:bottom w:val="single" w:sz="4" w:space="0" w:color="auto"/>
              <w:right w:val="nil"/>
            </w:tcBorders>
            <w:shd w:val="clear" w:color="auto" w:fill="auto"/>
            <w:noWrap/>
            <w:hideMark/>
          </w:tcPr>
          <w:p w14:paraId="452C4D5A" w14:textId="77777777" w:rsidR="00E418B6" w:rsidRPr="00C83C4D" w:rsidRDefault="00E418B6" w:rsidP="003D7D2C">
            <w:pPr>
              <w:pStyle w:val="FigureCaptions"/>
              <w:jc w:val="right"/>
            </w:pPr>
            <w:r w:rsidRPr="00EF00EE">
              <w:t>24.15</w:t>
            </w:r>
          </w:p>
        </w:tc>
        <w:tc>
          <w:tcPr>
            <w:tcW w:w="1350" w:type="dxa"/>
            <w:tcBorders>
              <w:top w:val="nil"/>
              <w:left w:val="nil"/>
              <w:bottom w:val="single" w:sz="4" w:space="0" w:color="auto"/>
              <w:right w:val="nil"/>
            </w:tcBorders>
            <w:shd w:val="clear" w:color="auto" w:fill="auto"/>
            <w:noWrap/>
            <w:hideMark/>
          </w:tcPr>
          <w:p w14:paraId="4FA05E12" w14:textId="77777777" w:rsidR="00E418B6" w:rsidRPr="00C83C4D" w:rsidRDefault="00E418B6" w:rsidP="003D7D2C">
            <w:pPr>
              <w:pStyle w:val="FigureCaptions"/>
              <w:jc w:val="right"/>
            </w:pPr>
            <w:r w:rsidRPr="00EF00EE">
              <w:t>92.27</w:t>
            </w:r>
          </w:p>
        </w:tc>
        <w:tc>
          <w:tcPr>
            <w:tcW w:w="1044" w:type="dxa"/>
            <w:tcBorders>
              <w:top w:val="nil"/>
              <w:left w:val="nil"/>
              <w:bottom w:val="single" w:sz="4" w:space="0" w:color="auto"/>
              <w:right w:val="nil"/>
            </w:tcBorders>
          </w:tcPr>
          <w:p w14:paraId="5645B35A" w14:textId="77777777" w:rsidR="00E418B6" w:rsidRPr="00F32798" w:rsidRDefault="00E418B6" w:rsidP="003D7D2C">
            <w:pPr>
              <w:pStyle w:val="FigureCaptions"/>
              <w:jc w:val="right"/>
            </w:pPr>
            <w:r w:rsidRPr="00EF00EE">
              <w:t>43.9%</w:t>
            </w:r>
          </w:p>
        </w:tc>
      </w:tr>
      <w:tr w:rsidR="00587008" w:rsidRPr="003563C6" w14:paraId="6AB41BF2" w14:textId="77777777" w:rsidTr="00587008">
        <w:trPr>
          <w:trHeight w:val="20"/>
        </w:trPr>
        <w:tc>
          <w:tcPr>
            <w:tcW w:w="1269" w:type="dxa"/>
            <w:tcBorders>
              <w:top w:val="single" w:sz="4" w:space="0" w:color="auto"/>
              <w:left w:val="nil"/>
              <w:bottom w:val="nil"/>
              <w:right w:val="nil"/>
            </w:tcBorders>
            <w:shd w:val="clear" w:color="auto" w:fill="auto"/>
            <w:noWrap/>
            <w:hideMark/>
          </w:tcPr>
          <w:p w14:paraId="1C31989D" w14:textId="77777777" w:rsidR="00E418B6" w:rsidRPr="00C83C4D" w:rsidRDefault="00E418B6" w:rsidP="003D7D2C">
            <w:pPr>
              <w:pStyle w:val="FigureCaptions"/>
            </w:pPr>
            <w:r w:rsidRPr="00EF00EE">
              <w:t>380°C</w:t>
            </w:r>
          </w:p>
        </w:tc>
        <w:tc>
          <w:tcPr>
            <w:tcW w:w="693" w:type="dxa"/>
            <w:tcBorders>
              <w:top w:val="single" w:sz="4" w:space="0" w:color="auto"/>
              <w:left w:val="nil"/>
              <w:bottom w:val="nil"/>
              <w:right w:val="nil"/>
            </w:tcBorders>
            <w:shd w:val="clear" w:color="auto" w:fill="auto"/>
            <w:noWrap/>
            <w:hideMark/>
          </w:tcPr>
          <w:p w14:paraId="35B89222" w14:textId="77777777" w:rsidR="00E418B6" w:rsidRPr="00C83C4D" w:rsidRDefault="00E418B6" w:rsidP="003D7D2C">
            <w:pPr>
              <w:pStyle w:val="FigureCaptions"/>
            </w:pPr>
            <w:r w:rsidRPr="00EF00EE">
              <w:t>60s</w:t>
            </w:r>
          </w:p>
        </w:tc>
        <w:tc>
          <w:tcPr>
            <w:tcW w:w="1350" w:type="dxa"/>
            <w:gridSpan w:val="2"/>
            <w:tcBorders>
              <w:top w:val="single" w:sz="4" w:space="0" w:color="auto"/>
              <w:left w:val="nil"/>
              <w:bottom w:val="nil"/>
              <w:right w:val="nil"/>
            </w:tcBorders>
            <w:shd w:val="clear" w:color="auto" w:fill="auto"/>
            <w:noWrap/>
            <w:hideMark/>
          </w:tcPr>
          <w:p w14:paraId="04CAE6B1" w14:textId="77777777" w:rsidR="00E418B6" w:rsidRPr="00C83C4D" w:rsidRDefault="00E418B6" w:rsidP="003D7D2C">
            <w:pPr>
              <w:pStyle w:val="FigureCaptions"/>
              <w:jc w:val="right"/>
            </w:pPr>
            <w:r w:rsidRPr="00EF00EE">
              <w:t>30.9</w:t>
            </w:r>
          </w:p>
        </w:tc>
        <w:tc>
          <w:tcPr>
            <w:tcW w:w="1350" w:type="dxa"/>
            <w:tcBorders>
              <w:top w:val="single" w:sz="4" w:space="0" w:color="auto"/>
              <w:left w:val="nil"/>
              <w:bottom w:val="nil"/>
              <w:right w:val="nil"/>
            </w:tcBorders>
            <w:shd w:val="clear" w:color="auto" w:fill="auto"/>
            <w:noWrap/>
            <w:hideMark/>
          </w:tcPr>
          <w:p w14:paraId="7700BA96" w14:textId="77777777" w:rsidR="00E418B6" w:rsidRPr="00C83C4D" w:rsidRDefault="00E418B6" w:rsidP="003D7D2C">
            <w:pPr>
              <w:pStyle w:val="FigureCaptions"/>
              <w:jc w:val="right"/>
            </w:pPr>
            <w:r w:rsidRPr="00EF00EE">
              <w:t>34.97</w:t>
            </w:r>
          </w:p>
        </w:tc>
        <w:tc>
          <w:tcPr>
            <w:tcW w:w="1440" w:type="dxa"/>
            <w:tcBorders>
              <w:top w:val="single" w:sz="4" w:space="0" w:color="auto"/>
              <w:left w:val="nil"/>
              <w:bottom w:val="nil"/>
              <w:right w:val="nil"/>
            </w:tcBorders>
            <w:shd w:val="clear" w:color="auto" w:fill="auto"/>
            <w:noWrap/>
            <w:hideMark/>
          </w:tcPr>
          <w:p w14:paraId="720305B9" w14:textId="77777777" w:rsidR="00E418B6" w:rsidRPr="00C83C4D" w:rsidRDefault="00E418B6" w:rsidP="003D7D2C">
            <w:pPr>
              <w:pStyle w:val="FigureCaptions"/>
              <w:jc w:val="right"/>
            </w:pPr>
            <w:r w:rsidRPr="00EF00EE">
              <w:t>25.70</w:t>
            </w:r>
          </w:p>
        </w:tc>
        <w:tc>
          <w:tcPr>
            <w:tcW w:w="1350" w:type="dxa"/>
            <w:tcBorders>
              <w:top w:val="single" w:sz="4" w:space="0" w:color="auto"/>
              <w:left w:val="nil"/>
              <w:bottom w:val="nil"/>
              <w:right w:val="nil"/>
            </w:tcBorders>
            <w:shd w:val="clear" w:color="auto" w:fill="auto"/>
            <w:noWrap/>
            <w:hideMark/>
          </w:tcPr>
          <w:p w14:paraId="78FF8683" w14:textId="77777777" w:rsidR="00E418B6" w:rsidRPr="00C83C4D" w:rsidRDefault="00E418B6" w:rsidP="003D7D2C">
            <w:pPr>
              <w:pStyle w:val="FigureCaptions"/>
              <w:jc w:val="right"/>
            </w:pPr>
            <w:r w:rsidRPr="00EF00EE">
              <w:t>91.56</w:t>
            </w:r>
          </w:p>
        </w:tc>
        <w:tc>
          <w:tcPr>
            <w:tcW w:w="1044" w:type="dxa"/>
            <w:tcBorders>
              <w:top w:val="single" w:sz="4" w:space="0" w:color="auto"/>
              <w:left w:val="nil"/>
              <w:bottom w:val="nil"/>
              <w:right w:val="nil"/>
            </w:tcBorders>
          </w:tcPr>
          <w:p w14:paraId="7DD8369D" w14:textId="77777777" w:rsidR="00E418B6" w:rsidRPr="00F32798" w:rsidRDefault="00E418B6" w:rsidP="003D7D2C">
            <w:pPr>
              <w:pStyle w:val="FigureCaptions"/>
              <w:jc w:val="right"/>
            </w:pPr>
            <w:r w:rsidRPr="00EF00EE">
              <w:t>43.6%</w:t>
            </w:r>
          </w:p>
        </w:tc>
      </w:tr>
      <w:tr w:rsidR="00587008" w:rsidRPr="003563C6" w14:paraId="5C0705C7" w14:textId="77777777" w:rsidTr="00587008">
        <w:trPr>
          <w:trHeight w:val="20"/>
        </w:trPr>
        <w:tc>
          <w:tcPr>
            <w:tcW w:w="1269" w:type="dxa"/>
            <w:tcBorders>
              <w:top w:val="nil"/>
              <w:left w:val="nil"/>
              <w:bottom w:val="nil"/>
              <w:right w:val="nil"/>
            </w:tcBorders>
            <w:shd w:val="clear" w:color="auto" w:fill="auto"/>
            <w:noWrap/>
            <w:hideMark/>
          </w:tcPr>
          <w:p w14:paraId="1AA0F6F2" w14:textId="77777777" w:rsidR="00E418B6" w:rsidRPr="00C83C4D" w:rsidRDefault="00E418B6" w:rsidP="003D7D2C">
            <w:pPr>
              <w:pStyle w:val="FigureCaptions"/>
            </w:pPr>
          </w:p>
        </w:tc>
        <w:tc>
          <w:tcPr>
            <w:tcW w:w="693" w:type="dxa"/>
            <w:tcBorders>
              <w:top w:val="nil"/>
              <w:left w:val="nil"/>
              <w:bottom w:val="nil"/>
              <w:right w:val="nil"/>
            </w:tcBorders>
            <w:shd w:val="clear" w:color="auto" w:fill="auto"/>
            <w:noWrap/>
            <w:hideMark/>
          </w:tcPr>
          <w:p w14:paraId="2C2E6833" w14:textId="77777777" w:rsidR="00E418B6" w:rsidRPr="00C83C4D" w:rsidRDefault="00E418B6" w:rsidP="003D7D2C">
            <w:pPr>
              <w:pStyle w:val="FigureCaptions"/>
            </w:pPr>
            <w:r w:rsidRPr="00EF00EE">
              <w:t>180s</w:t>
            </w:r>
          </w:p>
        </w:tc>
        <w:tc>
          <w:tcPr>
            <w:tcW w:w="1350" w:type="dxa"/>
            <w:gridSpan w:val="2"/>
            <w:tcBorders>
              <w:top w:val="nil"/>
              <w:left w:val="nil"/>
              <w:bottom w:val="nil"/>
              <w:right w:val="nil"/>
            </w:tcBorders>
            <w:shd w:val="clear" w:color="auto" w:fill="auto"/>
            <w:noWrap/>
            <w:hideMark/>
          </w:tcPr>
          <w:p w14:paraId="0B602E8B" w14:textId="77777777" w:rsidR="00E418B6" w:rsidRPr="00C83C4D" w:rsidRDefault="00E418B6" w:rsidP="003D7D2C">
            <w:pPr>
              <w:pStyle w:val="FigureCaptions"/>
              <w:jc w:val="right"/>
            </w:pPr>
            <w:r w:rsidRPr="00EF00EE">
              <w:t>30.9</w:t>
            </w:r>
          </w:p>
        </w:tc>
        <w:tc>
          <w:tcPr>
            <w:tcW w:w="1350" w:type="dxa"/>
            <w:tcBorders>
              <w:top w:val="nil"/>
              <w:left w:val="nil"/>
              <w:bottom w:val="nil"/>
              <w:right w:val="nil"/>
            </w:tcBorders>
            <w:shd w:val="clear" w:color="auto" w:fill="auto"/>
            <w:noWrap/>
            <w:hideMark/>
          </w:tcPr>
          <w:p w14:paraId="03E63EF3" w14:textId="77777777" w:rsidR="00E418B6" w:rsidRPr="00C83C4D" w:rsidRDefault="00E418B6" w:rsidP="003D7D2C">
            <w:pPr>
              <w:pStyle w:val="FigureCaptions"/>
              <w:jc w:val="right"/>
            </w:pPr>
            <w:r w:rsidRPr="00EF00EE">
              <w:t>41.00</w:t>
            </w:r>
          </w:p>
        </w:tc>
        <w:tc>
          <w:tcPr>
            <w:tcW w:w="1440" w:type="dxa"/>
            <w:tcBorders>
              <w:top w:val="nil"/>
              <w:left w:val="nil"/>
              <w:bottom w:val="nil"/>
              <w:right w:val="nil"/>
            </w:tcBorders>
            <w:shd w:val="clear" w:color="auto" w:fill="auto"/>
            <w:noWrap/>
            <w:hideMark/>
          </w:tcPr>
          <w:p w14:paraId="3309A973" w14:textId="77777777" w:rsidR="00E418B6" w:rsidRPr="00C83C4D" w:rsidRDefault="00E418B6" w:rsidP="003D7D2C">
            <w:pPr>
              <w:pStyle w:val="FigureCaptions"/>
              <w:jc w:val="right"/>
            </w:pPr>
            <w:r w:rsidRPr="00EF00EE">
              <w:t>25.87</w:t>
            </w:r>
          </w:p>
        </w:tc>
        <w:tc>
          <w:tcPr>
            <w:tcW w:w="1350" w:type="dxa"/>
            <w:tcBorders>
              <w:top w:val="nil"/>
              <w:left w:val="nil"/>
              <w:bottom w:val="nil"/>
              <w:right w:val="nil"/>
            </w:tcBorders>
            <w:shd w:val="clear" w:color="auto" w:fill="auto"/>
            <w:noWrap/>
            <w:hideMark/>
          </w:tcPr>
          <w:p w14:paraId="14B66AF6" w14:textId="77777777" w:rsidR="00E418B6" w:rsidRPr="00C83C4D" w:rsidRDefault="00E418B6" w:rsidP="003D7D2C">
            <w:pPr>
              <w:pStyle w:val="FigureCaptions"/>
              <w:jc w:val="right"/>
            </w:pPr>
            <w:r w:rsidRPr="00EF00EE">
              <w:t>97.77</w:t>
            </w:r>
          </w:p>
        </w:tc>
        <w:tc>
          <w:tcPr>
            <w:tcW w:w="1044" w:type="dxa"/>
            <w:tcBorders>
              <w:top w:val="nil"/>
              <w:left w:val="nil"/>
              <w:bottom w:val="nil"/>
              <w:right w:val="nil"/>
            </w:tcBorders>
          </w:tcPr>
          <w:p w14:paraId="35320C1A" w14:textId="77777777" w:rsidR="00E418B6" w:rsidRPr="00F32798" w:rsidRDefault="00E418B6" w:rsidP="003D7D2C">
            <w:pPr>
              <w:pStyle w:val="FigureCaptions"/>
              <w:jc w:val="right"/>
            </w:pPr>
            <w:r w:rsidRPr="00EF00EE">
              <w:t>46.5%</w:t>
            </w:r>
          </w:p>
        </w:tc>
      </w:tr>
      <w:tr w:rsidR="00587008" w:rsidRPr="003563C6" w14:paraId="5764BCBA" w14:textId="77777777" w:rsidTr="00587008">
        <w:trPr>
          <w:trHeight w:val="20"/>
        </w:trPr>
        <w:tc>
          <w:tcPr>
            <w:tcW w:w="1269" w:type="dxa"/>
            <w:tcBorders>
              <w:top w:val="nil"/>
              <w:left w:val="nil"/>
              <w:bottom w:val="single" w:sz="4" w:space="0" w:color="auto"/>
              <w:right w:val="nil"/>
            </w:tcBorders>
            <w:shd w:val="clear" w:color="auto" w:fill="auto"/>
            <w:noWrap/>
            <w:hideMark/>
          </w:tcPr>
          <w:p w14:paraId="14759650" w14:textId="77777777" w:rsidR="00E418B6" w:rsidRPr="00C83C4D" w:rsidRDefault="00E418B6" w:rsidP="003D7D2C">
            <w:pPr>
              <w:pStyle w:val="FigureCaptions"/>
            </w:pPr>
          </w:p>
        </w:tc>
        <w:tc>
          <w:tcPr>
            <w:tcW w:w="693" w:type="dxa"/>
            <w:tcBorders>
              <w:top w:val="nil"/>
              <w:left w:val="nil"/>
              <w:bottom w:val="single" w:sz="4" w:space="0" w:color="auto"/>
              <w:right w:val="nil"/>
            </w:tcBorders>
            <w:shd w:val="clear" w:color="auto" w:fill="auto"/>
            <w:noWrap/>
            <w:hideMark/>
          </w:tcPr>
          <w:p w14:paraId="7E142791" w14:textId="77777777" w:rsidR="00E418B6" w:rsidRPr="00C83C4D" w:rsidRDefault="00E418B6" w:rsidP="003D7D2C">
            <w:pPr>
              <w:pStyle w:val="FigureCaptions"/>
            </w:pPr>
            <w:r w:rsidRPr="00EF00EE">
              <w:t>300s</w:t>
            </w:r>
          </w:p>
        </w:tc>
        <w:tc>
          <w:tcPr>
            <w:tcW w:w="1350" w:type="dxa"/>
            <w:gridSpan w:val="2"/>
            <w:tcBorders>
              <w:top w:val="nil"/>
              <w:left w:val="nil"/>
              <w:bottom w:val="single" w:sz="4" w:space="0" w:color="auto"/>
              <w:right w:val="nil"/>
            </w:tcBorders>
            <w:shd w:val="clear" w:color="auto" w:fill="auto"/>
            <w:noWrap/>
            <w:hideMark/>
          </w:tcPr>
          <w:p w14:paraId="663EE1D4" w14:textId="77777777" w:rsidR="00E418B6" w:rsidRPr="00C83C4D" w:rsidRDefault="00E418B6" w:rsidP="003D7D2C">
            <w:pPr>
              <w:pStyle w:val="FigureCaptions"/>
              <w:jc w:val="right"/>
            </w:pPr>
            <w:r w:rsidRPr="00EF00EE">
              <w:t>30.9</w:t>
            </w:r>
          </w:p>
        </w:tc>
        <w:tc>
          <w:tcPr>
            <w:tcW w:w="1350" w:type="dxa"/>
            <w:tcBorders>
              <w:top w:val="nil"/>
              <w:left w:val="nil"/>
              <w:bottom w:val="single" w:sz="4" w:space="0" w:color="auto"/>
              <w:right w:val="nil"/>
            </w:tcBorders>
            <w:shd w:val="clear" w:color="auto" w:fill="auto"/>
            <w:noWrap/>
            <w:hideMark/>
          </w:tcPr>
          <w:p w14:paraId="156A8179" w14:textId="77777777" w:rsidR="00E418B6" w:rsidRPr="00C83C4D" w:rsidRDefault="00E418B6" w:rsidP="003D7D2C">
            <w:pPr>
              <w:pStyle w:val="FigureCaptions"/>
              <w:jc w:val="right"/>
            </w:pPr>
            <w:r w:rsidRPr="00EF00EE">
              <w:t>40.25</w:t>
            </w:r>
          </w:p>
        </w:tc>
        <w:tc>
          <w:tcPr>
            <w:tcW w:w="1440" w:type="dxa"/>
            <w:tcBorders>
              <w:top w:val="nil"/>
              <w:left w:val="nil"/>
              <w:bottom w:val="single" w:sz="4" w:space="0" w:color="auto"/>
              <w:right w:val="nil"/>
            </w:tcBorders>
            <w:shd w:val="clear" w:color="auto" w:fill="auto"/>
            <w:noWrap/>
            <w:hideMark/>
          </w:tcPr>
          <w:p w14:paraId="31F5B14F" w14:textId="77777777" w:rsidR="00E418B6" w:rsidRPr="00C83C4D" w:rsidRDefault="00E418B6" w:rsidP="003D7D2C">
            <w:pPr>
              <w:pStyle w:val="FigureCaptions"/>
              <w:jc w:val="right"/>
            </w:pPr>
            <w:r w:rsidRPr="00EF00EE">
              <w:t>18.01</w:t>
            </w:r>
          </w:p>
        </w:tc>
        <w:tc>
          <w:tcPr>
            <w:tcW w:w="1350" w:type="dxa"/>
            <w:tcBorders>
              <w:top w:val="nil"/>
              <w:left w:val="nil"/>
              <w:bottom w:val="single" w:sz="4" w:space="0" w:color="auto"/>
              <w:right w:val="nil"/>
            </w:tcBorders>
            <w:shd w:val="clear" w:color="auto" w:fill="auto"/>
            <w:noWrap/>
            <w:hideMark/>
          </w:tcPr>
          <w:p w14:paraId="399FFFF0" w14:textId="77777777" w:rsidR="00E418B6" w:rsidRPr="00C83C4D" w:rsidRDefault="00E418B6" w:rsidP="003D7D2C">
            <w:pPr>
              <w:pStyle w:val="FigureCaptions"/>
              <w:jc w:val="right"/>
            </w:pPr>
            <w:r w:rsidRPr="00EF00EE">
              <w:t>89.16</w:t>
            </w:r>
          </w:p>
        </w:tc>
        <w:tc>
          <w:tcPr>
            <w:tcW w:w="1044" w:type="dxa"/>
            <w:tcBorders>
              <w:top w:val="nil"/>
              <w:left w:val="nil"/>
              <w:bottom w:val="single" w:sz="4" w:space="0" w:color="auto"/>
              <w:right w:val="nil"/>
            </w:tcBorders>
          </w:tcPr>
          <w:p w14:paraId="4A2A64AA" w14:textId="77777777" w:rsidR="00E418B6" w:rsidRPr="00F32798" w:rsidRDefault="00E418B6" w:rsidP="003D7D2C">
            <w:pPr>
              <w:pStyle w:val="FigureCaptions"/>
              <w:jc w:val="right"/>
            </w:pPr>
            <w:r w:rsidRPr="00EF00EE">
              <w:t>42.4%</w:t>
            </w:r>
          </w:p>
        </w:tc>
      </w:tr>
      <w:tr w:rsidR="00587008" w:rsidRPr="003563C6" w14:paraId="734766A2" w14:textId="77777777" w:rsidTr="00587008">
        <w:trPr>
          <w:trHeight w:val="20"/>
        </w:trPr>
        <w:tc>
          <w:tcPr>
            <w:tcW w:w="1269" w:type="dxa"/>
            <w:tcBorders>
              <w:top w:val="single" w:sz="4" w:space="0" w:color="auto"/>
              <w:left w:val="nil"/>
              <w:bottom w:val="nil"/>
              <w:right w:val="nil"/>
            </w:tcBorders>
            <w:shd w:val="clear" w:color="auto" w:fill="auto"/>
            <w:noWrap/>
            <w:hideMark/>
          </w:tcPr>
          <w:p w14:paraId="4EA905C9" w14:textId="77777777" w:rsidR="00E418B6" w:rsidRPr="00C83C4D" w:rsidRDefault="00E418B6" w:rsidP="003D7D2C">
            <w:pPr>
              <w:pStyle w:val="FigureCaptions"/>
            </w:pPr>
            <w:r w:rsidRPr="00EF00EE">
              <w:t>400°C</w:t>
            </w:r>
          </w:p>
        </w:tc>
        <w:tc>
          <w:tcPr>
            <w:tcW w:w="693" w:type="dxa"/>
            <w:tcBorders>
              <w:top w:val="single" w:sz="4" w:space="0" w:color="auto"/>
              <w:left w:val="nil"/>
              <w:bottom w:val="nil"/>
              <w:right w:val="nil"/>
            </w:tcBorders>
            <w:shd w:val="clear" w:color="auto" w:fill="auto"/>
            <w:noWrap/>
            <w:hideMark/>
          </w:tcPr>
          <w:p w14:paraId="454FBE2B" w14:textId="77777777" w:rsidR="00E418B6" w:rsidRPr="00C83C4D" w:rsidRDefault="00E418B6" w:rsidP="003D7D2C">
            <w:pPr>
              <w:pStyle w:val="FigureCaptions"/>
            </w:pPr>
            <w:r w:rsidRPr="00EF00EE">
              <w:t>30s</w:t>
            </w:r>
          </w:p>
        </w:tc>
        <w:tc>
          <w:tcPr>
            <w:tcW w:w="1350" w:type="dxa"/>
            <w:gridSpan w:val="2"/>
            <w:tcBorders>
              <w:top w:val="single" w:sz="4" w:space="0" w:color="auto"/>
              <w:left w:val="nil"/>
              <w:bottom w:val="nil"/>
              <w:right w:val="nil"/>
            </w:tcBorders>
            <w:shd w:val="clear" w:color="auto" w:fill="auto"/>
            <w:noWrap/>
            <w:hideMark/>
          </w:tcPr>
          <w:p w14:paraId="1F3F62C5" w14:textId="77777777" w:rsidR="00E418B6" w:rsidRPr="00C83C4D" w:rsidRDefault="00E418B6" w:rsidP="003D7D2C">
            <w:pPr>
              <w:pStyle w:val="FigureCaptions"/>
              <w:jc w:val="right"/>
            </w:pPr>
            <w:r w:rsidRPr="00EF00EE">
              <w:t>30.9</w:t>
            </w:r>
          </w:p>
        </w:tc>
        <w:tc>
          <w:tcPr>
            <w:tcW w:w="1350" w:type="dxa"/>
            <w:tcBorders>
              <w:top w:val="single" w:sz="4" w:space="0" w:color="auto"/>
              <w:left w:val="nil"/>
              <w:bottom w:val="nil"/>
              <w:right w:val="nil"/>
            </w:tcBorders>
            <w:shd w:val="clear" w:color="auto" w:fill="auto"/>
            <w:noWrap/>
            <w:hideMark/>
          </w:tcPr>
          <w:p w14:paraId="5DBCEFAA" w14:textId="77777777" w:rsidR="00E418B6" w:rsidRPr="00C83C4D" w:rsidRDefault="00E418B6" w:rsidP="003D7D2C">
            <w:pPr>
              <w:pStyle w:val="FigureCaptions"/>
              <w:jc w:val="right"/>
            </w:pPr>
            <w:r w:rsidRPr="00EF00EE">
              <w:t>47.36</w:t>
            </w:r>
          </w:p>
        </w:tc>
        <w:tc>
          <w:tcPr>
            <w:tcW w:w="1440" w:type="dxa"/>
            <w:tcBorders>
              <w:top w:val="single" w:sz="4" w:space="0" w:color="auto"/>
              <w:left w:val="nil"/>
              <w:bottom w:val="nil"/>
              <w:right w:val="nil"/>
            </w:tcBorders>
            <w:shd w:val="clear" w:color="auto" w:fill="auto"/>
            <w:noWrap/>
            <w:hideMark/>
          </w:tcPr>
          <w:p w14:paraId="34432D44" w14:textId="77777777" w:rsidR="00E418B6" w:rsidRPr="00C83C4D" w:rsidRDefault="00E418B6" w:rsidP="003D7D2C">
            <w:pPr>
              <w:pStyle w:val="FigureCaptions"/>
              <w:jc w:val="right"/>
            </w:pPr>
            <w:r w:rsidRPr="00EF00EE">
              <w:t>9.38</w:t>
            </w:r>
          </w:p>
        </w:tc>
        <w:tc>
          <w:tcPr>
            <w:tcW w:w="1350" w:type="dxa"/>
            <w:tcBorders>
              <w:top w:val="single" w:sz="4" w:space="0" w:color="auto"/>
              <w:left w:val="nil"/>
              <w:bottom w:val="nil"/>
              <w:right w:val="nil"/>
            </w:tcBorders>
            <w:shd w:val="clear" w:color="auto" w:fill="auto"/>
            <w:noWrap/>
            <w:hideMark/>
          </w:tcPr>
          <w:p w14:paraId="102C61BF" w14:textId="77777777" w:rsidR="00E418B6" w:rsidRPr="00C83C4D" w:rsidRDefault="00E418B6" w:rsidP="003D7D2C">
            <w:pPr>
              <w:pStyle w:val="FigureCaptions"/>
              <w:jc w:val="right"/>
            </w:pPr>
            <w:r w:rsidRPr="00EF00EE">
              <w:t>87.64</w:t>
            </w:r>
          </w:p>
        </w:tc>
        <w:tc>
          <w:tcPr>
            <w:tcW w:w="1044" w:type="dxa"/>
            <w:tcBorders>
              <w:top w:val="single" w:sz="4" w:space="0" w:color="auto"/>
              <w:left w:val="nil"/>
              <w:bottom w:val="nil"/>
              <w:right w:val="nil"/>
            </w:tcBorders>
          </w:tcPr>
          <w:p w14:paraId="11AEA046" w14:textId="77777777" w:rsidR="00E418B6" w:rsidRPr="00F32798" w:rsidRDefault="00E418B6" w:rsidP="003D7D2C">
            <w:pPr>
              <w:pStyle w:val="FigureCaptions"/>
              <w:jc w:val="right"/>
            </w:pPr>
            <w:r w:rsidRPr="00EF00EE">
              <w:t>41.7%</w:t>
            </w:r>
          </w:p>
        </w:tc>
      </w:tr>
      <w:tr w:rsidR="00587008" w:rsidRPr="003563C6" w14:paraId="6C0CB7B3" w14:textId="77777777" w:rsidTr="00587008">
        <w:trPr>
          <w:trHeight w:val="20"/>
        </w:trPr>
        <w:tc>
          <w:tcPr>
            <w:tcW w:w="1269" w:type="dxa"/>
            <w:tcBorders>
              <w:top w:val="nil"/>
              <w:left w:val="nil"/>
              <w:bottom w:val="nil"/>
              <w:right w:val="nil"/>
            </w:tcBorders>
            <w:shd w:val="clear" w:color="auto" w:fill="auto"/>
            <w:noWrap/>
            <w:hideMark/>
          </w:tcPr>
          <w:p w14:paraId="15394074" w14:textId="77777777" w:rsidR="00E418B6" w:rsidRPr="00C83C4D" w:rsidRDefault="00E418B6" w:rsidP="003D7D2C">
            <w:pPr>
              <w:pStyle w:val="FigureCaptions"/>
            </w:pPr>
          </w:p>
        </w:tc>
        <w:tc>
          <w:tcPr>
            <w:tcW w:w="693" w:type="dxa"/>
            <w:tcBorders>
              <w:top w:val="nil"/>
              <w:left w:val="nil"/>
              <w:bottom w:val="nil"/>
              <w:right w:val="nil"/>
            </w:tcBorders>
            <w:shd w:val="clear" w:color="auto" w:fill="auto"/>
            <w:noWrap/>
            <w:hideMark/>
          </w:tcPr>
          <w:p w14:paraId="506A4F52" w14:textId="77777777" w:rsidR="00E418B6" w:rsidRPr="00C83C4D" w:rsidRDefault="00E418B6" w:rsidP="003D7D2C">
            <w:pPr>
              <w:pStyle w:val="FigureCaptions"/>
            </w:pPr>
            <w:r w:rsidRPr="00EF00EE">
              <w:t>60s</w:t>
            </w:r>
          </w:p>
        </w:tc>
        <w:tc>
          <w:tcPr>
            <w:tcW w:w="1350" w:type="dxa"/>
            <w:gridSpan w:val="2"/>
            <w:tcBorders>
              <w:top w:val="nil"/>
              <w:left w:val="nil"/>
              <w:bottom w:val="nil"/>
              <w:right w:val="nil"/>
            </w:tcBorders>
            <w:shd w:val="clear" w:color="auto" w:fill="auto"/>
            <w:noWrap/>
            <w:hideMark/>
          </w:tcPr>
          <w:p w14:paraId="1971EAF0" w14:textId="77777777" w:rsidR="00E418B6" w:rsidRPr="00C83C4D" w:rsidRDefault="00E418B6" w:rsidP="003D7D2C">
            <w:pPr>
              <w:pStyle w:val="FigureCaptions"/>
              <w:jc w:val="right"/>
            </w:pPr>
            <w:r w:rsidRPr="00EF00EE">
              <w:t>30.9</w:t>
            </w:r>
          </w:p>
        </w:tc>
        <w:tc>
          <w:tcPr>
            <w:tcW w:w="1350" w:type="dxa"/>
            <w:tcBorders>
              <w:top w:val="nil"/>
              <w:left w:val="nil"/>
              <w:bottom w:val="nil"/>
              <w:right w:val="nil"/>
            </w:tcBorders>
            <w:shd w:val="clear" w:color="auto" w:fill="auto"/>
            <w:noWrap/>
            <w:hideMark/>
          </w:tcPr>
          <w:p w14:paraId="424EAD1D" w14:textId="77777777" w:rsidR="00E418B6" w:rsidRPr="00C83C4D" w:rsidRDefault="00E418B6" w:rsidP="003D7D2C">
            <w:pPr>
              <w:pStyle w:val="FigureCaptions"/>
              <w:jc w:val="right"/>
            </w:pPr>
            <w:r w:rsidRPr="00EF00EE">
              <w:t>69.69</w:t>
            </w:r>
          </w:p>
        </w:tc>
        <w:tc>
          <w:tcPr>
            <w:tcW w:w="1440" w:type="dxa"/>
            <w:tcBorders>
              <w:top w:val="nil"/>
              <w:left w:val="nil"/>
              <w:bottom w:val="nil"/>
              <w:right w:val="nil"/>
            </w:tcBorders>
            <w:shd w:val="clear" w:color="auto" w:fill="auto"/>
            <w:noWrap/>
            <w:hideMark/>
          </w:tcPr>
          <w:p w14:paraId="5F5406A7" w14:textId="77777777" w:rsidR="00E418B6" w:rsidRPr="00C83C4D" w:rsidRDefault="00E418B6" w:rsidP="003D7D2C">
            <w:pPr>
              <w:pStyle w:val="FigureCaptions"/>
              <w:jc w:val="right"/>
            </w:pPr>
            <w:r w:rsidRPr="00EF00EE">
              <w:t>6.54</w:t>
            </w:r>
          </w:p>
        </w:tc>
        <w:tc>
          <w:tcPr>
            <w:tcW w:w="1350" w:type="dxa"/>
            <w:tcBorders>
              <w:top w:val="nil"/>
              <w:left w:val="nil"/>
              <w:bottom w:val="nil"/>
              <w:right w:val="nil"/>
            </w:tcBorders>
            <w:shd w:val="clear" w:color="auto" w:fill="auto"/>
            <w:noWrap/>
            <w:hideMark/>
          </w:tcPr>
          <w:p w14:paraId="35901BB2" w14:textId="77777777" w:rsidR="00E418B6" w:rsidRPr="00C83C4D" w:rsidRDefault="00E418B6" w:rsidP="003D7D2C">
            <w:pPr>
              <w:pStyle w:val="FigureCaptions"/>
              <w:jc w:val="right"/>
            </w:pPr>
            <w:r w:rsidRPr="00EF00EE">
              <w:t>107.13</w:t>
            </w:r>
          </w:p>
        </w:tc>
        <w:tc>
          <w:tcPr>
            <w:tcW w:w="1044" w:type="dxa"/>
            <w:tcBorders>
              <w:top w:val="nil"/>
              <w:left w:val="nil"/>
              <w:bottom w:val="nil"/>
              <w:right w:val="nil"/>
            </w:tcBorders>
          </w:tcPr>
          <w:p w14:paraId="74834C22" w14:textId="77777777" w:rsidR="00E418B6" w:rsidRPr="00F32798" w:rsidRDefault="00E418B6" w:rsidP="003D7D2C">
            <w:pPr>
              <w:pStyle w:val="FigureCaptions"/>
              <w:jc w:val="right"/>
            </w:pPr>
            <w:r w:rsidRPr="00EF00EE">
              <w:t>51.0%</w:t>
            </w:r>
          </w:p>
        </w:tc>
      </w:tr>
      <w:tr w:rsidR="00587008" w:rsidRPr="003563C6" w14:paraId="57232230" w14:textId="77777777" w:rsidTr="00587008">
        <w:trPr>
          <w:trHeight w:val="20"/>
        </w:trPr>
        <w:tc>
          <w:tcPr>
            <w:tcW w:w="1269" w:type="dxa"/>
            <w:tcBorders>
              <w:top w:val="nil"/>
              <w:left w:val="nil"/>
              <w:bottom w:val="nil"/>
              <w:right w:val="nil"/>
            </w:tcBorders>
            <w:shd w:val="clear" w:color="auto" w:fill="auto"/>
            <w:noWrap/>
            <w:hideMark/>
          </w:tcPr>
          <w:p w14:paraId="3EF037E7" w14:textId="77777777" w:rsidR="00E418B6" w:rsidRPr="00C83C4D" w:rsidRDefault="00E418B6" w:rsidP="003D7D2C">
            <w:pPr>
              <w:pStyle w:val="FigureCaptions"/>
            </w:pPr>
          </w:p>
        </w:tc>
        <w:tc>
          <w:tcPr>
            <w:tcW w:w="693" w:type="dxa"/>
            <w:tcBorders>
              <w:top w:val="nil"/>
              <w:left w:val="nil"/>
              <w:bottom w:val="nil"/>
              <w:right w:val="nil"/>
            </w:tcBorders>
            <w:shd w:val="clear" w:color="auto" w:fill="auto"/>
            <w:noWrap/>
            <w:hideMark/>
          </w:tcPr>
          <w:p w14:paraId="209D65B9" w14:textId="77777777" w:rsidR="00E418B6" w:rsidRPr="00C83C4D" w:rsidRDefault="00E418B6" w:rsidP="003D7D2C">
            <w:pPr>
              <w:pStyle w:val="FigureCaptions"/>
            </w:pPr>
            <w:r w:rsidRPr="00EF00EE">
              <w:t>120s</w:t>
            </w:r>
          </w:p>
        </w:tc>
        <w:tc>
          <w:tcPr>
            <w:tcW w:w="1350" w:type="dxa"/>
            <w:gridSpan w:val="2"/>
            <w:tcBorders>
              <w:top w:val="nil"/>
              <w:left w:val="nil"/>
              <w:bottom w:val="nil"/>
              <w:right w:val="nil"/>
            </w:tcBorders>
            <w:shd w:val="clear" w:color="auto" w:fill="auto"/>
            <w:noWrap/>
            <w:hideMark/>
          </w:tcPr>
          <w:p w14:paraId="515424A6" w14:textId="77777777" w:rsidR="00E418B6" w:rsidRPr="00C83C4D" w:rsidRDefault="00E418B6" w:rsidP="003D7D2C">
            <w:pPr>
              <w:pStyle w:val="FigureCaptions"/>
              <w:jc w:val="right"/>
            </w:pPr>
            <w:r w:rsidRPr="00EF00EE">
              <w:t>30.9</w:t>
            </w:r>
          </w:p>
        </w:tc>
        <w:tc>
          <w:tcPr>
            <w:tcW w:w="1350" w:type="dxa"/>
            <w:tcBorders>
              <w:top w:val="nil"/>
              <w:left w:val="nil"/>
              <w:bottom w:val="nil"/>
              <w:right w:val="nil"/>
            </w:tcBorders>
            <w:shd w:val="clear" w:color="auto" w:fill="auto"/>
            <w:noWrap/>
            <w:hideMark/>
          </w:tcPr>
          <w:p w14:paraId="240EE839" w14:textId="77777777" w:rsidR="00E418B6" w:rsidRPr="00C83C4D" w:rsidRDefault="00E418B6" w:rsidP="003D7D2C">
            <w:pPr>
              <w:pStyle w:val="FigureCaptions"/>
              <w:jc w:val="right"/>
            </w:pPr>
            <w:r w:rsidRPr="00EF00EE">
              <w:t>68.62</w:t>
            </w:r>
          </w:p>
        </w:tc>
        <w:tc>
          <w:tcPr>
            <w:tcW w:w="1440" w:type="dxa"/>
            <w:tcBorders>
              <w:top w:val="nil"/>
              <w:left w:val="nil"/>
              <w:bottom w:val="nil"/>
              <w:right w:val="nil"/>
            </w:tcBorders>
            <w:shd w:val="clear" w:color="auto" w:fill="auto"/>
            <w:noWrap/>
            <w:hideMark/>
          </w:tcPr>
          <w:p w14:paraId="6AEF861B" w14:textId="77777777" w:rsidR="00E418B6" w:rsidRPr="00C83C4D" w:rsidRDefault="00E418B6" w:rsidP="003D7D2C">
            <w:pPr>
              <w:pStyle w:val="FigureCaptions"/>
              <w:jc w:val="right"/>
            </w:pPr>
            <w:r w:rsidRPr="00EF00EE">
              <w:t>4.20</w:t>
            </w:r>
          </w:p>
        </w:tc>
        <w:tc>
          <w:tcPr>
            <w:tcW w:w="1350" w:type="dxa"/>
            <w:tcBorders>
              <w:top w:val="nil"/>
              <w:left w:val="nil"/>
              <w:bottom w:val="nil"/>
              <w:right w:val="nil"/>
            </w:tcBorders>
            <w:shd w:val="clear" w:color="auto" w:fill="auto"/>
            <w:noWrap/>
            <w:hideMark/>
          </w:tcPr>
          <w:p w14:paraId="01F8AAE1" w14:textId="77777777" w:rsidR="00E418B6" w:rsidRPr="00C83C4D" w:rsidRDefault="00E418B6" w:rsidP="003D7D2C">
            <w:pPr>
              <w:pStyle w:val="FigureCaptions"/>
              <w:jc w:val="right"/>
            </w:pPr>
            <w:r w:rsidRPr="00EF00EE">
              <w:t>103.72</w:t>
            </w:r>
          </w:p>
        </w:tc>
        <w:tc>
          <w:tcPr>
            <w:tcW w:w="1044" w:type="dxa"/>
            <w:tcBorders>
              <w:top w:val="nil"/>
              <w:left w:val="nil"/>
              <w:bottom w:val="nil"/>
              <w:right w:val="nil"/>
            </w:tcBorders>
          </w:tcPr>
          <w:p w14:paraId="3BC030F6" w14:textId="77777777" w:rsidR="00E418B6" w:rsidRPr="00F32798" w:rsidRDefault="00E418B6" w:rsidP="003D7D2C">
            <w:pPr>
              <w:pStyle w:val="FigureCaptions"/>
              <w:jc w:val="right"/>
            </w:pPr>
            <w:r w:rsidRPr="00EF00EE">
              <w:t>49.3%</w:t>
            </w:r>
          </w:p>
        </w:tc>
      </w:tr>
      <w:tr w:rsidR="00587008" w:rsidRPr="003563C6" w14:paraId="5C8AA2AD" w14:textId="77777777" w:rsidTr="00587008">
        <w:trPr>
          <w:trHeight w:val="20"/>
        </w:trPr>
        <w:tc>
          <w:tcPr>
            <w:tcW w:w="1269" w:type="dxa"/>
            <w:tcBorders>
              <w:top w:val="nil"/>
              <w:left w:val="nil"/>
              <w:bottom w:val="single" w:sz="4" w:space="0" w:color="auto"/>
              <w:right w:val="nil"/>
            </w:tcBorders>
            <w:shd w:val="clear" w:color="auto" w:fill="auto"/>
            <w:noWrap/>
            <w:hideMark/>
          </w:tcPr>
          <w:p w14:paraId="79E36D97" w14:textId="77777777" w:rsidR="00E418B6" w:rsidRPr="00C83C4D" w:rsidRDefault="00E418B6" w:rsidP="003D7D2C">
            <w:pPr>
              <w:pStyle w:val="FigureCaptions"/>
            </w:pPr>
          </w:p>
        </w:tc>
        <w:tc>
          <w:tcPr>
            <w:tcW w:w="693" w:type="dxa"/>
            <w:tcBorders>
              <w:top w:val="nil"/>
              <w:left w:val="nil"/>
              <w:bottom w:val="single" w:sz="4" w:space="0" w:color="auto"/>
              <w:right w:val="nil"/>
            </w:tcBorders>
            <w:shd w:val="clear" w:color="auto" w:fill="auto"/>
            <w:noWrap/>
            <w:hideMark/>
          </w:tcPr>
          <w:p w14:paraId="24F0381D" w14:textId="77777777" w:rsidR="00E418B6" w:rsidRPr="00C83C4D" w:rsidRDefault="00E418B6" w:rsidP="003D7D2C">
            <w:pPr>
              <w:pStyle w:val="FigureCaptions"/>
            </w:pPr>
            <w:r w:rsidRPr="00EF00EE">
              <w:t>180s</w:t>
            </w:r>
          </w:p>
        </w:tc>
        <w:tc>
          <w:tcPr>
            <w:tcW w:w="1350" w:type="dxa"/>
            <w:gridSpan w:val="2"/>
            <w:tcBorders>
              <w:top w:val="nil"/>
              <w:left w:val="nil"/>
              <w:bottom w:val="single" w:sz="4" w:space="0" w:color="auto"/>
              <w:right w:val="nil"/>
            </w:tcBorders>
            <w:shd w:val="clear" w:color="auto" w:fill="auto"/>
            <w:noWrap/>
            <w:hideMark/>
          </w:tcPr>
          <w:p w14:paraId="2EA5668F" w14:textId="77777777" w:rsidR="00E418B6" w:rsidRPr="00C83C4D" w:rsidRDefault="00E418B6" w:rsidP="003D7D2C">
            <w:pPr>
              <w:pStyle w:val="FigureCaptions"/>
              <w:jc w:val="right"/>
            </w:pPr>
            <w:r w:rsidRPr="00EF00EE">
              <w:t>30.9</w:t>
            </w:r>
          </w:p>
        </w:tc>
        <w:tc>
          <w:tcPr>
            <w:tcW w:w="1350" w:type="dxa"/>
            <w:tcBorders>
              <w:top w:val="nil"/>
              <w:left w:val="nil"/>
              <w:bottom w:val="single" w:sz="4" w:space="0" w:color="auto"/>
              <w:right w:val="nil"/>
            </w:tcBorders>
            <w:shd w:val="clear" w:color="auto" w:fill="auto"/>
            <w:noWrap/>
            <w:hideMark/>
          </w:tcPr>
          <w:p w14:paraId="1A5C545E" w14:textId="77777777" w:rsidR="00E418B6" w:rsidRPr="00C83C4D" w:rsidRDefault="00E418B6" w:rsidP="003D7D2C">
            <w:pPr>
              <w:pStyle w:val="FigureCaptions"/>
              <w:jc w:val="right"/>
            </w:pPr>
            <w:r w:rsidRPr="00EF00EE">
              <w:t>50.61</w:t>
            </w:r>
          </w:p>
        </w:tc>
        <w:tc>
          <w:tcPr>
            <w:tcW w:w="1440" w:type="dxa"/>
            <w:tcBorders>
              <w:top w:val="nil"/>
              <w:left w:val="nil"/>
              <w:bottom w:val="single" w:sz="4" w:space="0" w:color="auto"/>
              <w:right w:val="nil"/>
            </w:tcBorders>
            <w:shd w:val="clear" w:color="auto" w:fill="auto"/>
            <w:noWrap/>
            <w:hideMark/>
          </w:tcPr>
          <w:p w14:paraId="631D5A83" w14:textId="77777777" w:rsidR="00E418B6" w:rsidRPr="00C83C4D" w:rsidRDefault="00E418B6" w:rsidP="003D7D2C">
            <w:pPr>
              <w:pStyle w:val="FigureCaptions"/>
              <w:jc w:val="right"/>
            </w:pPr>
            <w:r w:rsidRPr="00EF00EE">
              <w:t>3.65</w:t>
            </w:r>
          </w:p>
        </w:tc>
        <w:tc>
          <w:tcPr>
            <w:tcW w:w="1350" w:type="dxa"/>
            <w:tcBorders>
              <w:top w:val="nil"/>
              <w:left w:val="nil"/>
              <w:bottom w:val="single" w:sz="4" w:space="0" w:color="auto"/>
              <w:right w:val="nil"/>
            </w:tcBorders>
            <w:shd w:val="clear" w:color="auto" w:fill="auto"/>
            <w:noWrap/>
            <w:hideMark/>
          </w:tcPr>
          <w:p w14:paraId="78262E8D" w14:textId="77777777" w:rsidR="00E418B6" w:rsidRPr="00C83C4D" w:rsidRDefault="00E418B6" w:rsidP="003D7D2C">
            <w:pPr>
              <w:pStyle w:val="FigureCaptions"/>
              <w:jc w:val="right"/>
            </w:pPr>
            <w:r w:rsidRPr="00EF00EE">
              <w:t>85.16</w:t>
            </w:r>
          </w:p>
        </w:tc>
        <w:tc>
          <w:tcPr>
            <w:tcW w:w="1044" w:type="dxa"/>
            <w:tcBorders>
              <w:top w:val="nil"/>
              <w:left w:val="nil"/>
              <w:bottom w:val="single" w:sz="4" w:space="0" w:color="auto"/>
              <w:right w:val="nil"/>
            </w:tcBorders>
          </w:tcPr>
          <w:p w14:paraId="6BD4C4B1" w14:textId="77777777" w:rsidR="00E418B6" w:rsidRPr="00F32798" w:rsidRDefault="00E418B6" w:rsidP="003D7D2C">
            <w:pPr>
              <w:pStyle w:val="FigureCaptions"/>
              <w:jc w:val="right"/>
            </w:pPr>
            <w:r w:rsidRPr="00EF00EE">
              <w:t>40.5%</w:t>
            </w:r>
          </w:p>
        </w:tc>
      </w:tr>
      <w:tr w:rsidR="00587008" w:rsidRPr="003563C6" w14:paraId="1A708AAA" w14:textId="77777777" w:rsidTr="00587008">
        <w:trPr>
          <w:trHeight w:val="20"/>
        </w:trPr>
        <w:tc>
          <w:tcPr>
            <w:tcW w:w="1269" w:type="dxa"/>
            <w:tcBorders>
              <w:top w:val="single" w:sz="4" w:space="0" w:color="auto"/>
              <w:left w:val="nil"/>
              <w:bottom w:val="nil"/>
              <w:right w:val="nil"/>
            </w:tcBorders>
            <w:shd w:val="clear" w:color="auto" w:fill="auto"/>
            <w:noWrap/>
            <w:hideMark/>
          </w:tcPr>
          <w:p w14:paraId="4D8FA1BC" w14:textId="77777777" w:rsidR="00E418B6" w:rsidRPr="00C83C4D" w:rsidRDefault="00E418B6" w:rsidP="003D7D2C">
            <w:pPr>
              <w:pStyle w:val="FigureCaptions"/>
            </w:pPr>
            <w:r w:rsidRPr="00EF00EE">
              <w:t>500°C</w:t>
            </w:r>
          </w:p>
        </w:tc>
        <w:tc>
          <w:tcPr>
            <w:tcW w:w="693" w:type="dxa"/>
            <w:tcBorders>
              <w:top w:val="single" w:sz="4" w:space="0" w:color="auto"/>
              <w:left w:val="nil"/>
              <w:bottom w:val="nil"/>
              <w:right w:val="nil"/>
            </w:tcBorders>
            <w:shd w:val="clear" w:color="auto" w:fill="auto"/>
            <w:noWrap/>
            <w:hideMark/>
          </w:tcPr>
          <w:p w14:paraId="1A3C8FCD" w14:textId="77777777" w:rsidR="00E418B6" w:rsidRPr="00C83C4D" w:rsidRDefault="00E418B6" w:rsidP="003D7D2C">
            <w:pPr>
              <w:pStyle w:val="FigureCaptions"/>
            </w:pPr>
            <w:r w:rsidRPr="00EF00EE">
              <w:t>30s</w:t>
            </w:r>
          </w:p>
        </w:tc>
        <w:tc>
          <w:tcPr>
            <w:tcW w:w="1350" w:type="dxa"/>
            <w:gridSpan w:val="2"/>
            <w:tcBorders>
              <w:top w:val="single" w:sz="4" w:space="0" w:color="auto"/>
              <w:left w:val="nil"/>
              <w:bottom w:val="nil"/>
              <w:right w:val="nil"/>
            </w:tcBorders>
            <w:shd w:val="clear" w:color="auto" w:fill="auto"/>
            <w:noWrap/>
            <w:hideMark/>
          </w:tcPr>
          <w:p w14:paraId="20657188" w14:textId="77777777" w:rsidR="00E418B6" w:rsidRPr="00C83C4D" w:rsidRDefault="00E418B6" w:rsidP="003D7D2C">
            <w:pPr>
              <w:pStyle w:val="FigureCaptions"/>
              <w:jc w:val="right"/>
            </w:pPr>
            <w:r w:rsidRPr="00EF00EE">
              <w:t>30.9</w:t>
            </w:r>
          </w:p>
        </w:tc>
        <w:tc>
          <w:tcPr>
            <w:tcW w:w="1350" w:type="dxa"/>
            <w:tcBorders>
              <w:top w:val="single" w:sz="4" w:space="0" w:color="auto"/>
              <w:left w:val="nil"/>
              <w:bottom w:val="nil"/>
              <w:right w:val="nil"/>
            </w:tcBorders>
            <w:shd w:val="clear" w:color="auto" w:fill="auto"/>
            <w:noWrap/>
            <w:hideMark/>
          </w:tcPr>
          <w:p w14:paraId="6EC141E0" w14:textId="77777777" w:rsidR="00E418B6" w:rsidRPr="00C83C4D" w:rsidRDefault="00E418B6" w:rsidP="003D7D2C">
            <w:pPr>
              <w:pStyle w:val="FigureCaptions"/>
              <w:jc w:val="right"/>
            </w:pPr>
            <w:r w:rsidRPr="00EF00EE">
              <w:t>71.29</w:t>
            </w:r>
          </w:p>
        </w:tc>
        <w:tc>
          <w:tcPr>
            <w:tcW w:w="1440" w:type="dxa"/>
            <w:tcBorders>
              <w:top w:val="single" w:sz="4" w:space="0" w:color="auto"/>
              <w:left w:val="nil"/>
              <w:bottom w:val="nil"/>
              <w:right w:val="nil"/>
            </w:tcBorders>
            <w:shd w:val="clear" w:color="auto" w:fill="auto"/>
            <w:noWrap/>
            <w:hideMark/>
          </w:tcPr>
          <w:p w14:paraId="0709158E" w14:textId="77777777" w:rsidR="00E418B6" w:rsidRPr="00C83C4D" w:rsidRDefault="00E418B6" w:rsidP="003D7D2C">
            <w:pPr>
              <w:pStyle w:val="FigureCaptions"/>
              <w:jc w:val="right"/>
            </w:pPr>
            <w:r w:rsidRPr="00EF00EE">
              <w:t>4.32</w:t>
            </w:r>
          </w:p>
        </w:tc>
        <w:tc>
          <w:tcPr>
            <w:tcW w:w="1350" w:type="dxa"/>
            <w:tcBorders>
              <w:top w:val="single" w:sz="4" w:space="0" w:color="auto"/>
              <w:left w:val="nil"/>
              <w:bottom w:val="nil"/>
              <w:right w:val="nil"/>
            </w:tcBorders>
            <w:shd w:val="clear" w:color="auto" w:fill="auto"/>
            <w:noWrap/>
            <w:hideMark/>
          </w:tcPr>
          <w:p w14:paraId="028CA0B6" w14:textId="77777777" w:rsidR="00E418B6" w:rsidRPr="00C83C4D" w:rsidRDefault="00E418B6" w:rsidP="003D7D2C">
            <w:pPr>
              <w:pStyle w:val="FigureCaptions"/>
              <w:jc w:val="right"/>
            </w:pPr>
            <w:r w:rsidRPr="00EF00EE">
              <w:t>106.51</w:t>
            </w:r>
          </w:p>
        </w:tc>
        <w:tc>
          <w:tcPr>
            <w:tcW w:w="1044" w:type="dxa"/>
            <w:tcBorders>
              <w:top w:val="single" w:sz="4" w:space="0" w:color="auto"/>
              <w:left w:val="nil"/>
              <w:bottom w:val="nil"/>
              <w:right w:val="nil"/>
            </w:tcBorders>
          </w:tcPr>
          <w:p w14:paraId="67FE1B77" w14:textId="77777777" w:rsidR="00E418B6" w:rsidRPr="00F32798" w:rsidRDefault="00E418B6" w:rsidP="003D7D2C">
            <w:pPr>
              <w:pStyle w:val="FigureCaptions"/>
              <w:jc w:val="right"/>
            </w:pPr>
            <w:r w:rsidRPr="00EF00EE">
              <w:t>50.7%</w:t>
            </w:r>
          </w:p>
        </w:tc>
      </w:tr>
      <w:tr w:rsidR="00587008" w:rsidRPr="003563C6" w14:paraId="02CF428C" w14:textId="77777777" w:rsidTr="00587008">
        <w:trPr>
          <w:trHeight w:val="20"/>
        </w:trPr>
        <w:tc>
          <w:tcPr>
            <w:tcW w:w="1269" w:type="dxa"/>
            <w:tcBorders>
              <w:top w:val="nil"/>
              <w:left w:val="nil"/>
              <w:bottom w:val="nil"/>
              <w:right w:val="nil"/>
            </w:tcBorders>
            <w:shd w:val="clear" w:color="auto" w:fill="auto"/>
            <w:noWrap/>
            <w:hideMark/>
          </w:tcPr>
          <w:p w14:paraId="6A844B7C" w14:textId="77777777" w:rsidR="00E418B6" w:rsidRPr="00C83C4D" w:rsidRDefault="00E418B6" w:rsidP="003D7D2C">
            <w:pPr>
              <w:pStyle w:val="FigureCaptions"/>
            </w:pPr>
          </w:p>
        </w:tc>
        <w:tc>
          <w:tcPr>
            <w:tcW w:w="693" w:type="dxa"/>
            <w:tcBorders>
              <w:top w:val="nil"/>
              <w:left w:val="nil"/>
              <w:bottom w:val="nil"/>
              <w:right w:val="nil"/>
            </w:tcBorders>
            <w:shd w:val="clear" w:color="auto" w:fill="auto"/>
            <w:noWrap/>
            <w:hideMark/>
          </w:tcPr>
          <w:p w14:paraId="7050C8EF" w14:textId="77777777" w:rsidR="00E418B6" w:rsidRPr="00C83C4D" w:rsidRDefault="00E418B6" w:rsidP="003D7D2C">
            <w:pPr>
              <w:pStyle w:val="FigureCaptions"/>
            </w:pPr>
            <w:r w:rsidRPr="00EF00EE">
              <w:t>60s</w:t>
            </w:r>
          </w:p>
        </w:tc>
        <w:tc>
          <w:tcPr>
            <w:tcW w:w="1350" w:type="dxa"/>
            <w:gridSpan w:val="2"/>
            <w:tcBorders>
              <w:top w:val="nil"/>
              <w:left w:val="nil"/>
              <w:bottom w:val="nil"/>
              <w:right w:val="nil"/>
            </w:tcBorders>
            <w:shd w:val="clear" w:color="auto" w:fill="auto"/>
            <w:noWrap/>
            <w:hideMark/>
          </w:tcPr>
          <w:p w14:paraId="66396073" w14:textId="77777777" w:rsidR="00E418B6" w:rsidRPr="00C83C4D" w:rsidRDefault="00E418B6" w:rsidP="003D7D2C">
            <w:pPr>
              <w:pStyle w:val="FigureCaptions"/>
              <w:jc w:val="right"/>
            </w:pPr>
            <w:r w:rsidRPr="00EF00EE">
              <w:t>30.9</w:t>
            </w:r>
          </w:p>
        </w:tc>
        <w:tc>
          <w:tcPr>
            <w:tcW w:w="1350" w:type="dxa"/>
            <w:tcBorders>
              <w:top w:val="nil"/>
              <w:left w:val="nil"/>
              <w:bottom w:val="nil"/>
              <w:right w:val="nil"/>
            </w:tcBorders>
            <w:shd w:val="clear" w:color="auto" w:fill="auto"/>
            <w:noWrap/>
            <w:hideMark/>
          </w:tcPr>
          <w:p w14:paraId="4235FDB5" w14:textId="77777777" w:rsidR="00E418B6" w:rsidRPr="00C83C4D" w:rsidRDefault="00E418B6" w:rsidP="003D7D2C">
            <w:pPr>
              <w:pStyle w:val="FigureCaptions"/>
              <w:jc w:val="right"/>
            </w:pPr>
            <w:r w:rsidRPr="00EF00EE">
              <w:t>87.02</w:t>
            </w:r>
          </w:p>
        </w:tc>
        <w:tc>
          <w:tcPr>
            <w:tcW w:w="1440" w:type="dxa"/>
            <w:tcBorders>
              <w:top w:val="nil"/>
              <w:left w:val="nil"/>
              <w:bottom w:val="nil"/>
              <w:right w:val="nil"/>
            </w:tcBorders>
            <w:shd w:val="clear" w:color="auto" w:fill="auto"/>
            <w:noWrap/>
            <w:hideMark/>
          </w:tcPr>
          <w:p w14:paraId="2C52F21B" w14:textId="77777777" w:rsidR="00E418B6" w:rsidRPr="00C83C4D" w:rsidRDefault="00E418B6" w:rsidP="003D7D2C">
            <w:pPr>
              <w:pStyle w:val="FigureCaptions"/>
              <w:jc w:val="right"/>
            </w:pPr>
            <w:r w:rsidRPr="00EF00EE">
              <w:t>3.73</w:t>
            </w:r>
          </w:p>
        </w:tc>
        <w:tc>
          <w:tcPr>
            <w:tcW w:w="1350" w:type="dxa"/>
            <w:tcBorders>
              <w:top w:val="nil"/>
              <w:left w:val="nil"/>
              <w:bottom w:val="nil"/>
              <w:right w:val="nil"/>
            </w:tcBorders>
            <w:shd w:val="clear" w:color="auto" w:fill="auto"/>
            <w:noWrap/>
            <w:hideMark/>
          </w:tcPr>
          <w:p w14:paraId="051EB820" w14:textId="77777777" w:rsidR="00E418B6" w:rsidRPr="00C83C4D" w:rsidRDefault="00E418B6" w:rsidP="003D7D2C">
            <w:pPr>
              <w:pStyle w:val="FigureCaptions"/>
              <w:jc w:val="right"/>
            </w:pPr>
            <w:r w:rsidRPr="00EF00EE">
              <w:t>121.65</w:t>
            </w:r>
          </w:p>
        </w:tc>
        <w:tc>
          <w:tcPr>
            <w:tcW w:w="1044" w:type="dxa"/>
            <w:tcBorders>
              <w:top w:val="nil"/>
              <w:left w:val="nil"/>
              <w:bottom w:val="nil"/>
              <w:right w:val="nil"/>
            </w:tcBorders>
          </w:tcPr>
          <w:p w14:paraId="068A4D97" w14:textId="77777777" w:rsidR="00E418B6" w:rsidRPr="00F32798" w:rsidRDefault="00E418B6" w:rsidP="003D7D2C">
            <w:pPr>
              <w:pStyle w:val="FigureCaptions"/>
              <w:jc w:val="right"/>
            </w:pPr>
            <w:r w:rsidRPr="00EF00EE">
              <w:t>57.9%</w:t>
            </w:r>
          </w:p>
        </w:tc>
      </w:tr>
      <w:tr w:rsidR="00587008" w:rsidRPr="003563C6" w14:paraId="67981846" w14:textId="77777777" w:rsidTr="00587008">
        <w:trPr>
          <w:trHeight w:val="20"/>
        </w:trPr>
        <w:tc>
          <w:tcPr>
            <w:tcW w:w="1269" w:type="dxa"/>
            <w:tcBorders>
              <w:top w:val="nil"/>
              <w:left w:val="nil"/>
              <w:bottom w:val="nil"/>
              <w:right w:val="nil"/>
            </w:tcBorders>
            <w:shd w:val="clear" w:color="auto" w:fill="auto"/>
            <w:noWrap/>
            <w:hideMark/>
          </w:tcPr>
          <w:p w14:paraId="64389A2C" w14:textId="77777777" w:rsidR="00E418B6" w:rsidRPr="00C83C4D" w:rsidRDefault="00E418B6" w:rsidP="003D7D2C">
            <w:pPr>
              <w:pStyle w:val="FigureCaptions"/>
            </w:pPr>
          </w:p>
        </w:tc>
        <w:tc>
          <w:tcPr>
            <w:tcW w:w="693" w:type="dxa"/>
            <w:tcBorders>
              <w:top w:val="nil"/>
              <w:left w:val="nil"/>
              <w:bottom w:val="nil"/>
              <w:right w:val="nil"/>
            </w:tcBorders>
            <w:shd w:val="clear" w:color="auto" w:fill="auto"/>
            <w:noWrap/>
            <w:hideMark/>
          </w:tcPr>
          <w:p w14:paraId="6A7F755B" w14:textId="77777777" w:rsidR="00E418B6" w:rsidRPr="00C83C4D" w:rsidRDefault="00E418B6" w:rsidP="003D7D2C">
            <w:pPr>
              <w:pStyle w:val="FigureCaptions"/>
            </w:pPr>
            <w:r w:rsidRPr="00EF00EE">
              <w:t>120s</w:t>
            </w:r>
          </w:p>
        </w:tc>
        <w:tc>
          <w:tcPr>
            <w:tcW w:w="1350" w:type="dxa"/>
            <w:gridSpan w:val="2"/>
            <w:tcBorders>
              <w:top w:val="nil"/>
              <w:left w:val="nil"/>
              <w:bottom w:val="nil"/>
              <w:right w:val="nil"/>
            </w:tcBorders>
            <w:shd w:val="clear" w:color="auto" w:fill="auto"/>
            <w:noWrap/>
            <w:hideMark/>
          </w:tcPr>
          <w:p w14:paraId="36C62011" w14:textId="77777777" w:rsidR="00E418B6" w:rsidRPr="00C83C4D" w:rsidRDefault="00E418B6" w:rsidP="003D7D2C">
            <w:pPr>
              <w:pStyle w:val="FigureCaptions"/>
              <w:jc w:val="right"/>
            </w:pPr>
            <w:r w:rsidRPr="00EF00EE">
              <w:t>30.9</w:t>
            </w:r>
          </w:p>
        </w:tc>
        <w:tc>
          <w:tcPr>
            <w:tcW w:w="1350" w:type="dxa"/>
            <w:tcBorders>
              <w:top w:val="nil"/>
              <w:left w:val="nil"/>
              <w:bottom w:val="nil"/>
              <w:right w:val="nil"/>
            </w:tcBorders>
            <w:shd w:val="clear" w:color="auto" w:fill="auto"/>
            <w:noWrap/>
            <w:hideMark/>
          </w:tcPr>
          <w:p w14:paraId="69C8F740" w14:textId="77777777" w:rsidR="00E418B6" w:rsidRPr="00C83C4D" w:rsidRDefault="00E418B6" w:rsidP="003D7D2C">
            <w:pPr>
              <w:pStyle w:val="FigureCaptions"/>
              <w:jc w:val="right"/>
            </w:pPr>
            <w:r w:rsidRPr="00EF00EE">
              <w:t>89.02</w:t>
            </w:r>
          </w:p>
        </w:tc>
        <w:tc>
          <w:tcPr>
            <w:tcW w:w="1440" w:type="dxa"/>
            <w:tcBorders>
              <w:top w:val="nil"/>
              <w:left w:val="nil"/>
              <w:bottom w:val="nil"/>
              <w:right w:val="nil"/>
            </w:tcBorders>
            <w:shd w:val="clear" w:color="auto" w:fill="auto"/>
            <w:noWrap/>
            <w:hideMark/>
          </w:tcPr>
          <w:p w14:paraId="5DC2529A" w14:textId="77777777" w:rsidR="00E418B6" w:rsidRPr="00C83C4D" w:rsidRDefault="00E418B6" w:rsidP="003D7D2C">
            <w:pPr>
              <w:pStyle w:val="FigureCaptions"/>
              <w:jc w:val="right"/>
            </w:pPr>
            <w:r w:rsidRPr="00EF00EE">
              <w:t>5.07</w:t>
            </w:r>
          </w:p>
        </w:tc>
        <w:tc>
          <w:tcPr>
            <w:tcW w:w="1350" w:type="dxa"/>
            <w:tcBorders>
              <w:top w:val="nil"/>
              <w:left w:val="nil"/>
              <w:bottom w:val="nil"/>
              <w:right w:val="nil"/>
            </w:tcBorders>
            <w:shd w:val="clear" w:color="auto" w:fill="auto"/>
            <w:noWrap/>
            <w:hideMark/>
          </w:tcPr>
          <w:p w14:paraId="02E7BD8F" w14:textId="77777777" w:rsidR="00E418B6" w:rsidRPr="00C83C4D" w:rsidRDefault="00E418B6" w:rsidP="003D7D2C">
            <w:pPr>
              <w:pStyle w:val="FigureCaptions"/>
              <w:jc w:val="right"/>
            </w:pPr>
            <w:r>
              <w:t>*</w:t>
            </w:r>
            <w:r w:rsidRPr="00EF00EE">
              <w:t>124.99</w:t>
            </w:r>
          </w:p>
        </w:tc>
        <w:tc>
          <w:tcPr>
            <w:tcW w:w="1044" w:type="dxa"/>
            <w:tcBorders>
              <w:top w:val="nil"/>
              <w:left w:val="nil"/>
              <w:bottom w:val="nil"/>
              <w:right w:val="nil"/>
            </w:tcBorders>
          </w:tcPr>
          <w:p w14:paraId="0F5FC1BD" w14:textId="77777777" w:rsidR="00E418B6" w:rsidRPr="00F32798" w:rsidRDefault="00E418B6" w:rsidP="003D7D2C">
            <w:pPr>
              <w:pStyle w:val="FigureCaptions"/>
              <w:jc w:val="right"/>
            </w:pPr>
            <w:r w:rsidRPr="00EF00EE">
              <w:t>59.4%</w:t>
            </w:r>
          </w:p>
        </w:tc>
      </w:tr>
      <w:tr w:rsidR="00587008" w:rsidRPr="003563C6" w14:paraId="2AF94AE2" w14:textId="77777777" w:rsidTr="00587008">
        <w:trPr>
          <w:trHeight w:val="20"/>
        </w:trPr>
        <w:tc>
          <w:tcPr>
            <w:tcW w:w="1269" w:type="dxa"/>
            <w:tcBorders>
              <w:top w:val="nil"/>
              <w:left w:val="nil"/>
              <w:bottom w:val="single" w:sz="4" w:space="0" w:color="auto"/>
              <w:right w:val="nil"/>
            </w:tcBorders>
            <w:shd w:val="clear" w:color="auto" w:fill="auto"/>
            <w:noWrap/>
            <w:hideMark/>
          </w:tcPr>
          <w:p w14:paraId="50E81124" w14:textId="77777777" w:rsidR="00E418B6" w:rsidRPr="00C83C4D" w:rsidRDefault="00E418B6" w:rsidP="003D7D2C">
            <w:pPr>
              <w:pStyle w:val="FigureCaptions"/>
            </w:pPr>
          </w:p>
        </w:tc>
        <w:tc>
          <w:tcPr>
            <w:tcW w:w="693" w:type="dxa"/>
            <w:tcBorders>
              <w:top w:val="nil"/>
              <w:left w:val="nil"/>
              <w:bottom w:val="single" w:sz="4" w:space="0" w:color="auto"/>
              <w:right w:val="nil"/>
            </w:tcBorders>
            <w:shd w:val="clear" w:color="auto" w:fill="auto"/>
            <w:noWrap/>
            <w:hideMark/>
          </w:tcPr>
          <w:p w14:paraId="71E67881" w14:textId="77777777" w:rsidR="00E418B6" w:rsidRPr="00C83C4D" w:rsidRDefault="00E418B6" w:rsidP="003D7D2C">
            <w:pPr>
              <w:pStyle w:val="FigureCaptions"/>
            </w:pPr>
            <w:r w:rsidRPr="00EF00EE">
              <w:t>180s</w:t>
            </w:r>
          </w:p>
        </w:tc>
        <w:tc>
          <w:tcPr>
            <w:tcW w:w="1350" w:type="dxa"/>
            <w:gridSpan w:val="2"/>
            <w:tcBorders>
              <w:top w:val="nil"/>
              <w:left w:val="nil"/>
              <w:bottom w:val="single" w:sz="4" w:space="0" w:color="auto"/>
              <w:right w:val="nil"/>
            </w:tcBorders>
            <w:shd w:val="clear" w:color="auto" w:fill="auto"/>
            <w:noWrap/>
            <w:hideMark/>
          </w:tcPr>
          <w:p w14:paraId="31A9D251" w14:textId="77777777" w:rsidR="00E418B6" w:rsidRPr="00C83C4D" w:rsidRDefault="00E418B6" w:rsidP="003D7D2C">
            <w:pPr>
              <w:pStyle w:val="FigureCaptions"/>
              <w:jc w:val="right"/>
            </w:pPr>
            <w:r w:rsidRPr="00EF00EE">
              <w:t>30.9</w:t>
            </w:r>
          </w:p>
        </w:tc>
        <w:tc>
          <w:tcPr>
            <w:tcW w:w="1350" w:type="dxa"/>
            <w:tcBorders>
              <w:top w:val="nil"/>
              <w:left w:val="nil"/>
              <w:bottom w:val="single" w:sz="4" w:space="0" w:color="auto"/>
              <w:right w:val="nil"/>
            </w:tcBorders>
            <w:shd w:val="clear" w:color="auto" w:fill="auto"/>
            <w:noWrap/>
            <w:hideMark/>
          </w:tcPr>
          <w:p w14:paraId="5AF6452A" w14:textId="77777777" w:rsidR="00E418B6" w:rsidRPr="00C83C4D" w:rsidRDefault="00E418B6" w:rsidP="003D7D2C">
            <w:pPr>
              <w:pStyle w:val="FigureCaptions"/>
              <w:jc w:val="right"/>
            </w:pPr>
            <w:r w:rsidRPr="00EF00EE">
              <w:t>85.86</w:t>
            </w:r>
          </w:p>
        </w:tc>
        <w:tc>
          <w:tcPr>
            <w:tcW w:w="1440" w:type="dxa"/>
            <w:tcBorders>
              <w:top w:val="nil"/>
              <w:left w:val="nil"/>
              <w:bottom w:val="single" w:sz="4" w:space="0" w:color="auto"/>
              <w:right w:val="nil"/>
            </w:tcBorders>
            <w:shd w:val="clear" w:color="auto" w:fill="auto"/>
            <w:noWrap/>
            <w:hideMark/>
          </w:tcPr>
          <w:p w14:paraId="34C850FF" w14:textId="77777777" w:rsidR="00E418B6" w:rsidRPr="00C83C4D" w:rsidRDefault="00E418B6" w:rsidP="003D7D2C">
            <w:pPr>
              <w:pStyle w:val="FigureCaptions"/>
              <w:jc w:val="right"/>
            </w:pPr>
            <w:r w:rsidRPr="00EF00EE">
              <w:t>3.67</w:t>
            </w:r>
          </w:p>
        </w:tc>
        <w:tc>
          <w:tcPr>
            <w:tcW w:w="1350" w:type="dxa"/>
            <w:tcBorders>
              <w:top w:val="nil"/>
              <w:left w:val="nil"/>
              <w:bottom w:val="single" w:sz="4" w:space="0" w:color="auto"/>
              <w:right w:val="nil"/>
            </w:tcBorders>
            <w:shd w:val="clear" w:color="auto" w:fill="auto"/>
            <w:noWrap/>
            <w:hideMark/>
          </w:tcPr>
          <w:p w14:paraId="03D82054" w14:textId="77777777" w:rsidR="00E418B6" w:rsidRPr="00C83C4D" w:rsidRDefault="00E418B6" w:rsidP="003D7D2C">
            <w:pPr>
              <w:pStyle w:val="FigureCaptions"/>
              <w:jc w:val="right"/>
            </w:pPr>
            <w:r w:rsidRPr="00EF00EE">
              <w:t>120.43</w:t>
            </w:r>
          </w:p>
        </w:tc>
        <w:tc>
          <w:tcPr>
            <w:tcW w:w="1044" w:type="dxa"/>
            <w:tcBorders>
              <w:top w:val="nil"/>
              <w:left w:val="nil"/>
              <w:bottom w:val="single" w:sz="4" w:space="0" w:color="auto"/>
              <w:right w:val="nil"/>
            </w:tcBorders>
          </w:tcPr>
          <w:p w14:paraId="155CFA41" w14:textId="77777777" w:rsidR="00E418B6" w:rsidRPr="00F32798" w:rsidRDefault="00E418B6" w:rsidP="003D7D2C">
            <w:pPr>
              <w:pStyle w:val="FigureCaptions"/>
              <w:jc w:val="right"/>
            </w:pPr>
            <w:r w:rsidRPr="00EF00EE">
              <w:t>57.3%</w:t>
            </w:r>
          </w:p>
        </w:tc>
      </w:tr>
      <w:tr w:rsidR="00587008" w:rsidRPr="003563C6" w14:paraId="140E558F" w14:textId="77777777" w:rsidTr="00587008">
        <w:trPr>
          <w:trHeight w:val="20"/>
        </w:trPr>
        <w:tc>
          <w:tcPr>
            <w:tcW w:w="3117" w:type="dxa"/>
            <w:gridSpan w:val="3"/>
            <w:tcBorders>
              <w:top w:val="single" w:sz="4" w:space="0" w:color="auto"/>
              <w:left w:val="nil"/>
              <w:bottom w:val="nil"/>
              <w:right w:val="nil"/>
            </w:tcBorders>
            <w:shd w:val="clear" w:color="auto" w:fill="auto"/>
            <w:noWrap/>
            <w:hideMark/>
          </w:tcPr>
          <w:p w14:paraId="38BA8D94" w14:textId="77777777" w:rsidR="00E418B6" w:rsidRPr="00C83C4D" w:rsidRDefault="00E418B6" w:rsidP="003D7D2C">
            <w:pPr>
              <w:pStyle w:val="FigureCaptions"/>
            </w:pPr>
            <w:r w:rsidRPr="00C83C4D">
              <w:t>Single-Step Fast Pyrolysis</w:t>
            </w:r>
          </w:p>
        </w:tc>
        <w:tc>
          <w:tcPr>
            <w:tcW w:w="1545" w:type="dxa"/>
            <w:gridSpan w:val="2"/>
            <w:tcBorders>
              <w:top w:val="single" w:sz="4" w:space="0" w:color="auto"/>
              <w:left w:val="nil"/>
              <w:bottom w:val="nil"/>
              <w:right w:val="nil"/>
            </w:tcBorders>
            <w:shd w:val="clear" w:color="auto" w:fill="auto"/>
            <w:noWrap/>
            <w:hideMark/>
          </w:tcPr>
          <w:p w14:paraId="67D6398F" w14:textId="77777777" w:rsidR="00E418B6" w:rsidRPr="008017BE" w:rsidRDefault="00E418B6" w:rsidP="003D7D2C">
            <w:pPr>
              <w:pStyle w:val="FigureCaptions"/>
            </w:pPr>
          </w:p>
        </w:tc>
        <w:tc>
          <w:tcPr>
            <w:tcW w:w="1440" w:type="dxa"/>
            <w:tcBorders>
              <w:top w:val="single" w:sz="4" w:space="0" w:color="auto"/>
              <w:left w:val="nil"/>
              <w:bottom w:val="nil"/>
              <w:right w:val="nil"/>
            </w:tcBorders>
            <w:shd w:val="clear" w:color="auto" w:fill="auto"/>
            <w:noWrap/>
            <w:hideMark/>
          </w:tcPr>
          <w:p w14:paraId="206B1824" w14:textId="77777777" w:rsidR="00E418B6" w:rsidRPr="00727259" w:rsidRDefault="00E418B6" w:rsidP="003D7D2C">
            <w:pPr>
              <w:pStyle w:val="FigureCaptions"/>
            </w:pPr>
          </w:p>
        </w:tc>
        <w:tc>
          <w:tcPr>
            <w:tcW w:w="1350" w:type="dxa"/>
            <w:tcBorders>
              <w:top w:val="single" w:sz="4" w:space="0" w:color="auto"/>
              <w:left w:val="nil"/>
              <w:bottom w:val="nil"/>
              <w:right w:val="nil"/>
            </w:tcBorders>
          </w:tcPr>
          <w:p w14:paraId="4789D3DA" w14:textId="77777777" w:rsidR="00E418B6" w:rsidRPr="00727259" w:rsidRDefault="00E418B6" w:rsidP="003D7D2C">
            <w:pPr>
              <w:pStyle w:val="FigureCaptions"/>
              <w:jc w:val="right"/>
            </w:pPr>
            <w:r w:rsidRPr="00727259">
              <w:t>210.24</w:t>
            </w:r>
          </w:p>
        </w:tc>
        <w:tc>
          <w:tcPr>
            <w:tcW w:w="1044" w:type="dxa"/>
            <w:tcBorders>
              <w:top w:val="single" w:sz="4" w:space="0" w:color="auto"/>
              <w:left w:val="nil"/>
              <w:bottom w:val="nil"/>
              <w:right w:val="nil"/>
            </w:tcBorders>
          </w:tcPr>
          <w:p w14:paraId="0D912392" w14:textId="77777777" w:rsidR="00E418B6" w:rsidRPr="00727259" w:rsidRDefault="00E418B6" w:rsidP="003D7D2C">
            <w:pPr>
              <w:pStyle w:val="FigureCaptions"/>
              <w:jc w:val="right"/>
            </w:pPr>
            <w:r w:rsidRPr="00727259">
              <w:t>100.0%</w:t>
            </w:r>
          </w:p>
        </w:tc>
      </w:tr>
    </w:tbl>
    <w:p w14:paraId="401A4DAA" w14:textId="77777777" w:rsidR="00573E4C" w:rsidRDefault="00E418B6" w:rsidP="00E418B6">
      <w:pPr>
        <w:pStyle w:val="Caption"/>
        <w:rPr>
          <w:b w:val="0"/>
        </w:rPr>
      </w:pPr>
      <w:bookmarkStart w:id="122" w:name="_Toc449964934"/>
      <w:r>
        <w:t xml:space="preserve">Table </w:t>
      </w:r>
      <w:fldSimple w:instr=" STYLEREF &quot;Chapter&quot; \s ">
        <w:r w:rsidR="00463F52">
          <w:rPr>
            <w:noProof/>
          </w:rPr>
          <w:t>5</w:t>
        </w:r>
      </w:fldSimple>
      <w:r>
        <w:t>.</w:t>
      </w:r>
      <w:fldSimple w:instr=" SEQ Table \* ARABIC \s 1 ">
        <w:r w:rsidR="00463F52">
          <w:rPr>
            <w:noProof/>
          </w:rPr>
          <w:t>6</w:t>
        </w:r>
      </w:fldSimple>
      <w:r>
        <w:t>.</w:t>
      </w:r>
      <w:r w:rsidRPr="008E2374">
        <w:t xml:space="preserve"> </w:t>
      </w:r>
      <w:r w:rsidRPr="00E418B6">
        <w:rPr>
          <w:b w:val="0"/>
        </w:rPr>
        <w:t>Car</w:t>
      </w:r>
      <w:r w:rsidR="00573E4C">
        <w:rPr>
          <w:b w:val="0"/>
        </w:rPr>
        <w:t>bon yields for stages 1, 2 &amp; 3.</w:t>
      </w:r>
      <w:bookmarkEnd w:id="122"/>
    </w:p>
    <w:p w14:paraId="53632527" w14:textId="77777777" w:rsidR="00A63362" w:rsidRDefault="00E418B6" w:rsidP="00E418B6">
      <w:pPr>
        <w:pStyle w:val="Caption"/>
        <w:rPr>
          <w:b w:val="0"/>
        </w:rPr>
      </w:pPr>
      <w:r w:rsidRPr="00E418B6">
        <w:rPr>
          <w:b w:val="0"/>
        </w:rPr>
        <w:t xml:space="preserve">All carbon yield values are reported as (measured µg carbon) / (mg raw oak biomass). </w:t>
      </w:r>
    </w:p>
    <w:p w14:paraId="4725B8DD" w14:textId="481DF159" w:rsidR="00E418B6" w:rsidRDefault="00E418B6" w:rsidP="00E418B6">
      <w:pPr>
        <w:pStyle w:val="Caption"/>
        <w:rPr>
          <w:b w:val="0"/>
        </w:rPr>
      </w:pPr>
      <w:r w:rsidRPr="00E418B6">
        <w:rPr>
          <w:b w:val="0"/>
        </w:rPr>
        <w:t xml:space="preserve">† </w:t>
      </w:r>
      <w:r w:rsidR="00EA7722">
        <w:rPr>
          <w:b w:val="0"/>
        </w:rPr>
        <w:t>denotes</w:t>
      </w:r>
      <w:r w:rsidRPr="00E418B6">
        <w:rPr>
          <w:b w:val="0"/>
        </w:rPr>
        <w:t xml:space="preserve"> the lowest yield multi-stage case; * </w:t>
      </w:r>
      <w:r w:rsidR="00EA7722">
        <w:rPr>
          <w:b w:val="0"/>
        </w:rPr>
        <w:t>denotes</w:t>
      </w:r>
      <w:r w:rsidR="00EA7722" w:rsidRPr="00E418B6">
        <w:rPr>
          <w:b w:val="0"/>
        </w:rPr>
        <w:t xml:space="preserve"> </w:t>
      </w:r>
      <w:r w:rsidRPr="00E418B6">
        <w:rPr>
          <w:b w:val="0"/>
        </w:rPr>
        <w:t>the highest yield multi-stage case.</w:t>
      </w:r>
    </w:p>
    <w:p w14:paraId="2AF4B893" w14:textId="77777777" w:rsidR="00E418B6" w:rsidRDefault="00E418B6" w:rsidP="00A56156"/>
    <w:p w14:paraId="74E434FF" w14:textId="6626C12E" w:rsidR="000C20E1" w:rsidRDefault="00FE7602">
      <w:r w:rsidRPr="00FE7602">
        <w:t xml:space="preserve">These results indicate that the more complete conversion of the solid with progressively harsher stage 2 conditions limits the amount of material available for subsequent volatilization in stage 3. As expected, the stage 2 carbon yields generally increase with increasing temperatures, and the stage 3 carbon yields drop with increasing stage 2 carbon yields (as seen in </w:t>
      </w:r>
      <w:r w:rsidR="00EA7722" w:rsidRPr="00EA7722">
        <w:t xml:space="preserve">table </w:t>
      </w:r>
      <w:r w:rsidR="00EA7722">
        <w:t>5.</w:t>
      </w:r>
      <w:r w:rsidR="00EA7722" w:rsidRPr="00EA7722">
        <w:t xml:space="preserve">6 &amp; figure </w:t>
      </w:r>
      <w:r w:rsidR="00EA7722">
        <w:t>5.</w:t>
      </w:r>
      <w:r w:rsidR="00EA7722" w:rsidRPr="00EA7722">
        <w:t>5</w:t>
      </w:r>
      <w:r w:rsidRPr="00FE7602">
        <w:t xml:space="preserve">). At 350°C, the the stage 2 carbon yields increase with increasing stage 2 treatment time, and the stage 3 yields decrease with increasing stage 2 treatment time; for stage 2 treatment times of 60 seconds, the stage 2 carbon yields increase with increasing temperatures, and the stage 3 yields decrease with increasing stage 2 temperatures. However, at the intermediate temperatures (380°C and 400°C), decreasing carbon yields are observed with increased treatment time. These decreasing total carbon yields are observed across the whole product spectrum and thus are not indicative of dramatically changing product selectivities </w:t>
      </w:r>
      <w:r w:rsidR="00B74D64">
        <w:t>(figure 5.11</w:t>
      </w:r>
      <w:r w:rsidRPr="00FE7602">
        <w:t>), and the MS chromatograms from these experiments do not show any pronounced increases in CO</w:t>
      </w:r>
      <w:r w:rsidRPr="009351C9">
        <w:rPr>
          <w:vertAlign w:val="subscript"/>
        </w:rPr>
        <w:t>2</w:t>
      </w:r>
      <w:r w:rsidRPr="00FE7602">
        <w:t xml:space="preserve">. </w:t>
      </w:r>
    </w:p>
    <w:p w14:paraId="023307F6" w14:textId="3DC63E8C" w:rsidR="00FE7602" w:rsidRDefault="00D62EE6" w:rsidP="005B60FA">
      <w:pPr>
        <w:pStyle w:val="NoSpacing"/>
      </w:pPr>
      <w:r>
        <w:rPr>
          <w:noProof/>
        </w:rPr>
        <w:lastRenderedPageBreak/>
        <w:drawing>
          <wp:inline distT="0" distB="0" distL="0" distR="0" wp14:anchorId="45ECDBCF" wp14:editId="093CDE79">
            <wp:extent cx="6679214" cy="5394960"/>
            <wp:effectExtent l="6985" t="0" r="8255" b="8255"/>
            <wp:docPr id="485" name="Picture 485" descr="../My%20Papers/Stage%202%20Optimization/Stage%202%20Carbon%20Yields.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My%20Papers/Stage%202%20Optimization/Stage%202%20Carbon%20Yields.pdf"/>
                    <pic:cNvPicPr>
                      <a:picLocks noChangeAspect="1" noChangeArrowheads="1"/>
                    </pic:cNvPicPr>
                  </pic:nvPicPr>
                  <pic:blipFill rotWithShape="1">
                    <a:blip r:embed="rId54">
                      <a:extLst>
                        <a:ext uri="{28A0092B-C50C-407E-A947-70E740481C1C}">
                          <a14:useLocalDpi xmlns:a14="http://schemas.microsoft.com/office/drawing/2010/main" val="0"/>
                        </a:ext>
                      </a:extLst>
                    </a:blip>
                    <a:srcRect l="23624" t="19584" r="11906" b="13050"/>
                    <a:stretch/>
                  </pic:blipFill>
                  <pic:spPr bwMode="auto">
                    <a:xfrm rot="16200000">
                      <a:off x="0" y="0"/>
                      <a:ext cx="6679214" cy="5394960"/>
                    </a:xfrm>
                    <a:prstGeom prst="rect">
                      <a:avLst/>
                    </a:prstGeom>
                    <a:noFill/>
                    <a:ln>
                      <a:noFill/>
                    </a:ln>
                    <a:extLst>
                      <a:ext uri="{53640926-AAD7-44D8-BBD7-CCE9431645EC}">
                        <a14:shadowObscured xmlns:a14="http://schemas.microsoft.com/office/drawing/2010/main"/>
                      </a:ext>
                    </a:extLst>
                  </pic:spPr>
                </pic:pic>
              </a:graphicData>
            </a:graphic>
          </wp:inline>
        </w:drawing>
      </w:r>
    </w:p>
    <w:p w14:paraId="5F30C7BD" w14:textId="77777777" w:rsidR="00573E4C" w:rsidRDefault="0097756E" w:rsidP="005D6328">
      <w:pPr>
        <w:pStyle w:val="Caption"/>
        <w:rPr>
          <w:b w:val="0"/>
        </w:rPr>
      </w:pPr>
      <w:bookmarkStart w:id="123" w:name="_Toc449964995"/>
      <w:r w:rsidRPr="00E73E07">
        <w:t xml:space="preserve">Figure </w:t>
      </w:r>
      <w:fldSimple w:instr=" STYLEREF &quot;Chapter&quot; \s ">
        <w:r w:rsidR="00463F52">
          <w:rPr>
            <w:noProof/>
          </w:rPr>
          <w:t>5</w:t>
        </w:r>
      </w:fldSimple>
      <w:r w:rsidRPr="00E73E07">
        <w:t>.</w:t>
      </w:r>
      <w:fldSimple w:instr=" SEQ Figure \* ARABIC \s 1 ">
        <w:r w:rsidR="00463F52">
          <w:rPr>
            <w:noProof/>
          </w:rPr>
          <w:t>6</w:t>
        </w:r>
      </w:fldSimple>
      <w:r w:rsidRPr="00E73E07">
        <w:rPr>
          <w:noProof/>
        </w:rPr>
        <w:t>.</w:t>
      </w:r>
      <w:r>
        <w:rPr>
          <w:noProof/>
        </w:rPr>
        <w:t xml:space="preserve"> </w:t>
      </w:r>
      <w:r w:rsidRPr="0097756E">
        <w:rPr>
          <w:b w:val="0"/>
        </w:rPr>
        <w:t xml:space="preserve">Stage 2 yields, separated by compound lumps, for </w:t>
      </w:r>
      <w:r w:rsidR="00573E4C">
        <w:rPr>
          <w:b w:val="0"/>
        </w:rPr>
        <w:t>the stage 2 conditions labeled.</w:t>
      </w:r>
      <w:bookmarkEnd w:id="123"/>
    </w:p>
    <w:p w14:paraId="7883BD36" w14:textId="6D6B7A7E" w:rsidR="0097756E" w:rsidRDefault="0097756E" w:rsidP="005D6328">
      <w:pPr>
        <w:pStyle w:val="Caption"/>
      </w:pPr>
      <w:r w:rsidRPr="0097756E">
        <w:rPr>
          <w:b w:val="0"/>
        </w:rPr>
        <w:t>The number above the stacked bars is the sum of the colored bars, indicating the total carbon yield of each stage 2 condition.  Numbers in the pink, orange, and blue segments (corresponding with methoxyphenols, levoglucosan, and furfurals respectively) are the yields of those specific lumps. Yield values are (measured µg carbon in vapors) / (mg of raw biomass).</w:t>
      </w:r>
      <w:r w:rsidR="005D6328" w:rsidRPr="005D6328">
        <w:rPr>
          <w:b w:val="0"/>
        </w:rPr>
        <w:t xml:space="preserve"> </w:t>
      </w:r>
      <w:r w:rsidR="005D6328" w:rsidRPr="00974841">
        <w:rPr>
          <w:b w:val="0"/>
        </w:rPr>
        <w:br w:type="page"/>
      </w:r>
    </w:p>
    <w:p w14:paraId="0FCFCC76" w14:textId="757F7E6C" w:rsidR="000C20E1" w:rsidRPr="00FE7602" w:rsidRDefault="00A17851" w:rsidP="005B60FA">
      <w:pPr>
        <w:pStyle w:val="NoSpacing"/>
      </w:pPr>
      <w:r>
        <w:rPr>
          <w:noProof/>
        </w:rPr>
        <w:lastRenderedPageBreak/>
        <w:drawing>
          <wp:inline distT="0" distB="0" distL="0" distR="0" wp14:anchorId="044A71BA" wp14:editId="71EE8A49">
            <wp:extent cx="6578198" cy="5210810"/>
            <wp:effectExtent l="0" t="2222" r="0" b="0"/>
            <wp:docPr id="492" name="Picture 492" descr="../My%20Papers/Stage%202%20Optimization/Stage%202%20Carbon%20Selectivity.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y%20Papers/Stage%202%20Optimization/Stage%202%20Carbon%20Selectivity.pdf"/>
                    <pic:cNvPicPr>
                      <a:picLocks noChangeAspect="1" noChangeArrowheads="1"/>
                    </pic:cNvPicPr>
                  </pic:nvPicPr>
                  <pic:blipFill rotWithShape="1">
                    <a:blip r:embed="rId55">
                      <a:extLst>
                        <a:ext uri="{28A0092B-C50C-407E-A947-70E740481C1C}">
                          <a14:useLocalDpi xmlns:a14="http://schemas.microsoft.com/office/drawing/2010/main" val="0"/>
                        </a:ext>
                      </a:extLst>
                    </a:blip>
                    <a:srcRect l="24091" t="19696" r="10160" b="12925"/>
                    <a:stretch/>
                  </pic:blipFill>
                  <pic:spPr bwMode="auto">
                    <a:xfrm rot="16200000">
                      <a:off x="0" y="0"/>
                      <a:ext cx="6578933" cy="5211392"/>
                    </a:xfrm>
                    <a:prstGeom prst="rect">
                      <a:avLst/>
                    </a:prstGeom>
                    <a:noFill/>
                    <a:ln>
                      <a:noFill/>
                    </a:ln>
                    <a:extLst>
                      <a:ext uri="{53640926-AAD7-44D8-BBD7-CCE9431645EC}">
                        <a14:shadowObscured xmlns:a14="http://schemas.microsoft.com/office/drawing/2010/main"/>
                      </a:ext>
                    </a:extLst>
                  </pic:spPr>
                </pic:pic>
              </a:graphicData>
            </a:graphic>
          </wp:inline>
        </w:drawing>
      </w:r>
    </w:p>
    <w:p w14:paraId="79EF6C26" w14:textId="77777777" w:rsidR="00573E4C" w:rsidRDefault="00426FE3" w:rsidP="005D6328">
      <w:pPr>
        <w:pStyle w:val="Caption"/>
        <w:rPr>
          <w:b w:val="0"/>
        </w:rPr>
      </w:pPr>
      <w:bookmarkStart w:id="124" w:name="_Toc449964996"/>
      <w:r w:rsidRPr="00E73E07">
        <w:t xml:space="preserve">Figure </w:t>
      </w:r>
      <w:fldSimple w:instr=" STYLEREF &quot;Chapter&quot; \s ">
        <w:r w:rsidR="00463F52">
          <w:rPr>
            <w:noProof/>
          </w:rPr>
          <w:t>5</w:t>
        </w:r>
      </w:fldSimple>
      <w:r w:rsidRPr="00E73E07">
        <w:t>.</w:t>
      </w:r>
      <w:fldSimple w:instr=" SEQ Figure \* ARABIC \s 1 ">
        <w:r w:rsidR="00463F52">
          <w:rPr>
            <w:noProof/>
          </w:rPr>
          <w:t>7</w:t>
        </w:r>
      </w:fldSimple>
      <w:r w:rsidRPr="00E73E07">
        <w:rPr>
          <w:noProof/>
        </w:rPr>
        <w:t>.</w:t>
      </w:r>
      <w:r>
        <w:rPr>
          <w:noProof/>
        </w:rPr>
        <w:t xml:space="preserve"> </w:t>
      </w:r>
      <w:r w:rsidRPr="00426FE3">
        <w:rPr>
          <w:b w:val="0"/>
        </w:rPr>
        <w:t xml:space="preserve">Stage 2 carbon selectivities, separated by compound lumps, for the stage 2 conditions labeled, compared with single-step fast pyrolysis </w:t>
      </w:r>
      <w:r w:rsidR="00573E4C">
        <w:rPr>
          <w:b w:val="0"/>
        </w:rPr>
        <w:t>of raw oak biomass (far right).</w:t>
      </w:r>
      <w:bookmarkEnd w:id="124"/>
    </w:p>
    <w:p w14:paraId="26DBE317" w14:textId="7114D8F3" w:rsidR="00410CE7" w:rsidRDefault="00426FE3" w:rsidP="005D6328">
      <w:pPr>
        <w:pStyle w:val="Caption"/>
      </w:pPr>
      <w:r w:rsidRPr="00426FE3">
        <w:rPr>
          <w:b w:val="0"/>
        </w:rPr>
        <w:t>Numbers in the pink, orange, and blue segments (corresponding with methoxyphenols, levoglucosan, and furfurals respectively) are the carbon selectivities of those specific lumps.</w:t>
      </w:r>
      <w:r w:rsidR="005D6328" w:rsidRPr="005D6328">
        <w:rPr>
          <w:b w:val="0"/>
        </w:rPr>
        <w:t xml:space="preserve"> </w:t>
      </w:r>
      <w:r w:rsidR="005D6328" w:rsidRPr="00974841">
        <w:rPr>
          <w:b w:val="0"/>
        </w:rPr>
        <w:br w:type="page"/>
      </w:r>
    </w:p>
    <w:p w14:paraId="5CA39FD4" w14:textId="6C2C1095" w:rsidR="00410CE7" w:rsidRDefault="00091F55" w:rsidP="005B60FA">
      <w:pPr>
        <w:pStyle w:val="NoSpacing"/>
      </w:pPr>
      <w:r>
        <w:rPr>
          <w:noProof/>
        </w:rPr>
        <w:lastRenderedPageBreak/>
        <w:drawing>
          <wp:inline distT="0" distB="0" distL="0" distR="0" wp14:anchorId="43CA6219" wp14:editId="1FC98253">
            <wp:extent cx="6747782" cy="5212080"/>
            <wp:effectExtent l="5715" t="0" r="0" b="0"/>
            <wp:docPr id="491" name="Picture 491" descr="../My%20Papers/Stage%202%20Optimization/Stage%203%20Carbon%20Yields.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My%20Papers/Stage%202%20Optimization/Stage%203%20Carbon%20Yields.pdf"/>
                    <pic:cNvPicPr>
                      <a:picLocks noChangeAspect="1" noChangeArrowheads="1"/>
                    </pic:cNvPicPr>
                  </pic:nvPicPr>
                  <pic:blipFill rotWithShape="1">
                    <a:blip r:embed="rId56">
                      <a:extLst>
                        <a:ext uri="{28A0092B-C50C-407E-A947-70E740481C1C}">
                          <a14:useLocalDpi xmlns:a14="http://schemas.microsoft.com/office/drawing/2010/main" val="0"/>
                        </a:ext>
                      </a:extLst>
                    </a:blip>
                    <a:srcRect l="23624" t="20771" r="9848" b="12751"/>
                    <a:stretch/>
                  </pic:blipFill>
                  <pic:spPr bwMode="auto">
                    <a:xfrm rot="16200000">
                      <a:off x="0" y="0"/>
                      <a:ext cx="6747782" cy="5212080"/>
                    </a:xfrm>
                    <a:prstGeom prst="rect">
                      <a:avLst/>
                    </a:prstGeom>
                    <a:noFill/>
                    <a:ln>
                      <a:noFill/>
                    </a:ln>
                    <a:extLst>
                      <a:ext uri="{53640926-AAD7-44D8-BBD7-CCE9431645EC}">
                        <a14:shadowObscured xmlns:a14="http://schemas.microsoft.com/office/drawing/2010/main"/>
                      </a:ext>
                    </a:extLst>
                  </pic:spPr>
                </pic:pic>
              </a:graphicData>
            </a:graphic>
          </wp:inline>
        </w:drawing>
      </w:r>
    </w:p>
    <w:p w14:paraId="25346AFC" w14:textId="77777777" w:rsidR="00573E4C" w:rsidRDefault="00091F55" w:rsidP="007048DC">
      <w:pPr>
        <w:pStyle w:val="Caption"/>
        <w:rPr>
          <w:b w:val="0"/>
        </w:rPr>
      </w:pPr>
      <w:bookmarkStart w:id="125" w:name="_Toc449964997"/>
      <w:r w:rsidRPr="00E73E07">
        <w:t xml:space="preserve">Figure </w:t>
      </w:r>
      <w:fldSimple w:instr=" STYLEREF &quot;Chapter&quot; \s ">
        <w:r w:rsidR="00463F52">
          <w:rPr>
            <w:noProof/>
          </w:rPr>
          <w:t>5</w:t>
        </w:r>
      </w:fldSimple>
      <w:r w:rsidRPr="00E73E07">
        <w:t>.</w:t>
      </w:r>
      <w:fldSimple w:instr=" SEQ Figure \* ARABIC \s 1 ">
        <w:r w:rsidR="00463F52">
          <w:rPr>
            <w:noProof/>
          </w:rPr>
          <w:t>8</w:t>
        </w:r>
      </w:fldSimple>
      <w:r w:rsidRPr="00E73E07">
        <w:rPr>
          <w:noProof/>
        </w:rPr>
        <w:t>.</w:t>
      </w:r>
      <w:r>
        <w:rPr>
          <w:noProof/>
        </w:rPr>
        <w:t xml:space="preserve"> </w:t>
      </w:r>
      <w:r w:rsidR="000A1CCD" w:rsidRPr="007048DC">
        <w:rPr>
          <w:b w:val="0"/>
        </w:rPr>
        <w:t>Stage 3 carbon yields, separated by compound lumps, for th</w:t>
      </w:r>
      <w:r w:rsidR="00573E4C">
        <w:rPr>
          <w:b w:val="0"/>
        </w:rPr>
        <w:t>e 2nd stage conditions labeled.</w:t>
      </w:r>
      <w:bookmarkEnd w:id="125"/>
    </w:p>
    <w:p w14:paraId="6401748C" w14:textId="66F91C50" w:rsidR="0005455E" w:rsidRDefault="000A1CCD" w:rsidP="007048DC">
      <w:pPr>
        <w:pStyle w:val="Caption"/>
      </w:pPr>
      <w:r w:rsidRPr="007048DC">
        <w:rPr>
          <w:b w:val="0"/>
        </w:rPr>
        <w:t>The number above the stacked bars is the sum of the colored bars, indicative of the total carbon yield of the 3rd stage thermal treatment. Numbers in the pink &amp; orange segments (corresponding with methoxyphenols and levoglucosan respectively) are the carbon yields of those specific lumps. Yield values are (measured µg carbon in vapors) / (mg of raw biomass).</w:t>
      </w:r>
      <w:r w:rsidR="005D6328" w:rsidRPr="00974841">
        <w:br w:type="page"/>
      </w:r>
    </w:p>
    <w:p w14:paraId="3086ED84" w14:textId="26E10A29" w:rsidR="00091F55" w:rsidRDefault="001B53F3" w:rsidP="005B60FA">
      <w:pPr>
        <w:pStyle w:val="NoSpacing"/>
      </w:pPr>
      <w:r>
        <w:rPr>
          <w:noProof/>
        </w:rPr>
        <w:lastRenderedPageBreak/>
        <w:drawing>
          <wp:inline distT="0" distB="0" distL="0" distR="0" wp14:anchorId="6CC83B5C" wp14:editId="576B3B7D">
            <wp:extent cx="7001458" cy="5394960"/>
            <wp:effectExtent l="0" t="9842" r="0" b="0"/>
            <wp:docPr id="493" name="Picture 493" descr="../My%20Papers/Stage%202%20Optimization/Stage%203%20Carbon%20Selectivity.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My%20Papers/Stage%202%20Optimization/Stage%203%20Carbon%20Selectivity.pdf"/>
                    <pic:cNvPicPr>
                      <a:picLocks noChangeAspect="1" noChangeArrowheads="1"/>
                    </pic:cNvPicPr>
                  </pic:nvPicPr>
                  <pic:blipFill rotWithShape="1">
                    <a:blip r:embed="rId57">
                      <a:extLst>
                        <a:ext uri="{28A0092B-C50C-407E-A947-70E740481C1C}">
                          <a14:useLocalDpi xmlns:a14="http://schemas.microsoft.com/office/drawing/2010/main" val="0"/>
                        </a:ext>
                      </a:extLst>
                    </a:blip>
                    <a:srcRect l="23543" t="20856" r="10044" b="12939"/>
                    <a:stretch/>
                  </pic:blipFill>
                  <pic:spPr bwMode="auto">
                    <a:xfrm rot="16200000">
                      <a:off x="0" y="0"/>
                      <a:ext cx="7001458" cy="5394960"/>
                    </a:xfrm>
                    <a:prstGeom prst="rect">
                      <a:avLst/>
                    </a:prstGeom>
                    <a:noFill/>
                    <a:ln>
                      <a:noFill/>
                    </a:ln>
                    <a:extLst>
                      <a:ext uri="{53640926-AAD7-44D8-BBD7-CCE9431645EC}">
                        <a14:shadowObscured xmlns:a14="http://schemas.microsoft.com/office/drawing/2010/main"/>
                      </a:ext>
                    </a:extLst>
                  </pic:spPr>
                </pic:pic>
              </a:graphicData>
            </a:graphic>
          </wp:inline>
        </w:drawing>
      </w:r>
    </w:p>
    <w:p w14:paraId="4164B202" w14:textId="77777777" w:rsidR="00CF625D" w:rsidRDefault="00974841" w:rsidP="00974841">
      <w:pPr>
        <w:pStyle w:val="Caption"/>
        <w:rPr>
          <w:b w:val="0"/>
        </w:rPr>
      </w:pPr>
      <w:bookmarkStart w:id="126" w:name="_Toc449964998"/>
      <w:r w:rsidRPr="00E73E07">
        <w:t xml:space="preserve">Figure </w:t>
      </w:r>
      <w:fldSimple w:instr=" STYLEREF &quot;Chapter&quot; \s ">
        <w:r w:rsidR="00463F52">
          <w:rPr>
            <w:noProof/>
          </w:rPr>
          <w:t>5</w:t>
        </w:r>
      </w:fldSimple>
      <w:r w:rsidRPr="00E73E07">
        <w:t>.</w:t>
      </w:r>
      <w:fldSimple w:instr=" SEQ Figure \* ARABIC \s 1 ">
        <w:r w:rsidR="00463F52">
          <w:rPr>
            <w:noProof/>
          </w:rPr>
          <w:t>9</w:t>
        </w:r>
      </w:fldSimple>
      <w:r w:rsidRPr="00E73E07">
        <w:rPr>
          <w:noProof/>
        </w:rPr>
        <w:t>.</w:t>
      </w:r>
      <w:r>
        <w:rPr>
          <w:noProof/>
        </w:rPr>
        <w:t xml:space="preserve"> </w:t>
      </w:r>
      <w:r w:rsidRPr="00974841">
        <w:rPr>
          <w:b w:val="0"/>
        </w:rPr>
        <w:t xml:space="preserve">Stage 3 carbon selectivities, separated by compound lumps, for the stage 2 conditions labeled, compared with single-step fast pyrolysis </w:t>
      </w:r>
      <w:r w:rsidR="00CF625D">
        <w:rPr>
          <w:b w:val="0"/>
        </w:rPr>
        <w:t>of raw oak biomass (far right).</w:t>
      </w:r>
      <w:bookmarkEnd w:id="126"/>
    </w:p>
    <w:p w14:paraId="662607DF" w14:textId="4F0DD56F" w:rsidR="00974841" w:rsidRPr="000A1CCD" w:rsidRDefault="00974841" w:rsidP="00974841">
      <w:pPr>
        <w:pStyle w:val="Caption"/>
      </w:pPr>
      <w:r w:rsidRPr="00974841">
        <w:rPr>
          <w:b w:val="0"/>
        </w:rPr>
        <w:t>Numbers in the pink &amp; orange segments (corresponding with methoxyphenols and levoglucosan respectively) are the selectivities of those specific lumps.</w:t>
      </w:r>
      <w:r w:rsidRPr="00974841">
        <w:rPr>
          <w:b w:val="0"/>
        </w:rPr>
        <w:br w:type="page"/>
      </w:r>
    </w:p>
    <w:p w14:paraId="43FF7CBD" w14:textId="334EA174" w:rsidR="00410CE7" w:rsidRDefault="002D330B" w:rsidP="005B60FA">
      <w:pPr>
        <w:pStyle w:val="NoSpacing"/>
      </w:pPr>
      <w:r>
        <w:rPr>
          <w:noProof/>
        </w:rPr>
        <w:lastRenderedPageBreak/>
        <w:drawing>
          <wp:inline distT="0" distB="0" distL="0" distR="0" wp14:anchorId="31D4FFA1" wp14:editId="427D2E61">
            <wp:extent cx="6364003" cy="5029200"/>
            <wp:effectExtent l="6985" t="0" r="0" b="0"/>
            <wp:docPr id="494" name="Picture 494" descr="../My%20Papers/Stage%202%20Optimization/Cumulative%20carbon%20yields.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My%20Papers/Stage%202%20Optimization/Cumulative%20carbon%20yields.pdf"/>
                    <pic:cNvPicPr>
                      <a:picLocks noChangeAspect="1" noChangeArrowheads="1"/>
                    </pic:cNvPicPr>
                  </pic:nvPicPr>
                  <pic:blipFill rotWithShape="1">
                    <a:blip r:embed="rId58">
                      <a:extLst>
                        <a:ext uri="{28A0092B-C50C-407E-A947-70E740481C1C}">
                          <a14:useLocalDpi xmlns:a14="http://schemas.microsoft.com/office/drawing/2010/main" val="0"/>
                        </a:ext>
                      </a:extLst>
                    </a:blip>
                    <a:srcRect l="24670" t="20298" r="10004" b="12916"/>
                    <a:stretch/>
                  </pic:blipFill>
                  <pic:spPr bwMode="auto">
                    <a:xfrm rot="16200000">
                      <a:off x="0" y="0"/>
                      <a:ext cx="6364003" cy="5029200"/>
                    </a:xfrm>
                    <a:prstGeom prst="rect">
                      <a:avLst/>
                    </a:prstGeom>
                    <a:noFill/>
                    <a:ln>
                      <a:noFill/>
                    </a:ln>
                    <a:extLst>
                      <a:ext uri="{53640926-AAD7-44D8-BBD7-CCE9431645EC}">
                        <a14:shadowObscured xmlns:a14="http://schemas.microsoft.com/office/drawing/2010/main"/>
                      </a:ext>
                    </a:extLst>
                  </pic:spPr>
                </pic:pic>
              </a:graphicData>
            </a:graphic>
          </wp:inline>
        </w:drawing>
      </w:r>
    </w:p>
    <w:p w14:paraId="0BB83E9E" w14:textId="77777777" w:rsidR="00CF625D" w:rsidRDefault="00E25BFB" w:rsidP="00E25BFB">
      <w:pPr>
        <w:pStyle w:val="Caption"/>
        <w:rPr>
          <w:b w:val="0"/>
        </w:rPr>
      </w:pPr>
      <w:bookmarkStart w:id="127" w:name="_Toc449964999"/>
      <w:r w:rsidRPr="00E73E07">
        <w:t xml:space="preserve">Figure </w:t>
      </w:r>
      <w:fldSimple w:instr=" STYLEREF &quot;Chapter&quot; \s ">
        <w:r w:rsidR="00463F52">
          <w:rPr>
            <w:noProof/>
          </w:rPr>
          <w:t>5</w:t>
        </w:r>
      </w:fldSimple>
      <w:r w:rsidRPr="00E73E07">
        <w:t>.</w:t>
      </w:r>
      <w:fldSimple w:instr=" SEQ Figure \* ARABIC \s 1 ">
        <w:r w:rsidR="00463F52">
          <w:rPr>
            <w:noProof/>
          </w:rPr>
          <w:t>10</w:t>
        </w:r>
      </w:fldSimple>
      <w:r w:rsidRPr="00E73E07">
        <w:rPr>
          <w:noProof/>
        </w:rPr>
        <w:t>.</w:t>
      </w:r>
      <w:r>
        <w:rPr>
          <w:noProof/>
        </w:rPr>
        <w:t xml:space="preserve"> </w:t>
      </w:r>
      <w:r w:rsidR="006B1D33" w:rsidRPr="006B1D33">
        <w:rPr>
          <w:b w:val="0"/>
        </w:rPr>
        <w:t xml:space="preserve">Stages 1, 2 &amp; 3 cumulative carbon yields, separated by compound lumps, for the stage 2 conditions labeled, compared with single-step fast pyrolysis </w:t>
      </w:r>
      <w:r w:rsidR="00CF625D">
        <w:rPr>
          <w:b w:val="0"/>
        </w:rPr>
        <w:t>of raw oak biomass (far right).</w:t>
      </w:r>
      <w:bookmarkEnd w:id="127"/>
    </w:p>
    <w:p w14:paraId="0F6E8F99" w14:textId="3646F39D" w:rsidR="00E25BFB" w:rsidRPr="000A1CCD" w:rsidRDefault="006B1D33" w:rsidP="00E25BFB">
      <w:pPr>
        <w:pStyle w:val="Caption"/>
      </w:pPr>
      <w:r w:rsidRPr="006B1D33">
        <w:rPr>
          <w:b w:val="0"/>
        </w:rPr>
        <w:t>The number above the stacked bars is the cumulative carbon yield of the three stages. Numbers in the pink, orange, and blue segments (corresponding with methoxyphenols, levoglucosan, and furfurals respectively) are the carbon yields of those specific lumps. Much of the decrease in the overall carbon yield at the lower temperatures is due to the decrease in the yield of these compound lumps. Yield values are (measured µg carbon in vapors) / (mg of raw biomass).</w:t>
      </w:r>
      <w:r w:rsidR="00E25BFB" w:rsidRPr="00974841">
        <w:rPr>
          <w:b w:val="0"/>
        </w:rPr>
        <w:br w:type="page"/>
      </w:r>
    </w:p>
    <w:p w14:paraId="3B613BDF" w14:textId="78AD50C8" w:rsidR="00410CE7" w:rsidRDefault="00FC4F03" w:rsidP="005B60FA">
      <w:pPr>
        <w:pStyle w:val="NoSpacing"/>
      </w:pPr>
      <w:r>
        <w:rPr>
          <w:noProof/>
        </w:rPr>
        <w:lastRenderedPageBreak/>
        <w:drawing>
          <wp:inline distT="0" distB="0" distL="0" distR="0" wp14:anchorId="1CFBED85" wp14:editId="21681D30">
            <wp:extent cx="6766560" cy="5263615"/>
            <wp:effectExtent l="0" t="10478" r="4763" b="4762"/>
            <wp:docPr id="496" name="Picture 496" descr="../My%20Papers/Stage%202%20Optimization/Cumulative%20carbon%20selectivity.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My%20Papers/Stage%202%20Optimization/Cumulative%20carbon%20selectivity.pdf"/>
                    <pic:cNvPicPr>
                      <a:picLocks noChangeAspect="1" noChangeArrowheads="1"/>
                    </pic:cNvPicPr>
                  </pic:nvPicPr>
                  <pic:blipFill rotWithShape="1">
                    <a:blip r:embed="rId59">
                      <a:extLst>
                        <a:ext uri="{28A0092B-C50C-407E-A947-70E740481C1C}">
                          <a14:useLocalDpi xmlns:a14="http://schemas.microsoft.com/office/drawing/2010/main" val="0"/>
                        </a:ext>
                      </a:extLst>
                    </a:blip>
                    <a:srcRect l="23367" t="20001" r="10051" b="12943"/>
                    <a:stretch/>
                  </pic:blipFill>
                  <pic:spPr bwMode="auto">
                    <a:xfrm rot="16200000">
                      <a:off x="0" y="0"/>
                      <a:ext cx="6766560" cy="5263615"/>
                    </a:xfrm>
                    <a:prstGeom prst="rect">
                      <a:avLst/>
                    </a:prstGeom>
                    <a:noFill/>
                    <a:ln>
                      <a:noFill/>
                    </a:ln>
                    <a:extLst>
                      <a:ext uri="{53640926-AAD7-44D8-BBD7-CCE9431645EC}">
                        <a14:shadowObscured xmlns:a14="http://schemas.microsoft.com/office/drawing/2010/main"/>
                      </a:ext>
                    </a:extLst>
                  </pic:spPr>
                </pic:pic>
              </a:graphicData>
            </a:graphic>
          </wp:inline>
        </w:drawing>
      </w:r>
    </w:p>
    <w:p w14:paraId="74FF90ED" w14:textId="77777777" w:rsidR="00CF625D" w:rsidRDefault="00E25BFB" w:rsidP="00E25BFB">
      <w:pPr>
        <w:pStyle w:val="Caption"/>
        <w:rPr>
          <w:b w:val="0"/>
        </w:rPr>
      </w:pPr>
      <w:bookmarkStart w:id="128" w:name="_Toc449965000"/>
      <w:r w:rsidRPr="00E73E07">
        <w:t xml:space="preserve">Figure </w:t>
      </w:r>
      <w:fldSimple w:instr=" STYLEREF &quot;Chapter&quot; \s ">
        <w:r w:rsidR="00463F52">
          <w:rPr>
            <w:noProof/>
          </w:rPr>
          <w:t>5</w:t>
        </w:r>
      </w:fldSimple>
      <w:r w:rsidRPr="00E73E07">
        <w:t>.</w:t>
      </w:r>
      <w:fldSimple w:instr=" SEQ Figure \* ARABIC \s 1 ">
        <w:r w:rsidR="00463F52">
          <w:rPr>
            <w:noProof/>
          </w:rPr>
          <w:t>11</w:t>
        </w:r>
      </w:fldSimple>
      <w:r w:rsidRPr="00E73E07">
        <w:rPr>
          <w:noProof/>
        </w:rPr>
        <w:t>.</w:t>
      </w:r>
      <w:r>
        <w:rPr>
          <w:noProof/>
        </w:rPr>
        <w:t xml:space="preserve"> </w:t>
      </w:r>
      <w:r w:rsidR="005E63FC" w:rsidRPr="005E63FC">
        <w:rPr>
          <w:b w:val="0"/>
        </w:rPr>
        <w:t xml:space="preserve">Stages 1, 2 and 3 cumulative carbon selectivities, separated by compound lumps, for the stage 2 conditions labeled, compared with single-step fast pyrolysis </w:t>
      </w:r>
      <w:r w:rsidR="00CF625D">
        <w:rPr>
          <w:b w:val="0"/>
        </w:rPr>
        <w:t>of raw oak biomass (far right).</w:t>
      </w:r>
      <w:bookmarkEnd w:id="128"/>
    </w:p>
    <w:p w14:paraId="30FCC177" w14:textId="0B67D8E0" w:rsidR="00E25BFB" w:rsidRPr="000A1CCD" w:rsidRDefault="005E63FC" w:rsidP="00E25BFB">
      <w:pPr>
        <w:pStyle w:val="Caption"/>
      </w:pPr>
      <w:r w:rsidRPr="005E63FC">
        <w:rPr>
          <w:b w:val="0"/>
        </w:rPr>
        <w:t xml:space="preserve">The number above the stacked bars is the total normalized peak area, indicative of the cumulative carbon yield of the three stages. Numbers in the pink, orange, and blue segments (corresponding with methoxyphenols, levoglucosan, and furfurals respectively) are the carbon yields of those specific lumps. </w:t>
      </w:r>
      <w:r w:rsidR="00E25BFB" w:rsidRPr="00974841">
        <w:rPr>
          <w:b w:val="0"/>
        </w:rPr>
        <w:br w:type="page"/>
      </w:r>
    </w:p>
    <w:p w14:paraId="17FD44A5" w14:textId="013D2FFE" w:rsidR="00C334DE" w:rsidRDefault="00575D38" w:rsidP="00575D38">
      <w:r w:rsidRPr="00575D38">
        <w:lastRenderedPageBreak/>
        <w:t>The cumulative staged thermal fractionation acetic acid yields compared with single-step fast pyrolysis yields (</w:t>
      </w:r>
      <w:r w:rsidR="00B74D64">
        <w:t>figure 5.12</w:t>
      </w:r>
      <w:r w:rsidRPr="00575D38">
        <w:t>) indicate that at stage 1 conditions the hemicellulose in the biomass is nearly fully decomposed. The maximum acetic acid yield from stages 2 and 3 (cumulative) as a percentage of single-step fast pyrolysis acetic acid yield is 27.6%, occurring at stage 2 conditions of 500°C for 180s. As cellulose pyrolysis is not a major producer of acetic acid</w:t>
      </w:r>
      <w:r w:rsidR="0049371C">
        <w:t xml:space="preserve"> </w:t>
      </w:r>
      <w:r w:rsidR="0049371C">
        <w:fldChar w:fldCharType="begin"/>
      </w:r>
      <w:r w:rsidR="00807999">
        <w:instrText xml:space="preserve"> ADDIN PAPERS2_CITATIONS &lt;citation&gt;&lt;uuid&gt;302AFA0A-C9DC-4427-BF83-F6CD69958593&lt;/uuid&gt;&lt;priority&gt;0&lt;/priority&gt;&lt;publications&gt;&lt;publication&gt;&lt;publication_date&gt;99201100001200000000200000&lt;/publication_date&gt;&lt;doi&gt;10.1016/j.biortech.2011.02.018&lt;/doi&gt;&lt;title&gt;Distinguishing primary and secondary reactions of cellulose pyrolysis&lt;/title&gt;&lt;uuid&gt;03ED85DE-07DF-4E32-B887-11673E3EDD28&lt;/uuid&gt;&lt;subtype&gt;400&lt;/subtype&gt;&lt;type&gt;400&lt;/type&gt;&lt;citekey&gt;Patwardhan:2011kaa&lt;/citekey&gt;&lt;url&gt;http://www.sciencedirect.com/science/article/pii/S0960852411002033&lt;/url&gt;&lt;bundle&gt;&lt;publication&gt;&lt;publisher&gt;Elsevier Ltd&lt;/publisher&gt;&lt;title&gt;Bioresource technology&lt;/title&gt;&lt;type&gt;-100&lt;/type&gt;&lt;subtype&gt;-100&lt;/subtype&gt;&lt;uuid&gt;20FABC45-BAD7-4D11-A180-BCA66580D347&lt;/uuid&gt;&lt;/publication&gt;&lt;/bundle&gt;&lt;authors&gt;&lt;author&gt;&lt;firstName&gt;Pushkaraj&lt;/firstName&gt;&lt;middleNames&gt;R&lt;/middleNames&gt;&lt;lastName&gt;Patwardhan&lt;/lastName&gt;&lt;/author&gt;&lt;author&gt;&lt;firstName&gt;Dustin&lt;/firstName&gt;&lt;middleNames&gt;L&lt;/middleNames&gt;&lt;lastName&gt;Dalluge&lt;/lastName&gt;&lt;/author&gt;&lt;author&gt;&lt;firstName&gt;Brent&lt;/firstName&gt;&lt;middleNames&gt;H&lt;/middleNames&gt;&lt;lastName&gt;Shanks&lt;/lastName&gt;&lt;/author&gt;&lt;/authors&gt;&lt;/publication&gt;&lt;/publications&gt;&lt;cites&gt;&lt;/cites&gt;&lt;/citation&gt;</w:instrText>
      </w:r>
      <w:r w:rsidR="0049371C">
        <w:fldChar w:fldCharType="separate"/>
      </w:r>
      <w:r w:rsidR="00980B82">
        <w:t>(</w:t>
      </w:r>
      <w:r w:rsidR="00980B82">
        <w:rPr>
          <w:i/>
          <w:iCs/>
        </w:rPr>
        <w:t>31</w:t>
      </w:r>
      <w:r w:rsidR="00980B82">
        <w:t>)</w:t>
      </w:r>
      <w:r w:rsidR="0049371C">
        <w:fldChar w:fldCharType="end"/>
      </w:r>
      <w:r w:rsidRPr="00575D38">
        <w:t>, any acetic acid formed in stages 2 and 3 must come from decomposition of any remaining unreacted hemicelluloses and from lignin decomposition</w:t>
      </w:r>
      <w:r w:rsidR="0049371C">
        <w:t xml:space="preserve"> </w:t>
      </w:r>
      <w:r w:rsidR="0049371C">
        <w:fldChar w:fldCharType="begin"/>
      </w:r>
      <w:r w:rsidR="00807999">
        <w:instrText xml:space="preserve"> ADDIN PAPERS2_CITATIONS &lt;citation&gt;&lt;uuid&gt;1131B6BA-ECBF-426C-ADAE-80B0E4893FFF&lt;/uuid&gt;&lt;priority&gt;0&lt;/priority&gt;&lt;publications&gt;&lt;publication&gt;&lt;uuid&gt;0F039A4D-3B13-43BA-9986-1D237E7D7A00&lt;/uuid&gt;&lt;volume&gt;4&lt;/volume&gt;&lt;doi&gt;10.1002/cssc.201100133&lt;/doi&gt;&lt;startpage&gt;1629&lt;/startpage&gt;&lt;publication_date&gt;99201111181200000000222000&lt;/publication_date&gt;&lt;url&gt;http://onlinelibrary.wiley.com/doi/10.1002/cssc.201100133/full&lt;/url&gt;&lt;citekey&gt;Patwardhan:2011in&lt;/citekey&gt;&lt;type&gt;400&lt;/type&gt;&lt;title&gt;Understanding the Fast Pyrolysis of Lignin&lt;/title&gt;&lt;publisher&gt;WILEY</w:instrText>
      </w:r>
      <w:r w:rsidR="00807999">
        <w:rPr>
          <w:rFonts w:ascii="Calibri" w:eastAsia="Calibri" w:hAnsi="Calibri" w:cs="Calibri"/>
        </w:rPr>
        <w:instrText>‐</w:instrText>
      </w:r>
      <w:r w:rsidR="00807999">
        <w:instrText>VCH Verlag&lt;/publisher&gt;&lt;number&gt;11&lt;/number&gt;&lt;subtype&gt;400&lt;/subtype&gt;&lt;endpage&gt;1636&lt;/endpage&gt;&lt;bundle&gt;&lt;publication&gt;&lt;publisher&gt;WILEY</w:instrText>
      </w:r>
      <w:r w:rsidR="00807999">
        <w:rPr>
          <w:rFonts w:ascii="Calibri" w:eastAsia="Calibri" w:hAnsi="Calibri" w:cs="Calibri"/>
        </w:rPr>
        <w:instrText>‐</w:instrText>
      </w:r>
      <w:r w:rsidR="00807999">
        <w:instrText>VCH Verlag&lt;/publisher&gt;&lt;title&gt;ChemSusChem&lt;/title&gt;&lt;type&gt;-100&lt;/type&gt;&lt;subtype&gt;-100&lt;/subtype&gt;&lt;uuid&gt;7311DD7F-36BC-4619-8B6C-41D5069DF002&lt;/uuid&gt;&lt;/publication&gt;&lt;/bundle&gt;&lt;authors&gt;&lt;author&gt;&lt;firstName&gt;Pushkaraj&lt;/firstName&gt;&lt;middleNames&gt;R&lt;/middleNames&gt;&lt;lastName&gt;Patwardhan&lt;/lastName&gt;&lt;/author&gt;&lt;author&gt;&lt;firstName&gt;Robert&lt;/firstName&gt;&lt;middleNames&gt;C&lt;/middleNames&gt;&lt;lastName&gt;Brown&lt;/lastName&gt;&lt;/author&gt;&lt;author&gt;&lt;firstName&gt;Brent&lt;/firstName&gt;&lt;middleNames&gt;H&lt;/middleNames&gt;&lt;lastName&gt;Shanks&lt;/lastName&gt;&lt;/author&gt;&lt;/authors&gt;&lt;/publication&gt;&lt;/publications&gt;&lt;cites&gt;&lt;/cites&gt;&lt;/citation&gt;</w:instrText>
      </w:r>
      <w:r w:rsidR="0049371C">
        <w:fldChar w:fldCharType="separate"/>
      </w:r>
      <w:r w:rsidR="00980B82">
        <w:t>(</w:t>
      </w:r>
      <w:r w:rsidR="00980B82">
        <w:rPr>
          <w:i/>
          <w:iCs/>
        </w:rPr>
        <w:t>12</w:t>
      </w:r>
      <w:r w:rsidR="00980B82">
        <w:t>)</w:t>
      </w:r>
      <w:r w:rsidR="0049371C">
        <w:fldChar w:fldCharType="end"/>
      </w:r>
      <w:r w:rsidRPr="00575D38">
        <w:t>. It is possible that the acetic acid seen in stage 2 is the result of incomplete stage 1 decomposition of hemicellulose. However, if that were the case, the successively increasing yields with time in the 350°C cases would not be expected - the yields at 180s and 300s would not be expected to be dramatically different than the yield at 60s. These results suggest that the acetic acid may be a result of reactions with lower activation energies than the reactions that produce larger, lignin monomer unit-like products such as 4-substituted syringols and guaiacols.</w:t>
      </w:r>
    </w:p>
    <w:p w14:paraId="352F1F8D" w14:textId="69704625" w:rsidR="00575D38" w:rsidRPr="00575D38" w:rsidRDefault="00C334DE" w:rsidP="00C334DE">
      <w:pPr>
        <w:spacing w:line="240" w:lineRule="auto"/>
      </w:pPr>
      <w:r>
        <w:br w:type="page"/>
      </w:r>
    </w:p>
    <w:p w14:paraId="1F879F73" w14:textId="56D122A7" w:rsidR="00E25BFB" w:rsidRDefault="00B27A30" w:rsidP="005B60FA">
      <w:pPr>
        <w:pStyle w:val="NoSpacing"/>
      </w:pPr>
      <w:r>
        <w:rPr>
          <w:noProof/>
        </w:rPr>
        <w:lastRenderedPageBreak/>
        <w:drawing>
          <wp:inline distT="0" distB="0" distL="0" distR="0" wp14:anchorId="17C9E674" wp14:editId="783ED306">
            <wp:extent cx="5394960" cy="2843900"/>
            <wp:effectExtent l="0" t="0" r="0" b="1270"/>
            <wp:docPr id="487" name="Picture 487" descr="../My%20Papers/Stage%202%20Optimization/acetic%20yiel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y%20Papers/Stage%202%20Optimization/acetic%20yield.pdf"/>
                    <pic:cNvPicPr>
                      <a:picLocks noChangeAspect="1" noChangeArrowheads="1"/>
                    </pic:cNvPicPr>
                  </pic:nvPicPr>
                  <pic:blipFill rotWithShape="1">
                    <a:blip r:embed="rId60">
                      <a:extLst>
                        <a:ext uri="{28A0092B-C50C-407E-A947-70E740481C1C}">
                          <a14:useLocalDpi xmlns:a14="http://schemas.microsoft.com/office/drawing/2010/main" val="0"/>
                        </a:ext>
                      </a:extLst>
                    </a:blip>
                    <a:srcRect l="23467" t="27558" r="10756" b="27515"/>
                    <a:stretch/>
                  </pic:blipFill>
                  <pic:spPr bwMode="auto">
                    <a:xfrm>
                      <a:off x="0" y="0"/>
                      <a:ext cx="5394960" cy="2843900"/>
                    </a:xfrm>
                    <a:prstGeom prst="rect">
                      <a:avLst/>
                    </a:prstGeom>
                    <a:noFill/>
                    <a:ln>
                      <a:noFill/>
                    </a:ln>
                    <a:extLst>
                      <a:ext uri="{53640926-AAD7-44D8-BBD7-CCE9431645EC}">
                        <a14:shadowObscured xmlns:a14="http://schemas.microsoft.com/office/drawing/2010/main"/>
                      </a:ext>
                    </a:extLst>
                  </pic:spPr>
                </pic:pic>
              </a:graphicData>
            </a:graphic>
          </wp:inline>
        </w:drawing>
      </w:r>
    </w:p>
    <w:p w14:paraId="25600285" w14:textId="77777777" w:rsidR="00CF625D" w:rsidRDefault="00372308" w:rsidP="00372308">
      <w:pPr>
        <w:pStyle w:val="Caption"/>
        <w:rPr>
          <w:b w:val="0"/>
        </w:rPr>
      </w:pPr>
      <w:bookmarkStart w:id="129" w:name="_Toc449965001"/>
      <w:r w:rsidRPr="00E73E07">
        <w:t xml:space="preserve">Figure </w:t>
      </w:r>
      <w:fldSimple w:instr=" STYLEREF &quot;Chapter&quot; \s ">
        <w:r w:rsidR="00463F52">
          <w:rPr>
            <w:noProof/>
          </w:rPr>
          <w:t>5</w:t>
        </w:r>
      </w:fldSimple>
      <w:r w:rsidRPr="00E73E07">
        <w:t>.</w:t>
      </w:r>
      <w:fldSimple w:instr=" SEQ Figure \* ARABIC \s 1 ">
        <w:r w:rsidR="00463F52">
          <w:rPr>
            <w:noProof/>
          </w:rPr>
          <w:t>12</w:t>
        </w:r>
      </w:fldSimple>
      <w:r w:rsidRPr="00E73E07">
        <w:rPr>
          <w:noProof/>
        </w:rPr>
        <w:t>.</w:t>
      </w:r>
      <w:r>
        <w:rPr>
          <w:noProof/>
        </w:rPr>
        <w:t xml:space="preserve"> </w:t>
      </w:r>
      <w:r w:rsidRPr="00372308">
        <w:rPr>
          <w:b w:val="0"/>
        </w:rPr>
        <w:t>Acetic acid yields for stages 1, 2 &amp; 3, as a percentage of the fa</w:t>
      </w:r>
      <w:r w:rsidR="00CF625D">
        <w:rPr>
          <w:b w:val="0"/>
        </w:rPr>
        <w:t>st pyrolysis acetic acid yield.</w:t>
      </w:r>
      <w:bookmarkEnd w:id="129"/>
    </w:p>
    <w:p w14:paraId="07EAA749" w14:textId="6F4D6F45" w:rsidR="00372308" w:rsidRDefault="00372308" w:rsidP="00372308">
      <w:pPr>
        <w:pStyle w:val="Caption"/>
        <w:rPr>
          <w:b w:val="0"/>
        </w:rPr>
      </w:pPr>
      <w:r w:rsidRPr="00372308">
        <w:rPr>
          <w:b w:val="0"/>
        </w:rPr>
        <w:t>The low yields of acetic acid indicate that the hemicellulose is decomposed at stage 1 conditions.</w:t>
      </w:r>
    </w:p>
    <w:p w14:paraId="24219D7E" w14:textId="77777777" w:rsidR="004B12F3" w:rsidRPr="004B12F3" w:rsidRDefault="004B12F3" w:rsidP="004B12F3"/>
    <w:p w14:paraId="0EAC6EEB" w14:textId="689F9816" w:rsidR="00001A9D" w:rsidRPr="00001A9D" w:rsidRDefault="00001A9D" w:rsidP="00001A9D">
      <w:r w:rsidRPr="00001A9D">
        <w:t xml:space="preserve">Much of the difference in the stages 2 &amp; 3 total carbon yields is due to the combined behavior of the levoglucosan, methoxyphenols, and furfural lumps, </w:t>
      </w:r>
      <w:r w:rsidRPr="00B74D64">
        <w:t>as shown in figure</w:t>
      </w:r>
      <w:r w:rsidR="00B74D64" w:rsidRPr="00B74D64">
        <w:t>s</w:t>
      </w:r>
      <w:r w:rsidRPr="00B74D64">
        <w:t xml:space="preserve"> </w:t>
      </w:r>
      <w:r w:rsidR="00B74D64" w:rsidRPr="00B74D64">
        <w:t>5.6, 5.8, and 5.10</w:t>
      </w:r>
      <w:r w:rsidRPr="00001A9D">
        <w:t>. It is well established that phenolic pyrolysis products originate from lignin, while furfurals and levoglucosan result from polysaccharide decomposition (levoglucosan exclusively from cellulose)</w:t>
      </w:r>
      <w:r w:rsidR="0049371C">
        <w:t xml:space="preserve"> </w:t>
      </w:r>
      <w:r w:rsidR="0049371C">
        <w:fldChar w:fldCharType="begin"/>
      </w:r>
      <w:r w:rsidR="00807999">
        <w:instrText xml:space="preserve"> ADDIN PAPERS2_CITATIONS &lt;citation&gt;&lt;uuid&gt;E6EB1BD4-BA15-42E5-AF0D-643BB02392C4&lt;/uuid&gt;&lt;priority&gt;0&lt;/priority&gt;&lt;publications&gt;&lt;publication&gt;&lt;publication_date&gt;99201100001200000000200000&lt;/publication_date&gt;&lt;doi&gt;10.1016/j.biortech.2011.02.018&lt;/doi&gt;&lt;title&gt;Distinguishing primary and secondary reactions of cellulose pyrolysis&lt;/title&gt;&lt;uuid&gt;03ED85DE-07DF-4E32-B887-11673E3EDD28&lt;/uuid&gt;&lt;subtype&gt;400&lt;/subtype&gt;&lt;type&gt;400&lt;/type&gt;&lt;citekey&gt;Patwardhan:2011kaa&lt;/citekey&gt;&lt;url&gt;http://www.sciencedirect.com/science/article/pii/S0960852411002033&lt;/url&gt;&lt;bundle&gt;&lt;publication&gt;&lt;publisher&gt;Elsevier Ltd&lt;/publisher&gt;&lt;title&gt;Bioresource technology&lt;/title&gt;&lt;type&gt;-100&lt;/type&gt;&lt;subtype&gt;-100&lt;/subtype&gt;&lt;uuid&gt;20FABC45-BAD7-4D11-A180-BCA66580D347&lt;/uuid&gt;&lt;/publication&gt;&lt;/bundle&gt;&lt;authors&gt;&lt;author&gt;&lt;firstName&gt;Pushkaraj&lt;/firstName&gt;&lt;middleNames&gt;R&lt;/middleNames&gt;&lt;lastName&gt;Patwardhan&lt;/lastName&gt;&lt;/author&gt;&lt;author&gt;&lt;firstName&gt;Dustin&lt;/firstName&gt;&lt;middleNames&gt;L&lt;/middleNames&gt;&lt;lastName&gt;Dalluge&lt;/lastName&gt;&lt;/author&gt;&lt;author&gt;&lt;firstName&gt;Brent&lt;/firstName&gt;&lt;middleNames&gt;H&lt;/middleNames&gt;&lt;lastName&gt;Shanks&lt;/lastName&gt;&lt;/author&gt;&lt;/authors&gt;&lt;/publication&gt;&lt;publication&gt;&lt;publication_date&gt;99201100001200000000200000&lt;/publication_date&gt;&lt;doi&gt;10.1002/cssc.201000425/full&lt;/doi&gt;&lt;title&gt;Product distribution from the fast pyrolysis of hemicellulose&lt;/title&gt;&lt;uuid&gt;BD813F33-3913-4A9A-9121-EA81B3ACDAE8&lt;/uuid&gt;&lt;subtype&gt;400&lt;/subtype&gt;&lt;type&gt;400&lt;/type&gt;&lt;url&gt;http://onlinelibrary.wiley.com/doi/10.1002/cssc.201000425/full&lt;/url&gt;&lt;bundle&gt;&lt;publication&gt;&lt;publisher&gt;WILEY</w:instrText>
      </w:r>
      <w:r w:rsidR="00807999">
        <w:rPr>
          <w:rFonts w:ascii="Calibri" w:eastAsia="Calibri" w:hAnsi="Calibri" w:cs="Calibri"/>
        </w:rPr>
        <w:instrText>‐</w:instrText>
      </w:r>
      <w:r w:rsidR="00807999">
        <w:instrText>VCH Verlag&lt;/publisher&gt;&lt;title&gt;ChemSusChem&lt;/title&gt;&lt;type&gt;-100&lt;/type&gt;&lt;subtype&gt;-100&lt;/subtype&gt;&lt;uuid&gt;7311DD7F-36BC-4619-8B6C-41D5069DF002&lt;/uuid&gt;&lt;/publication&gt;&lt;/bundle&gt;&lt;authors&gt;&lt;author&gt;&lt;firstName&gt;Pushkaraj&lt;/firstName&gt;&lt;middleNames&gt;R&lt;/middleNames&gt;&lt;lastName&gt;Patwardhan&lt;/lastName&gt;&lt;/author&gt;&lt;author&gt;&lt;firstName&gt;Robert&lt;/firstName&gt;&lt;middleNames&gt;C&lt;/middleNames&gt;&lt;lastName&gt;Brown&lt;/lastName&gt;&lt;/author&gt;&lt;author&gt;&lt;firstName&gt;Brent&lt;/firstName&gt;&lt;middleNames&gt;H&lt;/middleNames&gt;&lt;lastName&gt;Shanks&lt;/lastName&gt;&lt;/author&gt;&lt;/authors&gt;&lt;/publication&gt;&lt;publication&gt;&lt;uuid&gt;0F039A4D-3B13-43BA-9986-1D237E7D7A00&lt;/uuid&gt;&lt;volume&gt;4&lt;/volume&gt;&lt;doi&gt;10.1002/cssc.201100133&lt;/doi&gt;&lt;startpage&gt;1629&lt;/startpage&gt;&lt;publication_date&gt;99201111181200000000222000&lt;/publication_date&gt;&lt;url&gt;http://onlinelibrary.wiley.com/doi/10.1002/cssc.201100133/full&lt;/url&gt;&lt;citekey&gt;Patwardhan:2011in&lt;/citekey&gt;&lt;type&gt;400&lt;/type&gt;&lt;title&gt;Understanding the Fast Pyrolysis of Lignin&lt;/title&gt;&lt;publisher&gt;WILEY</w:instrText>
      </w:r>
      <w:r w:rsidR="00807999">
        <w:rPr>
          <w:rFonts w:ascii="Calibri" w:eastAsia="Calibri" w:hAnsi="Calibri" w:cs="Calibri"/>
        </w:rPr>
        <w:instrText>‐</w:instrText>
      </w:r>
      <w:r w:rsidR="00807999">
        <w:instrText>VCH Verlag&lt;/publisher&gt;&lt;number&gt;11&lt;/number&gt;&lt;subtype&gt;400&lt;/subtype&gt;&lt;endpage&gt;1636&lt;/endpage&gt;&lt;bundle&gt;&lt;publication&gt;&lt;publisher&gt;WILEY</w:instrText>
      </w:r>
      <w:r w:rsidR="00807999">
        <w:rPr>
          <w:rFonts w:ascii="Calibri" w:eastAsia="Calibri" w:hAnsi="Calibri" w:cs="Calibri"/>
        </w:rPr>
        <w:instrText>‐</w:instrText>
      </w:r>
      <w:r w:rsidR="00807999">
        <w:instrText>VCH Verlag&lt;/publisher&gt;&lt;title&gt;ChemSusChem&lt;/title&gt;&lt;type&gt;-100&lt;/type&gt;&lt;subtype&gt;-100&lt;/subtype&gt;&lt;uuid&gt;7311DD7F-36BC-4619-8B6C-41D5069DF002&lt;/uuid&gt;&lt;/publication&gt;&lt;/bundle&gt;&lt;authors&gt;&lt;author&gt;&lt;firstName&gt;Pushkaraj&lt;/firstName&gt;&lt;middleNames&gt;R&lt;/middleNames&gt;&lt;lastName&gt;Patwardhan&lt;/lastName&gt;&lt;/author&gt;&lt;author&gt;&lt;firstName&gt;Robert&lt;/firstName&gt;&lt;middleNames&gt;C&lt;/middleNames&gt;&lt;lastName&gt;Brown&lt;/lastName&gt;&lt;/author&gt;&lt;author&gt;&lt;firstName&gt;Brent&lt;/firstName&gt;&lt;middleNames&gt;H&lt;/middleNames&gt;&lt;lastName&gt;Shanks&lt;/lastName&gt;&lt;/author&gt;&lt;/authors&gt;&lt;/publication&gt;&lt;/publications&gt;&lt;cites&gt;&lt;/cites&gt;&lt;/citation&gt;</w:instrText>
      </w:r>
      <w:r w:rsidR="0049371C">
        <w:fldChar w:fldCharType="separate"/>
      </w:r>
      <w:r w:rsidR="00980B82">
        <w:t>(</w:t>
      </w:r>
      <w:r w:rsidR="00980B82">
        <w:rPr>
          <w:i/>
          <w:iCs/>
        </w:rPr>
        <w:t>12</w:t>
      </w:r>
      <w:r w:rsidR="00980B82">
        <w:t xml:space="preserve">, </w:t>
      </w:r>
      <w:r w:rsidR="00980B82">
        <w:rPr>
          <w:i/>
          <w:iCs/>
        </w:rPr>
        <w:t>30</w:t>
      </w:r>
      <w:r w:rsidR="00980B82">
        <w:t xml:space="preserve">, </w:t>
      </w:r>
      <w:r w:rsidR="00980B82">
        <w:rPr>
          <w:i/>
          <w:iCs/>
        </w:rPr>
        <w:t>31</w:t>
      </w:r>
      <w:r w:rsidR="00980B82">
        <w:t>)</w:t>
      </w:r>
      <w:r w:rsidR="0049371C">
        <w:fldChar w:fldCharType="end"/>
      </w:r>
      <w:r w:rsidRPr="00001A9D">
        <w:t xml:space="preserve">. Since all or almost all of the hemicellulose has decomposed before screening at these conditions, it is expected that the furfurals measured here are cellulose decomposition products as well. Beyond the differences due to hemicellulose removal discussed above, these observed lower total process carbon yields following intermediate thermal treatments (especially in the methoxphenol, levoglucosan, and pyran lumps) are ascribed to changes in the thermal stability of the biomass caused by (primarily) condensation and repolymerization reactions that may not be kinetically favored in fast pyrolysis. Early work in the field </w:t>
      </w:r>
      <w:r w:rsidRPr="00001A9D">
        <w:lastRenderedPageBreak/>
        <w:t>established that organic yields from cellulose i</w:t>
      </w:r>
      <w:r w:rsidR="0049371C">
        <w:t xml:space="preserve">n general are maximal at 500°C </w:t>
      </w:r>
      <w:r w:rsidR="00980B82">
        <w:fldChar w:fldCharType="begin"/>
      </w:r>
      <w:r w:rsidR="00807999">
        <w:instrText xml:space="preserve"> ADDIN PAPERS2_CITATIONS &lt;citation&gt;&lt;uuid&gt;F60245C5-650F-4549-B02D-C592B0D5D209&lt;/uuid&gt;&lt;priority&gt;259&lt;/priority&gt;&lt;publications&gt;&lt;publication&gt;&lt;uuid&gt;5E66D4BC-A345-42AB-A5B6-E2D1D2C83D31&lt;/uuid&gt;&lt;volume&gt;23&lt;/volume&gt;&lt;doi&gt;10.1002/app.1979.070231112&lt;/doi&gt;&lt;startpage&gt;3271&lt;/startpage&gt;&lt;publication_date&gt;99197906011200000000222000&lt;/publication_date&gt;&lt;url&gt;http://doi.wiley.com/10.1002/app.1979.070231112&lt;/url&gt;&lt;type&gt;400&lt;/type&gt;&lt;title&gt;A kinetic model for pyrolysis of cellulose&lt;/title&gt;&lt;publisher&gt;Wiley Subscription Services, Inc., A Wiley Company&lt;/publisher&gt;&lt;number&gt;11&lt;/number&gt;&lt;subtype&gt;400&lt;/subtype&gt;&lt;endpage&gt;3280&lt;/endpage&gt;&lt;bundle&gt;&lt;publication&gt;&lt;publisher&gt;Wiley Subscription Services, Inc., A Wiley Company&lt;/publisher&gt;&lt;title&gt;Journal of Applied Polymer Science&lt;/title&gt;&lt;type&gt;-100&lt;/type&gt;&lt;subtype&gt;-100&lt;/subtype&gt;&lt;uuid&gt;D9A22E83-993D-4D8E-AC3D-453EDF718719&lt;/uuid&gt;&lt;/publication&gt;&lt;/bundle&gt;&lt;authors&gt;&lt;author&gt;&lt;firstName&gt;Allan&lt;/firstName&gt;&lt;middleNames&gt;G W&lt;/middleNames&gt;&lt;lastName&gt;Bradbury&lt;/lastName&gt;&lt;/author&gt;&lt;author&gt;&lt;firstName&gt;Yoshio&lt;/firstName&gt;&lt;lastName&gt;Sakai&lt;/lastName&gt;&lt;/author&gt;&lt;author&gt;&lt;firstName&gt;Fred&lt;/firstName&gt;&lt;lastName&gt;Shafizadeh&lt;/lastName&gt;&lt;/author&gt;&lt;/authors&gt;&lt;/publication&gt;&lt;publication&gt;&lt;type&gt;400&lt;/type&gt;&lt;publication_date&gt;99197500001200000000200000&lt;/publication_date&gt;&lt;title&gt;Char yield on pyrolysis of cellulose&lt;/title&gt;&lt;url&gt;http://www.sciencedirect.com/science/article/pii/001021807590156X&lt;/url&gt;&lt;subtype&gt;400&lt;/subtype&gt;&lt;uuid&gt;A3E1979E-9630-43D1-92D5-3255C5158098&lt;/uuid&gt;&lt;bundle&gt;&lt;publication&gt;&lt;title&gt;Combustion and Flame&lt;/title&gt;&lt;type&gt;-100&lt;/type&gt;&lt;subtype&gt;-100&lt;/subtype&gt;&lt;uuid&gt;DE7961BC-83C7-4AF1-B433-AC08262DB952&lt;/uuid&gt;&lt;/publication&gt;&lt;/bundle&gt;&lt;authors&gt;&lt;author&gt;&lt;firstName&gt;A&lt;/firstName&gt;&lt;lastName&gt;Broido&lt;/lastName&gt;&lt;/author&gt;&lt;author&gt;&lt;firstName&gt;M&lt;/firstName&gt;&lt;middleNames&gt;A&lt;/middleNames&gt;&lt;lastName&gt;Nelson&lt;/lastName&gt;&lt;/author&gt;&lt;/authors&gt;&lt;/publication&gt;&lt;/publications&gt;&lt;cites&gt;&lt;/cites&gt;&lt;/citation&gt;</w:instrText>
      </w:r>
      <w:r w:rsidR="00980B82">
        <w:fldChar w:fldCharType="separate"/>
      </w:r>
      <w:r w:rsidR="001C1AAC">
        <w:t>(</w:t>
      </w:r>
      <w:r w:rsidR="001C1AAC">
        <w:rPr>
          <w:i/>
          <w:iCs/>
        </w:rPr>
        <w:t>98</w:t>
      </w:r>
      <w:r w:rsidR="001C1AAC">
        <w:t xml:space="preserve">, </w:t>
      </w:r>
      <w:r w:rsidR="001C1AAC">
        <w:rPr>
          <w:i/>
          <w:iCs/>
        </w:rPr>
        <w:t>167</w:t>
      </w:r>
      <w:r w:rsidR="001C1AAC">
        <w:t>)</w:t>
      </w:r>
      <w:r w:rsidR="00980B82">
        <w:fldChar w:fldCharType="end"/>
      </w:r>
      <w:r w:rsidRPr="00001A9D">
        <w:t xml:space="preserve">. More recent NMR investigations </w:t>
      </w:r>
      <w:r w:rsidR="00464D96">
        <w:fldChar w:fldCharType="begin"/>
      </w:r>
      <w:r w:rsidR="00807999">
        <w:instrText xml:space="preserve"> ADDIN PAPERS2_CITATIONS &lt;citation&gt;&lt;uuid&gt;67E3A63E-4E93-4C2A-8C7E-6640F2B07FEC&lt;/uuid&gt;&lt;priority&gt;0&lt;/priority&gt;&lt;publications&gt;&lt;publication&gt;&lt;uuid&gt;8657C69D-9E9F-4595-93D4-74DFC2FF2D15&lt;/uuid&gt;&lt;volume&gt;92&lt;/volume&gt;&lt;doi&gt;10.1016/j.fuel.2011.06.042&lt;/doi&gt;&lt;startpage&gt;271&lt;/startpage&gt;&lt;publication_date&gt;99201202011200000000222000&lt;/publication_date&gt;&lt;url&gt;http://dx.doi.org/10.1016/j.fuel.2011.06.042&lt;/url&gt;&lt;citekey&gt;Melkior:2012io&lt;/citekey&gt;&lt;type&gt;400&lt;/type&gt;&lt;title&gt;NMR analysis of the transformation of wood constituents by torrefaction&lt;/title&gt;&lt;publisher&gt;Elsevier Ltd&lt;/publisher&gt;&lt;number&gt;1&lt;/number&gt;&lt;subtype&gt;400&lt;/subtype&gt;&lt;endpage&gt;280&lt;/endpage&gt;&lt;bundle&gt;&lt;publication&gt;&lt;publisher&gt;Elsevier Ltd&lt;/publisher&gt;&lt;title&gt;Fuel&lt;/title&gt;&lt;type&gt;-100&lt;/type&gt;&lt;subtype&gt;-100&lt;/subtype&gt;&lt;uuid&gt;E286CABA-D6F1-4A09-A385-6AFE55FAD8F4&lt;/uuid&gt;&lt;/publication&gt;&lt;/bundle&gt;&lt;authors&gt;&lt;author&gt;&lt;firstName&gt;T&lt;/firstName&gt;&lt;lastName&gt;Melkior&lt;/lastName&gt;&lt;/author&gt;&lt;author&gt;&lt;firstName&gt;S&lt;/firstName&gt;&lt;lastName&gt;Jacob&lt;/lastName&gt;&lt;/author&gt;&lt;author&gt;&lt;firstName&gt;G&lt;/firstName&gt;&lt;lastName&gt;Gerbaud&lt;/lastName&gt;&lt;/author&gt;&lt;author&gt;&lt;firstName&gt;S&lt;/firstName&gt;&lt;lastName&gt;Hediger&lt;/lastName&gt;&lt;/author&gt;&lt;author&gt;&lt;nonDroppingParticle&gt;Le&lt;/nonDroppingParticle&gt;&lt;firstName&gt;L&lt;/firstName&gt;&lt;lastName&gt;Pape&lt;/lastName&gt;&lt;/author&gt;&lt;author&gt;&lt;firstName&gt;L&lt;/firstName&gt;&lt;lastName&gt;Bonnefois&lt;/lastName&gt;&lt;/author&gt;&lt;author&gt;&lt;firstName&gt;M&lt;/firstName&gt;&lt;lastName&gt;Bardet&lt;/lastName&gt;&lt;/author&gt;&lt;/authors&gt;&lt;/publication&gt;&lt;publication&gt;&lt;volume&gt;113&lt;/volume&gt;&lt;publication_date&gt;99200906041200000000222000&lt;/publication_date&gt;&lt;number&gt;22&lt;/number&gt;&lt;doi&gt;10.1021/jp901582x&lt;/doi&gt;&lt;startpage&gt;9644&lt;/startpage&gt;&lt;title&gt;Structural Characterization of Hydrothermal Carbon Spheres by Advanced Solid-State MAS 13C NMR Investigations&lt;/title&gt;&lt;uuid&gt;0A22BBAF-45A2-4AF4-B3E2-414F691BDDD6&lt;/uuid&gt;&lt;subtype&gt;400&lt;/subtype&gt;&lt;endpage&gt;9654&lt;/endpage&gt;&lt;type&gt;400&lt;/type&gt;&lt;url&gt;http://pubs.acs.org/doi/abs/10.1021/jp901582x&lt;/url&gt;&lt;bundle&gt;&lt;publication&gt;&lt;title&gt;The Journal of Physical Chemistry C&lt;/title&gt;&lt;type&gt;-100&lt;/type&gt;&lt;subtype&gt;-100&lt;/subtype&gt;&lt;uuid&gt;2A602B56-83D7-4427-A81F-9739775B82A6&lt;/uuid&gt;&lt;/publication&gt;&lt;/bundle&gt;&lt;authors&gt;&lt;author&gt;&lt;firstName&gt;Niki&lt;/firstName&gt;&lt;lastName&gt;Baccile&lt;/lastName&gt;&lt;/author&gt;&lt;author&gt;&lt;firstName&gt;Guillaume&lt;/firstName&gt;&lt;lastName&gt;Laurent&lt;/lastName&gt;&lt;/author&gt;&lt;author&gt;&lt;firstName&gt;Florence&lt;/firstName&gt;&lt;lastName&gt;Babonneau&lt;/lastName&gt;&lt;/author&gt;&lt;author&gt;&lt;firstName&gt;Franck&lt;/firstName&gt;&lt;lastName&gt;Fayon&lt;/lastName&gt;&lt;/author&gt;&lt;author&gt;&lt;firstName&gt;Maria-Magdalena&lt;/firstName&gt;&lt;lastName&gt;Titirici&lt;/lastName&gt;&lt;/author&gt;&lt;author&gt;&lt;firstName&gt;Markus&lt;/firstName&gt;&lt;lastName&gt;Antonietti&lt;/lastName&gt;&lt;/author&gt;&lt;/authors&gt;&lt;/publication&gt;&lt;/publications&gt;&lt;cites&gt;&lt;/cites&gt;&lt;/citation&gt;</w:instrText>
      </w:r>
      <w:r w:rsidR="00464D96">
        <w:fldChar w:fldCharType="separate"/>
      </w:r>
      <w:r w:rsidR="001C1AAC">
        <w:t>(</w:t>
      </w:r>
      <w:r w:rsidR="001C1AAC">
        <w:rPr>
          <w:i/>
          <w:iCs/>
        </w:rPr>
        <w:t>168</w:t>
      </w:r>
      <w:r w:rsidR="001C1AAC">
        <w:t xml:space="preserve">, </w:t>
      </w:r>
      <w:r w:rsidR="001C1AAC">
        <w:rPr>
          <w:i/>
          <w:iCs/>
        </w:rPr>
        <w:t>169</w:t>
      </w:r>
      <w:r w:rsidR="001C1AAC">
        <w:t>)</w:t>
      </w:r>
      <w:r w:rsidR="00464D96">
        <w:fldChar w:fldCharType="end"/>
      </w:r>
      <w:r w:rsidRPr="00001A9D">
        <w:t xml:space="preserve"> have demonstrated that new aliphatic and aromatic structures are formed in polysaccharides treated at torrefaction temperatures. The mechanism for cellulose pyrolysis advanced by Huber </w:t>
      </w:r>
      <w:r w:rsidR="00464D96">
        <w:fldChar w:fldCharType="begin"/>
      </w:r>
      <w:r w:rsidR="00807999">
        <w:instrText xml:space="preserve"> ADDIN PAPERS2_CITATIONS &lt;citation&gt;&lt;uuid&gt;67F23C65-373B-478C-9C9D-9EA1C505333E&lt;/uuid&gt;&lt;priority&gt;0&lt;/priority&gt;&lt;publications&gt;&lt;publication&gt;&lt;publication_date&gt;99200900001200000000200000&lt;/publication_date&gt;&lt;title&gt;Kinetics and Mechanism of Cellulose Pyrolysis&lt;/title&gt;&lt;uuid&gt;BB64A656-C801-4218-AD79-2D23BB63753A&lt;/uuid&gt;&lt;subtype&gt;400&lt;/subtype&gt;&lt;publisher&gt; American Chemical Society&lt;/publisher&gt;&lt;type&gt;400&lt;/type&gt;&lt;citekey&gt;Lin:2009tu&lt;/citekey&gt;&lt;url&gt;http://pubs.acs.org/doi/abs/10.1021/jp906702p&lt;/url&gt;&lt;authors&gt;&lt;author&gt;&lt;firstName&gt;Yu-Chuan&lt;/firstName&gt;&lt;lastName&gt;Lin&lt;/lastName&gt;&lt;/author&gt;&lt;author&gt;&lt;firstName&gt;Joungmo&lt;/firstName&gt;&lt;lastName&gt;Cho&lt;/lastName&gt;&lt;/author&gt;&lt;author&gt;&lt;firstName&gt;Geoffrey&lt;/firstName&gt;&lt;middleNames&gt;a&lt;/middleNames&gt;&lt;lastName&gt;Tompsett&lt;/lastName&gt;&lt;/author&gt;&lt;author&gt;&lt;firstName&gt;Phillip&lt;/firstName&gt;&lt;middleNames&gt;R&lt;/middleNames&gt;&lt;lastName&gt;Westmoreland&lt;/lastName&gt;&lt;/author&gt;&lt;author&gt;&lt;firstName&gt;G W&lt;/firstName&gt;&lt;lastName&gt;Huber&lt;/lastName&gt;&lt;/author&gt;&lt;/authors&gt;&lt;/publication&gt;&lt;/publications&gt;&lt;cites&gt;&lt;/cites&gt;&lt;/citation&gt;</w:instrText>
      </w:r>
      <w:r w:rsidR="00464D96">
        <w:fldChar w:fldCharType="separate"/>
      </w:r>
      <w:r w:rsidR="001C1AAC">
        <w:t>(</w:t>
      </w:r>
      <w:r w:rsidR="001C1AAC">
        <w:rPr>
          <w:i/>
          <w:iCs/>
        </w:rPr>
        <w:t>170</w:t>
      </w:r>
      <w:r w:rsidR="001C1AAC">
        <w:t>)</w:t>
      </w:r>
      <w:r w:rsidR="00464D96">
        <w:fldChar w:fldCharType="end"/>
      </w:r>
      <w:r w:rsidRPr="00001A9D">
        <w:t xml:space="preserve"> suggests that cellulose begins to depolymerize at temperatures as low as 100°C, with breaks in the polymer chain occurring until the anhydrosugar monomer (levoglucosan) is obtained. At temperatures low enough to prevent volatilization of levoglucosan, char formation (proposed to be the result of repolymerization of levoglucosan or rearrangement/decomposition products of levoglucosan) may be enhanced. Similar condensation and repolymerization behavior also has been shown to occur in lignin; Wen et. al </w:t>
      </w:r>
      <w:r w:rsidR="00464D96">
        <w:fldChar w:fldCharType="begin"/>
      </w:r>
      <w:r w:rsidR="00807999">
        <w:instrText xml:space="preserve"> ADDIN PAPERS2_CITATIONS &lt;citation&gt;&lt;uuid&gt;8EB3C50C-75E2-4663-8C45-26BBDBC9EE32&lt;/uuid&gt;&lt;priority&gt;0&lt;/priority&gt;&lt;publications&gt;&lt;publication&gt;&lt;volume&gt;121&lt;/volume&gt;&lt;publication_date&gt;99201405001200000000220000&lt;/publication_date&gt;&lt;doi&gt;10.1016/j.apenergy.2014.02.001&lt;/doi&gt;&lt;startpage&gt;1&lt;/startpage&gt;&lt;title&gt;Understanding the chemical and structural transformations of lignin macromolecule during torrefaction&lt;/title&gt;&lt;uuid&gt;14A689FB-96CF-4401-8BBF-F0477E6823E0&lt;/uuid&gt;&lt;subtype&gt;400&lt;/subtype&gt;&lt;endpage&gt;9&lt;/endpage&gt;&lt;type&gt;400&lt;/type&gt;&lt;citekey&gt;Wen:2014cz&lt;/citekey&gt;&lt;url&gt;http://linkinghub.elsevier.com/retrieve/pii/S0306261914001032&lt;/url&gt;&lt;bundle&gt;&lt;publication&gt;&lt;publisher&gt;Elsevier Ltd&lt;/publisher&gt;&lt;title&gt;Applied Energy&lt;/title&gt;&lt;type&gt;-100&lt;/type&gt;&lt;subtype&gt;-100&lt;/subtype&gt;&lt;uuid&gt;F3C8C86A-D210-4178-B102-4B8580A92986&lt;/uuid&gt;&lt;/publication&gt;&lt;/bundle&gt;&lt;authors&gt;&lt;author&gt;&lt;firstName&gt;Jia-Long&lt;/firstName&gt;&lt;lastName&gt;Wen&lt;/lastName&gt;&lt;/author&gt;&lt;author&gt;&lt;firstName&gt;Shao-Long&lt;/firstName&gt;&lt;lastName&gt;Sun&lt;/lastName&gt;&lt;/author&gt;&lt;author&gt;&lt;firstName&gt;Tong-Qi&lt;/firstName&gt;&lt;lastName&gt;Yuan&lt;/lastName&gt;&lt;/author&gt;&lt;author&gt;&lt;firstName&gt;Feng&lt;/firstName&gt;&lt;lastName&gt;Xu&lt;/lastName&gt;&lt;/author&gt;&lt;author&gt;&lt;firstName&gt;Run-Cang&lt;/firstName&gt;&lt;lastName&gt;Sun&lt;/lastName&gt;&lt;/author&gt;&lt;/authors&gt;&lt;/publication&gt;&lt;/publications&gt;&lt;cites&gt;&lt;/cites&gt;&lt;/citation&gt;</w:instrText>
      </w:r>
      <w:r w:rsidR="00464D96">
        <w:fldChar w:fldCharType="separate"/>
      </w:r>
      <w:r w:rsidR="001C1AAC">
        <w:t>(</w:t>
      </w:r>
      <w:r w:rsidR="001C1AAC">
        <w:rPr>
          <w:i/>
          <w:iCs/>
        </w:rPr>
        <w:t>171</w:t>
      </w:r>
      <w:r w:rsidR="001C1AAC">
        <w:t>)</w:t>
      </w:r>
      <w:r w:rsidR="00464D96">
        <w:fldChar w:fldCharType="end"/>
      </w:r>
      <w:r w:rsidR="00464D96">
        <w:t xml:space="preserve"> </w:t>
      </w:r>
      <w:r w:rsidRPr="00001A9D">
        <w:t xml:space="preserve">observed that β-O-4, β-β, and β-5 lignin bonds disappear under torrefaction (275°C – 300°C) conditions. The β-O-4 linkages (the most abundant type) cleave and reform aromatic C-C bonds within the lignin. These new refractory bonds have much higher dissociation enthalpies, and may not dissociate at typical fast pyrolysis temperatures, leading to enhanced char formation and corresponding loss of organic vapor yield. </w:t>
      </w:r>
    </w:p>
    <w:p w14:paraId="7D4755D9" w14:textId="4923AE86" w:rsidR="00001A9D" w:rsidRPr="00001A9D" w:rsidRDefault="00001A9D" w:rsidP="00001A9D">
      <w:r w:rsidRPr="00001A9D">
        <w:t xml:space="preserve">While the pyroprobe/GCMS-FID system is a useful analytical tool that provides rapid assessments of pyrolysis vapor products, it is also limited in that it cannot provide good mass balance information that a larger-scale system can (such as the one used to generate the stage 1 products). Successive pyroprobe treatments on the same sample leaves that sample in the (unheated) pyrolysis chamber during the chromatography run, preventing measurement of the residual solid before the next pyrolysis step. Furthermore, other studies have noted that the pyroprobe apparatus appears to generate </w:t>
      </w:r>
      <w:r w:rsidRPr="00001A9D">
        <w:lastRenderedPageBreak/>
        <w:t>much more char than other systems such as TGA, ascribed to the lack of sweep gas through the pyrolyzing solid due to the required tube loading configuration</w:t>
      </w:r>
      <w:r w:rsidR="00464D96">
        <w:t xml:space="preserve"> </w:t>
      </w:r>
      <w:r w:rsidR="00464D96">
        <w:fldChar w:fldCharType="begin"/>
      </w:r>
      <w:r w:rsidR="00807999">
        <w:instrText xml:space="preserve"> ADDIN PAPERS2_CITATIONS &lt;citation&gt;&lt;uuid&gt;0F7F172F-9EC3-4664-9370-974703608411&lt;/uuid&gt;&lt;priority&gt;0&lt;/priority&gt;&lt;publications&gt;&lt;publication&gt;&lt;publication_date&gt;99200900001200000000200000&lt;/publication_date&gt;&lt;title&gt;Kinetics and Mechanism of Cellulose Pyrolysis&lt;/title&gt;&lt;uuid&gt;BB64A656-C801-4218-AD79-2D23BB63753A&lt;/uuid&gt;&lt;subtype&gt;400&lt;/subtype&gt;&lt;publisher&gt; American Chemical Society&lt;/publisher&gt;&lt;type&gt;400&lt;/type&gt;&lt;citekey&gt;Lin:2009tu&lt;/citekey&gt;&lt;url&gt;http://pubs.acs.org/doi/abs/10.1021/jp906702p&lt;/url&gt;&lt;authors&gt;&lt;author&gt;&lt;firstName&gt;Yu-Chuan&lt;/firstName&gt;&lt;lastName&gt;Lin&lt;/lastName&gt;&lt;/author&gt;&lt;author&gt;&lt;firstName&gt;Joungmo&lt;/firstName&gt;&lt;lastName&gt;Cho&lt;/lastName&gt;&lt;/author&gt;&lt;author&gt;&lt;firstName&gt;Geoffrey&lt;/firstName&gt;&lt;middleNames&gt;a&lt;/middleNames&gt;&lt;lastName&gt;Tompsett&lt;/lastName&gt;&lt;/author&gt;&lt;author&gt;&lt;firstName&gt;Phillip&lt;/firstName&gt;&lt;middleNames&gt;R&lt;/middleNames&gt;&lt;lastName&gt;Westmoreland&lt;/lastName&gt;&lt;/author&gt;&lt;author&gt;&lt;firstName&gt;G W&lt;/firstName&gt;&lt;lastName&gt;Huber&lt;/lastName&gt;&lt;/author&gt;&lt;/authors&gt;&lt;/publication&gt;&lt;/publications&gt;&lt;cites&gt;&lt;/cites&gt;&lt;/citation&gt;</w:instrText>
      </w:r>
      <w:r w:rsidR="00464D96">
        <w:fldChar w:fldCharType="separate"/>
      </w:r>
      <w:r w:rsidR="001C1AAC">
        <w:t>(</w:t>
      </w:r>
      <w:r w:rsidR="001C1AAC">
        <w:rPr>
          <w:i/>
          <w:iCs/>
        </w:rPr>
        <w:t>170</w:t>
      </w:r>
      <w:r w:rsidR="001C1AAC">
        <w:t>)</w:t>
      </w:r>
      <w:r w:rsidR="00464D96">
        <w:fldChar w:fldCharType="end"/>
      </w:r>
      <w:r w:rsidRPr="00001A9D">
        <w:t>. This can lead to high concentrations of volatiles in the heated zon</w:t>
      </w:r>
      <w:r w:rsidR="00464D96">
        <w:t>e and increased coke formation</w:t>
      </w:r>
      <w:r w:rsidRPr="00001A9D">
        <w:t>. Additionally, the pyroprobe system only provides vapor product compositional data, and cannot be used to generate liquids for analysis of properties like water content, viscosity, elemental analysis, etc. – information which is necessary for techno-economic analyses and life cycle analyses. Further, larger-scale studies are needed to generate these kinds of data for the optimized conditions discussed here.</w:t>
      </w:r>
    </w:p>
    <w:p w14:paraId="474046D8" w14:textId="34B562AA" w:rsidR="00372308" w:rsidRDefault="00001A9D" w:rsidP="00001A9D">
      <w:pPr>
        <w:pStyle w:val="Heading3"/>
      </w:pPr>
      <w:bookmarkStart w:id="130" w:name="_Toc449964878"/>
      <w:r>
        <w:t>Segregation Ability</w:t>
      </w:r>
      <w:bookmarkEnd w:id="130"/>
    </w:p>
    <w:p w14:paraId="1E743888" w14:textId="6BA98BAD" w:rsidR="00C47D46" w:rsidRDefault="00001A9D" w:rsidP="00C47D46">
      <w:r w:rsidRPr="00001A9D">
        <w:t xml:space="preserve">The ability of the staged thermal fractionation process to achieve enhanced purity of thermochemical vapor product streams that will facilitate improved catalytic processing is of specific interest and will be the focus of the remainder of the discussion. First, a case of relatively poor thermal separation is examined. </w:t>
      </w:r>
      <w:r w:rsidRPr="00C23344">
        <w:t xml:space="preserve">Figure </w:t>
      </w:r>
      <w:r w:rsidR="00C23344">
        <w:t>5.13</w:t>
      </w:r>
      <w:r w:rsidRPr="00001A9D">
        <w:t xml:space="preserve"> shows the carbon yield &amp; selectivity of stage 2 pyrans plotted against stage 2 furfurals. These two compound lumps show relatively poor thermal segregation ability; as seen in </w:t>
      </w:r>
      <w:r w:rsidR="00F472E0">
        <w:t>figure 5.13a</w:t>
      </w:r>
      <w:r w:rsidRPr="00001A9D">
        <w:t>, there is no condition that favors production of one of these lumps over the other. While the selectivity to furfurals is higher at 350°C and 380°C, this is mostly due to the production of levoglucosan at 400°C and 500°C. Both furfurals and pyrans are known pyrolysis products of cellulose, and cannot be readily separated using staged thermal fractionation.</w:t>
      </w:r>
      <w:r w:rsidR="00C47D46">
        <w:br w:type="page"/>
      </w:r>
    </w:p>
    <w:p w14:paraId="6B72F77A" w14:textId="53473481" w:rsidR="00410CE7" w:rsidRDefault="00C47D46" w:rsidP="00C47D46">
      <w:pPr>
        <w:pStyle w:val="NoSpacing"/>
      </w:pPr>
      <w:r>
        <w:lastRenderedPageBreak/>
        <w:t xml:space="preserve">  a</w:t>
      </w:r>
      <w:r>
        <w:tab/>
      </w:r>
      <w:r>
        <w:tab/>
      </w:r>
      <w:r>
        <w:tab/>
      </w:r>
      <w:r>
        <w:tab/>
      </w:r>
      <w:r>
        <w:tab/>
      </w:r>
      <w:r>
        <w:tab/>
        <w:t>b</w:t>
      </w:r>
    </w:p>
    <w:p w14:paraId="528E592D" w14:textId="5D0AFDF3" w:rsidR="00001A9D" w:rsidRDefault="00001A9D" w:rsidP="005B60FA">
      <w:pPr>
        <w:pStyle w:val="NoSpacing"/>
        <w:rPr>
          <w:noProof/>
        </w:rPr>
      </w:pPr>
      <w:r>
        <w:rPr>
          <w:noProof/>
        </w:rPr>
        <w:drawing>
          <wp:inline distT="0" distB="0" distL="0" distR="0" wp14:anchorId="2DD2F2BA" wp14:editId="74751DA2">
            <wp:extent cx="2194319" cy="2194560"/>
            <wp:effectExtent l="0" t="0" r="0" b="0"/>
            <wp:docPr id="495" name="Picture 495" descr="../My%20Papers/Stage%202%20Optimization/final%20data/Figure%2010a%20-%20Stage%202%20pyran%20yield%20vs.%20Stage%202%20furfurals%20yiel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y%20Papers/Stage%202%20Optimization/final%20data/Figure%2010a%20-%20Stage%202%20pyran%20yield%20vs.%20Stage%202%20furfurals%20yield.pdf"/>
                    <pic:cNvPicPr>
                      <a:picLocks noChangeAspect="1" noChangeArrowheads="1"/>
                    </pic:cNvPicPr>
                  </pic:nvPicPr>
                  <pic:blipFill rotWithShape="1">
                    <a:blip r:embed="rId61" cstate="print">
                      <a:extLst>
                        <a:ext uri="{28A0092B-C50C-407E-A947-70E740481C1C}">
                          <a14:useLocalDpi xmlns:a14="http://schemas.microsoft.com/office/drawing/2010/main" val="0"/>
                        </a:ext>
                      </a:extLst>
                    </a:blip>
                    <a:srcRect r="24929"/>
                    <a:stretch/>
                  </pic:blipFill>
                  <pic:spPr bwMode="auto">
                    <a:xfrm>
                      <a:off x="0" y="0"/>
                      <a:ext cx="2194319" cy="2194560"/>
                    </a:xfrm>
                    <a:prstGeom prst="rect">
                      <a:avLst/>
                    </a:prstGeom>
                    <a:noFill/>
                    <a:ln>
                      <a:noFill/>
                    </a:ln>
                    <a:extLst>
                      <a:ext uri="{53640926-AAD7-44D8-BBD7-CCE9431645EC}">
                        <a14:shadowObscured xmlns:a14="http://schemas.microsoft.com/office/drawing/2010/main"/>
                      </a:ext>
                    </a:extLst>
                  </pic:spPr>
                </pic:pic>
              </a:graphicData>
            </a:graphic>
          </wp:inline>
        </w:drawing>
      </w:r>
      <w:r w:rsidRPr="00001A9D">
        <w:rPr>
          <w:noProof/>
        </w:rPr>
        <w:t xml:space="preserve"> </w:t>
      </w:r>
      <w:r w:rsidR="00E86C79">
        <w:rPr>
          <w:noProof/>
        </w:rPr>
        <w:t xml:space="preserve">    </w:t>
      </w:r>
      <w:r>
        <w:rPr>
          <w:noProof/>
        </w:rPr>
        <w:drawing>
          <wp:inline distT="0" distB="0" distL="0" distR="0" wp14:anchorId="16108F40" wp14:editId="27263E5C">
            <wp:extent cx="2922978" cy="2194560"/>
            <wp:effectExtent l="0" t="0" r="0" b="0"/>
            <wp:docPr id="497" name="Picture 497" descr="../My%20Papers/Stage%202%20Optimization/final%20data/Figure%2010b%20-%20Stage%202%20pyran%20selectivity%20vs.%20Stage%202%20furfurals%20selectivity.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y%20Papers/Stage%202%20Optimization/final%20data/Figure%2010b%20-%20Stage%202%20pyran%20selectivity%20vs.%20Stage%202%20furfurals%20selectivity.pdf"/>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922978" cy="2194560"/>
                    </a:xfrm>
                    <a:prstGeom prst="rect">
                      <a:avLst/>
                    </a:prstGeom>
                    <a:noFill/>
                    <a:ln>
                      <a:noFill/>
                    </a:ln>
                  </pic:spPr>
                </pic:pic>
              </a:graphicData>
            </a:graphic>
          </wp:inline>
        </w:drawing>
      </w:r>
    </w:p>
    <w:p w14:paraId="78486B6D" w14:textId="77777777" w:rsidR="004B12F3" w:rsidRDefault="00E86C79" w:rsidP="00E86C79">
      <w:pPr>
        <w:pStyle w:val="Caption"/>
        <w:rPr>
          <w:b w:val="0"/>
        </w:rPr>
      </w:pPr>
      <w:bookmarkStart w:id="131" w:name="_Toc449965002"/>
      <w:r w:rsidRPr="00E73E07">
        <w:t xml:space="preserve">Figure </w:t>
      </w:r>
      <w:fldSimple w:instr=" STYLEREF &quot;Chapter&quot; \s ">
        <w:r w:rsidR="00463F52">
          <w:rPr>
            <w:noProof/>
          </w:rPr>
          <w:t>5</w:t>
        </w:r>
      </w:fldSimple>
      <w:r w:rsidRPr="00E73E07">
        <w:t>.</w:t>
      </w:r>
      <w:fldSimple w:instr=" SEQ Figure \* ARABIC \s 1 ">
        <w:r w:rsidR="00463F52">
          <w:rPr>
            <w:noProof/>
          </w:rPr>
          <w:t>13</w:t>
        </w:r>
      </w:fldSimple>
      <w:r w:rsidRPr="00E73E07">
        <w:rPr>
          <w:noProof/>
        </w:rPr>
        <w:t>.</w:t>
      </w:r>
      <w:r>
        <w:rPr>
          <w:noProof/>
        </w:rPr>
        <w:t xml:space="preserve"> </w:t>
      </w:r>
      <w:r w:rsidRPr="00E86C79">
        <w:rPr>
          <w:b w:val="0"/>
        </w:rPr>
        <w:t>Stage 2 pyran vs. Stage 2 furfurals carbon yield (a) and selectivity (b) for th</w:t>
      </w:r>
      <w:r w:rsidR="004B12F3">
        <w:rPr>
          <w:b w:val="0"/>
        </w:rPr>
        <w:t>e stage 2 conditions indicated.</w:t>
      </w:r>
      <w:bookmarkEnd w:id="131"/>
    </w:p>
    <w:p w14:paraId="7F269B39" w14:textId="0D4E382D" w:rsidR="00E86C79" w:rsidRPr="000A1CCD" w:rsidRDefault="00E86C79" w:rsidP="00E86C79">
      <w:pPr>
        <w:pStyle w:val="Caption"/>
      </w:pPr>
      <w:r w:rsidRPr="00E86C79">
        <w:rPr>
          <w:b w:val="0"/>
        </w:rPr>
        <w:t>Cumulative carbon yield is the sum of the carbon in all compound lumps at both stage 2 &amp; stage 3 conditions. Yield values are (measured µg carbon in vapors) / (mg of raw biomass).</w:t>
      </w:r>
    </w:p>
    <w:p w14:paraId="141AF08C" w14:textId="77777777" w:rsidR="00E86C79" w:rsidRDefault="00E86C79" w:rsidP="00410CE7"/>
    <w:p w14:paraId="2AA6A09B" w14:textId="43C2074D" w:rsidR="00E86C79" w:rsidRDefault="00E86C79" w:rsidP="00E86C79">
      <w:r>
        <w:t xml:space="preserve">A separation of particular interest for this work was of the levoglucosan and the combined phenolic lumps (alkyl phenols + methoxyphenols) between stages 2 and 3. </w:t>
      </w:r>
      <w:r w:rsidRPr="00F472E0">
        <w:t xml:space="preserve">Figures </w:t>
      </w:r>
      <w:r w:rsidR="00F472E0" w:rsidRPr="00F472E0">
        <w:t>5.14 &amp; 5.15</w:t>
      </w:r>
      <w:r w:rsidR="00F472E0">
        <w:t xml:space="preserve"> </w:t>
      </w:r>
      <w:r>
        <w:t>show the</w:t>
      </w:r>
      <w:r w:rsidRPr="00425A35">
        <w:t xml:space="preserve"> </w:t>
      </w:r>
      <w:r>
        <w:t>carbon yields and carbon selectivity of these two lumps plotted against each other for stages 2 and 3.</w:t>
      </w:r>
      <w:r w:rsidRPr="000C5779">
        <w:t xml:space="preserve"> </w:t>
      </w:r>
      <w:r>
        <w:t xml:space="preserve">As discussed in the introduction, the specific catalytic upgrading approaches for these kinds of compounds is different and non-complementary, and avoiding downstream separations methods is desirable. Levoglucosan may be better converted selectively to gluconic acid, while phenolics should be transalkylated and ultimately hydrotreated.  From these two figures, 380°C, 180s is likely the best stage 2 process condition to achieve segregation of these two lumps into separate product streams while minimizing total yield loss. The stage 2 products at these conditions contains almost no levoglucosan, and the stage 3 products have very high levoglucosan carbon selectivity (81.5%) with little phenolic content. </w:t>
      </w:r>
      <w:r>
        <w:lastRenderedPageBreak/>
        <w:t xml:space="preserve">However, this separation comes at the expense of the </w:t>
      </w:r>
      <w:r w:rsidR="004509F3">
        <w:t>c</w:t>
      </w:r>
      <w:r>
        <w:t xml:space="preserve">umulative carbon yield as discussed in the section above. </w:t>
      </w:r>
    </w:p>
    <w:p w14:paraId="6DB61D0A" w14:textId="5828623F" w:rsidR="00C47D46" w:rsidRDefault="00C47D46" w:rsidP="00C47D46">
      <w:pPr>
        <w:pStyle w:val="NoSpacing"/>
      </w:pPr>
      <w:r>
        <w:t xml:space="preserve">      a </w:t>
      </w:r>
      <w:r>
        <w:tab/>
      </w:r>
      <w:r>
        <w:tab/>
      </w:r>
      <w:r>
        <w:tab/>
      </w:r>
      <w:r w:rsidR="00545C06">
        <w:tab/>
      </w:r>
      <w:r w:rsidR="00545C06">
        <w:tab/>
        <w:t xml:space="preserve">          </w:t>
      </w:r>
      <w:r>
        <w:t>b</w:t>
      </w:r>
    </w:p>
    <w:p w14:paraId="19357295" w14:textId="161421A3" w:rsidR="00E86C79" w:rsidRDefault="00E86C79" w:rsidP="005B60FA">
      <w:pPr>
        <w:pStyle w:val="NoSpacing"/>
      </w:pPr>
      <w:r>
        <w:rPr>
          <w:noProof/>
        </w:rPr>
        <w:drawing>
          <wp:inline distT="0" distB="0" distL="0" distR="0" wp14:anchorId="6630541B" wp14:editId="75E53955">
            <wp:extent cx="2180758" cy="2194560"/>
            <wp:effectExtent l="0" t="0" r="3810" b="0"/>
            <wp:docPr id="498" name="Picture 498" descr="../My%20Papers/Stage%202%20Optimization/final%20data/Figure%2011a%20-%20Stage%202%20levoglucosan%20yield%20vs.%20Stage%202%20phenolics%20yiel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My%20Papers/Stage%202%20Optimization/final%20data/Figure%2011a%20-%20Stage%202%20levoglucosan%20yield%20vs.%20Stage%202%20phenolics%20yield.pdf"/>
                    <pic:cNvPicPr>
                      <a:picLocks noChangeAspect="1" noChangeArrowheads="1"/>
                    </pic:cNvPicPr>
                  </pic:nvPicPr>
                  <pic:blipFill rotWithShape="1">
                    <a:blip r:embed="rId63" cstate="print">
                      <a:extLst>
                        <a:ext uri="{28A0092B-C50C-407E-A947-70E740481C1C}">
                          <a14:useLocalDpi xmlns:a14="http://schemas.microsoft.com/office/drawing/2010/main" val="0"/>
                        </a:ext>
                      </a:extLst>
                    </a:blip>
                    <a:srcRect r="25472"/>
                    <a:stretch/>
                  </pic:blipFill>
                  <pic:spPr bwMode="auto">
                    <a:xfrm>
                      <a:off x="0" y="0"/>
                      <a:ext cx="2180758" cy="2194560"/>
                    </a:xfrm>
                    <a:prstGeom prst="rect">
                      <a:avLst/>
                    </a:prstGeom>
                    <a:noFill/>
                    <a:ln>
                      <a:noFill/>
                    </a:ln>
                    <a:extLst>
                      <a:ext uri="{53640926-AAD7-44D8-BBD7-CCE9431645EC}">
                        <a14:shadowObscured xmlns:a14="http://schemas.microsoft.com/office/drawing/2010/main"/>
                      </a:ext>
                    </a:extLst>
                  </pic:spPr>
                </pic:pic>
              </a:graphicData>
            </a:graphic>
          </wp:inline>
        </w:drawing>
      </w:r>
      <w:r>
        <w:t xml:space="preserve">     </w:t>
      </w:r>
      <w:r>
        <w:rPr>
          <w:noProof/>
        </w:rPr>
        <w:drawing>
          <wp:inline distT="0" distB="0" distL="0" distR="0" wp14:anchorId="1FF7EC81" wp14:editId="16F6D348">
            <wp:extent cx="2926080" cy="2194560"/>
            <wp:effectExtent l="0" t="0" r="0" b="0"/>
            <wp:docPr id="499" name="Picture 499" descr="../My%20Papers/Stage%202%20Optimization/final%20data/Figure%2011b%20-%20Stage%202%20levoglucosan%20selectivity%20vs.%20Stage%202%20phenolics%20selectivity.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y%20Papers/Stage%202%20Optimization/final%20data/Figure%2011b%20-%20Stage%202%20levoglucosan%20selectivity%20vs.%20Stage%202%20phenolics%20selectivity.pdf"/>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926080" cy="2194560"/>
                    </a:xfrm>
                    <a:prstGeom prst="rect">
                      <a:avLst/>
                    </a:prstGeom>
                    <a:noFill/>
                    <a:ln>
                      <a:noFill/>
                    </a:ln>
                  </pic:spPr>
                </pic:pic>
              </a:graphicData>
            </a:graphic>
          </wp:inline>
        </w:drawing>
      </w:r>
    </w:p>
    <w:p w14:paraId="4D8AF7E9" w14:textId="77777777" w:rsidR="004B12F3" w:rsidRDefault="00E86C79" w:rsidP="00E86C79">
      <w:pPr>
        <w:pStyle w:val="Caption"/>
        <w:rPr>
          <w:b w:val="0"/>
        </w:rPr>
      </w:pPr>
      <w:bookmarkStart w:id="132" w:name="_Toc449965003"/>
      <w:r w:rsidRPr="00E73E07">
        <w:t xml:space="preserve">Figure </w:t>
      </w:r>
      <w:fldSimple w:instr=" STYLEREF &quot;Chapter&quot; \s ">
        <w:r w:rsidR="00463F52">
          <w:rPr>
            <w:noProof/>
          </w:rPr>
          <w:t>5</w:t>
        </w:r>
      </w:fldSimple>
      <w:r w:rsidRPr="00E73E07">
        <w:t>.</w:t>
      </w:r>
      <w:fldSimple w:instr=" SEQ Figure \* ARABIC \s 1 ">
        <w:r w:rsidR="00463F52">
          <w:rPr>
            <w:noProof/>
          </w:rPr>
          <w:t>14</w:t>
        </w:r>
      </w:fldSimple>
      <w:r w:rsidRPr="00E73E07">
        <w:rPr>
          <w:noProof/>
        </w:rPr>
        <w:t>.</w:t>
      </w:r>
      <w:r>
        <w:rPr>
          <w:noProof/>
        </w:rPr>
        <w:t xml:space="preserve"> </w:t>
      </w:r>
      <w:r w:rsidRPr="00E86C79">
        <w:rPr>
          <w:b w:val="0"/>
        </w:rPr>
        <w:t>Stage 2 Levoglucosan vs. Stage 2 Phenolics carbon yield (a) &amp; carbon selectivity (b) for th</w:t>
      </w:r>
      <w:r w:rsidR="004B12F3">
        <w:rPr>
          <w:b w:val="0"/>
        </w:rPr>
        <w:t>e stage 2 conditions indicated.</w:t>
      </w:r>
      <w:bookmarkEnd w:id="132"/>
    </w:p>
    <w:p w14:paraId="4E8E5E71" w14:textId="675584BA" w:rsidR="00E86C79" w:rsidRPr="000A1CCD" w:rsidRDefault="00E86C79" w:rsidP="00E86C79">
      <w:pPr>
        <w:pStyle w:val="Caption"/>
      </w:pPr>
      <w:r w:rsidRPr="00E86C79">
        <w:rPr>
          <w:b w:val="0"/>
        </w:rPr>
        <w:t>Cumulative carbon yield is the sum of the carbon in all compound lumps at both stage 2 &amp; stage 3 conditions. Yield values are (measured µg carbon in vapors) / (mg of raw biomass).</w:t>
      </w:r>
    </w:p>
    <w:p w14:paraId="556C2F5A" w14:textId="77777777" w:rsidR="00E86C79" w:rsidRDefault="00E86C79" w:rsidP="00277080">
      <w:pPr>
        <w:pStyle w:val="NoSpacing"/>
      </w:pPr>
    </w:p>
    <w:p w14:paraId="5A2D48B1" w14:textId="1C031581" w:rsidR="00545C06" w:rsidRDefault="00545C06" w:rsidP="00545C06">
      <w:pPr>
        <w:pStyle w:val="NoSpacing"/>
      </w:pPr>
      <w:r>
        <w:t xml:space="preserve">      a </w:t>
      </w:r>
      <w:r>
        <w:tab/>
      </w:r>
      <w:r>
        <w:tab/>
      </w:r>
      <w:r>
        <w:tab/>
      </w:r>
      <w:r w:rsidR="00277080">
        <w:tab/>
      </w:r>
      <w:r w:rsidR="00277080">
        <w:tab/>
        <w:t xml:space="preserve">       </w:t>
      </w:r>
      <w:r>
        <w:t>b</w:t>
      </w:r>
    </w:p>
    <w:p w14:paraId="32616FC1" w14:textId="2D36FE34" w:rsidR="00E86C79" w:rsidRDefault="00B5494A" w:rsidP="005B60FA">
      <w:pPr>
        <w:pStyle w:val="NoSpacing"/>
      </w:pPr>
      <w:r>
        <w:rPr>
          <w:noProof/>
        </w:rPr>
        <w:drawing>
          <wp:inline distT="0" distB="0" distL="0" distR="0" wp14:anchorId="5E62A0D0" wp14:editId="6E8CC559">
            <wp:extent cx="2189960" cy="2194560"/>
            <wp:effectExtent l="0" t="0" r="0" b="0"/>
            <wp:docPr id="500" name="Picture 500" descr="../My%20Papers/Stage%202%20Optimization/final%20data/Figure%2012a%20-%20Stage%203%20levoglucosan%20yield%20vs.%20Stage%203%20phenolics%20yiel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My%20Papers/Stage%202%20Optimization/final%20data/Figure%2012a%20-%20Stage%203%20levoglucosan%20yield%20vs.%20Stage%203%20phenolics%20yield.pdf"/>
                    <pic:cNvPicPr>
                      <a:picLocks noChangeAspect="1" noChangeArrowheads="1"/>
                    </pic:cNvPicPr>
                  </pic:nvPicPr>
                  <pic:blipFill rotWithShape="1">
                    <a:blip r:embed="rId65" cstate="print">
                      <a:extLst>
                        <a:ext uri="{28A0092B-C50C-407E-A947-70E740481C1C}">
                          <a14:useLocalDpi xmlns:a14="http://schemas.microsoft.com/office/drawing/2010/main" val="0"/>
                        </a:ext>
                      </a:extLst>
                    </a:blip>
                    <a:srcRect r="25157"/>
                    <a:stretch/>
                  </pic:blipFill>
                  <pic:spPr bwMode="auto">
                    <a:xfrm>
                      <a:off x="0" y="0"/>
                      <a:ext cx="2189960" cy="2194560"/>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4905C7F9" wp14:editId="0F68DBCC">
            <wp:extent cx="2926080" cy="2194560"/>
            <wp:effectExtent l="0" t="0" r="0" b="0"/>
            <wp:docPr id="501" name="Picture 501" descr="../My%20Papers/Stage%202%20Optimization/final%20data/Figure%2012b%20-%20Stage%203%20levoglucosan%20selectivity%20vs.%20Stage%203%20phenolics%20selectivity.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y%20Papers/Stage%202%20Optimization/final%20data/Figure%2012b%20-%20Stage%203%20levoglucosan%20selectivity%20vs.%20Stage%203%20phenolics%20selectivity.pdf"/>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926080" cy="2194560"/>
                    </a:xfrm>
                    <a:prstGeom prst="rect">
                      <a:avLst/>
                    </a:prstGeom>
                    <a:noFill/>
                    <a:ln>
                      <a:noFill/>
                    </a:ln>
                  </pic:spPr>
                </pic:pic>
              </a:graphicData>
            </a:graphic>
          </wp:inline>
        </w:drawing>
      </w:r>
    </w:p>
    <w:p w14:paraId="47D92594" w14:textId="77777777" w:rsidR="004B12F3" w:rsidRDefault="0053629C" w:rsidP="0053629C">
      <w:pPr>
        <w:pStyle w:val="Caption"/>
        <w:rPr>
          <w:b w:val="0"/>
        </w:rPr>
      </w:pPr>
      <w:bookmarkStart w:id="133" w:name="_Toc449965004"/>
      <w:r w:rsidRPr="00E73E07">
        <w:t xml:space="preserve">Figure </w:t>
      </w:r>
      <w:fldSimple w:instr=" STYLEREF &quot;Chapter&quot; \s ">
        <w:r w:rsidR="00463F52">
          <w:rPr>
            <w:noProof/>
          </w:rPr>
          <w:t>5</w:t>
        </w:r>
      </w:fldSimple>
      <w:r w:rsidRPr="00E73E07">
        <w:t>.</w:t>
      </w:r>
      <w:fldSimple w:instr=" SEQ Figure \* ARABIC \s 1 ">
        <w:r w:rsidR="00463F52">
          <w:rPr>
            <w:noProof/>
          </w:rPr>
          <w:t>15</w:t>
        </w:r>
      </w:fldSimple>
      <w:r w:rsidRPr="00E73E07">
        <w:rPr>
          <w:noProof/>
        </w:rPr>
        <w:t>.</w:t>
      </w:r>
      <w:r>
        <w:rPr>
          <w:noProof/>
        </w:rPr>
        <w:t xml:space="preserve"> </w:t>
      </w:r>
      <w:r w:rsidRPr="0053629C">
        <w:rPr>
          <w:b w:val="0"/>
        </w:rPr>
        <w:t>Stage 3 Levoglucosan vs. Stage 3 Phenolics carbon yield (a) &amp; carbon selectivity (b) for th</w:t>
      </w:r>
      <w:r w:rsidR="004B12F3">
        <w:rPr>
          <w:b w:val="0"/>
        </w:rPr>
        <w:t>e stage 2 conditions indicated.</w:t>
      </w:r>
      <w:bookmarkEnd w:id="133"/>
    </w:p>
    <w:p w14:paraId="5F0913B5" w14:textId="70838737" w:rsidR="00E86C79" w:rsidRDefault="0053629C" w:rsidP="0053629C">
      <w:pPr>
        <w:pStyle w:val="Caption"/>
      </w:pPr>
      <w:r w:rsidRPr="0053629C">
        <w:rPr>
          <w:b w:val="0"/>
        </w:rPr>
        <w:t>Cumulative carbon yield is the sum of the carbon in all compound lumps at both stage 2 &amp; stage 3 conditions. Yield values are (measured µg carbon in vapors) / (mg of raw biomass).</w:t>
      </w:r>
    </w:p>
    <w:p w14:paraId="144F3D1B" w14:textId="77777777" w:rsidR="0053629C" w:rsidRDefault="0053629C" w:rsidP="00410CE7"/>
    <w:p w14:paraId="6C9F9570" w14:textId="25DE02ED" w:rsidR="00277080" w:rsidRDefault="00F472E0" w:rsidP="00277080">
      <w:pPr>
        <w:pStyle w:val="NoSpacing"/>
      </w:pPr>
      <w:r w:rsidRPr="00F472E0">
        <w:t>Figures 5.16</w:t>
      </w:r>
      <w:r w:rsidR="00385AF0" w:rsidRPr="00F472E0">
        <w:t xml:space="preserve"> </w:t>
      </w:r>
      <w:r w:rsidRPr="00F472E0">
        <w:t>–</w:t>
      </w:r>
      <w:r w:rsidR="00385AF0" w:rsidRPr="00F472E0">
        <w:t xml:space="preserve"> </w:t>
      </w:r>
      <w:r w:rsidRPr="00F472E0">
        <w:t>5.18</w:t>
      </w:r>
      <w:r w:rsidR="00385AF0" w:rsidRPr="00385AF0">
        <w:t xml:space="preserve"> shows several other examples of compound lump segregations that could be possible using staged thermal fractionation. From </w:t>
      </w:r>
      <w:r w:rsidR="00385AF0" w:rsidRPr="00F472E0">
        <w:t xml:space="preserve">figures </w:t>
      </w:r>
      <w:r w:rsidRPr="00F472E0">
        <w:t>5.16 and 5.17</w:t>
      </w:r>
      <w:r w:rsidR="00385AF0" w:rsidRPr="00385AF0">
        <w:t xml:space="preserve">, a </w:t>
      </w:r>
      <w:r w:rsidR="00385AF0" w:rsidRPr="00385AF0">
        <w:lastRenderedPageBreak/>
        <w:t>moderate segregation between the light oxygenates and phenolics into stages 2 &amp; 3, respectively, is possible at 380°C. Nearly all of the light oxygenates are segregated into stage 2; very little are produced in stage 3 across nearly all conditions observed (</w:t>
      </w:r>
      <w:r w:rsidR="00385AF0" w:rsidRPr="00F472E0">
        <w:t xml:space="preserve">Figure </w:t>
      </w:r>
      <w:r>
        <w:t>5.17b</w:t>
      </w:r>
      <w:r w:rsidR="00385AF0" w:rsidRPr="00385AF0">
        <w:t>). The light oxygenates lump consists of small molecule fragments and is produced by all major biomass components; the ability to segregate these from phenolics at lower temperatures likely is due to the minimal activation and decomposition of cellulose. In this case, most of the light oxygenates are expected to be formed prima</w:t>
      </w:r>
      <w:r w:rsidR="00277080">
        <w:t>rily from lignin decomposition.</w:t>
      </w:r>
      <w:r w:rsidR="00277080" w:rsidRPr="00277080">
        <w:t xml:space="preserve"> </w:t>
      </w:r>
    </w:p>
    <w:p w14:paraId="45947AD3" w14:textId="77777777" w:rsidR="00277080" w:rsidRDefault="00277080" w:rsidP="00277080">
      <w:pPr>
        <w:pStyle w:val="NoSpacing"/>
      </w:pPr>
    </w:p>
    <w:p w14:paraId="00C44286" w14:textId="5122F817" w:rsidR="00385AF0" w:rsidRPr="00385AF0" w:rsidRDefault="00277080" w:rsidP="00277080">
      <w:pPr>
        <w:pStyle w:val="NoSpacing"/>
      </w:pPr>
      <w:r>
        <w:t xml:space="preserve">      a </w:t>
      </w:r>
      <w:r>
        <w:tab/>
      </w:r>
      <w:r>
        <w:tab/>
      </w:r>
      <w:r>
        <w:tab/>
      </w:r>
      <w:r>
        <w:tab/>
      </w:r>
      <w:r>
        <w:tab/>
        <w:t xml:space="preserve">       b</w:t>
      </w:r>
    </w:p>
    <w:p w14:paraId="61E34650" w14:textId="77777777" w:rsidR="00014C39" w:rsidRDefault="00E367FD" w:rsidP="005B60FA">
      <w:pPr>
        <w:pStyle w:val="NoSpacing"/>
      </w:pPr>
      <w:r>
        <w:rPr>
          <w:noProof/>
        </w:rPr>
        <w:drawing>
          <wp:inline distT="0" distB="0" distL="0" distR="0" wp14:anchorId="3B1A8E11" wp14:editId="685AAAE8">
            <wp:extent cx="2205872" cy="2194560"/>
            <wp:effectExtent l="0" t="0" r="4445" b="0"/>
            <wp:docPr id="502" name="Picture 502" descr="../My%20Papers/Stage%202%20Optimization/final%20data/Figure%2013a%20-%20Stage%202%20light%20oxygenates%20yield%20vs.%20Stage%202%20phenolics%20yiel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My%20Papers/Stage%202%20Optimization/final%20data/Figure%2013a%20-%20Stage%202%20light%20oxygenates%20yield%20vs.%20Stage%202%20phenolics%20yield.pdf"/>
                    <pic:cNvPicPr>
                      <a:picLocks noChangeAspect="1" noChangeArrowheads="1"/>
                    </pic:cNvPicPr>
                  </pic:nvPicPr>
                  <pic:blipFill rotWithShape="1">
                    <a:blip r:embed="rId67" cstate="print">
                      <a:extLst>
                        <a:ext uri="{28A0092B-C50C-407E-A947-70E740481C1C}">
                          <a14:useLocalDpi xmlns:a14="http://schemas.microsoft.com/office/drawing/2010/main" val="0"/>
                        </a:ext>
                      </a:extLst>
                    </a:blip>
                    <a:srcRect r="24614"/>
                    <a:stretch/>
                  </pic:blipFill>
                  <pic:spPr bwMode="auto">
                    <a:xfrm>
                      <a:off x="0" y="0"/>
                      <a:ext cx="2205872" cy="2194560"/>
                    </a:xfrm>
                    <a:prstGeom prst="rect">
                      <a:avLst/>
                    </a:prstGeom>
                    <a:noFill/>
                    <a:ln>
                      <a:noFill/>
                    </a:ln>
                    <a:extLst>
                      <a:ext uri="{53640926-AAD7-44D8-BBD7-CCE9431645EC}">
                        <a14:shadowObscured xmlns:a14="http://schemas.microsoft.com/office/drawing/2010/main"/>
                      </a:ext>
                    </a:extLst>
                  </pic:spPr>
                </pic:pic>
              </a:graphicData>
            </a:graphic>
          </wp:inline>
        </w:drawing>
      </w:r>
      <w:r w:rsidR="007440E5">
        <w:t xml:space="preserve">      </w:t>
      </w:r>
      <w:r>
        <w:rPr>
          <w:noProof/>
        </w:rPr>
        <w:drawing>
          <wp:inline distT="0" distB="0" distL="0" distR="0" wp14:anchorId="2384B35E" wp14:editId="4FF4EA79">
            <wp:extent cx="2926080" cy="2194560"/>
            <wp:effectExtent l="0" t="0" r="0" b="0"/>
            <wp:docPr id="503" name="Picture 503" descr="../My%20Papers/Stage%202%20Optimization/final%20data/Figure%2013b%20-%20Stage%202%20light%20oxygenates%20selectivity%20vs.%20Stage%202%20phenolics%20selectivity.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My%20Papers/Stage%202%20Optimization/final%20data/Figure%2013b%20-%20Stage%202%20light%20oxygenates%20selectivity%20vs.%20Stage%202%20phenolics%20selectivity.pdf"/>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926080" cy="2194560"/>
                    </a:xfrm>
                    <a:prstGeom prst="rect">
                      <a:avLst/>
                    </a:prstGeom>
                    <a:noFill/>
                    <a:ln>
                      <a:noFill/>
                    </a:ln>
                  </pic:spPr>
                </pic:pic>
              </a:graphicData>
            </a:graphic>
          </wp:inline>
        </w:drawing>
      </w:r>
    </w:p>
    <w:p w14:paraId="3F605654" w14:textId="77777777" w:rsidR="004B12F3" w:rsidRDefault="00014C39" w:rsidP="00014C39">
      <w:pPr>
        <w:pStyle w:val="Caption"/>
        <w:rPr>
          <w:b w:val="0"/>
        </w:rPr>
      </w:pPr>
      <w:bookmarkStart w:id="134" w:name="_Toc449965005"/>
      <w:r w:rsidRPr="00E73E07">
        <w:t xml:space="preserve">Figure </w:t>
      </w:r>
      <w:fldSimple w:instr=" STYLEREF &quot;Chapter&quot; \s ">
        <w:r w:rsidR="00463F52">
          <w:rPr>
            <w:noProof/>
          </w:rPr>
          <w:t>5</w:t>
        </w:r>
      </w:fldSimple>
      <w:r w:rsidRPr="00E73E07">
        <w:t>.</w:t>
      </w:r>
      <w:fldSimple w:instr=" SEQ Figure \* ARABIC \s 1 ">
        <w:r w:rsidR="00463F52">
          <w:rPr>
            <w:noProof/>
          </w:rPr>
          <w:t>16</w:t>
        </w:r>
      </w:fldSimple>
      <w:r w:rsidRPr="00E73E07">
        <w:rPr>
          <w:noProof/>
        </w:rPr>
        <w:t>.</w:t>
      </w:r>
      <w:r>
        <w:rPr>
          <w:noProof/>
        </w:rPr>
        <w:t xml:space="preserve"> </w:t>
      </w:r>
      <w:r w:rsidRPr="00014C39">
        <w:rPr>
          <w:b w:val="0"/>
        </w:rPr>
        <w:t>Stage 2 light oxygenates vs. Stage 2 phenolics carbon yield (a) and carbon selectivity (b) for th</w:t>
      </w:r>
      <w:r w:rsidR="004B12F3">
        <w:rPr>
          <w:b w:val="0"/>
        </w:rPr>
        <w:t>e stage 2 conditions indicated.</w:t>
      </w:r>
      <w:bookmarkEnd w:id="134"/>
    </w:p>
    <w:p w14:paraId="04D98F6B" w14:textId="6DDCA609" w:rsidR="00014C39" w:rsidRDefault="00014C39" w:rsidP="00014C39">
      <w:pPr>
        <w:pStyle w:val="Caption"/>
      </w:pPr>
      <w:r w:rsidRPr="00014C39">
        <w:rPr>
          <w:b w:val="0"/>
        </w:rPr>
        <w:t>Cumulative carbon yield is the sum of all compound lumps at both stage 2 &amp; stage 3 conditions. Yield values are (measured µg carbon in vapors) / (mg of raw biomass).</w:t>
      </w:r>
    </w:p>
    <w:p w14:paraId="6C38BCC7" w14:textId="77777777" w:rsidR="00277080" w:rsidRDefault="00277080" w:rsidP="00277080">
      <w:pPr>
        <w:pStyle w:val="NoSpacing"/>
      </w:pPr>
    </w:p>
    <w:p w14:paraId="57AF0D1C" w14:textId="77777777" w:rsidR="00277080" w:rsidRDefault="00277080" w:rsidP="00277080">
      <w:pPr>
        <w:pStyle w:val="NoSpacing"/>
      </w:pPr>
      <w:r>
        <w:t xml:space="preserve">      a </w:t>
      </w:r>
      <w:r>
        <w:tab/>
      </w:r>
      <w:r>
        <w:tab/>
      </w:r>
      <w:r>
        <w:tab/>
      </w:r>
      <w:r>
        <w:tab/>
      </w:r>
      <w:r>
        <w:tab/>
        <w:t xml:space="preserve">       b</w:t>
      </w:r>
    </w:p>
    <w:p w14:paraId="3EE7FE3D" w14:textId="670D5097" w:rsidR="0053629C" w:rsidRDefault="00E367FD" w:rsidP="005B60FA">
      <w:pPr>
        <w:pStyle w:val="NoSpacing"/>
      </w:pPr>
      <w:r>
        <w:rPr>
          <w:noProof/>
        </w:rPr>
        <w:drawing>
          <wp:inline distT="0" distB="0" distL="0" distR="0" wp14:anchorId="79D97A5C" wp14:editId="30B37C94">
            <wp:extent cx="2196445" cy="2194560"/>
            <wp:effectExtent l="0" t="0" r="0" b="0"/>
            <wp:docPr id="504" name="Picture 504" descr="../My%20Papers/Stage%202%20Optimization/final%20data/Figure%2014a%20-%20Stage%203%20light%20oxygenates%20yield%20vs.%20Stage%203%20phenolics%20yiel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My%20Papers/Stage%202%20Optimization/final%20data/Figure%2014a%20-%20Stage%203%20light%20oxygenates%20yield%20vs.%20Stage%203%20phenolics%20yield.pdf"/>
                    <pic:cNvPicPr>
                      <a:picLocks noChangeAspect="1" noChangeArrowheads="1"/>
                    </pic:cNvPicPr>
                  </pic:nvPicPr>
                  <pic:blipFill rotWithShape="1">
                    <a:blip r:embed="rId69" cstate="print">
                      <a:extLst>
                        <a:ext uri="{28A0092B-C50C-407E-A947-70E740481C1C}">
                          <a14:useLocalDpi xmlns:a14="http://schemas.microsoft.com/office/drawing/2010/main" val="0"/>
                        </a:ext>
                      </a:extLst>
                    </a:blip>
                    <a:srcRect r="24935"/>
                    <a:stretch/>
                  </pic:blipFill>
                  <pic:spPr bwMode="auto">
                    <a:xfrm>
                      <a:off x="0" y="0"/>
                      <a:ext cx="2196445" cy="2194560"/>
                    </a:xfrm>
                    <a:prstGeom prst="rect">
                      <a:avLst/>
                    </a:prstGeom>
                    <a:noFill/>
                    <a:ln>
                      <a:noFill/>
                    </a:ln>
                    <a:extLst>
                      <a:ext uri="{53640926-AAD7-44D8-BBD7-CCE9431645EC}">
                        <a14:shadowObscured xmlns:a14="http://schemas.microsoft.com/office/drawing/2010/main"/>
                      </a:ext>
                    </a:extLst>
                  </pic:spPr>
                </pic:pic>
              </a:graphicData>
            </a:graphic>
          </wp:inline>
        </w:drawing>
      </w:r>
      <w:r w:rsidR="007440E5">
        <w:t xml:space="preserve">       </w:t>
      </w:r>
      <w:r>
        <w:rPr>
          <w:noProof/>
        </w:rPr>
        <w:drawing>
          <wp:inline distT="0" distB="0" distL="0" distR="0" wp14:anchorId="654A5013" wp14:editId="05C08B4C">
            <wp:extent cx="2926080" cy="2194560"/>
            <wp:effectExtent l="0" t="0" r="0" b="0"/>
            <wp:docPr id="505" name="Picture 505" descr="../My%20Papers/Stage%202%20Optimization/final%20data/Figure%2014b%20-%20Stage%203%20light%20oxygenates%20selectivity%20vs.%20Stage%203%20phenolics%20selectivity.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My%20Papers/Stage%202%20Optimization/final%20data/Figure%2014b%20-%20Stage%203%20light%20oxygenates%20selectivity%20vs.%20Stage%203%20phenolics%20selectivity.pdf"/>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926080" cy="2194560"/>
                    </a:xfrm>
                    <a:prstGeom prst="rect">
                      <a:avLst/>
                    </a:prstGeom>
                    <a:noFill/>
                    <a:ln>
                      <a:noFill/>
                    </a:ln>
                  </pic:spPr>
                </pic:pic>
              </a:graphicData>
            </a:graphic>
          </wp:inline>
        </w:drawing>
      </w:r>
    </w:p>
    <w:p w14:paraId="12E783AD" w14:textId="77777777" w:rsidR="004B12F3" w:rsidRDefault="00014C39" w:rsidP="00014C39">
      <w:pPr>
        <w:pStyle w:val="Caption"/>
        <w:rPr>
          <w:b w:val="0"/>
        </w:rPr>
      </w:pPr>
      <w:bookmarkStart w:id="135" w:name="_Toc449965006"/>
      <w:r w:rsidRPr="00E73E07">
        <w:t xml:space="preserve">Figure </w:t>
      </w:r>
      <w:fldSimple w:instr=" STYLEREF &quot;Chapter&quot; \s ">
        <w:r w:rsidR="00463F52">
          <w:rPr>
            <w:noProof/>
          </w:rPr>
          <w:t>5</w:t>
        </w:r>
      </w:fldSimple>
      <w:r w:rsidRPr="00E73E07">
        <w:t>.</w:t>
      </w:r>
      <w:fldSimple w:instr=" SEQ Figure \* ARABIC \s 1 ">
        <w:r w:rsidR="00463F52">
          <w:rPr>
            <w:noProof/>
          </w:rPr>
          <w:t>17</w:t>
        </w:r>
      </w:fldSimple>
      <w:r w:rsidRPr="00E73E07">
        <w:rPr>
          <w:noProof/>
        </w:rPr>
        <w:t>.</w:t>
      </w:r>
      <w:r>
        <w:rPr>
          <w:noProof/>
        </w:rPr>
        <w:t xml:space="preserve"> </w:t>
      </w:r>
      <w:r w:rsidRPr="00014C39">
        <w:rPr>
          <w:b w:val="0"/>
        </w:rPr>
        <w:t>Stage 3 light oxygenates vs. Stage 3 phenolics carbon yield (a) and carbon selectivity (b) for th</w:t>
      </w:r>
      <w:r w:rsidR="004B12F3">
        <w:rPr>
          <w:b w:val="0"/>
        </w:rPr>
        <w:t>e stage 2 conditions indicated.</w:t>
      </w:r>
      <w:bookmarkEnd w:id="135"/>
    </w:p>
    <w:p w14:paraId="5B45BDDA" w14:textId="56B33E24" w:rsidR="00014C39" w:rsidRDefault="00014C39" w:rsidP="00014C39">
      <w:pPr>
        <w:pStyle w:val="Caption"/>
      </w:pPr>
      <w:r w:rsidRPr="00014C39">
        <w:rPr>
          <w:b w:val="0"/>
        </w:rPr>
        <w:t>Cumulative carbon yield is the sum of all compound lumps at both stage 2 &amp; stage 3 conditions. Yield values are (measured µg carbon in vapors) / (mg of raw biomass).</w:t>
      </w:r>
    </w:p>
    <w:p w14:paraId="5829EBBE" w14:textId="77777777" w:rsidR="00014C39" w:rsidRDefault="00014C39" w:rsidP="00410CE7"/>
    <w:p w14:paraId="2AB566FC" w14:textId="2CE87EEC" w:rsidR="00A13878" w:rsidRDefault="004509F3" w:rsidP="00432E44">
      <w:r w:rsidRPr="004509F3">
        <w:lastRenderedPageBreak/>
        <w:t xml:space="preserve">The acetic acid and the phenolics also appear to be thermally segregable at lower temperature stage 2 conditions. Stage 2 conditions of 380°C or 350°C for 300s achieve good segregation of acetic acid into stage 2 while minimizing stage 2 phenolics yields, as seen in </w:t>
      </w:r>
      <w:r w:rsidR="00512FB9" w:rsidRPr="00512FB9">
        <w:t>figure 5.18</w:t>
      </w:r>
      <w:r w:rsidRPr="004509F3">
        <w:t>. As discussed above, acetic acid is not a major product of cellulose pyrolysis, and as such is expected to be derived primarily from unreacted hemicelluloses and from lignin decomposition (as are the phenolics)</w:t>
      </w:r>
      <w:r w:rsidR="00464D96">
        <w:t xml:space="preserve"> </w:t>
      </w:r>
      <w:r w:rsidR="00464D96">
        <w:fldChar w:fldCharType="begin"/>
      </w:r>
      <w:r w:rsidR="00807999">
        <w:instrText xml:space="preserve"> ADDIN PAPERS2_CITATIONS &lt;citation&gt;&lt;uuid&gt;3685D17B-6105-4EAB-ACDF-8EF69A824151&lt;/uuid&gt;&lt;priority&gt;0&lt;/priority&gt;&lt;publications&gt;&lt;publication&gt;&lt;uuid&gt;0F039A4D-3B13-43BA-9986-1D237E7D7A00&lt;/uuid&gt;&lt;volume&gt;4&lt;/volume&gt;&lt;doi&gt;10.1002/cssc.201100133&lt;/doi&gt;&lt;startpage&gt;1629&lt;/startpage&gt;&lt;publication_date&gt;99201111181200000000222000&lt;/publication_date&gt;&lt;url&gt;http://onlinelibrary.wiley.com/doi/10.1002/cssc.201100133/full&lt;/url&gt;&lt;citekey&gt;Patwardhan:2011in&lt;/citekey&gt;&lt;type&gt;400&lt;/type&gt;&lt;title&gt;Understanding the Fast Pyrolysis of Lignin&lt;/title&gt;&lt;publisher&gt;WILEY</w:instrText>
      </w:r>
      <w:r w:rsidR="00807999">
        <w:rPr>
          <w:rFonts w:ascii="Calibri" w:eastAsia="Calibri" w:hAnsi="Calibri" w:cs="Calibri"/>
        </w:rPr>
        <w:instrText>‐</w:instrText>
      </w:r>
      <w:r w:rsidR="00807999">
        <w:instrText>VCH Verlag&lt;/publisher&gt;&lt;number&gt;11&lt;/number&gt;&lt;subtype&gt;400&lt;/subtype&gt;&lt;endpage&gt;1636&lt;/endpage&gt;&lt;bundle&gt;&lt;publication&gt;&lt;publisher&gt;WILEY</w:instrText>
      </w:r>
      <w:r w:rsidR="00807999">
        <w:rPr>
          <w:rFonts w:ascii="Calibri" w:eastAsia="Calibri" w:hAnsi="Calibri" w:cs="Calibri"/>
        </w:rPr>
        <w:instrText>‐</w:instrText>
      </w:r>
      <w:r w:rsidR="00807999">
        <w:instrText>VCH Verlag&lt;/publisher&gt;&lt;title&gt;ChemSusChem&lt;/title&gt;&lt;type&gt;-100&lt;/type&gt;&lt;subtype&gt;-100&lt;/subtype&gt;&lt;uuid&gt;7311DD7F-36BC-4619-8B6C-41D5069DF002&lt;/uuid&gt;&lt;/publication&gt;&lt;/bundle&gt;&lt;authors&gt;&lt;author&gt;&lt;firstName&gt;Pushkaraj&lt;/firstName&gt;&lt;middleNames&gt;R&lt;/middleNames&gt;&lt;lastName&gt;Patwardhan&lt;/lastName&gt;&lt;/author&gt;&lt;author&gt;&lt;firstName&gt;Robert&lt;/firstName&gt;&lt;middleNames&gt;C&lt;/middleNames&gt;&lt;lastName&gt;Brown&lt;/lastName&gt;&lt;/author&gt;&lt;author&gt;&lt;firstName&gt;Brent&lt;/firstName&gt;&lt;middleNames&gt;H&lt;/middleNames&gt;&lt;lastName&gt;Shanks&lt;/lastName&gt;&lt;/author&gt;&lt;/authors&gt;&lt;/publication&gt;&lt;/publications&gt;&lt;cites&gt;&lt;/cites&gt;&lt;/citation&gt;</w:instrText>
      </w:r>
      <w:r w:rsidR="00464D96">
        <w:fldChar w:fldCharType="separate"/>
      </w:r>
      <w:r w:rsidR="00980B82">
        <w:t>(</w:t>
      </w:r>
      <w:r w:rsidR="00980B82">
        <w:rPr>
          <w:i/>
          <w:iCs/>
        </w:rPr>
        <w:t>12</w:t>
      </w:r>
      <w:r w:rsidR="00980B82">
        <w:t>)</w:t>
      </w:r>
      <w:r w:rsidR="00464D96">
        <w:fldChar w:fldCharType="end"/>
      </w:r>
      <w:r w:rsidRPr="004509F3">
        <w:t>. Since the hemicellulose has been removed, the higher temperature cases (400°C-500°C) show little difference in the acetic acid as compared to the lower temperature cases, but the phenolics yield is greater due to enhanced lignin decomposition at higher temperatures.</w:t>
      </w:r>
    </w:p>
    <w:p w14:paraId="0273ACB6" w14:textId="0AE4878B" w:rsidR="00A13878" w:rsidRDefault="00A13878" w:rsidP="00A13878">
      <w:pPr>
        <w:pStyle w:val="NoSpacing"/>
      </w:pPr>
      <w:r>
        <w:t xml:space="preserve">      a </w:t>
      </w:r>
      <w:r>
        <w:tab/>
      </w:r>
      <w:r>
        <w:tab/>
      </w:r>
      <w:r>
        <w:tab/>
      </w:r>
      <w:r>
        <w:tab/>
      </w:r>
      <w:r>
        <w:tab/>
        <w:t xml:space="preserve">       b</w:t>
      </w:r>
    </w:p>
    <w:p w14:paraId="62760527" w14:textId="47EEEAA9" w:rsidR="0053629C" w:rsidRDefault="003E221D" w:rsidP="005B60FA">
      <w:pPr>
        <w:pStyle w:val="NoSpacing"/>
      </w:pPr>
      <w:r>
        <w:rPr>
          <w:noProof/>
        </w:rPr>
        <w:drawing>
          <wp:inline distT="0" distB="0" distL="0" distR="0" wp14:anchorId="37757871" wp14:editId="6FD526E2">
            <wp:extent cx="2189327" cy="2194560"/>
            <wp:effectExtent l="0" t="0" r="0" b="0"/>
            <wp:docPr id="506" name="Picture 506" descr="../My%20Papers/Stage%202%20Optimization/final%20data/Figure%2015a%20-%20Stage%202%20acetic%20acid%20yield%20vs.%20Stage%202%20phenolics%20yiel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My%20Papers/Stage%202%20Optimization/final%20data/Figure%2015a%20-%20Stage%202%20acetic%20acid%20yield%20vs.%20Stage%202%20phenolics%20yield.pdf"/>
                    <pic:cNvPicPr>
                      <a:picLocks noChangeAspect="1" noChangeArrowheads="1"/>
                    </pic:cNvPicPr>
                  </pic:nvPicPr>
                  <pic:blipFill rotWithShape="1">
                    <a:blip r:embed="rId71" cstate="print">
                      <a:extLst>
                        <a:ext uri="{28A0092B-C50C-407E-A947-70E740481C1C}">
                          <a14:useLocalDpi xmlns:a14="http://schemas.microsoft.com/office/drawing/2010/main" val="0"/>
                        </a:ext>
                      </a:extLst>
                    </a:blip>
                    <a:srcRect r="25179"/>
                    <a:stretch/>
                  </pic:blipFill>
                  <pic:spPr bwMode="auto">
                    <a:xfrm>
                      <a:off x="0" y="0"/>
                      <a:ext cx="2189327" cy="2194560"/>
                    </a:xfrm>
                    <a:prstGeom prst="rect">
                      <a:avLst/>
                    </a:prstGeom>
                    <a:noFill/>
                    <a:ln>
                      <a:noFill/>
                    </a:ln>
                    <a:extLst>
                      <a:ext uri="{53640926-AAD7-44D8-BBD7-CCE9431645EC}">
                        <a14:shadowObscured xmlns:a14="http://schemas.microsoft.com/office/drawing/2010/main"/>
                      </a:ext>
                    </a:extLst>
                  </pic:spPr>
                </pic:pic>
              </a:graphicData>
            </a:graphic>
          </wp:inline>
        </w:drawing>
      </w:r>
      <w:r w:rsidR="00FF1E83">
        <w:t xml:space="preserve">       </w:t>
      </w:r>
      <w:r>
        <w:rPr>
          <w:noProof/>
        </w:rPr>
        <w:drawing>
          <wp:inline distT="0" distB="0" distL="0" distR="0" wp14:anchorId="58C779A5" wp14:editId="72402353">
            <wp:extent cx="2926080" cy="2194560"/>
            <wp:effectExtent l="0" t="0" r="0" b="0"/>
            <wp:docPr id="507" name="Picture 507" descr="../My%20Papers/Stage%202%20Optimization/final%20data/Figure%2015b%20-%20Stage%202%20acetic%20acid%20selectivity%20vs.%20Stage%202%20phenolics%20selectivity.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My%20Papers/Stage%202%20Optimization/final%20data/Figure%2015b%20-%20Stage%202%20acetic%20acid%20selectivity%20vs.%20Stage%202%20phenolics%20selectivity.pdf"/>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926080" cy="2194560"/>
                    </a:xfrm>
                    <a:prstGeom prst="rect">
                      <a:avLst/>
                    </a:prstGeom>
                    <a:noFill/>
                    <a:ln>
                      <a:noFill/>
                    </a:ln>
                  </pic:spPr>
                </pic:pic>
              </a:graphicData>
            </a:graphic>
          </wp:inline>
        </w:drawing>
      </w:r>
    </w:p>
    <w:p w14:paraId="5157E817" w14:textId="77777777" w:rsidR="004B12F3" w:rsidRDefault="00FF1E83" w:rsidP="00FF1E83">
      <w:pPr>
        <w:pStyle w:val="Caption"/>
        <w:rPr>
          <w:b w:val="0"/>
        </w:rPr>
      </w:pPr>
      <w:bookmarkStart w:id="136" w:name="_Toc449965007"/>
      <w:r w:rsidRPr="00E73E07">
        <w:t xml:space="preserve">Figure </w:t>
      </w:r>
      <w:fldSimple w:instr=" STYLEREF &quot;Chapter&quot; \s ">
        <w:r w:rsidR="00463F52">
          <w:rPr>
            <w:noProof/>
          </w:rPr>
          <w:t>5</w:t>
        </w:r>
      </w:fldSimple>
      <w:r w:rsidRPr="00E73E07">
        <w:t>.</w:t>
      </w:r>
      <w:fldSimple w:instr=" SEQ Figure \* ARABIC \s 1 ">
        <w:r w:rsidR="00463F52">
          <w:rPr>
            <w:noProof/>
          </w:rPr>
          <w:t>18</w:t>
        </w:r>
      </w:fldSimple>
      <w:r w:rsidRPr="00E73E07">
        <w:rPr>
          <w:noProof/>
        </w:rPr>
        <w:t>.</w:t>
      </w:r>
      <w:r>
        <w:rPr>
          <w:noProof/>
        </w:rPr>
        <w:t xml:space="preserve"> </w:t>
      </w:r>
      <w:r w:rsidRPr="00FF1E83">
        <w:rPr>
          <w:b w:val="0"/>
        </w:rPr>
        <w:t>Stage 2 acetic acid yield vs. Stage 2 phenolics carbon yield (a) and carbon selectivity (b) for th</w:t>
      </w:r>
      <w:r w:rsidR="004B12F3">
        <w:rPr>
          <w:b w:val="0"/>
        </w:rPr>
        <w:t>e stage 2 conditions indicated.</w:t>
      </w:r>
      <w:bookmarkEnd w:id="136"/>
    </w:p>
    <w:p w14:paraId="5BC4E6D7" w14:textId="346FAAAD" w:rsidR="00FF1E83" w:rsidRDefault="00FF1E83" w:rsidP="00FF1E83">
      <w:pPr>
        <w:pStyle w:val="Caption"/>
      </w:pPr>
      <w:r w:rsidRPr="00FF1E83">
        <w:rPr>
          <w:b w:val="0"/>
        </w:rPr>
        <w:t>Cumulative carbon yield is the sum of all compound lumps at both stage 2 &amp; stage 3 conditions. Yield values are (measured µg carbon in vapors) / (mg of raw biomass).</w:t>
      </w:r>
    </w:p>
    <w:p w14:paraId="64B0986F" w14:textId="77777777" w:rsidR="0053629C" w:rsidRDefault="0053629C" w:rsidP="00410CE7"/>
    <w:p w14:paraId="3D929893" w14:textId="77777777" w:rsidR="00B00C58" w:rsidRDefault="00B00C58" w:rsidP="005C7E19">
      <w:pPr>
        <w:pStyle w:val="Heading2"/>
      </w:pPr>
      <w:bookmarkStart w:id="137" w:name="_Toc449964879"/>
      <w:r>
        <w:t>Conclusions</w:t>
      </w:r>
      <w:bookmarkEnd w:id="137"/>
    </w:p>
    <w:p w14:paraId="3BF40F0D" w14:textId="77777777" w:rsidR="00B00C58" w:rsidRDefault="00B00C58" w:rsidP="00B00C58">
      <w:r>
        <w:t xml:space="preserve">Rapid screening in the pyroprobe has demonstrated that the production of thermochemical vapor product streams of enhanced purity and decreased complexity as compared to fast pyrolysis is achievable via staged thermal fractionation by manipulating the exposure time and temperature at which the conversion is conducted. </w:t>
      </w:r>
      <w:r>
        <w:lastRenderedPageBreak/>
        <w:t>The ability of this technique to segregate the compound lumps is primarily derived from the thermal stability of the biopolymers from which the lumps are derived, with the exception of lignin, which may exhibit selectivity changes over a temperature range not observed with polysaccharides. However, some of the more effective thermal segregation conditions (namely, 350°C and 380°C) carry with them a penalty to the cumulative carbon yield of organics from the process due to condensation and repolymerization reactions that form refractory C-C bonds which do not exist in untreated biomass.</w:t>
      </w:r>
    </w:p>
    <w:p w14:paraId="70D5E54C" w14:textId="506C0A3E" w:rsidR="00B92768" w:rsidRDefault="00B00C58" w:rsidP="00B00C58">
      <w:r>
        <w:t>The stage 2 conditions of 380°C and 180 seconds seem to be best of those tested for creating both stage 2 and 3 product streams of enhanced purity as compared to fast pyrolysis. At these conditions, less than 10% of the carbon in stage 2 comes from levoglucosan, while over 85% of the carbon in the stage 3 product stream is in the levoglucosan. Only 6.3% of the carbon in stage 3 is in the phenolic lumps, and there is also minimal light gas production (4%). For these process parameters, an appropriate catalytic strategy for the best stage 2 product stream might involve a simple condensation separation for the heavy phenolics followed by a sequential ketonization/aldol condensation, ending with transalkylation of the phenolics and subsequent hydrotreating</w:t>
      </w:r>
      <w:r w:rsidR="006E1B4F">
        <w:t xml:space="preserve"> </w:t>
      </w:r>
      <w:r w:rsidR="006E1B4F">
        <w:fldChar w:fldCharType="begin"/>
      </w:r>
      <w:r w:rsidR="00807999">
        <w:instrText xml:space="preserve"> ADDIN PAPERS2_CITATIONS &lt;citation&gt;&lt;uuid&gt;DDFB0C0A-1A5D-4417-9BDE-F5166D6D62FC&lt;/uuid&gt;&lt;priority&gt;0&lt;/priority&gt;&lt;publications&gt;&lt;publication&gt;&lt;uuid&gt;271FD70B-C92A-4613-8CE3-264A474D36E9&lt;/uuid&gt;&lt;volume&gt;257&lt;/volume&gt;&lt;doi&gt;10.1016/j.cattod.2014.06.037&lt;/doi&gt;&lt;startpage&gt;185&lt;/startpage&gt;&lt;publication_date&gt;99201511151200000000222000&lt;/publication_date&gt;&lt;url&gt;http://dx.doi.org/10.1016/j.cattod.2014.06.037&lt;/url&gt;&lt;citekey&gt;Resasco:2015ip&lt;/citekey&gt;&lt;type&gt;400&lt;/type&gt;&lt;title&gt;Implementation of concepts derived from model compound studies in the separation and conversion of bio-oil to fuel&lt;/title&gt;&lt;publisher&gt;Elsevier B.V.&lt;/publisher&gt;&lt;subtype&gt;400&lt;/subtype&gt;&lt;endpage&gt;199&lt;/endpage&gt;&lt;bundle&gt;&lt;publication&gt;&lt;publisher&gt;Elsevier B.V.&lt;/publisher&gt;&lt;title&gt;Catalysis Today&lt;/title&gt;&lt;type&gt;-100&lt;/type&gt;&lt;subtype&gt;-100&lt;/subtype&gt;&lt;uuid&gt;D9C3576F-1760-49E2-B7E3-D5A7B7E19D6D&lt;/uuid&gt;&lt;/publication&gt;&lt;/bundle&gt;&lt;authors&gt;&lt;author&gt;&lt;firstName&gt;D&lt;/firstName&gt;&lt;middleNames&gt;E&lt;/middleNames&gt;&lt;lastName&gt;Resasco&lt;/lastName&gt;&lt;/author&gt;&lt;author&gt;&lt;firstName&gt;Steven&lt;/firstName&gt;&lt;middleNames&gt;P&lt;/middleNames&gt;&lt;lastName&gt;Crossley&lt;/lastName&gt;&lt;/author&gt;&lt;/authors&gt;&lt;/publication&gt;&lt;/publications&gt;&lt;cites&gt;&lt;/cites&gt;&lt;/citation&gt;</w:instrText>
      </w:r>
      <w:r w:rsidR="006E1B4F">
        <w:fldChar w:fldCharType="separate"/>
      </w:r>
      <w:r w:rsidR="00980B82">
        <w:t>(</w:t>
      </w:r>
      <w:r w:rsidR="00980B82">
        <w:rPr>
          <w:i/>
          <w:iCs/>
        </w:rPr>
        <w:t>22</w:t>
      </w:r>
      <w:r w:rsidR="00980B82">
        <w:t>)</w:t>
      </w:r>
      <w:r w:rsidR="006E1B4F">
        <w:fldChar w:fldCharType="end"/>
      </w:r>
      <w:r>
        <w:t xml:space="preserve">. Stage 3 could be treated as pure levoglucosan, with the aforementioned gluconic acid pathway. </w:t>
      </w:r>
      <w:r w:rsidRPr="00A2481F">
        <w:t xml:space="preserve">Figure </w:t>
      </w:r>
      <w:r w:rsidR="00A2481F" w:rsidRPr="00A2481F">
        <w:t>5.19</w:t>
      </w:r>
      <w:r w:rsidRPr="00A2481F">
        <w:t xml:space="preserve"> is an updated version of figure 1</w:t>
      </w:r>
      <w:r w:rsidR="00A2481F">
        <w:t>.1</w:t>
      </w:r>
      <w:r>
        <w:t>, showing a revision to the hypothetical process schematic based on the results of this work.</w:t>
      </w:r>
    </w:p>
    <w:p w14:paraId="6F0EDFE9" w14:textId="6B466924" w:rsidR="00B00C58" w:rsidRDefault="00395EA7" w:rsidP="005B60FA">
      <w:pPr>
        <w:pStyle w:val="NoSpacing"/>
      </w:pPr>
      <w:r w:rsidRPr="005B60FA">
        <w:rPr>
          <w:noProof/>
        </w:rPr>
        <w:lastRenderedPageBreak/>
        <w:drawing>
          <wp:inline distT="0" distB="0" distL="0" distR="0" wp14:anchorId="247DF96A" wp14:editId="2B666ECE">
            <wp:extent cx="5394960" cy="2076235"/>
            <wp:effectExtent l="0" t="0" r="0" b="6985"/>
            <wp:docPr id="73" name="Picture 73" descr="Staged%20thermal%20fractionation%20cartoon%20after%20optimization.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taged%20thermal%20fractionation%20cartoon%20after%20optimization.pdf"/>
                    <pic:cNvPicPr>
                      <a:picLocks noChangeAspect="1" noChangeArrowheads="1"/>
                    </pic:cNvPicPr>
                  </pic:nvPicPr>
                  <pic:blipFill rotWithShape="1">
                    <a:blip r:embed="rId73">
                      <a:extLst>
                        <a:ext uri="{28A0092B-C50C-407E-A947-70E740481C1C}">
                          <a14:useLocalDpi xmlns:a14="http://schemas.microsoft.com/office/drawing/2010/main" val="0"/>
                        </a:ext>
                      </a:extLst>
                    </a:blip>
                    <a:srcRect l="3443" t="32256" r="11914" b="25560"/>
                    <a:stretch/>
                  </pic:blipFill>
                  <pic:spPr bwMode="auto">
                    <a:xfrm>
                      <a:off x="0" y="0"/>
                      <a:ext cx="5394960" cy="2076235"/>
                    </a:xfrm>
                    <a:prstGeom prst="rect">
                      <a:avLst/>
                    </a:prstGeom>
                    <a:noFill/>
                    <a:ln>
                      <a:noFill/>
                    </a:ln>
                    <a:extLst>
                      <a:ext uri="{53640926-AAD7-44D8-BBD7-CCE9431645EC}">
                        <a14:shadowObscured xmlns:a14="http://schemas.microsoft.com/office/drawing/2010/main"/>
                      </a:ext>
                    </a:extLst>
                  </pic:spPr>
                </pic:pic>
              </a:graphicData>
            </a:graphic>
          </wp:inline>
        </w:drawing>
      </w:r>
    </w:p>
    <w:p w14:paraId="7296CFD4" w14:textId="18778435" w:rsidR="00B00C58" w:rsidRDefault="00B00C58" w:rsidP="00B00C58">
      <w:pPr>
        <w:pStyle w:val="Caption"/>
      </w:pPr>
      <w:bookmarkStart w:id="138" w:name="_Toc449965008"/>
      <w:r w:rsidRPr="00E73E07">
        <w:t xml:space="preserve">Figure </w:t>
      </w:r>
      <w:fldSimple w:instr=" STYLEREF &quot;Chapter&quot; \s ">
        <w:r w:rsidR="00463F52">
          <w:rPr>
            <w:noProof/>
          </w:rPr>
          <w:t>5</w:t>
        </w:r>
      </w:fldSimple>
      <w:r w:rsidRPr="00E73E07">
        <w:t>.</w:t>
      </w:r>
      <w:fldSimple w:instr=" SEQ Figure \* ARABIC \s 1 ">
        <w:r w:rsidR="00463F52">
          <w:rPr>
            <w:noProof/>
          </w:rPr>
          <w:t>19</w:t>
        </w:r>
      </w:fldSimple>
      <w:r w:rsidRPr="00E73E07">
        <w:rPr>
          <w:noProof/>
        </w:rPr>
        <w:t>.</w:t>
      </w:r>
      <w:r>
        <w:rPr>
          <w:noProof/>
        </w:rPr>
        <w:t xml:space="preserve"> </w:t>
      </w:r>
      <w:r w:rsidRPr="00B00C58">
        <w:rPr>
          <w:b w:val="0"/>
        </w:rPr>
        <w:t>Revised configuration for thermal fractionation of lignocellulosic biomass with resultant purified product streams based on this work.</w:t>
      </w:r>
      <w:bookmarkEnd w:id="138"/>
    </w:p>
    <w:p w14:paraId="6C425E63" w14:textId="77777777" w:rsidR="00B00C58" w:rsidRDefault="00B00C58" w:rsidP="00B00C58"/>
    <w:p w14:paraId="14F8E36D" w14:textId="77777777" w:rsidR="00B00C58" w:rsidRDefault="00B00C58" w:rsidP="00B00C58">
      <w:r>
        <w:t>Although staged thermal fractionation at stage 2 conditions of 380°C and 180 seconds does indeed yield product streams of greatly enhanced compositional purity as compared to fast pyrolysis, the separation achieved does come at the expense of total carbon yield. Full investigation and understanding of the impacts of this tradeoff of yield for better selectivity on process economics are beyond the scope of this work, but with this effort we hope to guide inquiry into the acceptable limits of catalytic performance and the associated process costs. From an emissions perspective, however, this is not necessarily an undesirable outcome. Production of solid char from biomass has been shown to be an effective form of carbon sequestration. If the increased formation of char due to the intermediate thermal treatment allows for lower catalyst deactivation (and subsequent CO</w:t>
      </w:r>
      <w:r w:rsidRPr="00C35E0F">
        <w:rPr>
          <w:vertAlign w:val="subscript"/>
        </w:rPr>
        <w:t>2</w:t>
      </w:r>
      <w:r>
        <w:t xml:space="preserve"> formation upon regeneration), the carbon cycle efficiencies of staged thermal fractionation as compared to fast pyrolysis could be a net positive.</w:t>
      </w:r>
    </w:p>
    <w:p w14:paraId="54EF1D84" w14:textId="77777777" w:rsidR="00283541" w:rsidRDefault="00283541" w:rsidP="00283541">
      <w:r>
        <w:t xml:space="preserve">To hedge against the possibility that the carbon yield loss may be too severe of a penalty, it is necessary to consider a two-step fractionation strategy, of which the 500°C stage 2 conditions are representative. The 500°C stage 2 conditions represent the </w:t>
      </w:r>
      <w:r>
        <w:lastRenderedPageBreak/>
        <w:t xml:space="preserve">highest overall process carbon yields of the stage 2 conditions tested. In this scheme, the stage 1 treatment achieves segregation of the acetic acid and furfural with minimal production of lignin-derived phenolics; however, the stage 1 treatment is mild enough to limit the degree to which the lignin &amp; cellulose condenses/repolymerizes, providing comparable carbon yields in the resulting vapor product to single-step fast pyrolysis. The segregation of the acetic acid into stage 1 is probably the most notable product stream purity enhancement, as the acid-catalyzed reactivity of the high-temperature liquid product would be expected to be greatly reduced. Further investigation of the storage and handling stability, separation strategies, and catalytic upgrading performance parameters for a liquid having this composition are underway. </w:t>
      </w:r>
    </w:p>
    <w:p w14:paraId="744C36DA" w14:textId="566A2108" w:rsidR="00283541" w:rsidRDefault="00283541" w:rsidP="00283541">
      <w:r>
        <w:t>The differences between the empirical kinetic model used to determine initial experimental conditions and the observed vapor products across the stages are not trivial. The kinetic model, developed using isothermal techniques, was far off the mark when compared to the observed stage 2 temperatures at which production of levoglucosan occurred. Almost no levoglucosan was produced at temperatures below 400°C in these experiments, with the exception being the 380°C, 300s case. The most likely explanation is offered by Lin et al</w:t>
      </w:r>
      <w:r w:rsidR="006E1B4F">
        <w:t xml:space="preserve"> </w:t>
      </w:r>
      <w:r w:rsidR="006E1B4F">
        <w:fldChar w:fldCharType="begin"/>
      </w:r>
      <w:r w:rsidR="00807999">
        <w:instrText xml:space="preserve"> ADDIN PAPERS2_CITATIONS &lt;citation&gt;&lt;uuid&gt;A0805612-45B8-4B1E-BA3C-5FEB6FE2ED62&lt;/uuid&gt;&lt;priority&gt;0&lt;/priority&gt;&lt;publications&gt;&lt;publication&gt;&lt;publication_date&gt;99200900001200000000200000&lt;/publication_date&gt;&lt;title&gt;Kinetics and Mechanism of Cellulose Pyrolysis&lt;/title&gt;&lt;uuid&gt;BB64A656-C801-4218-AD79-2D23BB63753A&lt;/uuid&gt;&lt;subtype&gt;400&lt;/subtype&gt;&lt;publisher&gt; American Chemical Society&lt;/publisher&gt;&lt;type&gt;400&lt;/type&gt;&lt;citekey&gt;Lin:2009tu&lt;/citekey&gt;&lt;url&gt;http://pubs.acs.org/doi/abs/10.1021/jp906702p&lt;/url&gt;&lt;authors&gt;&lt;author&gt;&lt;firstName&gt;Yu-Chuan&lt;/firstName&gt;&lt;lastName&gt;Lin&lt;/lastName&gt;&lt;/author&gt;&lt;author&gt;&lt;firstName&gt;Joungmo&lt;/firstName&gt;&lt;lastName&gt;Cho&lt;/lastName&gt;&lt;/author&gt;&lt;author&gt;&lt;firstName&gt;Geoffrey&lt;/firstName&gt;&lt;middleNames&gt;a&lt;/middleNames&gt;&lt;lastName&gt;Tompsett&lt;/lastName&gt;&lt;/author&gt;&lt;author&gt;&lt;firstName&gt;Phillip&lt;/firstName&gt;&lt;middleNames&gt;R&lt;/middleNames&gt;&lt;lastName&gt;Westmoreland&lt;/lastName&gt;&lt;/author&gt;&lt;author&gt;&lt;firstName&gt;G W&lt;/firstName&gt;&lt;lastName&gt;Huber&lt;/lastName&gt;&lt;/author&gt;&lt;/authors&gt;&lt;/publication&gt;&lt;/publications&gt;&lt;cites&gt;&lt;/cites&gt;&lt;/citation&gt;</w:instrText>
      </w:r>
      <w:r w:rsidR="006E1B4F">
        <w:fldChar w:fldCharType="separate"/>
      </w:r>
      <w:r w:rsidR="001C1AAC">
        <w:t>(</w:t>
      </w:r>
      <w:r w:rsidR="001C1AAC">
        <w:rPr>
          <w:i/>
          <w:iCs/>
        </w:rPr>
        <w:t>170</w:t>
      </w:r>
      <w:r w:rsidR="001C1AAC">
        <w:t>)</w:t>
      </w:r>
      <w:r w:rsidR="006E1B4F">
        <w:fldChar w:fldCharType="end"/>
      </w:r>
      <w:r>
        <w:t>, where they observe a significant thermal lag effect in temperature-ramp thermogravimetric analysis of cellulose pyrolysis. At slow (1K min</w:t>
      </w:r>
      <w:r w:rsidRPr="00283541">
        <w:rPr>
          <w:vertAlign w:val="superscript"/>
        </w:rPr>
        <w:t>-1</w:t>
      </w:r>
      <w:r>
        <w:t>) heating rates, rapid volatilization of cellulose is observed to begin at roughly 275°C; at fast (150K min</w:t>
      </w:r>
      <w:r w:rsidRPr="00283541">
        <w:rPr>
          <w:vertAlign w:val="superscript"/>
        </w:rPr>
        <w:t>-1</w:t>
      </w:r>
      <w:r>
        <w:t>) heating rates, cellulose volatilization does not begin to occur until nearly 375°C. The kinetic model used to select initial conditions in this work was developed using a 5K min</w:t>
      </w:r>
      <w:r w:rsidRPr="00EA1A24">
        <w:rPr>
          <w:vertAlign w:val="superscript"/>
        </w:rPr>
        <w:t>-1</w:t>
      </w:r>
      <w:r>
        <w:t xml:space="preserve"> temperature ramp, much slower than the 1000K s</w:t>
      </w:r>
      <w:r w:rsidRPr="00EA1A24">
        <w:rPr>
          <w:vertAlign w:val="superscript"/>
        </w:rPr>
        <w:t>-1</w:t>
      </w:r>
      <w:r>
        <w:t xml:space="preserve"> heating rate in the pyroprobe apparatus used. This thermal lag phenomenon would </w:t>
      </w:r>
      <w:r>
        <w:lastRenderedPageBreak/>
        <w:t>account for the discrepancy between the model and our results, including the slight levoglucosan production at the 380°C, 300s case.</w:t>
      </w:r>
    </w:p>
    <w:p w14:paraId="2AE14A99" w14:textId="44F15B2D" w:rsidR="00283541" w:rsidRDefault="00283541" w:rsidP="00283541">
      <w:r>
        <w:t>Beyond the specific results of this investigation with red oak biomass, the methodology developed in this work can be applied to investigate the segregation ability of other feedstocks. Oak is unlikely to ever be a serious candidate as an at-scale biofuel feedstock but perhaps provides some unique challenges which other feedstocks do not. Of particular interest are any differences in behavior between lignin-derived product lumps between feedstocks that have evolutionarily divergent lignin biosynthesis pathways. It has been established that lignin pyrolysis products generally retain the characteristic ring substituents of the monolignols from which they originate</w:t>
      </w:r>
      <w:r w:rsidR="006E1B4F">
        <w:t xml:space="preserve"> </w:t>
      </w:r>
      <w:r w:rsidR="006E1B4F">
        <w:fldChar w:fldCharType="begin"/>
      </w:r>
      <w:r w:rsidR="00807999">
        <w:instrText xml:space="preserve"> ADDIN PAPERS2_CITATIONS &lt;citation&gt;&lt;uuid&gt;A9AE987C-FD88-4641-A590-3AD58986D833&lt;/uuid&gt;&lt;priority&gt;0&lt;/priority&gt;&lt;publications&gt;&lt;publication&gt;&lt;publication_date&gt;99198600001200000000200000&lt;/publication_date&gt;&lt;title&gt;Lignin pyrolysis products: their structures and their significance as biomarkers&lt;/title&gt;&lt;uuid&gt;5E97A469-4544-4EAF-9CB4-0CC7E571F833&lt;/uuid&gt;&lt;subtype&gt;400&lt;/subtype&gt;&lt;type&gt;400&lt;/type&gt;&lt;citekey&gt;SaizJimenez:1986uh&lt;/citekey&gt;&lt;url&gt;http://ac.els-cdn.com/S0146638086800249/1-s2.0-S0146638086800249-main.pdf?_tid=1da48da4-5972-11e4-9e05-00000aab0f02&amp;amp;acdnat=1413930918_8ceff5bf246d55ba5e03886623103b50&lt;/url&gt;&lt;bundle&gt;&lt;publication&gt;&lt;title&gt;Organic Geochemistry&lt;/title&gt;&lt;type&gt;-100&lt;/type&gt;&lt;subtype&gt;-100&lt;/subtype&gt;&lt;uuid&gt;8C55C28C-D8BE-4B5E-984A-EBE053458B9B&lt;/uuid&gt;&lt;/publication&gt;&lt;/bundle&gt;&lt;authors&gt;&lt;author&gt;&lt;firstName&gt;C&lt;/firstName&gt;&lt;lastName&gt;Sáiz-Jiménez&lt;/lastName&gt;&lt;/author&gt;&lt;author&gt;&lt;lastName&gt;Leeuw&lt;/lastName&gt;&lt;nonDroppingParticle&gt;De&lt;/nonDroppingParticle&gt;&lt;firstName&gt;J&lt;/firstName&gt;&lt;middleNames&gt;W&lt;/middleNames&gt;&lt;/author&gt;&lt;/authors&gt;&lt;/publication&gt;&lt;/publications&gt;&lt;cites&gt;&lt;/cites&gt;&lt;/citation&gt;</w:instrText>
      </w:r>
      <w:r w:rsidR="006E1B4F">
        <w:fldChar w:fldCharType="separate"/>
      </w:r>
      <w:r w:rsidR="001C1AAC">
        <w:t>(</w:t>
      </w:r>
      <w:r w:rsidR="001C1AAC">
        <w:rPr>
          <w:i/>
          <w:iCs/>
        </w:rPr>
        <w:t>81</w:t>
      </w:r>
      <w:r w:rsidR="001C1AAC">
        <w:t>)</w:t>
      </w:r>
      <w:r w:rsidR="006E1B4F">
        <w:fldChar w:fldCharType="end"/>
      </w:r>
      <w:r>
        <w:t>; this forms the basis of py-MBMS analysis for lignin composition analysis</w:t>
      </w:r>
      <w:r w:rsidR="006E1B4F">
        <w:t xml:space="preserve"> </w:t>
      </w:r>
      <w:r w:rsidR="006E1B4F">
        <w:fldChar w:fldCharType="begin"/>
      </w:r>
      <w:r w:rsidR="00807999">
        <w:instrText xml:space="preserve"> ADDIN PAPERS2_CITATIONS &lt;citation&gt;&lt;uuid&gt;9FEBC061-6A31-400A-A5CF-A4F7AE931A76&lt;/uuid&gt;&lt;priority&gt;0&lt;/priority&gt;&lt;publications&gt;&lt;publication&gt;&lt;volume&gt;7&lt;/volume&gt;&lt;publication_date&gt;99201401301200000000222000&lt;/publication_date&gt;&lt;number&gt;3&lt;/number&gt;&lt;doi&gt;10.1007/s12155-014-9410-3&lt;/doi&gt;&lt;startpage&gt;899&lt;/startpage&gt;&lt;title&gt;Validation of PyMBMS as a High-throughput Screen for Lignin Abundance in Lignocellulosic Biomass of Grasses&lt;/title&gt;&lt;uuid&gt;44F4FA3C-5F21-4B7E-A18A-05609FE41DD2&lt;/uuid&gt;&lt;subtype&gt;400&lt;/subtype&gt;&lt;endpage&gt;908&lt;/endpage&gt;&lt;type&gt;400&lt;/type&gt;&lt;url&gt;http://link.springer.com/10.1007/s12155-014-9410-3&lt;/url&gt;&lt;bundle&gt;&lt;publication&gt;&lt;publisher&gt;Springer US&lt;/publisher&gt;&lt;title&gt;BioEnergy Research&lt;/title&gt;&lt;type&gt;-100&lt;/type&gt;&lt;subtype&gt;-100&lt;/subtype&gt;&lt;uuid&gt;10F75356-9E4C-4774-98A2-0C658827ED32&lt;/uuid&gt;&lt;/publication&gt;&lt;/bundle&gt;&lt;authors&gt;&lt;author&gt;&lt;firstName&gt;Bryan&lt;/firstName&gt;&lt;middleNames&gt;W&lt;/middleNames&gt;&lt;lastName&gt;Penning&lt;/lastName&gt;&lt;/author&gt;&lt;author&gt;&lt;firstName&gt;Robert&lt;/firstName&gt;&lt;middleNames&gt;W&lt;/middleNames&gt;&lt;lastName&gt;Sykes&lt;/lastName&gt;&lt;/author&gt;&lt;author&gt;&lt;firstName&gt;Nicholas&lt;/firstName&gt;&lt;middleNames&gt;C&lt;/middleNames&gt;&lt;lastName&gt;Babcock&lt;/lastName&gt;&lt;/author&gt;&lt;author&gt;&lt;firstName&gt;Christopher&lt;/firstName&gt;&lt;middleNames&gt;K&lt;/middleNames&gt;&lt;lastName&gt;Dugard&lt;/lastName&gt;&lt;/author&gt;&lt;author&gt;&lt;firstName&gt;John&lt;/firstName&gt;&lt;middleNames&gt;F&lt;/middleNames&gt;&lt;lastName&gt;Klimek&lt;/lastName&gt;&lt;/author&gt;&lt;author&gt;&lt;firstName&gt;David&lt;/firstName&gt;&lt;lastName&gt;Gamblin&lt;/lastName&gt;&lt;/author&gt;&lt;author&gt;&lt;firstName&gt;Mark&lt;/firstName&gt;&lt;lastName&gt;Davis&lt;/lastName&gt;&lt;/author&gt;&lt;author&gt;&lt;firstName&gt;Timothy&lt;/firstName&gt;&lt;middleNames&gt;R&lt;/middleNames&gt;&lt;lastName&gt;Filley&lt;/lastName&gt;&lt;/author&gt;&lt;author&gt;&lt;firstName&gt;Nathan&lt;/firstName&gt;&lt;middleNames&gt;S&lt;/middleNames&gt;&lt;lastName&gt;Mosier&lt;/lastName&gt;&lt;/author&gt;&lt;author&gt;&lt;firstName&gt;Clifford&lt;/firstName&gt;&lt;middleNames&gt;F&lt;/middleNames&gt;&lt;lastName&gt;Weil&lt;/lastName&gt;&lt;/author&gt;&lt;author&gt;&lt;firstName&gt;Maureen&lt;/firstName&gt;&lt;middleNames&gt;C&lt;/middleNames&gt;&lt;lastName&gt;McCann&lt;/lastName&gt;&lt;/author&gt;&lt;author&gt;&lt;firstName&gt;Nicholas&lt;/firstName&gt;&lt;middleNames&gt;C&lt;/middleNames&gt;&lt;lastName&gt;Carpita&lt;/lastName&gt;&lt;/author&gt;&lt;/authors&gt;&lt;/publication&gt;&lt;/publications&gt;&lt;cites&gt;&lt;/cites&gt;&lt;/citation&gt;</w:instrText>
      </w:r>
      <w:r w:rsidR="006E1B4F">
        <w:fldChar w:fldCharType="separate"/>
      </w:r>
      <w:r w:rsidR="001C1AAC">
        <w:t>(</w:t>
      </w:r>
      <w:r w:rsidR="001C1AAC">
        <w:rPr>
          <w:i/>
          <w:iCs/>
        </w:rPr>
        <w:t>99</w:t>
      </w:r>
      <w:r w:rsidR="001C1AAC">
        <w:t>)</w:t>
      </w:r>
      <w:r w:rsidR="006E1B4F">
        <w:fldChar w:fldCharType="end"/>
      </w:r>
      <w:r>
        <w:t>. The impacts on the staged compositions due to this key biological factor are unknown, but some differences in the behavior of the phenolic species is to be expected.</w:t>
      </w:r>
    </w:p>
    <w:p w14:paraId="3A8CF71E" w14:textId="4CF11CF4" w:rsidR="00E56BD5" w:rsidRDefault="00E56BD5" w:rsidP="00E56BD5">
      <w:pPr>
        <w:pStyle w:val="Heading2"/>
      </w:pPr>
      <w:bookmarkStart w:id="139" w:name="_Toc449964880"/>
      <w:r>
        <w:t>Acknowledgements</w:t>
      </w:r>
      <w:bookmarkEnd w:id="139"/>
    </w:p>
    <w:p w14:paraId="0F90D8B4" w14:textId="0BA45B1D" w:rsidR="00E56BD5" w:rsidRPr="00E56BD5" w:rsidRDefault="00D52EA6" w:rsidP="00E56BD5">
      <w:r w:rsidRPr="00D52EA6">
        <w:t>The Department of Energy is gratefully acknowledged for support u</w:t>
      </w:r>
      <w:r>
        <w:t xml:space="preserve">nder Grant </w:t>
      </w:r>
      <w:r>
        <w:br/>
        <w:t xml:space="preserve">DE-EE0006287 of the </w:t>
      </w:r>
      <w:r w:rsidRPr="00D52EA6">
        <w:t>Bioenergy T</w:t>
      </w:r>
      <w:r>
        <w:t xml:space="preserve">echnology Office CHASE program, as well as the </w:t>
      </w:r>
      <w:r w:rsidRPr="00D52EA6">
        <w:t>National Sci</w:t>
      </w:r>
      <w:r>
        <w:t xml:space="preserve">ence Foundation EPSCoR program </w:t>
      </w:r>
      <w:r w:rsidRPr="00D52EA6">
        <w:t>under Grant No. EPS-0814361.</w:t>
      </w:r>
    </w:p>
    <w:p w14:paraId="73F24640" w14:textId="499FA904" w:rsidR="0074036B" w:rsidRPr="00732F74" w:rsidRDefault="00001A9D" w:rsidP="00732F74">
      <w:pPr>
        <w:pStyle w:val="Chapter"/>
      </w:pPr>
      <w:r>
        <w:br w:type="page"/>
      </w:r>
      <w:bookmarkStart w:id="140" w:name="_Toc449964881"/>
      <w:r w:rsidR="003B659C" w:rsidRPr="00732F74">
        <w:lastRenderedPageBreak/>
        <w:t>Predictive modeling of switchgrass thermochemical products from biomass compositional features</w:t>
      </w:r>
      <w:bookmarkEnd w:id="140"/>
    </w:p>
    <w:p w14:paraId="6307535C" w14:textId="77777777" w:rsidR="00B43DDA" w:rsidRDefault="00B43DDA" w:rsidP="00B43DDA">
      <w:r>
        <w:t>Extracted from a manuscript in preparation</w:t>
      </w:r>
    </w:p>
    <w:p w14:paraId="2BE4B2CB" w14:textId="77777777" w:rsidR="00B43DDA" w:rsidRDefault="00B43DDA" w:rsidP="00B43DDA">
      <w:r>
        <w:t>Christopher Waters, Fan Lin, Laura Bartley, Richard Mallinson, Lance Lobban</w:t>
      </w:r>
    </w:p>
    <w:p w14:paraId="2EE5DC33" w14:textId="7FABF2E1" w:rsidR="00B43DDA" w:rsidRDefault="00B43DDA" w:rsidP="005C7E19">
      <w:pPr>
        <w:pStyle w:val="Heading2"/>
      </w:pPr>
      <w:bookmarkStart w:id="141" w:name="_Toc449964882"/>
      <w:r>
        <w:t>Abstract</w:t>
      </w:r>
      <w:bookmarkEnd w:id="141"/>
    </w:p>
    <w:p w14:paraId="433D645F" w14:textId="16E42F0E" w:rsidR="00B43DDA" w:rsidRDefault="00B43DDA" w:rsidP="00B43DDA">
      <w:r>
        <w:t>Switchgrass has been proposed to be a good candidate for a dedicated biomass feedstock for production of thermochemical biofuels (e.g., from fast pyrolysis technologies). Staged thermal fractionation of biomass has been proposed as an alternative to fast pyrolysis as a way to improve catalytic processing of bio-oil to transportation fuels, increasing overall carbon yields and reducing external hydrogen input requirements. As the composition of the biomass dictates the products yielded upon thermal decomposition, and switchgrass has been shown to have significant compositional diversity, we hypothesize that some switchgrasses may have more favorable compositions for staged thermal fractionation than others. To test this, we used analytical pyrolysis to screen characterized switchgrass samples at pyrolysis (500°C) and torrefaction (350°C) conditions and developed predictive linear models of the products at each of those conditions as functions of the composition. The models were then used to predict the thermochemical product yields of a</w:t>
      </w:r>
      <w:r w:rsidR="00F436B3">
        <w:t xml:space="preserve">n approximately </w:t>
      </w:r>
      <w:r>
        <w:t>1,</w:t>
      </w:r>
      <w:r w:rsidR="00F436B3">
        <w:t>300</w:t>
      </w:r>
      <w:r>
        <w:t xml:space="preserve"> member switchgrass association panel. Several of the developed models demonstrate good re-predictive ability, and the relationships between the dependent and independent variables reflect other published literature relating biomass composition and thermochemical products</w:t>
      </w:r>
      <w:r w:rsidR="00F436B3">
        <w:t>, and provide insight into the most important compositional variables for in vivo biomasses</w:t>
      </w:r>
      <w:r>
        <w:t xml:space="preserve">. We conclude that it is possible to select switchgrasses </w:t>
      </w:r>
      <w:r>
        <w:lastRenderedPageBreak/>
        <w:t>which are more favorable for the thermal fractionation process, leading to improved catalytic processing and improved process viability.</w:t>
      </w:r>
    </w:p>
    <w:p w14:paraId="14777D38" w14:textId="4638E0B8" w:rsidR="00B43DDA" w:rsidRDefault="00B43DDA" w:rsidP="005C7E19">
      <w:pPr>
        <w:pStyle w:val="Heading2"/>
      </w:pPr>
      <w:bookmarkStart w:id="142" w:name="_Toc449964883"/>
      <w:r>
        <w:t>Introduction</w:t>
      </w:r>
      <w:bookmarkEnd w:id="142"/>
    </w:p>
    <w:p w14:paraId="0291997A" w14:textId="19CA19D5" w:rsidR="00B43DDA" w:rsidRDefault="00B43DDA" w:rsidP="00B43DDA">
      <w:r w:rsidRPr="00B43DDA">
        <w:t xml:space="preserve">While this staged thermal fractionation process as described </w:t>
      </w:r>
      <w:r>
        <w:t xml:space="preserve">in </w:t>
      </w:r>
      <w:r w:rsidR="00874F00">
        <w:t>chapter 5</w:t>
      </w:r>
      <w:r>
        <w:t xml:space="preserve"> </w:t>
      </w:r>
      <w:r w:rsidRPr="00B43DDA">
        <w:t xml:space="preserve">suggests that separation should be possible based on the biopolymer stability regimes, it is well established that the product distribution from thermal decomposition is widely variable between biomass types and is dependent on biomass compositional features. </w:t>
      </w:r>
      <w:r w:rsidR="00A02B8E">
        <w:t xml:space="preserve">In </w:t>
      </w:r>
      <w:r w:rsidR="00874F00" w:rsidRPr="00874F00">
        <w:t>chapter 2</w:t>
      </w:r>
      <w:r w:rsidR="00874F00">
        <w:t>,</w:t>
      </w:r>
      <w:r w:rsidR="00A02B8E">
        <w:t xml:space="preserve"> </w:t>
      </w:r>
      <w:r w:rsidRPr="00B43DDA">
        <w:t>three possible schema</w:t>
      </w:r>
      <w:r w:rsidR="00A02B8E">
        <w:rPr>
          <w:rStyle w:val="FootnoteReference"/>
        </w:rPr>
        <w:footnoteReference w:id="1"/>
      </w:r>
      <w:r w:rsidRPr="00B43DDA">
        <w:t xml:space="preserve"> of how biomass components may influence the yield or composition of thermal products</w:t>
      </w:r>
      <w:r w:rsidR="00A02B8E" w:rsidRPr="00A02B8E">
        <w:t xml:space="preserve"> </w:t>
      </w:r>
      <w:r w:rsidR="00A02B8E">
        <w:t xml:space="preserve">were </w:t>
      </w:r>
      <w:r w:rsidR="00A02B8E" w:rsidRPr="00B43DDA">
        <w:t>introduced</w:t>
      </w:r>
      <w:r w:rsidRPr="00B43DDA">
        <w:t xml:space="preserve"> based on evidence in the literature. Briefly, schema 1 considers biomass components as the direct sources of thermochemical products (e.g., cellulose decomposition forming levoglucosan); schema 2 considers biomass components to act as catalysts, altering the product yields and selectivities of thermochemical decomposition (e.g., levoglucosan reaction catalyzed by minerals to form smaller products); and schema 3 considers biomass components which interact with other biomass components to alter the product distribution (e.g., cellulose-lignin interaction leading to decreased levoglucosan yield).</w:t>
      </w:r>
    </w:p>
    <w:p w14:paraId="7379E5AA" w14:textId="0285845A" w:rsidR="00C04969" w:rsidRDefault="00A02B8E" w:rsidP="00B43DDA">
      <w:r w:rsidRPr="00A02B8E">
        <w:t xml:space="preserve">In this work, we use analytical pyrolysis to study the effects of composition on the product distribution of the vapors formed upon the pyrolysis and torrefaction of untreated switchgrass biomass. The objective of this study is to identify which compositional features are most important to the yields of the thermochemical products </w:t>
      </w:r>
      <w:r w:rsidRPr="00A02B8E">
        <w:lastRenderedPageBreak/>
        <w:t>formed, giving us insight into how to best achieve enhanced purity of thermochemical vapor product streams and high yields of favorable compounds for further processing to fuels and chemicals. By torrefying and pyrolyzing biomass of the same species but of known variable composition, we can model the thermochemical product distribution as a function of the composition. The developed models can then be used to predict the behavior of a larger population of switchgrass with known composition.</w:t>
      </w:r>
    </w:p>
    <w:p w14:paraId="09834A03" w14:textId="40C01699" w:rsidR="00A02B8E" w:rsidRDefault="00A02B8E" w:rsidP="005C7E19">
      <w:pPr>
        <w:pStyle w:val="Heading2"/>
      </w:pPr>
      <w:bookmarkStart w:id="143" w:name="_Toc449964884"/>
      <w:r>
        <w:t>Experimental</w:t>
      </w:r>
      <w:bookmarkEnd w:id="143"/>
    </w:p>
    <w:p w14:paraId="57331230" w14:textId="74BDACB0" w:rsidR="00845C03" w:rsidRDefault="00845C03" w:rsidP="008C1096">
      <w:r>
        <w:t>Switchgrass (</w:t>
      </w:r>
      <w:r w:rsidRPr="00C04969">
        <w:rPr>
          <w:i/>
        </w:rPr>
        <w:t>Panicum virgatum</w:t>
      </w:r>
      <w:r>
        <w:t xml:space="preserve">) has been identified as a good candidate for a dedicated bioenergy crop by the United States Department of Energy </w:t>
      </w:r>
      <w:r w:rsidR="008A5399">
        <w:fldChar w:fldCharType="begin"/>
      </w:r>
      <w:r w:rsidR="00807999">
        <w:instrText xml:space="preserve"> ADDIN PAPERS2_CITATIONS &lt;citation&gt;&lt;uuid&gt;80283213-9339-46A1-89AD-534553F01139&lt;/uuid&gt;&lt;priority&gt;0&lt;/priority&gt;&lt;publications&gt;&lt;publication&gt;&lt;uuid&gt;EE63C26A-270F-4334-A187-6D076B75FF86&lt;/uuid&gt;&lt;volume&gt;28&lt;/volume&gt;&lt;doi&gt;10.1016/j.biombioe.2004.05.006&lt;/doi&gt;&lt;startpage&gt;515&lt;/startpage&gt;&lt;publication_date&gt;99200500001200000000200000&lt;/publication_date&gt;&lt;url&gt;http://www.sciencedirect.com/science/article/pii/S0961953404001904&lt;/url&gt;&lt;citekey&gt;McLaughlin:2005ee&lt;/citekey&gt;&lt;type&gt;400&lt;/type&gt;&lt;title&gt;Development of switchgrass (panicum virgatum) as a bioenergy feedstock in the United States&lt;/title&gt;&lt;publisher&gt;Elsevier&lt;/publisher&gt;&lt;number&gt;6&lt;/number&gt;&lt;subtype&gt;400&lt;/subtype&gt;&lt;endpage&gt;535&lt;/endpage&gt;&lt;bundle&gt;&lt;publication&gt;&lt;publisher&gt;Elsevier Ltd&lt;/publisher&gt;&lt;title&gt;Biomass and bioenergy&lt;/title&gt;&lt;type&gt;-100&lt;/type&gt;&lt;subtype&gt;-100&lt;/subtype&gt;&lt;uuid&gt;061A0FBA-C147-4B37-8BD5-0E9D81EA124C&lt;/uuid&gt;&lt;/publication&gt;&lt;/bundle&gt;&lt;authors&gt;&lt;author&gt;&lt;firstName&gt;Samuel&lt;/firstName&gt;&lt;middleNames&gt;B&lt;/middleNames&gt;&lt;lastName&gt;McLaughlin&lt;/lastName&gt;&lt;/author&gt;&lt;author&gt;&lt;firstName&gt;Lynn&lt;/firstName&gt;&lt;lastName&gt;Adams Kszos&lt;/lastName&gt;&lt;/author&gt;&lt;/authors&gt;&lt;/publication&gt;&lt;/publications&gt;&lt;cites&gt;&lt;/cites&gt;&lt;/citation&gt;</w:instrText>
      </w:r>
      <w:r w:rsidR="008A5399">
        <w:fldChar w:fldCharType="separate"/>
      </w:r>
      <w:r w:rsidR="001C1AAC">
        <w:t>(</w:t>
      </w:r>
      <w:r w:rsidR="001C1AAC">
        <w:rPr>
          <w:i/>
          <w:iCs/>
        </w:rPr>
        <w:t>172</w:t>
      </w:r>
      <w:r w:rsidR="001C1AAC">
        <w:t>)</w:t>
      </w:r>
      <w:r w:rsidR="008A5399">
        <w:fldChar w:fldCharType="end"/>
      </w:r>
      <w:r>
        <w:t xml:space="preserve">. Switchgrass has been studied as a high-value forage for decades </w:t>
      </w:r>
      <w:r w:rsidR="008A5399">
        <w:fldChar w:fldCharType="begin"/>
      </w:r>
      <w:r w:rsidR="00807999">
        <w:instrText xml:space="preserve"> ADDIN PAPERS2_CITATIONS &lt;citation&gt;&lt;uuid&gt;A5045796-8068-4E85-AC5A-9882EEF7FC25&lt;/uuid&gt;&lt;priority&gt;0&lt;/priority&gt;&lt;publications&gt;&lt;publication&gt;&lt;type&gt;400&lt;/type&gt;&lt;publication_date&gt;99198900001200000000200000&lt;/publication_date&gt;&lt;title&gt;Grazing selectivity and in vivo digestibility of switchgrass strains selected for differing digestibility.&lt;/title&gt;&lt;url&gt;http://www.journalofanimalscience.org/content/67/6/1418.full.pdf&lt;/url&gt;&lt;subtype&gt;400&lt;/subtype&gt;&lt;uuid&gt;78C637E6-E3F3-4931-9A0E-7254BADA572D&lt;/uuid&gt;&lt;bundle&gt;&lt;publication&gt;&lt;title&gt;Journal of Animal Science&lt;/title&gt;&lt;type&gt;-100&lt;/type&gt;&lt;subtype&gt;-100&lt;/subtype&gt;&lt;uuid&gt;3E682E85-3448-4EB7-85ED-7D4247EC286A&lt;/uuid&gt;&lt;/publication&gt;&lt;/bundle&gt;&lt;authors&gt;&lt;author&gt;&lt;firstName&gt;M&lt;/firstName&gt;&lt;middleNames&gt;G&lt;/middleNames&gt;&lt;lastName&gt;Ward&lt;/lastName&gt;&lt;/author&gt;&lt;author&gt;&lt;firstName&gt;J&lt;/firstName&gt;&lt;middleNames&gt;K&lt;/middleNames&gt;&lt;lastName&gt;Ward&lt;/lastName&gt;&lt;/author&gt;&lt;author&gt;&lt;firstName&gt;B&lt;/firstName&gt;&lt;middleNames&gt;E&lt;/middleNames&gt;&lt;lastName&gt;Anderson&lt;/lastName&gt;&lt;/author&gt;&lt;/authors&gt;&lt;/publication&gt;&lt;publication&gt;&lt;type&gt;400&lt;/type&gt;&lt;publication_date&gt;99197900001200000000200000&lt;/publication_date&gt;&lt;title&gt;Evaluation of big bluestem, indiangrass, sideoats grama, and switchgrass pastures with yearling steers&lt;/title&gt;&lt;url&gt;http://129.15.14.66/illiad.dll?Action=10&amp;amp;Form=75&amp;amp;Value=690821&lt;/url&gt;&lt;subtype&gt;400&lt;/subtype&gt;&lt;uuid&gt;06EA603C-1534-4649-9A2F-5196F0B51B88&lt;/uuid&gt;&lt;bundle&gt;&lt;publication&gt;&lt;title&gt;Agronomy Journal&lt;/title&gt;&lt;type&gt;-100&lt;/type&gt;&lt;subtype&gt;-100&lt;/subtype&gt;&lt;uuid&gt;2358CEDB-7196-4C5C-91A7-E8984F656BA8&lt;/uuid&gt;&lt;/publication&gt;&lt;/bundle&gt;&lt;authors&gt;&lt;author&gt;&lt;firstName&gt;C&lt;/firstName&gt;&lt;middleNames&gt;R&lt;/middleNames&gt;&lt;lastName&gt;Krueger&lt;/lastName&gt;&lt;/author&gt;&lt;author&gt;&lt;firstName&gt;D&lt;/firstName&gt;&lt;middleNames&gt;C&lt;/middleNames&gt;&lt;lastName&gt;Curtis&lt;/lastName&gt;&lt;/author&gt;&lt;/authors&gt;&lt;/publication&gt;&lt;/publications&gt;&lt;cites&gt;&lt;/cites&gt;&lt;/citation&gt;</w:instrText>
      </w:r>
      <w:r w:rsidR="008A5399">
        <w:fldChar w:fldCharType="separate"/>
      </w:r>
      <w:r w:rsidR="001C1AAC">
        <w:t>(</w:t>
      </w:r>
      <w:r w:rsidR="001C1AAC">
        <w:rPr>
          <w:i/>
          <w:iCs/>
        </w:rPr>
        <w:t>173</w:t>
      </w:r>
      <w:r w:rsidR="001C1AAC">
        <w:t xml:space="preserve">, </w:t>
      </w:r>
      <w:r w:rsidR="001C1AAC">
        <w:rPr>
          <w:i/>
          <w:iCs/>
        </w:rPr>
        <w:t>174</w:t>
      </w:r>
      <w:r w:rsidR="001C1AAC">
        <w:t>)</w:t>
      </w:r>
      <w:r w:rsidR="008A5399">
        <w:fldChar w:fldCharType="end"/>
      </w:r>
      <w:r w:rsidR="008A5399">
        <w:t xml:space="preserve"> </w:t>
      </w:r>
      <w:r>
        <w:t>and exhibits high mass yields per acre as compared with other herbaceous graminoids (grasses). Because switchgrass is a perennial, it can produce yields year after year with no requirement for seasonal planting and little decrease in yield per acre across many environments</w:t>
      </w:r>
      <w:r w:rsidR="008A5399">
        <w:t xml:space="preserve"> </w:t>
      </w:r>
      <w:r w:rsidR="008A5399">
        <w:fldChar w:fldCharType="begin"/>
      </w:r>
      <w:r w:rsidR="00807999">
        <w:instrText xml:space="preserve"> ADDIN PAPERS2_CITATIONS &lt;citation&gt;&lt;uuid&gt;59C2F320-9FD4-43E3-939C-E1637E5C22E7&lt;/uuid&gt;&lt;priority&gt;0&lt;/priority&gt;&lt;publications&gt;&lt;publication&gt;&lt;uuid&gt;46D57317-CDF4-4452-B332-A008F816D021&lt;/uuid&gt;&lt;volume&gt;30&lt;/volume&gt;&lt;doi&gt;10.1016/j.biombioe.2005.10.006&lt;/doi&gt;&lt;startpage&gt;198&lt;/startpage&gt;&lt;publication_date&gt;99200601011200000000222000&lt;/publication_date&gt;&lt;url&gt;http://ac.els-cdn.com/S0961953405001820/1-s2.0-S0961953405001820-main.pdf?_tid=db9db4b4-5875-11e4-8788-00000aab0f27&amp;amp;acdnat=1413822574_cf8ca80488b5addb3ccc02703e84ecd0&lt;/url&gt;&lt;citekey&gt;Fike:2006jf&lt;/citekey&gt;&lt;type&gt;400&lt;/type&gt;&lt;title&gt;Long-term yield potential of switchgrass-for-biofuel systems&lt;/title&gt;&lt;number&gt;3&lt;/number&gt;&lt;subtype&gt;400&lt;/subtype&gt;&lt;endpage&gt;206&lt;/endpage&gt;&lt;bundle&gt;&lt;publication&gt;&lt;publisher&gt;Elsevier Ltd&lt;/publisher&gt;&lt;title&gt;Biomass and bioenergy&lt;/title&gt;&lt;type&gt;-100&lt;/type&gt;&lt;subtype&gt;-100&lt;/subtype&gt;&lt;uuid&gt;061A0FBA-C147-4B37-8BD5-0E9D81EA124C&lt;/uuid&gt;&lt;/publication&gt;&lt;/bundle&gt;&lt;authors&gt;&lt;author&gt;&lt;firstName&gt;John&lt;/firstName&gt;&lt;middleNames&gt;H&lt;/middleNames&gt;&lt;lastName&gt;Fike&lt;/lastName&gt;&lt;/author&gt;&lt;author&gt;&lt;firstName&gt;David&lt;/firstName&gt;&lt;middleNames&gt;J&lt;/middleNames&gt;&lt;lastName&gt;Parrish&lt;/lastName&gt;&lt;/author&gt;&lt;author&gt;&lt;firstName&gt;Dale&lt;/firstName&gt;&lt;middleNames&gt;D&lt;/middleNames&gt;&lt;lastName&gt;Wolf&lt;/lastName&gt;&lt;/author&gt;&lt;author&gt;&lt;firstName&gt;John&lt;/firstName&gt;&lt;middleNames&gt;A&lt;/middleNames&gt;&lt;lastName&gt;Balasko&lt;/lastName&gt;&lt;/author&gt;&lt;author&gt;&lt;firstName&gt;James&lt;/firstName&gt;&lt;middleNames&gt;T&lt;/middleNames&gt;&lt;lastName&gt;Green&lt;/lastName&gt;&lt;/author&gt;&lt;author&gt;&lt;firstName&gt;Monroe&lt;/firstName&gt;&lt;lastName&gt;Rasnake&lt;/lastName&gt;&lt;/author&gt;&lt;author&gt;&lt;firstName&gt;John&lt;/firstName&gt;&lt;middleNames&gt;H&lt;/middleNames&gt;&lt;lastName&gt;Reynolds&lt;/lastName&gt;&lt;/author&gt;&lt;/authors&gt;&lt;/publication&gt;&lt;/publications&gt;&lt;cites&gt;&lt;/cites&gt;&lt;/citation&gt;</w:instrText>
      </w:r>
      <w:r w:rsidR="008A5399">
        <w:fldChar w:fldCharType="separate"/>
      </w:r>
      <w:r w:rsidR="001C1AAC">
        <w:t>(</w:t>
      </w:r>
      <w:r w:rsidR="001C1AAC">
        <w:rPr>
          <w:i/>
          <w:iCs/>
        </w:rPr>
        <w:t>175</w:t>
      </w:r>
      <w:r w:rsidR="001C1AAC">
        <w:t>)</w:t>
      </w:r>
      <w:r w:rsidR="008A5399">
        <w:fldChar w:fldCharType="end"/>
      </w:r>
      <w:r w:rsidRPr="008A5399">
        <w:t>.</w:t>
      </w:r>
      <w:r>
        <w:t xml:space="preserve"> It exhibits a large degree of variability in the wild and can adapt to the point of dominance across a variety of different environments</w:t>
      </w:r>
      <w:r w:rsidR="008A5399">
        <w:t xml:space="preserve"> </w:t>
      </w:r>
      <w:r w:rsidR="008A5399">
        <w:fldChar w:fldCharType="begin"/>
      </w:r>
      <w:r w:rsidR="00807999">
        <w:instrText xml:space="preserve"> ADDIN PAPERS2_CITATIONS &lt;citation&gt;&lt;uuid&gt;03F4EA3E-19A2-40A8-A6DF-1B97AB4FB1E3&lt;/uuid&gt;&lt;priority&gt;0&lt;/priority&gt;&lt;publications&gt;&lt;publication&gt;&lt;type&gt;400&lt;/type&gt;&lt;publication_date&gt;99196600001200000000200000&lt;/publication_date&gt;&lt;title&gt;An analysis of variation between upland and lowland switchgrass, Panicum virgatum L., in central Oklahoma&lt;/title&gt;&lt;url&gt;http://www.jstor.org/stable/pdfplus/1935646.pdf?acceptTC=true&amp;amp;jpdConfirm=true&lt;/url&gt;&lt;subtype&gt;400&lt;/subtype&gt;&lt;uuid&gt;75ED74DD-E9D7-4432-8A58-FBF729C4C167&lt;/uuid&gt;&lt;bundle&gt;&lt;publication&gt;&lt;title&gt;Ecology&lt;/title&gt;&lt;type&gt;-100&lt;/type&gt;&lt;subtype&gt;-100&lt;/subtype&gt;&lt;uuid&gt;8350172B-AA17-4084-8139-97E9148AD535&lt;/uuid&gt;&lt;/publication&gt;&lt;/bundle&gt;&lt;authors&gt;&lt;author&gt;&lt;lastName&gt;Porter&lt;/lastName&gt;&lt;firstName&gt;C&lt;/firstName&gt;&lt;middleNames&gt;L&lt;/middleNames&gt;&lt;suffix&gt;Jr&lt;/suffix&gt;&lt;/author&gt;&lt;/authors&gt;&lt;/publication&gt;&lt;/publications&gt;&lt;cites&gt;&lt;/cites&gt;&lt;/citation&gt;</w:instrText>
      </w:r>
      <w:r w:rsidR="008A5399">
        <w:fldChar w:fldCharType="separate"/>
      </w:r>
      <w:r w:rsidR="001C1AAC">
        <w:t>(</w:t>
      </w:r>
      <w:r w:rsidR="001C1AAC">
        <w:rPr>
          <w:i/>
          <w:iCs/>
        </w:rPr>
        <w:t>176</w:t>
      </w:r>
      <w:r w:rsidR="001C1AAC">
        <w:t>)</w:t>
      </w:r>
      <w:r w:rsidR="008A5399">
        <w:fldChar w:fldCharType="end"/>
      </w:r>
      <w:r w:rsidRPr="008A5399">
        <w:t>.</w:t>
      </w:r>
      <w:r>
        <w:t xml:space="preserve"> All of these qualities make it an ideal candidate for further study and investigation into suitability for fuels production.</w:t>
      </w:r>
    </w:p>
    <w:p w14:paraId="61867310" w14:textId="29AFF437" w:rsidR="008C1096" w:rsidRPr="008C1096" w:rsidRDefault="007C7BE9" w:rsidP="008C1096">
      <w:r>
        <w:t xml:space="preserve">Twenty-two switchgrass samples were chosen from a panel </w:t>
      </w:r>
      <w:r w:rsidR="00076E81">
        <w:t xml:space="preserve">of </w:t>
      </w:r>
      <w:r w:rsidR="00395CF5">
        <w:t xml:space="preserve">approximately 1300 </w:t>
      </w:r>
      <w:r>
        <w:t xml:space="preserve">biochemically characterized switchgrasses (the ‘association panel’) provided by the Samuel Roberts Noble foundation. </w:t>
      </w:r>
      <w:r w:rsidR="008C1096">
        <w:t xml:space="preserve">Switchgrass composition was characterized as described in </w:t>
      </w:r>
      <w:r w:rsidR="008C1096" w:rsidRPr="003F7DFF">
        <w:t xml:space="preserve">section </w:t>
      </w:r>
      <w:r w:rsidR="003F7DFF">
        <w:t>3.5</w:t>
      </w:r>
      <w:r w:rsidR="008C1096">
        <w:t xml:space="preserve">. Of the </w:t>
      </w:r>
      <w:r w:rsidR="00395CF5">
        <w:t>approximately 1300</w:t>
      </w:r>
      <w:r w:rsidR="008C1096">
        <w:t xml:space="preserve"> switchgrasses which were characterized in this manner, 22 were selected for further biochemical and thermochemical characterization.</w:t>
      </w:r>
    </w:p>
    <w:p w14:paraId="4D08EF78" w14:textId="77777777" w:rsidR="00A02B8E" w:rsidRDefault="00A02B8E" w:rsidP="00A02B8E">
      <w:pPr>
        <w:pStyle w:val="Heading3"/>
      </w:pPr>
      <w:bookmarkStart w:id="144" w:name="_Toc449964885"/>
      <w:r w:rsidRPr="00A02B8E">
        <w:lastRenderedPageBreak/>
        <w:t>Thermochemical Characterization</w:t>
      </w:r>
      <w:bookmarkEnd w:id="144"/>
    </w:p>
    <w:p w14:paraId="6AD7B17F" w14:textId="0E9BAD11" w:rsidR="007B6619" w:rsidRDefault="00A02B8E" w:rsidP="00B37251">
      <w:r w:rsidRPr="00A02B8E">
        <w:t xml:space="preserve">As previously stated, hemicellulose decomposes at a lower temperature range than cellulose while lignin decomposes over a broad range of temperatures. While TGA experiments with cellulose indicate mass loss above 275°C </w:t>
      </w:r>
      <w:r w:rsidR="008A5399">
        <w:fldChar w:fldCharType="begin"/>
      </w:r>
      <w:r w:rsidR="00807999">
        <w:instrText xml:space="preserve"> ADDIN PAPERS2_CITATIONS &lt;citation&gt;&lt;uuid&gt;4AB04A05-B778-48B9-BC37-0E564A1CEC70&lt;/uuid&gt;&lt;priority&gt;0&lt;/priority&gt;&lt;publications&gt;&lt;publication&gt;&lt;publication_date&gt;99201100001200000000200000&lt;/publication_date&gt;&lt;doi&gt;10.1016/j.energy.2011.09.022&lt;/doi&gt;&lt;title&gt;Isothermal torrefaction kinetics of hemicellulose, cellulose, lignin and xylan using thermogravimetric analysis&lt;/title&gt;&lt;uuid&gt;DA554900-F055-4AC0-9750-47A6E19B6963&lt;/uuid&gt;&lt;subtype&gt;400&lt;/subtype&gt;&lt;type&gt;400&lt;/type&gt;&lt;citekey&gt;Chen:2011hv&lt;/citekey&gt;&lt;url&gt;http://dx.doi.org/10.1016/j.energy.2011.09.022&lt;/url&gt;&lt;bundle&gt;&lt;publication&gt;&lt;publisher&gt;Elsevier Ltd&lt;/publisher&gt;&lt;title&gt;Energy&lt;/title&gt;&lt;type&gt;-100&lt;/type&gt;&lt;subtype&gt;-100&lt;/subtype&gt;&lt;uuid&gt;3D64147F-B309-4821-AFA5-331A6496BF65&lt;/uuid&gt;&lt;/publication&gt;&lt;/bundle&gt;&lt;authors&gt;&lt;author&gt;&lt;firstName&gt;W&lt;/firstName&gt;&lt;middleNames&gt;H&lt;/middleNames&gt;&lt;lastName&gt;Chen&lt;/lastName&gt;&lt;/author&gt;&lt;author&gt;&lt;firstName&gt;P&lt;/firstName&gt;&lt;middleNames&gt;C&lt;/middleNames&gt;&lt;lastName&gt;Kuo&lt;/lastName&gt;&lt;/author&gt;&lt;/authors&gt;&lt;/publication&gt;&lt;/publications&gt;&lt;cites&gt;&lt;/cites&gt;&lt;/citation&gt;</w:instrText>
      </w:r>
      <w:r w:rsidR="008A5399">
        <w:fldChar w:fldCharType="separate"/>
      </w:r>
      <w:r w:rsidR="001C1AAC">
        <w:t>(</w:t>
      </w:r>
      <w:r w:rsidR="001C1AAC">
        <w:rPr>
          <w:i/>
          <w:iCs/>
        </w:rPr>
        <w:t>164</w:t>
      </w:r>
      <w:r w:rsidR="001C1AAC">
        <w:t>)</w:t>
      </w:r>
      <w:r w:rsidR="008A5399">
        <w:fldChar w:fldCharType="end"/>
      </w:r>
      <w:r w:rsidR="008A5399">
        <w:t>,</w:t>
      </w:r>
      <w:r w:rsidRPr="00A02B8E">
        <w:t xml:space="preserve"> high heating rates have been shown to delay thermal breakdown onset to over 350°C</w:t>
      </w:r>
      <w:r w:rsidR="008A5399">
        <w:t xml:space="preserve"> </w:t>
      </w:r>
      <w:r w:rsidR="008A5399">
        <w:fldChar w:fldCharType="begin"/>
      </w:r>
      <w:r w:rsidR="00807999">
        <w:instrText xml:space="preserve"> ADDIN PAPERS2_CITATIONS &lt;citation&gt;&lt;uuid&gt;EDD64811-3A15-457C-9110-5C6DE75A82CC&lt;/uuid&gt;&lt;priority&gt;0&lt;/priority&gt;&lt;publications&gt;&lt;publication&gt;&lt;publication_date&gt;99200900001200000000200000&lt;/publication_date&gt;&lt;title&gt;Kinetics and Mechanism of Cellulose Pyrolysis&lt;/title&gt;&lt;uuid&gt;BB64A656-C801-4218-AD79-2D23BB63753A&lt;/uuid&gt;&lt;subtype&gt;400&lt;/subtype&gt;&lt;publisher&gt; American Chemical Society&lt;/publisher&gt;&lt;type&gt;400&lt;/type&gt;&lt;citekey&gt;Lin:2009tu&lt;/citekey&gt;&lt;url&gt;http://pubs.acs.org/doi/abs/10.1021/jp906702p&lt;/url&gt;&lt;authors&gt;&lt;author&gt;&lt;firstName&gt;Yu-Chuan&lt;/firstName&gt;&lt;lastName&gt;Lin&lt;/lastName&gt;&lt;/author&gt;&lt;author&gt;&lt;firstName&gt;Joungmo&lt;/firstName&gt;&lt;lastName&gt;Cho&lt;/lastName&gt;&lt;/author&gt;&lt;author&gt;&lt;firstName&gt;Geoffrey&lt;/firstName&gt;&lt;middleNames&gt;a&lt;/middleNames&gt;&lt;lastName&gt;Tompsett&lt;/lastName&gt;&lt;/author&gt;&lt;author&gt;&lt;firstName&gt;Phillip&lt;/firstName&gt;&lt;middleNames&gt;R&lt;/middleNames&gt;&lt;lastName&gt;Westmoreland&lt;/lastName&gt;&lt;/author&gt;&lt;author&gt;&lt;firstName&gt;G W&lt;/firstName&gt;&lt;lastName&gt;Huber&lt;/lastName&gt;&lt;/author&gt;&lt;/authors&gt;&lt;/publication&gt;&lt;/publications&gt;&lt;cites&gt;&lt;/cites&gt;&lt;/citation&gt;</w:instrText>
      </w:r>
      <w:r w:rsidR="008A5399">
        <w:fldChar w:fldCharType="separate"/>
      </w:r>
      <w:r w:rsidR="001C1AAC">
        <w:t>(</w:t>
      </w:r>
      <w:r w:rsidR="001C1AAC">
        <w:rPr>
          <w:i/>
          <w:iCs/>
        </w:rPr>
        <w:t>170</w:t>
      </w:r>
      <w:r w:rsidR="001C1AAC">
        <w:t>)</w:t>
      </w:r>
      <w:r w:rsidR="008A5399">
        <w:fldChar w:fldCharType="end"/>
      </w:r>
      <w:r w:rsidRPr="00A02B8E">
        <w:t xml:space="preserve">. Therefore, experimental conditions of 350°C for 60 seconds were chosen as the torrefaction conditions to minimize cellulose decomposition while facilitating the breakdown of most of the hemicellulose and the more thermally unstable lignin. For pyrolysis conditions, 500°C for 60 seconds </w:t>
      </w:r>
      <w:r w:rsidR="00D711C9">
        <w:t xml:space="preserve">was chosen </w:t>
      </w:r>
      <w:r w:rsidRPr="00A02B8E">
        <w:t>to achieve complete deconstruction of the biomass</w:t>
      </w:r>
      <w:r w:rsidR="00E326B8">
        <w:t xml:space="preserve"> </w:t>
      </w:r>
      <w:r w:rsidR="00980B82">
        <w:fldChar w:fldCharType="begin"/>
      </w:r>
      <w:r w:rsidR="00807999">
        <w:instrText xml:space="preserve"> ADDIN PAPERS2_CITATIONS &lt;citation&gt;&lt;uuid&gt;2D47DCA5-9FE8-450A-A820-78EA533B114A&lt;/uuid&gt;&lt;priority&gt;275&lt;/priority&gt;&lt;publications&gt;&lt;publication&gt;&lt;type&gt;400&lt;/type&gt;&lt;publication_date&gt;99199600001200000000200000&lt;/publication_date&gt;&lt;title&gt;Influence of temperature on the products from the flash pyrolysis of biomass&lt;/title&gt;&lt;url&gt;http://www.sciencedirect.com/science/article/pii/0016236196000816&lt;/url&gt;&lt;subtype&gt;400&lt;/subtype&gt;&lt;uuid&gt;8B5D0571-2CA9-4135-ABF0-D46119904004&lt;/uuid&gt;&lt;bundle&gt;&lt;publication&gt;&lt;publisher&gt;Elsevier Ltd&lt;/publisher&gt;&lt;title&gt;Fuel&lt;/title&gt;&lt;type&gt;-100&lt;/type&gt;&lt;subtype&gt;-100&lt;/subtype&gt;&lt;uuid&gt;E286CABA-D6F1-4A09-A385-6AFE55FAD8F4&lt;/uuid&gt;&lt;/publication&gt;&lt;/bundle&gt;&lt;authors&gt;&lt;author&gt;&lt;firstName&gt;P&lt;/firstName&gt;&lt;middleNames&gt;A&lt;/middleNames&gt;&lt;lastName&gt;Horne&lt;/lastName&gt;&lt;/author&gt;&lt;author&gt;&lt;firstName&gt;P&lt;/firstName&gt;&lt;middleNames&gt;T&lt;/middleNames&gt;&lt;lastName&gt;Williams&lt;/lastName&gt;&lt;/author&gt;&lt;/authors&gt;&lt;/publication&gt;&lt;publication&gt;&lt;type&gt;500&lt;/type&gt;&lt;publication_date&gt;99199900001200000000200000&lt;/publication_date&gt;&lt;title&gt;An overview of fast pyrolysis of biomass&lt;/title&gt;&lt;url&gt;http://www.sciencedirect.com/science/article/pii/S0146638099001205&lt;/url&gt;&lt;subtype&gt;520&lt;/subtype&gt;&lt;uuid&gt;1175B5B0-693A-4722-A239-07BABEB20493&lt;/uuid&gt;&lt;bundle&gt;&lt;publication&gt;&lt;title&gt;Organic Geochemistry&lt;/title&gt;&lt;type&gt;-100&lt;/type&gt;&lt;subtype&gt;-100&lt;/subtype&gt;&lt;uuid&gt;8C55C28C-D8BE-4B5E-984A-EBE053458B9B&lt;/uuid&gt;&lt;/publication&gt;&lt;/bundle&gt;&lt;authors&gt;&lt;author&gt;&lt;firstName&gt;Anthony&lt;/firstName&gt;&lt;middleNames&gt;V&lt;/middleNames&gt;&lt;lastName&gt;Bridgwater&lt;/lastName&gt;&lt;/author&gt;&lt;author&gt;&lt;firstName&gt;Dietrich&lt;/firstName&gt;&lt;lastName&gt;Meier&lt;/lastName&gt;&lt;/author&gt;&lt;author&gt;&lt;firstName&gt;D&lt;/firstName&gt;&lt;lastName&gt;Radlein&lt;/lastName&gt;&lt;/author&gt;&lt;/authors&gt;&lt;/publication&gt;&lt;/publications&gt;&lt;cites&gt;&lt;/cites&gt;&lt;/citation&gt;</w:instrText>
      </w:r>
      <w:r w:rsidR="00980B82">
        <w:fldChar w:fldCharType="separate"/>
      </w:r>
      <w:r w:rsidR="001C1AAC">
        <w:t>(</w:t>
      </w:r>
      <w:r w:rsidR="001C1AAC">
        <w:rPr>
          <w:i/>
          <w:iCs/>
        </w:rPr>
        <w:t>106</w:t>
      </w:r>
      <w:r w:rsidR="001C1AAC">
        <w:t xml:space="preserve">, </w:t>
      </w:r>
      <w:r w:rsidR="001C1AAC">
        <w:rPr>
          <w:i/>
          <w:iCs/>
        </w:rPr>
        <w:t>165</w:t>
      </w:r>
      <w:r w:rsidR="001C1AAC">
        <w:t>)</w:t>
      </w:r>
      <w:r w:rsidR="00980B82">
        <w:fldChar w:fldCharType="end"/>
      </w:r>
      <w:r w:rsidRPr="00A02B8E">
        <w:t xml:space="preserve">. </w:t>
      </w:r>
      <w:r w:rsidR="00B37251">
        <w:t>T</w:t>
      </w:r>
      <w:r>
        <w:t xml:space="preserve">he 22 </w:t>
      </w:r>
      <w:r w:rsidR="004D1D8D">
        <w:t>switchgrasses</w:t>
      </w:r>
      <w:r>
        <w:t xml:space="preserve"> selected for thermochemical characterization were </w:t>
      </w:r>
      <w:r w:rsidR="00B37251">
        <w:t xml:space="preserve">analyzed at these conditions, </w:t>
      </w:r>
      <w:r>
        <w:t xml:space="preserve">in the manner described in </w:t>
      </w:r>
      <w:r w:rsidR="003F7DFF">
        <w:t>section</w:t>
      </w:r>
      <w:r w:rsidRPr="003F7DFF">
        <w:t xml:space="preserve"> </w:t>
      </w:r>
      <w:r w:rsidR="003F7DFF">
        <w:t>3.2</w:t>
      </w:r>
      <w:r>
        <w:t xml:space="preserve">. </w:t>
      </w:r>
      <w:r w:rsidRPr="003F7DFF">
        <w:t>Table</w:t>
      </w:r>
      <w:r w:rsidR="00B37251">
        <w:t>s</w:t>
      </w:r>
      <w:r w:rsidRPr="003F7DFF">
        <w:t xml:space="preserve"> </w:t>
      </w:r>
      <w:r w:rsidR="003F7DFF" w:rsidRPr="003F7DFF">
        <w:t>6.1</w:t>
      </w:r>
      <w:r w:rsidR="00B37251">
        <w:t xml:space="preserve"> and 6.2</w:t>
      </w:r>
      <w:r w:rsidR="00076E81">
        <w:t xml:space="preserve"> list</w:t>
      </w:r>
      <w:r w:rsidRPr="00A02B8E">
        <w:t xml:space="preserve"> the</w:t>
      </w:r>
      <w:r w:rsidR="00B37251">
        <w:t xml:space="preserve"> identified</w:t>
      </w:r>
      <w:r w:rsidR="00B37251" w:rsidRPr="00B37251">
        <w:t xml:space="preserve"> </w:t>
      </w:r>
      <w:r w:rsidR="00B37251" w:rsidRPr="00A02B8E">
        <w:t>compounds</w:t>
      </w:r>
      <w:r w:rsidR="00B37251">
        <w:t xml:space="preserve"> and their</w:t>
      </w:r>
      <w:r w:rsidRPr="00A02B8E">
        <w:t xml:space="preserve"> lumps as used in this work.</w:t>
      </w:r>
      <w:r w:rsidR="00460515">
        <w:t xml:space="preserve"> For torrefaction experiments, analysis of variance (ANOVA) indicated that all lumps with the exception of the light oxygenates show significant differences between the 22 samples characterized (p &lt; 0.05); for pyrolysis, all lumps showed significant differences between the 22 samples characterized.</w:t>
      </w:r>
    </w:p>
    <w:p w14:paraId="43EDCC5C" w14:textId="7355BB1A" w:rsidR="00A02B8E" w:rsidRPr="00A02B8E" w:rsidRDefault="007B6619" w:rsidP="00642ABE">
      <w:r>
        <w:br w:type="page"/>
      </w:r>
    </w:p>
    <w:tbl>
      <w:tblPr>
        <w:tblW w:w="8276" w:type="dxa"/>
        <w:tblBorders>
          <w:top w:val="single" w:sz="4" w:space="0" w:color="auto"/>
          <w:left w:val="single" w:sz="4" w:space="0" w:color="auto"/>
          <w:bottom w:val="single" w:sz="4" w:space="0" w:color="auto"/>
          <w:right w:val="single" w:sz="4" w:space="0" w:color="auto"/>
        </w:tblBorders>
        <w:tblCellMar>
          <w:top w:w="115" w:type="dxa"/>
          <w:left w:w="0" w:type="dxa"/>
          <w:bottom w:w="115" w:type="dxa"/>
          <w:right w:w="0" w:type="dxa"/>
        </w:tblCellMar>
        <w:tblLook w:val="04A0" w:firstRow="1" w:lastRow="0" w:firstColumn="1" w:lastColumn="0" w:noHBand="0" w:noVBand="1"/>
      </w:tblPr>
      <w:tblGrid>
        <w:gridCol w:w="266"/>
        <w:gridCol w:w="267"/>
        <w:gridCol w:w="267"/>
        <w:gridCol w:w="267"/>
        <w:gridCol w:w="267"/>
        <w:gridCol w:w="267"/>
        <w:gridCol w:w="268"/>
        <w:gridCol w:w="268"/>
        <w:gridCol w:w="268"/>
        <w:gridCol w:w="268"/>
        <w:gridCol w:w="268"/>
        <w:gridCol w:w="267"/>
        <w:gridCol w:w="267"/>
        <w:gridCol w:w="267"/>
        <w:gridCol w:w="267"/>
        <w:gridCol w:w="267"/>
        <w:gridCol w:w="267"/>
        <w:gridCol w:w="267"/>
        <w:gridCol w:w="246"/>
        <w:gridCol w:w="267"/>
        <w:gridCol w:w="267"/>
        <w:gridCol w:w="267"/>
        <w:gridCol w:w="267"/>
        <w:gridCol w:w="267"/>
        <w:gridCol w:w="267"/>
        <w:gridCol w:w="267"/>
        <w:gridCol w:w="267"/>
        <w:gridCol w:w="267"/>
        <w:gridCol w:w="267"/>
        <w:gridCol w:w="267"/>
        <w:gridCol w:w="267"/>
        <w:gridCol w:w="16"/>
      </w:tblGrid>
      <w:tr w:rsidR="0096132A" w:rsidRPr="00BC36CE" w14:paraId="1355A20D" w14:textId="1705C514" w:rsidTr="0000363E">
        <w:trPr>
          <w:trHeight w:val="2944"/>
        </w:trPr>
        <w:tc>
          <w:tcPr>
            <w:tcW w:w="266" w:type="dxa"/>
            <w:shd w:val="clear" w:color="auto" w:fill="auto"/>
            <w:textDirection w:val="btLr"/>
            <w:vAlign w:val="bottom"/>
            <w:hideMark/>
          </w:tcPr>
          <w:p w14:paraId="01ECE2AD" w14:textId="120CA34B" w:rsidR="0096132A" w:rsidRPr="00E75B77" w:rsidRDefault="0096132A" w:rsidP="00BC36CE">
            <w:pPr>
              <w:pStyle w:val="Tables"/>
              <w:rPr>
                <w:b/>
                <w:sz w:val="20"/>
                <w:szCs w:val="20"/>
                <w:u w:val="single"/>
              </w:rPr>
            </w:pPr>
            <w:r w:rsidRPr="00E75B77">
              <w:rPr>
                <w:b/>
                <w:sz w:val="20"/>
                <w:szCs w:val="20"/>
                <w:u w:val="single"/>
              </w:rPr>
              <w:lastRenderedPageBreak/>
              <w:t>Methoxyphenols</w:t>
            </w:r>
          </w:p>
        </w:tc>
        <w:tc>
          <w:tcPr>
            <w:tcW w:w="267" w:type="dxa"/>
            <w:shd w:val="clear" w:color="auto" w:fill="auto"/>
            <w:textDirection w:val="btLr"/>
            <w:vAlign w:val="bottom"/>
            <w:hideMark/>
          </w:tcPr>
          <w:p w14:paraId="77C0B11B" w14:textId="1EEE682C" w:rsidR="0096132A" w:rsidRPr="00BC36CE" w:rsidRDefault="0096132A" w:rsidP="00BC36CE">
            <w:pPr>
              <w:pStyle w:val="Tables"/>
              <w:rPr>
                <w:sz w:val="20"/>
                <w:szCs w:val="20"/>
              </w:rPr>
            </w:pPr>
            <w:r w:rsidRPr="00BC36CE">
              <w:rPr>
                <w:sz w:val="20"/>
                <w:szCs w:val="20"/>
              </w:rPr>
              <w:t>Benzaldehyde, 4-hydroxy- (L23)</w:t>
            </w:r>
          </w:p>
        </w:tc>
        <w:tc>
          <w:tcPr>
            <w:tcW w:w="267" w:type="dxa"/>
            <w:shd w:val="clear" w:color="auto" w:fill="auto"/>
            <w:textDirection w:val="btLr"/>
            <w:vAlign w:val="bottom"/>
            <w:hideMark/>
          </w:tcPr>
          <w:p w14:paraId="365743BC" w14:textId="35AFBFB5" w:rsidR="0096132A" w:rsidRPr="00BC36CE" w:rsidRDefault="0096132A" w:rsidP="00BC36CE">
            <w:pPr>
              <w:pStyle w:val="Tables"/>
              <w:rPr>
                <w:sz w:val="20"/>
                <w:szCs w:val="20"/>
              </w:rPr>
            </w:pPr>
            <w:r w:rsidRPr="00BC36CE">
              <w:rPr>
                <w:sz w:val="20"/>
                <w:szCs w:val="20"/>
              </w:rPr>
              <w:t>Guaiacol (L24)</w:t>
            </w:r>
          </w:p>
        </w:tc>
        <w:tc>
          <w:tcPr>
            <w:tcW w:w="267" w:type="dxa"/>
            <w:shd w:val="clear" w:color="auto" w:fill="auto"/>
            <w:textDirection w:val="btLr"/>
            <w:vAlign w:val="bottom"/>
            <w:hideMark/>
          </w:tcPr>
          <w:p w14:paraId="4CCE557E" w14:textId="4F0F4B5B" w:rsidR="0096132A" w:rsidRPr="00BC36CE" w:rsidRDefault="0096132A" w:rsidP="00BC36CE">
            <w:pPr>
              <w:pStyle w:val="Tables"/>
              <w:rPr>
                <w:sz w:val="20"/>
                <w:szCs w:val="20"/>
              </w:rPr>
            </w:pPr>
            <w:r w:rsidRPr="00BC36CE">
              <w:rPr>
                <w:sz w:val="20"/>
                <w:szCs w:val="20"/>
              </w:rPr>
              <w:t>Guaiacol, 4-methyl- (L34)</w:t>
            </w:r>
          </w:p>
        </w:tc>
        <w:tc>
          <w:tcPr>
            <w:tcW w:w="267" w:type="dxa"/>
            <w:shd w:val="clear" w:color="auto" w:fill="auto"/>
            <w:textDirection w:val="btLr"/>
            <w:vAlign w:val="bottom"/>
            <w:hideMark/>
          </w:tcPr>
          <w:p w14:paraId="22B2A694" w14:textId="36A8206E" w:rsidR="0096132A" w:rsidRPr="00BC36CE" w:rsidRDefault="0096132A" w:rsidP="00BC36CE">
            <w:pPr>
              <w:pStyle w:val="Tables"/>
              <w:rPr>
                <w:sz w:val="20"/>
                <w:szCs w:val="20"/>
              </w:rPr>
            </w:pPr>
            <w:r w:rsidRPr="00BC36CE">
              <w:rPr>
                <w:sz w:val="20"/>
                <w:szCs w:val="20"/>
              </w:rPr>
              <w:t>Guaiacol, 4-ethyl- (L40)</w:t>
            </w:r>
          </w:p>
        </w:tc>
        <w:tc>
          <w:tcPr>
            <w:tcW w:w="267" w:type="dxa"/>
            <w:shd w:val="clear" w:color="auto" w:fill="auto"/>
            <w:textDirection w:val="btLr"/>
            <w:vAlign w:val="bottom"/>
            <w:hideMark/>
          </w:tcPr>
          <w:p w14:paraId="3AAD5382" w14:textId="3A5A3C67" w:rsidR="0096132A" w:rsidRPr="00BC36CE" w:rsidRDefault="0096132A" w:rsidP="00BC36CE">
            <w:pPr>
              <w:pStyle w:val="Tables"/>
              <w:rPr>
                <w:sz w:val="20"/>
                <w:szCs w:val="20"/>
              </w:rPr>
            </w:pPr>
            <w:r w:rsidRPr="00BC36CE">
              <w:rPr>
                <w:sz w:val="20"/>
                <w:szCs w:val="20"/>
              </w:rPr>
              <w:t>Guaiacol, 4-vinyl- (L38)</w:t>
            </w:r>
          </w:p>
        </w:tc>
        <w:tc>
          <w:tcPr>
            <w:tcW w:w="268" w:type="dxa"/>
            <w:shd w:val="clear" w:color="auto" w:fill="auto"/>
            <w:textDirection w:val="btLr"/>
            <w:vAlign w:val="bottom"/>
            <w:hideMark/>
          </w:tcPr>
          <w:p w14:paraId="2669709A" w14:textId="58DCE7B8" w:rsidR="0096132A" w:rsidRPr="00BC36CE" w:rsidRDefault="0096132A" w:rsidP="00BC36CE">
            <w:pPr>
              <w:pStyle w:val="Tables"/>
              <w:rPr>
                <w:sz w:val="20"/>
                <w:szCs w:val="20"/>
              </w:rPr>
            </w:pPr>
            <w:r w:rsidRPr="00BC36CE">
              <w:rPr>
                <w:sz w:val="20"/>
                <w:szCs w:val="20"/>
              </w:rPr>
              <w:t>Eugenol (L45)</w:t>
            </w:r>
          </w:p>
        </w:tc>
        <w:tc>
          <w:tcPr>
            <w:tcW w:w="268" w:type="dxa"/>
            <w:shd w:val="clear" w:color="auto" w:fill="auto"/>
            <w:textDirection w:val="btLr"/>
            <w:vAlign w:val="bottom"/>
            <w:hideMark/>
          </w:tcPr>
          <w:p w14:paraId="36119DA3" w14:textId="2ED1DB20" w:rsidR="0096132A" w:rsidRPr="00BC36CE" w:rsidRDefault="0096132A" w:rsidP="00BC36CE">
            <w:pPr>
              <w:pStyle w:val="Tables"/>
              <w:rPr>
                <w:sz w:val="20"/>
                <w:szCs w:val="20"/>
              </w:rPr>
            </w:pPr>
            <w:r w:rsidRPr="00BC36CE">
              <w:rPr>
                <w:sz w:val="20"/>
                <w:szCs w:val="20"/>
              </w:rPr>
              <w:t>Syringol (L42)</w:t>
            </w:r>
          </w:p>
        </w:tc>
        <w:tc>
          <w:tcPr>
            <w:tcW w:w="268" w:type="dxa"/>
            <w:shd w:val="clear" w:color="auto" w:fill="auto"/>
            <w:textDirection w:val="btLr"/>
            <w:vAlign w:val="bottom"/>
            <w:hideMark/>
          </w:tcPr>
          <w:p w14:paraId="5CD939F3" w14:textId="24099B75" w:rsidR="0096132A" w:rsidRPr="00BC36CE" w:rsidRDefault="0096132A" w:rsidP="00BC36CE">
            <w:pPr>
              <w:pStyle w:val="Tables"/>
              <w:rPr>
                <w:sz w:val="20"/>
                <w:szCs w:val="20"/>
              </w:rPr>
            </w:pPr>
            <w:r w:rsidRPr="00BC36CE">
              <w:rPr>
                <w:sz w:val="20"/>
                <w:szCs w:val="20"/>
              </w:rPr>
              <w:t>Isoeugenol (cis) (L46)</w:t>
            </w:r>
          </w:p>
        </w:tc>
        <w:tc>
          <w:tcPr>
            <w:tcW w:w="268" w:type="dxa"/>
            <w:textDirection w:val="btLr"/>
            <w:vAlign w:val="bottom"/>
          </w:tcPr>
          <w:p w14:paraId="4B30A3F7" w14:textId="35D5D2D0" w:rsidR="0096132A" w:rsidRPr="00BC36CE" w:rsidRDefault="0096132A" w:rsidP="00BC36CE">
            <w:pPr>
              <w:pStyle w:val="Tables"/>
              <w:rPr>
                <w:sz w:val="20"/>
                <w:szCs w:val="20"/>
              </w:rPr>
            </w:pPr>
            <w:r w:rsidRPr="00BC36CE">
              <w:rPr>
                <w:sz w:val="20"/>
                <w:szCs w:val="20"/>
              </w:rPr>
              <w:t>Isoeugenol (trans) (L47)</w:t>
            </w:r>
          </w:p>
        </w:tc>
        <w:tc>
          <w:tcPr>
            <w:tcW w:w="268" w:type="dxa"/>
            <w:textDirection w:val="btLr"/>
            <w:vAlign w:val="bottom"/>
          </w:tcPr>
          <w:p w14:paraId="601F1248" w14:textId="67055761" w:rsidR="0096132A" w:rsidRPr="00BC36CE" w:rsidRDefault="0096132A" w:rsidP="00BC36CE">
            <w:pPr>
              <w:pStyle w:val="Tables"/>
              <w:rPr>
                <w:sz w:val="20"/>
                <w:szCs w:val="20"/>
              </w:rPr>
            </w:pPr>
            <w:r w:rsidRPr="00BC36CE">
              <w:rPr>
                <w:sz w:val="20"/>
                <w:szCs w:val="20"/>
              </w:rPr>
              <w:t>Phenol, 4-propenyl- (trans) (L29)</w:t>
            </w:r>
          </w:p>
        </w:tc>
        <w:tc>
          <w:tcPr>
            <w:tcW w:w="267" w:type="dxa"/>
            <w:shd w:val="clear" w:color="auto" w:fill="auto"/>
            <w:textDirection w:val="btLr"/>
            <w:vAlign w:val="bottom"/>
          </w:tcPr>
          <w:p w14:paraId="149100E9" w14:textId="52F61647" w:rsidR="0096132A" w:rsidRPr="00BC36CE" w:rsidRDefault="0096132A" w:rsidP="00BC36CE">
            <w:pPr>
              <w:pStyle w:val="Tables"/>
              <w:rPr>
                <w:sz w:val="20"/>
                <w:szCs w:val="20"/>
              </w:rPr>
            </w:pPr>
            <w:r w:rsidRPr="00BC36CE">
              <w:rPr>
                <w:sz w:val="20"/>
                <w:szCs w:val="20"/>
              </w:rPr>
              <w:t>Syringol, 4-methyl- (L51)</w:t>
            </w:r>
          </w:p>
        </w:tc>
        <w:tc>
          <w:tcPr>
            <w:tcW w:w="267" w:type="dxa"/>
            <w:shd w:val="clear" w:color="auto" w:fill="auto"/>
            <w:textDirection w:val="btLr"/>
            <w:vAlign w:val="bottom"/>
          </w:tcPr>
          <w:p w14:paraId="19DCB81F" w14:textId="45C18D2A" w:rsidR="0096132A" w:rsidRPr="00BC36CE" w:rsidRDefault="0096132A" w:rsidP="00BC36CE">
            <w:pPr>
              <w:pStyle w:val="Tables"/>
              <w:rPr>
                <w:sz w:val="20"/>
                <w:szCs w:val="20"/>
              </w:rPr>
            </w:pPr>
            <w:r w:rsidRPr="00BC36CE">
              <w:rPr>
                <w:sz w:val="20"/>
                <w:szCs w:val="20"/>
              </w:rPr>
              <w:t>Vanillin (L41)</w:t>
            </w:r>
          </w:p>
        </w:tc>
        <w:tc>
          <w:tcPr>
            <w:tcW w:w="267" w:type="dxa"/>
            <w:shd w:val="clear" w:color="auto" w:fill="auto"/>
            <w:textDirection w:val="btLr"/>
            <w:vAlign w:val="bottom"/>
          </w:tcPr>
          <w:p w14:paraId="4390500F" w14:textId="2D516943" w:rsidR="0096132A" w:rsidRPr="00BC36CE" w:rsidRDefault="0096132A" w:rsidP="00BC36CE">
            <w:pPr>
              <w:pStyle w:val="Tables"/>
              <w:rPr>
                <w:sz w:val="20"/>
                <w:szCs w:val="20"/>
              </w:rPr>
            </w:pPr>
            <w:r w:rsidRPr="00BC36CE">
              <w:rPr>
                <w:sz w:val="20"/>
                <w:szCs w:val="20"/>
              </w:rPr>
              <w:t>C10H10O2 (L43)</w:t>
            </w:r>
          </w:p>
        </w:tc>
        <w:tc>
          <w:tcPr>
            <w:tcW w:w="267" w:type="dxa"/>
            <w:shd w:val="clear" w:color="auto" w:fill="auto"/>
            <w:textDirection w:val="btLr"/>
            <w:vAlign w:val="bottom"/>
          </w:tcPr>
          <w:p w14:paraId="125C1E47" w14:textId="2740037C" w:rsidR="0096132A" w:rsidRPr="00BC36CE" w:rsidRDefault="0096132A" w:rsidP="00BC36CE">
            <w:pPr>
              <w:pStyle w:val="Tables"/>
              <w:rPr>
                <w:sz w:val="20"/>
                <w:szCs w:val="20"/>
              </w:rPr>
            </w:pPr>
            <w:r w:rsidRPr="00BC36CE">
              <w:rPr>
                <w:sz w:val="20"/>
                <w:szCs w:val="20"/>
              </w:rPr>
              <w:t>Homovanillin (L49)</w:t>
            </w:r>
          </w:p>
        </w:tc>
        <w:tc>
          <w:tcPr>
            <w:tcW w:w="267" w:type="dxa"/>
            <w:shd w:val="clear" w:color="auto" w:fill="auto"/>
            <w:textDirection w:val="btLr"/>
            <w:vAlign w:val="bottom"/>
          </w:tcPr>
          <w:p w14:paraId="73024090" w14:textId="5DD28536" w:rsidR="0096132A" w:rsidRPr="00BC36CE" w:rsidRDefault="0096132A" w:rsidP="00BC36CE">
            <w:pPr>
              <w:pStyle w:val="Tables"/>
              <w:rPr>
                <w:sz w:val="20"/>
                <w:szCs w:val="20"/>
              </w:rPr>
            </w:pPr>
            <w:r w:rsidRPr="00BC36CE">
              <w:rPr>
                <w:sz w:val="20"/>
                <w:szCs w:val="20"/>
              </w:rPr>
              <w:t>Syringol, 4-ethyl- (L62)</w:t>
            </w:r>
          </w:p>
        </w:tc>
        <w:tc>
          <w:tcPr>
            <w:tcW w:w="267" w:type="dxa"/>
            <w:shd w:val="clear" w:color="auto" w:fill="auto"/>
            <w:textDirection w:val="btLr"/>
            <w:vAlign w:val="bottom"/>
          </w:tcPr>
          <w:p w14:paraId="3873CC0C" w14:textId="704D484C" w:rsidR="0096132A" w:rsidRPr="00BC36CE" w:rsidRDefault="0096132A" w:rsidP="00BC36CE">
            <w:pPr>
              <w:pStyle w:val="Tables"/>
              <w:rPr>
                <w:sz w:val="20"/>
                <w:szCs w:val="20"/>
              </w:rPr>
            </w:pPr>
            <w:r w:rsidRPr="00BC36CE">
              <w:rPr>
                <w:sz w:val="20"/>
                <w:szCs w:val="20"/>
              </w:rPr>
              <w:t>Acetoguaiacone (L50)</w:t>
            </w:r>
          </w:p>
        </w:tc>
        <w:tc>
          <w:tcPr>
            <w:tcW w:w="267" w:type="dxa"/>
            <w:shd w:val="clear" w:color="auto" w:fill="auto"/>
            <w:textDirection w:val="btLr"/>
            <w:vAlign w:val="bottom"/>
          </w:tcPr>
          <w:p w14:paraId="4D67CC63" w14:textId="5FDB8A16" w:rsidR="0096132A" w:rsidRPr="00BC36CE" w:rsidRDefault="0096132A" w:rsidP="00BC36CE">
            <w:pPr>
              <w:pStyle w:val="Tables"/>
              <w:rPr>
                <w:sz w:val="20"/>
                <w:szCs w:val="20"/>
              </w:rPr>
            </w:pPr>
            <w:r w:rsidRPr="00BC36CE">
              <w:rPr>
                <w:sz w:val="20"/>
                <w:szCs w:val="20"/>
              </w:rPr>
              <w:t>Benzaldehyde, 4-hydroxy- (L23)</w:t>
            </w:r>
          </w:p>
        </w:tc>
        <w:tc>
          <w:tcPr>
            <w:tcW w:w="246" w:type="dxa"/>
            <w:textDirection w:val="btLr"/>
            <w:vAlign w:val="bottom"/>
          </w:tcPr>
          <w:p w14:paraId="67F39800" w14:textId="4E2C1B64" w:rsidR="0096132A" w:rsidRPr="00BC36CE" w:rsidRDefault="0096132A" w:rsidP="00BC36CE">
            <w:pPr>
              <w:pStyle w:val="Tables"/>
              <w:rPr>
                <w:sz w:val="20"/>
                <w:szCs w:val="20"/>
              </w:rPr>
            </w:pPr>
            <w:r w:rsidRPr="00BC36CE">
              <w:rPr>
                <w:sz w:val="20"/>
                <w:szCs w:val="20"/>
              </w:rPr>
              <w:t>Syringol, 4-vinyl- (L55)</w:t>
            </w:r>
          </w:p>
        </w:tc>
        <w:tc>
          <w:tcPr>
            <w:tcW w:w="267" w:type="dxa"/>
            <w:shd w:val="clear" w:color="auto" w:fill="auto"/>
            <w:textDirection w:val="btLr"/>
            <w:vAlign w:val="bottom"/>
          </w:tcPr>
          <w:p w14:paraId="2218DE9D" w14:textId="0D23A7CB" w:rsidR="0096132A" w:rsidRPr="00BC36CE" w:rsidRDefault="0096132A" w:rsidP="00BC36CE">
            <w:pPr>
              <w:pStyle w:val="Tables"/>
              <w:rPr>
                <w:sz w:val="20"/>
                <w:szCs w:val="20"/>
              </w:rPr>
            </w:pPr>
            <w:r w:rsidRPr="00BC36CE">
              <w:rPr>
                <w:sz w:val="20"/>
                <w:szCs w:val="20"/>
              </w:rPr>
              <w:t>GuaiacyI acetone (L56)</w:t>
            </w:r>
          </w:p>
        </w:tc>
        <w:tc>
          <w:tcPr>
            <w:tcW w:w="267" w:type="dxa"/>
            <w:shd w:val="clear" w:color="auto" w:fill="auto"/>
            <w:textDirection w:val="btLr"/>
            <w:vAlign w:val="bottom"/>
          </w:tcPr>
          <w:p w14:paraId="2F20EF0C" w14:textId="2BE8CFC5" w:rsidR="0096132A" w:rsidRPr="00BC36CE" w:rsidRDefault="0096132A" w:rsidP="00BC36CE">
            <w:pPr>
              <w:pStyle w:val="Tables"/>
              <w:rPr>
                <w:sz w:val="20"/>
                <w:szCs w:val="20"/>
              </w:rPr>
            </w:pPr>
            <w:r w:rsidRPr="00BC36CE">
              <w:rPr>
                <w:sz w:val="20"/>
                <w:szCs w:val="20"/>
              </w:rPr>
              <w:t>Syringol, 4-propenyl- (cis) (L69)</w:t>
            </w:r>
          </w:p>
        </w:tc>
        <w:tc>
          <w:tcPr>
            <w:tcW w:w="267" w:type="dxa"/>
            <w:shd w:val="clear" w:color="auto" w:fill="auto"/>
            <w:textDirection w:val="btLr"/>
            <w:vAlign w:val="bottom"/>
          </w:tcPr>
          <w:p w14:paraId="1D7F7A2D" w14:textId="1D7774D0" w:rsidR="0096132A" w:rsidRPr="00BC36CE" w:rsidRDefault="0096132A" w:rsidP="00BC36CE">
            <w:pPr>
              <w:pStyle w:val="Tables"/>
              <w:rPr>
                <w:sz w:val="20"/>
                <w:szCs w:val="20"/>
              </w:rPr>
            </w:pPr>
            <w:r w:rsidRPr="00BC36CE">
              <w:rPr>
                <w:sz w:val="20"/>
                <w:szCs w:val="20"/>
              </w:rPr>
              <w:t>Syringol, 4-propenyl- (trans) (L70)</w:t>
            </w:r>
          </w:p>
        </w:tc>
        <w:tc>
          <w:tcPr>
            <w:tcW w:w="267" w:type="dxa"/>
            <w:shd w:val="clear" w:color="auto" w:fill="auto"/>
            <w:textDirection w:val="btLr"/>
            <w:vAlign w:val="bottom"/>
          </w:tcPr>
          <w:p w14:paraId="3E7EC985" w14:textId="0AC9048A" w:rsidR="0096132A" w:rsidRPr="00BC36CE" w:rsidRDefault="0096132A" w:rsidP="00BC36CE">
            <w:pPr>
              <w:pStyle w:val="Tables"/>
              <w:rPr>
                <w:sz w:val="20"/>
                <w:szCs w:val="20"/>
              </w:rPr>
            </w:pPr>
            <w:r w:rsidRPr="00BC36CE">
              <w:rPr>
                <w:sz w:val="20"/>
                <w:szCs w:val="20"/>
              </w:rPr>
              <w:t>Dihydroconiferyl alcohol (L63)</w:t>
            </w:r>
          </w:p>
        </w:tc>
        <w:tc>
          <w:tcPr>
            <w:tcW w:w="267" w:type="dxa"/>
            <w:shd w:val="clear" w:color="auto" w:fill="auto"/>
            <w:textDirection w:val="btLr"/>
            <w:vAlign w:val="bottom"/>
          </w:tcPr>
          <w:p w14:paraId="2105BD7F" w14:textId="5CBFE5B7" w:rsidR="0096132A" w:rsidRPr="00BC36CE" w:rsidRDefault="0096132A" w:rsidP="00BC36CE">
            <w:pPr>
              <w:pStyle w:val="Tables"/>
              <w:rPr>
                <w:sz w:val="20"/>
                <w:szCs w:val="20"/>
              </w:rPr>
            </w:pPr>
            <w:r w:rsidRPr="00BC36CE">
              <w:rPr>
                <w:sz w:val="20"/>
                <w:szCs w:val="20"/>
              </w:rPr>
              <w:t>Syringaldehyde (L64)</w:t>
            </w:r>
          </w:p>
        </w:tc>
        <w:tc>
          <w:tcPr>
            <w:tcW w:w="267" w:type="dxa"/>
            <w:shd w:val="clear" w:color="auto" w:fill="auto"/>
            <w:textDirection w:val="btLr"/>
            <w:vAlign w:val="bottom"/>
          </w:tcPr>
          <w:p w14:paraId="7443843B" w14:textId="1CAD600D" w:rsidR="0096132A" w:rsidRPr="00BC36CE" w:rsidRDefault="0096132A" w:rsidP="00BC36CE">
            <w:pPr>
              <w:pStyle w:val="Tables"/>
              <w:rPr>
                <w:sz w:val="20"/>
                <w:szCs w:val="20"/>
              </w:rPr>
            </w:pPr>
            <w:r w:rsidRPr="00BC36CE">
              <w:rPr>
                <w:sz w:val="20"/>
                <w:szCs w:val="20"/>
              </w:rPr>
              <w:t>Syringyl acetone (L76)</w:t>
            </w:r>
          </w:p>
        </w:tc>
        <w:tc>
          <w:tcPr>
            <w:tcW w:w="267" w:type="dxa"/>
            <w:shd w:val="clear" w:color="auto" w:fill="auto"/>
            <w:textDirection w:val="btLr"/>
            <w:vAlign w:val="bottom"/>
          </w:tcPr>
          <w:p w14:paraId="5D34B621" w14:textId="57166C45" w:rsidR="0096132A" w:rsidRPr="00BC36CE" w:rsidRDefault="0096132A" w:rsidP="00BC36CE">
            <w:pPr>
              <w:pStyle w:val="Tables"/>
              <w:rPr>
                <w:sz w:val="20"/>
                <w:szCs w:val="20"/>
              </w:rPr>
            </w:pPr>
          </w:p>
        </w:tc>
        <w:tc>
          <w:tcPr>
            <w:tcW w:w="267" w:type="dxa"/>
            <w:shd w:val="clear" w:color="auto" w:fill="auto"/>
            <w:textDirection w:val="btLr"/>
            <w:vAlign w:val="bottom"/>
          </w:tcPr>
          <w:p w14:paraId="4A3C0301" w14:textId="5BC2E6D3" w:rsidR="0096132A" w:rsidRPr="00BC36CE" w:rsidRDefault="0096132A" w:rsidP="00BC36CE">
            <w:pPr>
              <w:pStyle w:val="Tables"/>
              <w:rPr>
                <w:sz w:val="20"/>
                <w:szCs w:val="20"/>
              </w:rPr>
            </w:pPr>
          </w:p>
        </w:tc>
        <w:tc>
          <w:tcPr>
            <w:tcW w:w="267" w:type="dxa"/>
            <w:shd w:val="clear" w:color="auto" w:fill="auto"/>
            <w:textDirection w:val="btLr"/>
            <w:vAlign w:val="bottom"/>
            <w:hideMark/>
          </w:tcPr>
          <w:p w14:paraId="7B4C103B" w14:textId="77777777" w:rsidR="0096132A" w:rsidRPr="00BC36CE" w:rsidRDefault="0096132A" w:rsidP="00BC36CE">
            <w:pPr>
              <w:pStyle w:val="Tables"/>
              <w:rPr>
                <w:sz w:val="20"/>
                <w:szCs w:val="20"/>
              </w:rPr>
            </w:pPr>
          </w:p>
        </w:tc>
        <w:tc>
          <w:tcPr>
            <w:tcW w:w="267" w:type="dxa"/>
            <w:shd w:val="clear" w:color="auto" w:fill="auto"/>
            <w:textDirection w:val="btLr"/>
            <w:vAlign w:val="bottom"/>
            <w:hideMark/>
          </w:tcPr>
          <w:p w14:paraId="3017A397" w14:textId="77777777" w:rsidR="0096132A" w:rsidRPr="00BC36CE" w:rsidRDefault="0096132A" w:rsidP="00BC36CE">
            <w:pPr>
              <w:pStyle w:val="Tables"/>
              <w:rPr>
                <w:sz w:val="20"/>
                <w:szCs w:val="20"/>
              </w:rPr>
            </w:pPr>
          </w:p>
        </w:tc>
        <w:tc>
          <w:tcPr>
            <w:tcW w:w="267" w:type="dxa"/>
            <w:shd w:val="clear" w:color="auto" w:fill="auto"/>
            <w:textDirection w:val="btLr"/>
            <w:vAlign w:val="bottom"/>
            <w:hideMark/>
          </w:tcPr>
          <w:p w14:paraId="15EBB0F3" w14:textId="77777777" w:rsidR="0096132A" w:rsidRPr="00BC36CE" w:rsidRDefault="0096132A" w:rsidP="00BC36CE">
            <w:pPr>
              <w:pStyle w:val="Tables"/>
              <w:rPr>
                <w:sz w:val="20"/>
                <w:szCs w:val="20"/>
              </w:rPr>
            </w:pPr>
          </w:p>
        </w:tc>
        <w:tc>
          <w:tcPr>
            <w:tcW w:w="267" w:type="dxa"/>
            <w:shd w:val="clear" w:color="auto" w:fill="auto"/>
            <w:textDirection w:val="btLr"/>
            <w:vAlign w:val="bottom"/>
            <w:hideMark/>
          </w:tcPr>
          <w:p w14:paraId="0DF00CA2" w14:textId="77777777" w:rsidR="0096132A" w:rsidRPr="00BC36CE" w:rsidRDefault="0096132A" w:rsidP="00BC36CE">
            <w:pPr>
              <w:pStyle w:val="Tables"/>
              <w:rPr>
                <w:sz w:val="20"/>
                <w:szCs w:val="20"/>
              </w:rPr>
            </w:pPr>
          </w:p>
        </w:tc>
        <w:tc>
          <w:tcPr>
            <w:tcW w:w="16" w:type="dxa"/>
            <w:textDirection w:val="btLr"/>
          </w:tcPr>
          <w:p w14:paraId="536644DD" w14:textId="77777777" w:rsidR="0096132A" w:rsidRPr="00BC36CE" w:rsidRDefault="0096132A" w:rsidP="00BC36CE">
            <w:pPr>
              <w:pStyle w:val="Tables"/>
              <w:rPr>
                <w:sz w:val="20"/>
                <w:szCs w:val="20"/>
              </w:rPr>
            </w:pPr>
          </w:p>
        </w:tc>
      </w:tr>
      <w:tr w:rsidR="0096132A" w:rsidRPr="00BC36CE" w14:paraId="437B0FCA" w14:textId="156CBFC2" w:rsidTr="00E75B77">
        <w:trPr>
          <w:trHeight w:val="3169"/>
        </w:trPr>
        <w:tc>
          <w:tcPr>
            <w:tcW w:w="266" w:type="dxa"/>
            <w:shd w:val="clear" w:color="auto" w:fill="auto"/>
            <w:textDirection w:val="btLr"/>
            <w:vAlign w:val="bottom"/>
            <w:hideMark/>
          </w:tcPr>
          <w:p w14:paraId="57369554" w14:textId="57BE83E4" w:rsidR="0096132A" w:rsidRPr="00E75B77" w:rsidRDefault="0096132A" w:rsidP="00BC36CE">
            <w:pPr>
              <w:pStyle w:val="Tables"/>
              <w:rPr>
                <w:b/>
                <w:sz w:val="20"/>
                <w:szCs w:val="20"/>
                <w:u w:val="single"/>
              </w:rPr>
            </w:pPr>
            <w:r w:rsidRPr="00E75B77">
              <w:rPr>
                <w:b/>
                <w:sz w:val="20"/>
                <w:szCs w:val="20"/>
                <w:u w:val="single"/>
              </w:rPr>
              <w:t>Light Oxygenates</w:t>
            </w:r>
          </w:p>
        </w:tc>
        <w:tc>
          <w:tcPr>
            <w:tcW w:w="267" w:type="dxa"/>
            <w:shd w:val="clear" w:color="auto" w:fill="auto"/>
            <w:textDirection w:val="btLr"/>
            <w:vAlign w:val="bottom"/>
            <w:hideMark/>
          </w:tcPr>
          <w:p w14:paraId="640B91BA" w14:textId="4088C4FD" w:rsidR="0096132A" w:rsidRPr="00BC36CE" w:rsidRDefault="0096132A" w:rsidP="00BC36CE">
            <w:pPr>
              <w:pStyle w:val="Tables"/>
              <w:rPr>
                <w:sz w:val="20"/>
                <w:szCs w:val="20"/>
              </w:rPr>
            </w:pPr>
            <w:r w:rsidRPr="00BC36CE">
              <w:rPr>
                <w:sz w:val="20"/>
                <w:szCs w:val="20"/>
              </w:rPr>
              <w:t>Propanal-2-one (7)</w:t>
            </w:r>
          </w:p>
        </w:tc>
        <w:tc>
          <w:tcPr>
            <w:tcW w:w="267" w:type="dxa"/>
            <w:shd w:val="clear" w:color="auto" w:fill="auto"/>
            <w:textDirection w:val="btLr"/>
            <w:vAlign w:val="bottom"/>
            <w:hideMark/>
          </w:tcPr>
          <w:p w14:paraId="2AE28116" w14:textId="65043988" w:rsidR="0096132A" w:rsidRPr="00BC36CE" w:rsidRDefault="0096132A" w:rsidP="00BC36CE">
            <w:pPr>
              <w:pStyle w:val="Tables"/>
              <w:rPr>
                <w:sz w:val="20"/>
                <w:szCs w:val="20"/>
              </w:rPr>
            </w:pPr>
            <w:r w:rsidRPr="00BC36CE">
              <w:rPr>
                <w:sz w:val="20"/>
                <w:szCs w:val="20"/>
              </w:rPr>
              <w:t>Unknown Light Oxygenate (OU)</w:t>
            </w:r>
          </w:p>
        </w:tc>
        <w:tc>
          <w:tcPr>
            <w:tcW w:w="267" w:type="dxa"/>
            <w:shd w:val="clear" w:color="auto" w:fill="auto"/>
            <w:textDirection w:val="btLr"/>
            <w:vAlign w:val="bottom"/>
            <w:hideMark/>
          </w:tcPr>
          <w:p w14:paraId="4E7EEDC7" w14:textId="5F77D732" w:rsidR="0096132A" w:rsidRPr="00BC36CE" w:rsidRDefault="0096132A" w:rsidP="00BC36CE">
            <w:pPr>
              <w:pStyle w:val="Tables"/>
              <w:rPr>
                <w:sz w:val="20"/>
                <w:szCs w:val="20"/>
              </w:rPr>
            </w:pPr>
            <w:r w:rsidRPr="00BC36CE">
              <w:rPr>
                <w:sz w:val="20"/>
                <w:szCs w:val="20"/>
              </w:rPr>
              <w:t>2,3-Butanedione (11)</w:t>
            </w:r>
          </w:p>
        </w:tc>
        <w:tc>
          <w:tcPr>
            <w:tcW w:w="267" w:type="dxa"/>
            <w:shd w:val="clear" w:color="auto" w:fill="auto"/>
            <w:textDirection w:val="btLr"/>
            <w:vAlign w:val="bottom"/>
            <w:hideMark/>
          </w:tcPr>
          <w:p w14:paraId="7674BB63" w14:textId="5241D1C5" w:rsidR="0096132A" w:rsidRPr="00BC36CE" w:rsidRDefault="0096132A" w:rsidP="00BC36CE">
            <w:pPr>
              <w:pStyle w:val="Tables"/>
              <w:rPr>
                <w:sz w:val="20"/>
                <w:szCs w:val="20"/>
              </w:rPr>
            </w:pPr>
            <w:r w:rsidRPr="00BC36CE">
              <w:rPr>
                <w:sz w:val="20"/>
                <w:szCs w:val="20"/>
              </w:rPr>
              <w:t>Unknown: similar to 3-Pentanone (12)</w:t>
            </w:r>
          </w:p>
        </w:tc>
        <w:tc>
          <w:tcPr>
            <w:tcW w:w="267" w:type="dxa"/>
            <w:shd w:val="clear" w:color="auto" w:fill="auto"/>
            <w:textDirection w:val="btLr"/>
            <w:vAlign w:val="bottom"/>
            <w:hideMark/>
          </w:tcPr>
          <w:p w14:paraId="7745CBD5" w14:textId="61D3E996" w:rsidR="0096132A" w:rsidRPr="00BC36CE" w:rsidRDefault="0096132A" w:rsidP="00BC36CE">
            <w:pPr>
              <w:pStyle w:val="Tables"/>
              <w:rPr>
                <w:sz w:val="20"/>
                <w:szCs w:val="20"/>
              </w:rPr>
            </w:pPr>
            <w:r w:rsidRPr="00BC36CE">
              <w:rPr>
                <w:sz w:val="20"/>
                <w:szCs w:val="20"/>
              </w:rPr>
              <w:t>Formic acid (15)</w:t>
            </w:r>
          </w:p>
        </w:tc>
        <w:tc>
          <w:tcPr>
            <w:tcW w:w="268" w:type="dxa"/>
            <w:shd w:val="clear" w:color="auto" w:fill="auto"/>
            <w:textDirection w:val="btLr"/>
            <w:vAlign w:val="bottom"/>
            <w:hideMark/>
          </w:tcPr>
          <w:p w14:paraId="4BA9A8C8" w14:textId="51B3A22F" w:rsidR="0096132A" w:rsidRPr="00BC36CE" w:rsidRDefault="0096132A" w:rsidP="00BC36CE">
            <w:pPr>
              <w:pStyle w:val="Tables"/>
              <w:rPr>
                <w:sz w:val="20"/>
                <w:szCs w:val="20"/>
              </w:rPr>
            </w:pPr>
            <w:r w:rsidRPr="00BC36CE">
              <w:rPr>
                <w:sz w:val="20"/>
                <w:szCs w:val="20"/>
              </w:rPr>
              <w:t>Hydroxypropanone (19)</w:t>
            </w:r>
          </w:p>
        </w:tc>
        <w:tc>
          <w:tcPr>
            <w:tcW w:w="268" w:type="dxa"/>
            <w:shd w:val="clear" w:color="auto" w:fill="auto"/>
            <w:textDirection w:val="btLr"/>
            <w:vAlign w:val="bottom"/>
            <w:hideMark/>
          </w:tcPr>
          <w:p w14:paraId="46BCEAFB" w14:textId="09785694" w:rsidR="0096132A" w:rsidRPr="00BC36CE" w:rsidRDefault="0096132A" w:rsidP="00BC36CE">
            <w:pPr>
              <w:pStyle w:val="Tables"/>
              <w:rPr>
                <w:sz w:val="20"/>
                <w:szCs w:val="20"/>
              </w:rPr>
            </w:pPr>
            <w:r w:rsidRPr="00BC36CE">
              <w:rPr>
                <w:sz w:val="20"/>
                <w:szCs w:val="20"/>
              </w:rPr>
              <w:t>2-Propenoic acid methyl ester (23)</w:t>
            </w:r>
          </w:p>
        </w:tc>
        <w:tc>
          <w:tcPr>
            <w:tcW w:w="536" w:type="dxa"/>
            <w:gridSpan w:val="2"/>
            <w:shd w:val="clear" w:color="auto" w:fill="auto"/>
            <w:textDirection w:val="btLr"/>
            <w:vAlign w:val="bottom"/>
            <w:hideMark/>
          </w:tcPr>
          <w:p w14:paraId="7124DBC0" w14:textId="2E76D9A8" w:rsidR="0096132A" w:rsidRPr="00BC36CE" w:rsidRDefault="0096132A" w:rsidP="00BC36CE">
            <w:pPr>
              <w:pStyle w:val="Tables"/>
              <w:rPr>
                <w:sz w:val="20"/>
                <w:szCs w:val="20"/>
              </w:rPr>
            </w:pPr>
            <w:r w:rsidRPr="00BC36CE">
              <w:rPr>
                <w:sz w:val="20"/>
                <w:szCs w:val="20"/>
              </w:rPr>
              <w:t>3-Hydroxypropanal (isomer of compound no. 19) (26)</w:t>
            </w:r>
          </w:p>
        </w:tc>
        <w:tc>
          <w:tcPr>
            <w:tcW w:w="268" w:type="dxa"/>
            <w:textDirection w:val="btLr"/>
            <w:vAlign w:val="bottom"/>
          </w:tcPr>
          <w:p w14:paraId="4DC6C8FF" w14:textId="240F11A6" w:rsidR="0096132A" w:rsidRPr="00BC36CE" w:rsidRDefault="0096132A" w:rsidP="00BC36CE">
            <w:pPr>
              <w:pStyle w:val="Tables"/>
              <w:rPr>
                <w:sz w:val="20"/>
                <w:szCs w:val="20"/>
              </w:rPr>
            </w:pPr>
            <w:r w:rsidRPr="00BC36CE">
              <w:rPr>
                <w:sz w:val="20"/>
                <w:szCs w:val="20"/>
              </w:rPr>
              <w:t>2-Hydroxy-3-oxobutanal (33)</w:t>
            </w:r>
          </w:p>
        </w:tc>
        <w:tc>
          <w:tcPr>
            <w:tcW w:w="267" w:type="dxa"/>
            <w:shd w:val="clear" w:color="auto" w:fill="auto"/>
            <w:textDirection w:val="btLr"/>
            <w:vAlign w:val="bottom"/>
            <w:hideMark/>
          </w:tcPr>
          <w:p w14:paraId="11AFDD8A" w14:textId="5FA99175" w:rsidR="0096132A" w:rsidRPr="00BC36CE" w:rsidRDefault="0096132A" w:rsidP="00BC36CE">
            <w:pPr>
              <w:pStyle w:val="Tables"/>
              <w:rPr>
                <w:sz w:val="20"/>
                <w:szCs w:val="20"/>
              </w:rPr>
            </w:pPr>
            <w:r w:rsidRPr="00BC36CE">
              <w:rPr>
                <w:sz w:val="20"/>
                <w:szCs w:val="20"/>
              </w:rPr>
              <w:t>1-Acetyloxypropane-2-one (38)</w:t>
            </w:r>
          </w:p>
        </w:tc>
        <w:tc>
          <w:tcPr>
            <w:tcW w:w="267" w:type="dxa"/>
            <w:shd w:val="clear" w:color="auto" w:fill="auto"/>
            <w:textDirection w:val="btLr"/>
            <w:vAlign w:val="bottom"/>
            <w:hideMark/>
          </w:tcPr>
          <w:p w14:paraId="22D2A4B1" w14:textId="75EA7197" w:rsidR="0096132A" w:rsidRPr="00BC36CE" w:rsidRDefault="0096132A" w:rsidP="00BC36CE">
            <w:pPr>
              <w:pStyle w:val="Tables"/>
              <w:rPr>
                <w:sz w:val="20"/>
                <w:szCs w:val="20"/>
              </w:rPr>
            </w:pPr>
            <w:r w:rsidRPr="00BC36CE">
              <w:rPr>
                <w:sz w:val="20"/>
                <w:szCs w:val="20"/>
              </w:rPr>
              <w:t>2,3-Dihydroxyhex-1-ene-4-one (52)</w:t>
            </w:r>
          </w:p>
        </w:tc>
        <w:tc>
          <w:tcPr>
            <w:tcW w:w="267" w:type="dxa"/>
            <w:shd w:val="clear" w:color="auto" w:fill="auto"/>
            <w:textDirection w:val="btLr"/>
            <w:vAlign w:val="bottom"/>
            <w:hideMark/>
          </w:tcPr>
          <w:p w14:paraId="0604DE90" w14:textId="39B12F45" w:rsidR="0096132A" w:rsidRPr="00BC36CE" w:rsidRDefault="0096132A" w:rsidP="00BC36CE">
            <w:pPr>
              <w:pStyle w:val="Tables"/>
              <w:rPr>
                <w:sz w:val="20"/>
                <w:szCs w:val="20"/>
              </w:rPr>
            </w:pPr>
            <w:r w:rsidRPr="00BC36CE">
              <w:rPr>
                <w:sz w:val="20"/>
                <w:szCs w:val="20"/>
              </w:rPr>
              <w:t>Methyl-butyraldehyde derivative (67)</w:t>
            </w:r>
          </w:p>
        </w:tc>
        <w:tc>
          <w:tcPr>
            <w:tcW w:w="267" w:type="dxa"/>
            <w:shd w:val="clear" w:color="auto" w:fill="auto"/>
            <w:textDirection w:val="btLr"/>
            <w:vAlign w:val="bottom"/>
            <w:hideMark/>
          </w:tcPr>
          <w:p w14:paraId="03DB0000" w14:textId="0F259D1F" w:rsidR="0096132A" w:rsidRPr="00BC36CE" w:rsidRDefault="0096132A" w:rsidP="00BC36CE">
            <w:pPr>
              <w:pStyle w:val="Tables"/>
              <w:rPr>
                <w:sz w:val="20"/>
                <w:szCs w:val="20"/>
              </w:rPr>
            </w:pPr>
            <w:r w:rsidRPr="00BC36CE">
              <w:rPr>
                <w:sz w:val="20"/>
                <w:szCs w:val="20"/>
              </w:rPr>
              <w:t>2-Hydroxy-butanedial (89)</w:t>
            </w:r>
          </w:p>
        </w:tc>
        <w:tc>
          <w:tcPr>
            <w:tcW w:w="267" w:type="dxa"/>
            <w:shd w:val="clear" w:color="auto" w:fill="auto"/>
            <w:textDirection w:val="btLr"/>
            <w:vAlign w:val="bottom"/>
            <w:hideMark/>
          </w:tcPr>
          <w:p w14:paraId="039BB0A2" w14:textId="310971B3" w:rsidR="0096132A" w:rsidRPr="00BC36CE" w:rsidRDefault="0096132A" w:rsidP="00BC36CE">
            <w:pPr>
              <w:pStyle w:val="Tables"/>
              <w:rPr>
                <w:sz w:val="20"/>
                <w:szCs w:val="20"/>
              </w:rPr>
            </w:pPr>
          </w:p>
        </w:tc>
        <w:tc>
          <w:tcPr>
            <w:tcW w:w="267" w:type="dxa"/>
            <w:shd w:val="clear" w:color="auto" w:fill="auto"/>
            <w:textDirection w:val="btLr"/>
            <w:vAlign w:val="bottom"/>
            <w:hideMark/>
          </w:tcPr>
          <w:p w14:paraId="06D3E5E9" w14:textId="525BA5C9" w:rsidR="0096132A" w:rsidRPr="00E75B77" w:rsidRDefault="0096132A" w:rsidP="00BC36CE">
            <w:pPr>
              <w:pStyle w:val="Tables"/>
              <w:rPr>
                <w:b/>
                <w:sz w:val="20"/>
                <w:szCs w:val="20"/>
                <w:u w:val="single"/>
              </w:rPr>
            </w:pPr>
            <w:r w:rsidRPr="00E75B77">
              <w:rPr>
                <w:b/>
                <w:sz w:val="20"/>
                <w:szCs w:val="20"/>
                <w:u w:val="single"/>
              </w:rPr>
              <w:t>Pyran Deriv.</w:t>
            </w:r>
          </w:p>
        </w:tc>
        <w:tc>
          <w:tcPr>
            <w:tcW w:w="513" w:type="dxa"/>
            <w:gridSpan w:val="2"/>
            <w:shd w:val="clear" w:color="auto" w:fill="auto"/>
            <w:textDirection w:val="btLr"/>
            <w:vAlign w:val="bottom"/>
            <w:hideMark/>
          </w:tcPr>
          <w:p w14:paraId="398FFCD7" w14:textId="3CC3D897" w:rsidR="0096132A" w:rsidRPr="00BC36CE" w:rsidRDefault="0096132A" w:rsidP="00BC36CE">
            <w:pPr>
              <w:pStyle w:val="Tables"/>
              <w:rPr>
                <w:sz w:val="20"/>
                <w:szCs w:val="20"/>
              </w:rPr>
            </w:pPr>
            <w:r w:rsidRPr="00BC36CE">
              <w:rPr>
                <w:sz w:val="20"/>
                <w:szCs w:val="20"/>
              </w:rPr>
              <w:t>4-Hydroxy-5,6-dihydro-(2H)-</w:t>
            </w:r>
            <w:r>
              <w:rPr>
                <w:sz w:val="20"/>
                <w:szCs w:val="20"/>
              </w:rPr>
              <w:br/>
            </w:r>
            <w:r w:rsidRPr="00BC36CE">
              <w:rPr>
                <w:sz w:val="20"/>
                <w:szCs w:val="20"/>
              </w:rPr>
              <w:t>pyran-2-one (57)</w:t>
            </w:r>
          </w:p>
        </w:tc>
        <w:tc>
          <w:tcPr>
            <w:tcW w:w="267" w:type="dxa"/>
            <w:shd w:val="clear" w:color="auto" w:fill="auto"/>
            <w:textDirection w:val="btLr"/>
            <w:vAlign w:val="bottom"/>
            <w:hideMark/>
          </w:tcPr>
          <w:p w14:paraId="34A92547" w14:textId="071B3369" w:rsidR="0096132A" w:rsidRPr="00BC36CE" w:rsidRDefault="0096132A" w:rsidP="00BC36CE">
            <w:pPr>
              <w:pStyle w:val="Tables"/>
              <w:rPr>
                <w:sz w:val="20"/>
                <w:szCs w:val="20"/>
              </w:rPr>
            </w:pPr>
            <w:r w:rsidRPr="00BC36CE">
              <w:rPr>
                <w:sz w:val="20"/>
                <w:szCs w:val="20"/>
              </w:rPr>
              <w:t>Methyl-dihydro-(2H)-pyran-2-one (60)</w:t>
            </w:r>
          </w:p>
        </w:tc>
        <w:tc>
          <w:tcPr>
            <w:tcW w:w="267" w:type="dxa"/>
            <w:shd w:val="clear" w:color="auto" w:fill="auto"/>
            <w:textDirection w:val="btLr"/>
            <w:vAlign w:val="bottom"/>
            <w:hideMark/>
          </w:tcPr>
          <w:p w14:paraId="5807F347" w14:textId="5C696588" w:rsidR="0096132A" w:rsidRPr="00BC36CE" w:rsidRDefault="0096132A" w:rsidP="00BC36CE">
            <w:pPr>
              <w:pStyle w:val="Tables"/>
              <w:rPr>
                <w:sz w:val="20"/>
                <w:szCs w:val="20"/>
              </w:rPr>
            </w:pPr>
            <w:r w:rsidRPr="00BC36CE">
              <w:rPr>
                <w:sz w:val="20"/>
                <w:szCs w:val="20"/>
              </w:rPr>
              <w:t>Unknown pyran derivative (OU)</w:t>
            </w:r>
          </w:p>
        </w:tc>
        <w:tc>
          <w:tcPr>
            <w:tcW w:w="267" w:type="dxa"/>
            <w:shd w:val="clear" w:color="auto" w:fill="auto"/>
            <w:textDirection w:val="btLr"/>
            <w:vAlign w:val="bottom"/>
            <w:hideMark/>
          </w:tcPr>
          <w:p w14:paraId="440CC681" w14:textId="1D7B673A" w:rsidR="0096132A" w:rsidRPr="00BC36CE" w:rsidRDefault="0096132A" w:rsidP="00BC36CE">
            <w:pPr>
              <w:pStyle w:val="Tables"/>
              <w:rPr>
                <w:sz w:val="20"/>
                <w:szCs w:val="20"/>
              </w:rPr>
            </w:pPr>
            <w:r w:rsidRPr="00BC36CE">
              <w:rPr>
                <w:sz w:val="20"/>
                <w:szCs w:val="20"/>
              </w:rPr>
              <w:t>Unknown pyran derivative (OU)</w:t>
            </w:r>
          </w:p>
        </w:tc>
        <w:tc>
          <w:tcPr>
            <w:tcW w:w="267" w:type="dxa"/>
            <w:shd w:val="clear" w:color="auto" w:fill="auto"/>
            <w:textDirection w:val="btLr"/>
            <w:vAlign w:val="bottom"/>
            <w:hideMark/>
          </w:tcPr>
          <w:p w14:paraId="3928294A" w14:textId="39BF133F" w:rsidR="0096132A" w:rsidRPr="00BC36CE" w:rsidRDefault="0096132A" w:rsidP="00BC36CE">
            <w:pPr>
              <w:pStyle w:val="Tables"/>
              <w:rPr>
                <w:sz w:val="20"/>
                <w:szCs w:val="20"/>
              </w:rPr>
            </w:pPr>
            <w:r w:rsidRPr="00BC36CE">
              <w:rPr>
                <w:sz w:val="20"/>
                <w:szCs w:val="20"/>
              </w:rPr>
              <w:t>3- Hydroxy-2-methyl-pyran-4-one (66)</w:t>
            </w:r>
          </w:p>
        </w:tc>
        <w:tc>
          <w:tcPr>
            <w:tcW w:w="267" w:type="dxa"/>
            <w:shd w:val="clear" w:color="auto" w:fill="auto"/>
            <w:textDirection w:val="btLr"/>
            <w:vAlign w:val="bottom"/>
            <w:hideMark/>
          </w:tcPr>
          <w:p w14:paraId="54C4E156" w14:textId="72522968" w:rsidR="0096132A" w:rsidRPr="00BC36CE" w:rsidRDefault="0096132A" w:rsidP="00BC36CE">
            <w:pPr>
              <w:pStyle w:val="Tables"/>
              <w:rPr>
                <w:sz w:val="20"/>
                <w:szCs w:val="20"/>
              </w:rPr>
            </w:pPr>
          </w:p>
        </w:tc>
        <w:tc>
          <w:tcPr>
            <w:tcW w:w="267" w:type="dxa"/>
            <w:shd w:val="clear" w:color="auto" w:fill="auto"/>
            <w:textDirection w:val="btLr"/>
            <w:vAlign w:val="bottom"/>
            <w:hideMark/>
          </w:tcPr>
          <w:p w14:paraId="200577D6" w14:textId="3F7B6AAA" w:rsidR="0096132A" w:rsidRPr="00E75B77" w:rsidRDefault="0096132A" w:rsidP="00BC36CE">
            <w:pPr>
              <w:pStyle w:val="Tables"/>
              <w:rPr>
                <w:b/>
                <w:sz w:val="20"/>
                <w:szCs w:val="20"/>
                <w:u w:val="single"/>
              </w:rPr>
            </w:pPr>
            <w:r w:rsidRPr="00E75B77">
              <w:rPr>
                <w:b/>
                <w:sz w:val="20"/>
                <w:szCs w:val="20"/>
                <w:u w:val="single"/>
              </w:rPr>
              <w:t>Sugars</w:t>
            </w:r>
          </w:p>
        </w:tc>
        <w:tc>
          <w:tcPr>
            <w:tcW w:w="267" w:type="dxa"/>
            <w:shd w:val="clear" w:color="auto" w:fill="auto"/>
            <w:textDirection w:val="btLr"/>
            <w:vAlign w:val="bottom"/>
            <w:hideMark/>
          </w:tcPr>
          <w:p w14:paraId="0CD30D2F" w14:textId="0EDB9D9A" w:rsidR="0096132A" w:rsidRPr="00BC36CE" w:rsidRDefault="0096132A" w:rsidP="00BC36CE">
            <w:pPr>
              <w:pStyle w:val="Tables"/>
              <w:rPr>
                <w:sz w:val="20"/>
                <w:szCs w:val="20"/>
              </w:rPr>
            </w:pPr>
            <w:r w:rsidRPr="00BC36CE">
              <w:rPr>
                <w:sz w:val="20"/>
                <w:szCs w:val="20"/>
              </w:rPr>
              <w:t>Anhydrosugar: unknown (72)</w:t>
            </w:r>
          </w:p>
        </w:tc>
        <w:tc>
          <w:tcPr>
            <w:tcW w:w="267" w:type="dxa"/>
            <w:shd w:val="clear" w:color="auto" w:fill="auto"/>
            <w:textDirection w:val="btLr"/>
            <w:vAlign w:val="bottom"/>
            <w:hideMark/>
          </w:tcPr>
          <w:p w14:paraId="17AD7FA5" w14:textId="3559E3CA" w:rsidR="0096132A" w:rsidRPr="00BC36CE" w:rsidRDefault="0096132A" w:rsidP="00BC36CE">
            <w:pPr>
              <w:pStyle w:val="Tables"/>
              <w:rPr>
                <w:sz w:val="20"/>
                <w:szCs w:val="20"/>
              </w:rPr>
            </w:pPr>
            <w:r w:rsidRPr="00BC36CE">
              <w:rPr>
                <w:sz w:val="20"/>
                <w:szCs w:val="20"/>
              </w:rPr>
              <w:t>1,4:3,6-Dianhydro-glucopyranose (83)</w:t>
            </w:r>
          </w:p>
        </w:tc>
        <w:tc>
          <w:tcPr>
            <w:tcW w:w="267" w:type="dxa"/>
            <w:shd w:val="clear" w:color="auto" w:fill="auto"/>
            <w:textDirection w:val="btLr"/>
            <w:vAlign w:val="bottom"/>
            <w:hideMark/>
          </w:tcPr>
          <w:p w14:paraId="76069FED" w14:textId="7BA0F01A" w:rsidR="0096132A" w:rsidRPr="00BC36CE" w:rsidRDefault="0096132A" w:rsidP="00BC36CE">
            <w:pPr>
              <w:pStyle w:val="Tables"/>
              <w:rPr>
                <w:sz w:val="20"/>
                <w:szCs w:val="20"/>
              </w:rPr>
            </w:pPr>
            <w:r w:rsidRPr="00BC36CE">
              <w:rPr>
                <w:sz w:val="20"/>
                <w:szCs w:val="20"/>
              </w:rPr>
              <w:t>1,5-Anhydro-arabinofuranose (84)</w:t>
            </w:r>
          </w:p>
        </w:tc>
        <w:tc>
          <w:tcPr>
            <w:tcW w:w="267" w:type="dxa"/>
            <w:shd w:val="clear" w:color="auto" w:fill="auto"/>
            <w:textDirection w:val="btLr"/>
            <w:vAlign w:val="bottom"/>
            <w:hideMark/>
          </w:tcPr>
          <w:p w14:paraId="77322FC5" w14:textId="650710B9" w:rsidR="0096132A" w:rsidRPr="00BC36CE" w:rsidRDefault="0096132A" w:rsidP="00BC36CE">
            <w:pPr>
              <w:pStyle w:val="Tables"/>
              <w:rPr>
                <w:sz w:val="20"/>
                <w:szCs w:val="20"/>
              </w:rPr>
            </w:pPr>
            <w:r w:rsidRPr="00BC36CE">
              <w:rPr>
                <w:sz w:val="20"/>
                <w:szCs w:val="20"/>
              </w:rPr>
              <w:t>1,5-Anhydro-beta-D-xylofuranose (93)</w:t>
            </w:r>
          </w:p>
        </w:tc>
        <w:tc>
          <w:tcPr>
            <w:tcW w:w="267" w:type="dxa"/>
            <w:shd w:val="clear" w:color="auto" w:fill="auto"/>
            <w:textDirection w:val="btLr"/>
            <w:vAlign w:val="bottom"/>
            <w:hideMark/>
          </w:tcPr>
          <w:p w14:paraId="5B5F8F54" w14:textId="79556561" w:rsidR="0096132A" w:rsidRPr="00BC36CE" w:rsidRDefault="0096132A" w:rsidP="00BC36CE">
            <w:pPr>
              <w:pStyle w:val="Tables"/>
              <w:rPr>
                <w:sz w:val="20"/>
                <w:szCs w:val="20"/>
              </w:rPr>
            </w:pPr>
            <w:r w:rsidRPr="00BC36CE">
              <w:rPr>
                <w:sz w:val="20"/>
                <w:szCs w:val="20"/>
              </w:rPr>
              <w:t>Anhydrosugar: unknown (98)</w:t>
            </w:r>
          </w:p>
        </w:tc>
        <w:tc>
          <w:tcPr>
            <w:tcW w:w="267" w:type="dxa"/>
            <w:shd w:val="clear" w:color="auto" w:fill="auto"/>
            <w:textDirection w:val="btLr"/>
            <w:vAlign w:val="bottom"/>
            <w:hideMark/>
          </w:tcPr>
          <w:p w14:paraId="7C0A5F9B" w14:textId="35037385" w:rsidR="0096132A" w:rsidRPr="00BC36CE" w:rsidRDefault="0096132A" w:rsidP="00BC36CE">
            <w:pPr>
              <w:pStyle w:val="Tables"/>
              <w:rPr>
                <w:sz w:val="20"/>
                <w:szCs w:val="20"/>
              </w:rPr>
            </w:pPr>
            <w:r w:rsidRPr="00BC36CE">
              <w:rPr>
                <w:sz w:val="20"/>
                <w:szCs w:val="20"/>
              </w:rPr>
              <w:t>Anhydrosugar: unknown (OU)</w:t>
            </w:r>
          </w:p>
        </w:tc>
        <w:tc>
          <w:tcPr>
            <w:tcW w:w="16" w:type="dxa"/>
            <w:textDirection w:val="btLr"/>
          </w:tcPr>
          <w:p w14:paraId="0805376B" w14:textId="77777777" w:rsidR="0096132A" w:rsidRPr="00BC36CE" w:rsidRDefault="0096132A" w:rsidP="00BC36CE">
            <w:pPr>
              <w:pStyle w:val="Tables"/>
              <w:rPr>
                <w:sz w:val="20"/>
                <w:szCs w:val="20"/>
              </w:rPr>
            </w:pPr>
          </w:p>
        </w:tc>
      </w:tr>
      <w:tr w:rsidR="00523835" w:rsidRPr="00BC36CE" w14:paraId="794B19F8" w14:textId="4B2BB15A" w:rsidTr="0000363E">
        <w:trPr>
          <w:trHeight w:val="3403"/>
        </w:trPr>
        <w:tc>
          <w:tcPr>
            <w:tcW w:w="266" w:type="dxa"/>
            <w:shd w:val="clear" w:color="auto" w:fill="auto"/>
            <w:textDirection w:val="btLr"/>
            <w:vAlign w:val="bottom"/>
            <w:hideMark/>
          </w:tcPr>
          <w:p w14:paraId="63199A3D" w14:textId="4BA3EA93" w:rsidR="00523835" w:rsidRPr="00E75B77" w:rsidRDefault="00523835" w:rsidP="00BC36CE">
            <w:pPr>
              <w:pStyle w:val="Tables"/>
              <w:rPr>
                <w:b/>
                <w:sz w:val="20"/>
                <w:szCs w:val="20"/>
                <w:u w:val="single"/>
              </w:rPr>
            </w:pPr>
            <w:r w:rsidRPr="00E75B77">
              <w:rPr>
                <w:b/>
                <w:sz w:val="20"/>
                <w:szCs w:val="20"/>
                <w:u w:val="single"/>
              </w:rPr>
              <w:t>Acetic Acid</w:t>
            </w:r>
          </w:p>
        </w:tc>
        <w:tc>
          <w:tcPr>
            <w:tcW w:w="267" w:type="dxa"/>
            <w:shd w:val="clear" w:color="auto" w:fill="auto"/>
            <w:textDirection w:val="btLr"/>
            <w:vAlign w:val="bottom"/>
            <w:hideMark/>
          </w:tcPr>
          <w:p w14:paraId="683EF88A" w14:textId="22406BD3" w:rsidR="00523835" w:rsidRPr="00BC36CE" w:rsidRDefault="00523835" w:rsidP="00BC36CE">
            <w:pPr>
              <w:pStyle w:val="Tables"/>
              <w:rPr>
                <w:sz w:val="20"/>
                <w:szCs w:val="20"/>
              </w:rPr>
            </w:pPr>
            <w:r w:rsidRPr="00BC36CE">
              <w:rPr>
                <w:sz w:val="20"/>
                <w:szCs w:val="20"/>
              </w:rPr>
              <w:t>Acetic acid (18)</w:t>
            </w:r>
          </w:p>
        </w:tc>
        <w:tc>
          <w:tcPr>
            <w:tcW w:w="267" w:type="dxa"/>
            <w:shd w:val="clear" w:color="auto" w:fill="auto"/>
            <w:textDirection w:val="btLr"/>
            <w:vAlign w:val="bottom"/>
            <w:hideMark/>
          </w:tcPr>
          <w:p w14:paraId="52D1B2EE" w14:textId="77777777" w:rsidR="00523835" w:rsidRPr="00BC36CE" w:rsidRDefault="00523835" w:rsidP="00BC36CE">
            <w:pPr>
              <w:pStyle w:val="Tables"/>
              <w:rPr>
                <w:sz w:val="20"/>
                <w:szCs w:val="20"/>
              </w:rPr>
            </w:pPr>
          </w:p>
        </w:tc>
        <w:tc>
          <w:tcPr>
            <w:tcW w:w="267" w:type="dxa"/>
            <w:shd w:val="clear" w:color="auto" w:fill="auto"/>
            <w:textDirection w:val="btLr"/>
            <w:vAlign w:val="bottom"/>
            <w:hideMark/>
          </w:tcPr>
          <w:p w14:paraId="51CA2469" w14:textId="5BE3F75E" w:rsidR="00523835" w:rsidRPr="00E75B77" w:rsidRDefault="00523835" w:rsidP="00BC36CE">
            <w:pPr>
              <w:pStyle w:val="Tables"/>
              <w:rPr>
                <w:b/>
                <w:sz w:val="20"/>
                <w:szCs w:val="20"/>
                <w:u w:val="single"/>
              </w:rPr>
            </w:pPr>
            <w:r w:rsidRPr="00E75B77">
              <w:rPr>
                <w:b/>
                <w:sz w:val="20"/>
                <w:szCs w:val="20"/>
                <w:u w:val="single"/>
              </w:rPr>
              <w:t>Alkyl Phenols</w:t>
            </w:r>
          </w:p>
        </w:tc>
        <w:tc>
          <w:tcPr>
            <w:tcW w:w="267" w:type="dxa"/>
            <w:shd w:val="clear" w:color="auto" w:fill="auto"/>
            <w:textDirection w:val="btLr"/>
            <w:vAlign w:val="bottom"/>
            <w:hideMark/>
          </w:tcPr>
          <w:p w14:paraId="52E3A2B7" w14:textId="321AC312" w:rsidR="00523835" w:rsidRPr="00BC36CE" w:rsidRDefault="00523835" w:rsidP="00BC36CE">
            <w:pPr>
              <w:pStyle w:val="Tables"/>
              <w:rPr>
                <w:sz w:val="20"/>
                <w:szCs w:val="20"/>
              </w:rPr>
            </w:pPr>
            <w:r w:rsidRPr="00BC36CE">
              <w:rPr>
                <w:sz w:val="20"/>
                <w:szCs w:val="20"/>
              </w:rPr>
              <w:t>Phenol (L2)</w:t>
            </w:r>
          </w:p>
        </w:tc>
        <w:tc>
          <w:tcPr>
            <w:tcW w:w="267" w:type="dxa"/>
            <w:shd w:val="clear" w:color="auto" w:fill="auto"/>
            <w:textDirection w:val="btLr"/>
            <w:vAlign w:val="bottom"/>
            <w:hideMark/>
          </w:tcPr>
          <w:p w14:paraId="01E626C4" w14:textId="5452741C" w:rsidR="00523835" w:rsidRPr="00BC36CE" w:rsidRDefault="00523835" w:rsidP="00BC36CE">
            <w:pPr>
              <w:pStyle w:val="Tables"/>
              <w:rPr>
                <w:sz w:val="20"/>
                <w:szCs w:val="20"/>
              </w:rPr>
            </w:pPr>
            <w:r w:rsidRPr="00BC36CE">
              <w:rPr>
                <w:sz w:val="20"/>
                <w:szCs w:val="20"/>
              </w:rPr>
              <w:t>Phenol, 4-ethyl- (L22)</w:t>
            </w:r>
          </w:p>
        </w:tc>
        <w:tc>
          <w:tcPr>
            <w:tcW w:w="268" w:type="dxa"/>
            <w:shd w:val="clear" w:color="auto" w:fill="auto"/>
            <w:textDirection w:val="btLr"/>
            <w:vAlign w:val="bottom"/>
            <w:hideMark/>
          </w:tcPr>
          <w:p w14:paraId="7569F056" w14:textId="1756A10D" w:rsidR="00523835" w:rsidRPr="00BC36CE" w:rsidRDefault="00523835" w:rsidP="00BC36CE">
            <w:pPr>
              <w:pStyle w:val="Tables"/>
              <w:rPr>
                <w:sz w:val="20"/>
                <w:szCs w:val="20"/>
              </w:rPr>
            </w:pPr>
            <w:r w:rsidRPr="00BC36CE">
              <w:rPr>
                <w:sz w:val="20"/>
                <w:szCs w:val="20"/>
              </w:rPr>
              <w:t>Phenol, 4-vinyl- (L14)</w:t>
            </w:r>
          </w:p>
        </w:tc>
        <w:tc>
          <w:tcPr>
            <w:tcW w:w="268" w:type="dxa"/>
            <w:shd w:val="clear" w:color="auto" w:fill="auto"/>
            <w:textDirection w:val="btLr"/>
            <w:vAlign w:val="bottom"/>
            <w:hideMark/>
          </w:tcPr>
          <w:p w14:paraId="7C3609DA" w14:textId="716D2AB0" w:rsidR="00523835" w:rsidRPr="00BC36CE" w:rsidRDefault="00523835" w:rsidP="00BC36CE">
            <w:pPr>
              <w:pStyle w:val="Tables"/>
              <w:rPr>
                <w:sz w:val="20"/>
                <w:szCs w:val="20"/>
              </w:rPr>
            </w:pPr>
          </w:p>
        </w:tc>
        <w:tc>
          <w:tcPr>
            <w:tcW w:w="268" w:type="dxa"/>
            <w:shd w:val="clear" w:color="auto" w:fill="auto"/>
            <w:textDirection w:val="btLr"/>
            <w:vAlign w:val="bottom"/>
            <w:hideMark/>
          </w:tcPr>
          <w:p w14:paraId="4024F5A5" w14:textId="040BA045" w:rsidR="00523835" w:rsidRPr="00E75B77" w:rsidRDefault="00523835" w:rsidP="00BC36CE">
            <w:pPr>
              <w:pStyle w:val="Tables"/>
              <w:rPr>
                <w:b/>
                <w:sz w:val="20"/>
                <w:szCs w:val="20"/>
                <w:u w:val="single"/>
              </w:rPr>
            </w:pPr>
            <w:r w:rsidRPr="00E75B77">
              <w:rPr>
                <w:b/>
                <w:sz w:val="20"/>
                <w:szCs w:val="20"/>
                <w:u w:val="single"/>
              </w:rPr>
              <w:t>Furfurals</w:t>
            </w:r>
          </w:p>
        </w:tc>
        <w:tc>
          <w:tcPr>
            <w:tcW w:w="268" w:type="dxa"/>
            <w:textDirection w:val="btLr"/>
            <w:vAlign w:val="bottom"/>
          </w:tcPr>
          <w:p w14:paraId="1E407AB2" w14:textId="32121E6F" w:rsidR="00523835" w:rsidRPr="00BC36CE" w:rsidRDefault="00523835" w:rsidP="00BC36CE">
            <w:pPr>
              <w:pStyle w:val="Tables"/>
              <w:rPr>
                <w:sz w:val="20"/>
                <w:szCs w:val="20"/>
              </w:rPr>
            </w:pPr>
            <w:r w:rsidRPr="00BC36CE">
              <w:rPr>
                <w:sz w:val="20"/>
                <w:szCs w:val="20"/>
              </w:rPr>
              <w:t>3-Methylfuran (22)</w:t>
            </w:r>
          </w:p>
        </w:tc>
        <w:tc>
          <w:tcPr>
            <w:tcW w:w="268" w:type="dxa"/>
            <w:textDirection w:val="btLr"/>
            <w:vAlign w:val="bottom"/>
          </w:tcPr>
          <w:p w14:paraId="1A963FB4" w14:textId="7C26617C" w:rsidR="00523835" w:rsidRPr="00BC36CE" w:rsidRDefault="00523835" w:rsidP="00BC36CE">
            <w:pPr>
              <w:pStyle w:val="Tables"/>
              <w:rPr>
                <w:sz w:val="20"/>
                <w:szCs w:val="20"/>
              </w:rPr>
            </w:pPr>
            <w:r w:rsidRPr="00BC36CE">
              <w:rPr>
                <w:sz w:val="20"/>
                <w:szCs w:val="20"/>
              </w:rPr>
              <w:t>(2H)-Furan-3-one (29)</w:t>
            </w:r>
          </w:p>
        </w:tc>
        <w:tc>
          <w:tcPr>
            <w:tcW w:w="267" w:type="dxa"/>
            <w:shd w:val="clear" w:color="auto" w:fill="auto"/>
            <w:textDirection w:val="btLr"/>
            <w:vAlign w:val="bottom"/>
          </w:tcPr>
          <w:p w14:paraId="64F081BF" w14:textId="6776D817" w:rsidR="00523835" w:rsidRPr="00BC36CE" w:rsidRDefault="00523835" w:rsidP="00BC36CE">
            <w:pPr>
              <w:pStyle w:val="Tables"/>
              <w:rPr>
                <w:sz w:val="20"/>
                <w:szCs w:val="20"/>
              </w:rPr>
            </w:pPr>
            <w:r w:rsidRPr="00BC36CE">
              <w:rPr>
                <w:sz w:val="20"/>
                <w:szCs w:val="20"/>
              </w:rPr>
              <w:t>2-Furaldehyde (34)</w:t>
            </w:r>
          </w:p>
        </w:tc>
        <w:tc>
          <w:tcPr>
            <w:tcW w:w="267" w:type="dxa"/>
            <w:shd w:val="clear" w:color="auto" w:fill="auto"/>
            <w:textDirection w:val="btLr"/>
            <w:vAlign w:val="bottom"/>
          </w:tcPr>
          <w:p w14:paraId="79AE6F2C" w14:textId="554CE8E9" w:rsidR="00523835" w:rsidRPr="00BC36CE" w:rsidRDefault="00523835" w:rsidP="00BC36CE">
            <w:pPr>
              <w:pStyle w:val="Tables"/>
              <w:rPr>
                <w:sz w:val="20"/>
                <w:szCs w:val="20"/>
              </w:rPr>
            </w:pPr>
            <w:r w:rsidRPr="00BC36CE">
              <w:rPr>
                <w:sz w:val="20"/>
                <w:szCs w:val="20"/>
              </w:rPr>
              <w:t>2-Furfuryl alcohol (37)</w:t>
            </w:r>
          </w:p>
        </w:tc>
        <w:tc>
          <w:tcPr>
            <w:tcW w:w="267" w:type="dxa"/>
            <w:shd w:val="clear" w:color="auto" w:fill="auto"/>
            <w:textDirection w:val="btLr"/>
            <w:vAlign w:val="bottom"/>
          </w:tcPr>
          <w:p w14:paraId="33EBF5AD" w14:textId="02900478" w:rsidR="00523835" w:rsidRPr="00BC36CE" w:rsidRDefault="00523835" w:rsidP="00BC36CE">
            <w:pPr>
              <w:pStyle w:val="Tables"/>
              <w:rPr>
                <w:sz w:val="20"/>
                <w:szCs w:val="20"/>
              </w:rPr>
            </w:pPr>
            <w:r w:rsidRPr="00BC36CE">
              <w:rPr>
                <w:sz w:val="20"/>
                <w:szCs w:val="20"/>
              </w:rPr>
              <w:t>Tetrahydro-4-methyl-3-furanone (39)</w:t>
            </w:r>
          </w:p>
        </w:tc>
        <w:tc>
          <w:tcPr>
            <w:tcW w:w="267" w:type="dxa"/>
            <w:shd w:val="clear" w:color="auto" w:fill="auto"/>
            <w:textDirection w:val="btLr"/>
            <w:vAlign w:val="bottom"/>
          </w:tcPr>
          <w:p w14:paraId="7E3CD013" w14:textId="6A08308E" w:rsidR="00523835" w:rsidRPr="00BC36CE" w:rsidRDefault="00523835" w:rsidP="00BC36CE">
            <w:pPr>
              <w:pStyle w:val="Tables"/>
              <w:rPr>
                <w:sz w:val="20"/>
                <w:szCs w:val="20"/>
              </w:rPr>
            </w:pPr>
            <w:r w:rsidRPr="00BC36CE">
              <w:rPr>
                <w:sz w:val="20"/>
                <w:szCs w:val="20"/>
              </w:rPr>
              <w:t>Dihydro-methyl-furanone (40)</w:t>
            </w:r>
          </w:p>
        </w:tc>
        <w:tc>
          <w:tcPr>
            <w:tcW w:w="267" w:type="dxa"/>
            <w:shd w:val="clear" w:color="auto" w:fill="auto"/>
            <w:textDirection w:val="btLr"/>
            <w:vAlign w:val="bottom"/>
          </w:tcPr>
          <w:p w14:paraId="7E076E1F" w14:textId="573BA3EF" w:rsidR="00523835" w:rsidRPr="00BC36CE" w:rsidRDefault="00523835" w:rsidP="00BC36CE">
            <w:pPr>
              <w:pStyle w:val="Tables"/>
              <w:rPr>
                <w:sz w:val="20"/>
                <w:szCs w:val="20"/>
              </w:rPr>
            </w:pPr>
            <w:r w:rsidRPr="00BC36CE">
              <w:rPr>
                <w:sz w:val="20"/>
                <w:szCs w:val="20"/>
              </w:rPr>
              <w:t>4-Cyclopentene-1,3-dione (44)</w:t>
            </w:r>
          </w:p>
        </w:tc>
        <w:tc>
          <w:tcPr>
            <w:tcW w:w="267" w:type="dxa"/>
            <w:shd w:val="clear" w:color="auto" w:fill="auto"/>
            <w:textDirection w:val="btLr"/>
            <w:vAlign w:val="bottom"/>
          </w:tcPr>
          <w:p w14:paraId="7E1899F6" w14:textId="260CEB55" w:rsidR="00523835" w:rsidRPr="00BC36CE" w:rsidRDefault="00523835" w:rsidP="00BC36CE">
            <w:pPr>
              <w:pStyle w:val="Tables"/>
              <w:rPr>
                <w:sz w:val="20"/>
                <w:szCs w:val="20"/>
              </w:rPr>
            </w:pPr>
            <w:r w:rsidRPr="00BC36CE">
              <w:rPr>
                <w:sz w:val="20"/>
                <w:szCs w:val="20"/>
              </w:rPr>
              <w:t>Dihydro-methyl-furanone (47)</w:t>
            </w:r>
          </w:p>
        </w:tc>
        <w:tc>
          <w:tcPr>
            <w:tcW w:w="267" w:type="dxa"/>
            <w:shd w:val="clear" w:color="auto" w:fill="auto"/>
            <w:textDirection w:val="btLr"/>
            <w:vAlign w:val="bottom"/>
          </w:tcPr>
          <w:p w14:paraId="10D77891" w14:textId="58ACD7BF" w:rsidR="00523835" w:rsidRPr="00BC36CE" w:rsidRDefault="00523835" w:rsidP="00BC36CE">
            <w:pPr>
              <w:pStyle w:val="Tables"/>
              <w:rPr>
                <w:sz w:val="20"/>
                <w:szCs w:val="20"/>
              </w:rPr>
            </w:pPr>
            <w:r w:rsidRPr="00BC36CE">
              <w:rPr>
                <w:sz w:val="20"/>
                <w:szCs w:val="20"/>
              </w:rPr>
              <w:t>Dihydro-methyl-furanone (48)</w:t>
            </w:r>
          </w:p>
        </w:tc>
        <w:tc>
          <w:tcPr>
            <w:tcW w:w="246" w:type="dxa"/>
            <w:textDirection w:val="btLr"/>
            <w:vAlign w:val="bottom"/>
          </w:tcPr>
          <w:p w14:paraId="2D65E7A4" w14:textId="76BFDBEE" w:rsidR="00523835" w:rsidRPr="00BC36CE" w:rsidRDefault="00523835" w:rsidP="00BC36CE">
            <w:pPr>
              <w:pStyle w:val="Tables"/>
              <w:rPr>
                <w:sz w:val="20"/>
                <w:szCs w:val="20"/>
              </w:rPr>
            </w:pPr>
            <w:r w:rsidRPr="00BC36CE">
              <w:rPr>
                <w:sz w:val="20"/>
                <w:szCs w:val="20"/>
              </w:rPr>
              <w:t>5-Methyl-2-furaldehyde (50)</w:t>
            </w:r>
          </w:p>
        </w:tc>
        <w:tc>
          <w:tcPr>
            <w:tcW w:w="267" w:type="dxa"/>
            <w:shd w:val="clear" w:color="auto" w:fill="auto"/>
            <w:textDirection w:val="btLr"/>
            <w:vAlign w:val="bottom"/>
          </w:tcPr>
          <w:p w14:paraId="35391271" w14:textId="396538FD" w:rsidR="00523835" w:rsidRPr="00BC36CE" w:rsidRDefault="00523835" w:rsidP="00BC36CE">
            <w:pPr>
              <w:pStyle w:val="Tables"/>
              <w:rPr>
                <w:sz w:val="20"/>
                <w:szCs w:val="20"/>
              </w:rPr>
            </w:pPr>
            <w:r w:rsidRPr="00BC36CE">
              <w:rPr>
                <w:sz w:val="20"/>
                <w:szCs w:val="20"/>
              </w:rPr>
              <w:t>gamma-Butyrolactone (53)</w:t>
            </w:r>
          </w:p>
        </w:tc>
        <w:tc>
          <w:tcPr>
            <w:tcW w:w="267" w:type="dxa"/>
            <w:shd w:val="clear" w:color="auto" w:fill="auto"/>
            <w:textDirection w:val="btLr"/>
            <w:vAlign w:val="bottom"/>
          </w:tcPr>
          <w:p w14:paraId="698542A1" w14:textId="7B4821BD" w:rsidR="00523835" w:rsidRPr="00BC36CE" w:rsidRDefault="00523835" w:rsidP="00BC36CE">
            <w:pPr>
              <w:pStyle w:val="Tables"/>
              <w:rPr>
                <w:sz w:val="20"/>
                <w:szCs w:val="20"/>
              </w:rPr>
            </w:pPr>
            <w:r w:rsidRPr="00BC36CE">
              <w:rPr>
                <w:sz w:val="20"/>
                <w:szCs w:val="20"/>
              </w:rPr>
              <w:t>(5H)-Furan-2-one (54)</w:t>
            </w:r>
          </w:p>
        </w:tc>
        <w:tc>
          <w:tcPr>
            <w:tcW w:w="534" w:type="dxa"/>
            <w:gridSpan w:val="2"/>
            <w:shd w:val="clear" w:color="auto" w:fill="auto"/>
            <w:textDirection w:val="btLr"/>
            <w:vAlign w:val="bottom"/>
          </w:tcPr>
          <w:p w14:paraId="7021339D" w14:textId="1664FA7C" w:rsidR="00523835" w:rsidRPr="00BC36CE" w:rsidRDefault="00523835" w:rsidP="00BC36CE">
            <w:pPr>
              <w:pStyle w:val="Tables"/>
              <w:rPr>
                <w:sz w:val="20"/>
                <w:szCs w:val="20"/>
              </w:rPr>
            </w:pPr>
            <w:r w:rsidRPr="00BC36CE">
              <w:rPr>
                <w:sz w:val="20"/>
                <w:szCs w:val="20"/>
              </w:rPr>
              <w:t>2-Hydroxy-1-methyl-1-</w:t>
            </w:r>
            <w:r>
              <w:rPr>
                <w:sz w:val="20"/>
                <w:szCs w:val="20"/>
              </w:rPr>
              <w:br/>
            </w:r>
            <w:r w:rsidRPr="00BC36CE">
              <w:rPr>
                <w:sz w:val="20"/>
                <w:szCs w:val="20"/>
              </w:rPr>
              <w:t>cyclopentene-3-one (61)</w:t>
            </w:r>
          </w:p>
        </w:tc>
        <w:tc>
          <w:tcPr>
            <w:tcW w:w="267" w:type="dxa"/>
            <w:shd w:val="clear" w:color="auto" w:fill="auto"/>
            <w:textDirection w:val="btLr"/>
            <w:vAlign w:val="bottom"/>
          </w:tcPr>
          <w:p w14:paraId="44C5FE0E" w14:textId="414335B5" w:rsidR="00523835" w:rsidRPr="00BC36CE" w:rsidRDefault="00523835" w:rsidP="00BC36CE">
            <w:pPr>
              <w:pStyle w:val="Tables"/>
              <w:rPr>
                <w:sz w:val="20"/>
                <w:szCs w:val="20"/>
              </w:rPr>
            </w:pPr>
            <w:r w:rsidRPr="00BC36CE">
              <w:rPr>
                <w:sz w:val="20"/>
                <w:szCs w:val="20"/>
              </w:rPr>
              <w:t>2-Furoic acid methyl ester (65)</w:t>
            </w:r>
          </w:p>
        </w:tc>
        <w:tc>
          <w:tcPr>
            <w:tcW w:w="267" w:type="dxa"/>
            <w:shd w:val="clear" w:color="auto" w:fill="auto"/>
            <w:textDirection w:val="btLr"/>
            <w:vAlign w:val="bottom"/>
          </w:tcPr>
          <w:p w14:paraId="7AB027D7" w14:textId="4A7037E5" w:rsidR="00523835" w:rsidRPr="00BC36CE" w:rsidRDefault="00523835" w:rsidP="00BC36CE">
            <w:pPr>
              <w:pStyle w:val="Tables"/>
              <w:rPr>
                <w:sz w:val="20"/>
                <w:szCs w:val="20"/>
              </w:rPr>
            </w:pPr>
            <w:r w:rsidRPr="00BC36CE">
              <w:rPr>
                <w:sz w:val="20"/>
                <w:szCs w:val="20"/>
              </w:rPr>
              <w:t>gamma-Lactone derivative: unknown (70)</w:t>
            </w:r>
          </w:p>
        </w:tc>
        <w:tc>
          <w:tcPr>
            <w:tcW w:w="534" w:type="dxa"/>
            <w:gridSpan w:val="2"/>
            <w:shd w:val="clear" w:color="auto" w:fill="auto"/>
            <w:textDirection w:val="btLr"/>
            <w:vAlign w:val="bottom"/>
          </w:tcPr>
          <w:p w14:paraId="2754E909" w14:textId="3AEA29F5" w:rsidR="00523835" w:rsidRPr="00BC36CE" w:rsidRDefault="00523835" w:rsidP="00BC36CE">
            <w:pPr>
              <w:pStyle w:val="Tables"/>
              <w:rPr>
                <w:sz w:val="20"/>
                <w:szCs w:val="20"/>
              </w:rPr>
            </w:pPr>
            <w:r w:rsidRPr="00BC36CE">
              <w:rPr>
                <w:sz w:val="20"/>
                <w:szCs w:val="20"/>
              </w:rPr>
              <w:t xml:space="preserve">4-Hydroxy-3-methyl-(5H)-furanone or </w:t>
            </w:r>
            <w:r>
              <w:rPr>
                <w:sz w:val="20"/>
                <w:szCs w:val="20"/>
              </w:rPr>
              <w:br/>
            </w:r>
            <w:r w:rsidRPr="00BC36CE">
              <w:rPr>
                <w:sz w:val="20"/>
                <w:szCs w:val="20"/>
              </w:rPr>
              <w:t>3-Methyl-2,4-furandione (79)</w:t>
            </w:r>
          </w:p>
        </w:tc>
        <w:tc>
          <w:tcPr>
            <w:tcW w:w="267" w:type="dxa"/>
            <w:shd w:val="clear" w:color="auto" w:fill="auto"/>
            <w:textDirection w:val="btLr"/>
            <w:vAlign w:val="bottom"/>
          </w:tcPr>
          <w:p w14:paraId="7F7CD1BC" w14:textId="2DA48170" w:rsidR="00523835" w:rsidRPr="00BC36CE" w:rsidRDefault="00523835" w:rsidP="00BC36CE">
            <w:pPr>
              <w:pStyle w:val="Tables"/>
              <w:rPr>
                <w:sz w:val="20"/>
                <w:szCs w:val="20"/>
              </w:rPr>
            </w:pPr>
            <w:r w:rsidRPr="00BC36CE">
              <w:rPr>
                <w:sz w:val="20"/>
                <w:szCs w:val="20"/>
              </w:rPr>
              <w:t>5-Hydroxymethyl-2- furaldehyde (86)</w:t>
            </w:r>
          </w:p>
        </w:tc>
        <w:tc>
          <w:tcPr>
            <w:tcW w:w="267" w:type="dxa"/>
            <w:shd w:val="clear" w:color="auto" w:fill="auto"/>
            <w:textDirection w:val="btLr"/>
            <w:vAlign w:val="bottom"/>
            <w:hideMark/>
          </w:tcPr>
          <w:p w14:paraId="728726D5" w14:textId="6A9939F3" w:rsidR="00523835" w:rsidRPr="00BC36CE" w:rsidRDefault="00523835" w:rsidP="00BC36CE">
            <w:pPr>
              <w:pStyle w:val="Tables"/>
              <w:rPr>
                <w:sz w:val="20"/>
                <w:szCs w:val="20"/>
              </w:rPr>
            </w:pPr>
          </w:p>
        </w:tc>
        <w:tc>
          <w:tcPr>
            <w:tcW w:w="267" w:type="dxa"/>
            <w:shd w:val="clear" w:color="auto" w:fill="auto"/>
            <w:textDirection w:val="btLr"/>
            <w:vAlign w:val="bottom"/>
            <w:hideMark/>
          </w:tcPr>
          <w:p w14:paraId="45E9BE3A" w14:textId="13511059" w:rsidR="00523835" w:rsidRPr="00BC36CE" w:rsidRDefault="00523835" w:rsidP="00BC36CE">
            <w:pPr>
              <w:pStyle w:val="Tables"/>
              <w:rPr>
                <w:sz w:val="20"/>
                <w:szCs w:val="20"/>
              </w:rPr>
            </w:pPr>
          </w:p>
        </w:tc>
        <w:tc>
          <w:tcPr>
            <w:tcW w:w="267" w:type="dxa"/>
            <w:shd w:val="clear" w:color="auto" w:fill="auto"/>
            <w:textDirection w:val="btLr"/>
            <w:vAlign w:val="bottom"/>
            <w:hideMark/>
          </w:tcPr>
          <w:p w14:paraId="333392DC" w14:textId="77777777" w:rsidR="00523835" w:rsidRPr="00BC36CE" w:rsidRDefault="00523835" w:rsidP="00BC36CE">
            <w:pPr>
              <w:pStyle w:val="Tables"/>
              <w:rPr>
                <w:sz w:val="20"/>
                <w:szCs w:val="20"/>
              </w:rPr>
            </w:pPr>
          </w:p>
        </w:tc>
        <w:tc>
          <w:tcPr>
            <w:tcW w:w="16" w:type="dxa"/>
            <w:textDirection w:val="btLr"/>
          </w:tcPr>
          <w:p w14:paraId="663FAD59" w14:textId="77777777" w:rsidR="00523835" w:rsidRPr="00BC36CE" w:rsidRDefault="00523835" w:rsidP="00BC36CE">
            <w:pPr>
              <w:pStyle w:val="Tables"/>
              <w:rPr>
                <w:sz w:val="20"/>
                <w:szCs w:val="20"/>
              </w:rPr>
            </w:pPr>
          </w:p>
        </w:tc>
      </w:tr>
    </w:tbl>
    <w:p w14:paraId="6C8F7CFE" w14:textId="3F2D8BA1" w:rsidR="00E76B8A" w:rsidRDefault="00E76B8A" w:rsidP="00E76B8A">
      <w:pPr>
        <w:pStyle w:val="Caption"/>
        <w:rPr>
          <w:b w:val="0"/>
        </w:rPr>
      </w:pPr>
      <w:bookmarkStart w:id="145" w:name="_Toc449964935"/>
      <w:r>
        <w:t xml:space="preserve">Table </w:t>
      </w:r>
      <w:fldSimple w:instr=" STYLEREF &quot;Chapter&quot; \s ">
        <w:r w:rsidR="00463F52">
          <w:rPr>
            <w:noProof/>
          </w:rPr>
          <w:t>6</w:t>
        </w:r>
      </w:fldSimple>
      <w:r>
        <w:t>.</w:t>
      </w:r>
      <w:r w:rsidR="003D7D2C">
        <w:fldChar w:fldCharType="begin"/>
      </w:r>
      <w:r w:rsidR="003D7D2C">
        <w:instrText xml:space="preserve"> SEQ Table</w:instrText>
      </w:r>
      <w:r w:rsidR="000330AD">
        <w:instrText xml:space="preserve"> \r 1</w:instrText>
      </w:r>
      <w:r w:rsidR="003D7D2C">
        <w:instrText xml:space="preserve"> \* ARABIC \s 1 </w:instrText>
      </w:r>
      <w:r w:rsidR="003D7D2C">
        <w:fldChar w:fldCharType="separate"/>
      </w:r>
      <w:r w:rsidR="00463F52">
        <w:rPr>
          <w:noProof/>
        </w:rPr>
        <w:t>1</w:t>
      </w:r>
      <w:r w:rsidR="003D7D2C">
        <w:rPr>
          <w:noProof/>
        </w:rPr>
        <w:fldChar w:fldCharType="end"/>
      </w:r>
      <w:r>
        <w:t>.</w:t>
      </w:r>
      <w:r w:rsidRPr="008E2374">
        <w:t xml:space="preserve"> </w:t>
      </w:r>
      <w:r>
        <w:rPr>
          <w:b w:val="0"/>
        </w:rPr>
        <w:t>Compounds and lumps used for torrefaction modeling.</w:t>
      </w:r>
      <w:bookmarkEnd w:id="145"/>
    </w:p>
    <w:p w14:paraId="4023A50F" w14:textId="77777777" w:rsidR="00E76B8A" w:rsidRDefault="00E76B8A">
      <w:pPr>
        <w:rPr>
          <w:bCs/>
          <w:szCs w:val="18"/>
        </w:rPr>
      </w:pPr>
      <w:r>
        <w:rPr>
          <w:b/>
        </w:rPr>
        <w:br w:type="page"/>
      </w:r>
    </w:p>
    <w:tbl>
      <w:tblPr>
        <w:tblW w:w="8486" w:type="dxa"/>
        <w:tblBorders>
          <w:top w:val="single" w:sz="4" w:space="0" w:color="auto"/>
          <w:left w:val="single" w:sz="4" w:space="0" w:color="auto"/>
          <w:bottom w:val="single" w:sz="4" w:space="0" w:color="auto"/>
          <w:right w:val="single" w:sz="4" w:space="0" w:color="auto"/>
        </w:tblBorders>
        <w:tblLayout w:type="fixed"/>
        <w:tblCellMar>
          <w:top w:w="115" w:type="dxa"/>
          <w:left w:w="0" w:type="dxa"/>
          <w:bottom w:w="115" w:type="dxa"/>
          <w:right w:w="0" w:type="dxa"/>
        </w:tblCellMar>
        <w:tblLook w:val="04A0" w:firstRow="1" w:lastRow="0" w:firstColumn="1" w:lastColumn="0" w:noHBand="0" w:noVBand="1"/>
      </w:tblPr>
      <w:tblGrid>
        <w:gridCol w:w="324"/>
        <w:gridCol w:w="330"/>
        <w:gridCol w:w="330"/>
        <w:gridCol w:w="330"/>
        <w:gridCol w:w="331"/>
        <w:gridCol w:w="331"/>
        <w:gridCol w:w="331"/>
        <w:gridCol w:w="331"/>
        <w:gridCol w:w="331"/>
        <w:gridCol w:w="331"/>
        <w:gridCol w:w="31"/>
        <w:gridCol w:w="300"/>
        <w:gridCol w:w="330"/>
        <w:gridCol w:w="332"/>
        <w:gridCol w:w="331"/>
        <w:gridCol w:w="331"/>
        <w:gridCol w:w="331"/>
        <w:gridCol w:w="331"/>
        <w:gridCol w:w="331"/>
        <w:gridCol w:w="331"/>
        <w:gridCol w:w="331"/>
        <w:gridCol w:w="331"/>
        <w:gridCol w:w="331"/>
        <w:gridCol w:w="331"/>
        <w:gridCol w:w="331"/>
        <w:gridCol w:w="276"/>
        <w:gridCol w:w="276"/>
      </w:tblGrid>
      <w:tr w:rsidR="00663FC5" w:rsidRPr="00E76B8A" w14:paraId="11D2E103" w14:textId="77777777" w:rsidTr="00ED4E67">
        <w:trPr>
          <w:trHeight w:val="3214"/>
        </w:trPr>
        <w:tc>
          <w:tcPr>
            <w:tcW w:w="324" w:type="dxa"/>
            <w:shd w:val="clear" w:color="auto" w:fill="auto"/>
            <w:noWrap/>
            <w:textDirection w:val="btLr"/>
            <w:vAlign w:val="bottom"/>
            <w:hideMark/>
          </w:tcPr>
          <w:p w14:paraId="71409F3C" w14:textId="77777777" w:rsidR="00663FC5" w:rsidRPr="00663FC5" w:rsidRDefault="00663FC5" w:rsidP="00E76B8A">
            <w:pPr>
              <w:pStyle w:val="Tables"/>
              <w:rPr>
                <w:b/>
                <w:sz w:val="20"/>
                <w:szCs w:val="20"/>
                <w:u w:val="single"/>
              </w:rPr>
            </w:pPr>
            <w:r w:rsidRPr="00663FC5">
              <w:rPr>
                <w:b/>
                <w:sz w:val="20"/>
                <w:szCs w:val="20"/>
                <w:u w:val="single"/>
              </w:rPr>
              <w:lastRenderedPageBreak/>
              <w:t xml:space="preserve">Sugars </w:t>
            </w:r>
          </w:p>
        </w:tc>
        <w:tc>
          <w:tcPr>
            <w:tcW w:w="330" w:type="dxa"/>
            <w:shd w:val="clear" w:color="auto" w:fill="auto"/>
            <w:noWrap/>
            <w:textDirection w:val="btLr"/>
            <w:vAlign w:val="bottom"/>
            <w:hideMark/>
          </w:tcPr>
          <w:p w14:paraId="5729BC21" w14:textId="77777777" w:rsidR="00663FC5" w:rsidRPr="00E76B8A" w:rsidRDefault="00663FC5" w:rsidP="00E76B8A">
            <w:pPr>
              <w:pStyle w:val="Tables"/>
              <w:rPr>
                <w:sz w:val="20"/>
                <w:szCs w:val="20"/>
              </w:rPr>
            </w:pPr>
            <w:r w:rsidRPr="00E76B8A">
              <w:rPr>
                <w:sz w:val="20"/>
                <w:szCs w:val="20"/>
              </w:rPr>
              <w:t>Anhydrosugar: unknown (72)</w:t>
            </w:r>
          </w:p>
        </w:tc>
        <w:tc>
          <w:tcPr>
            <w:tcW w:w="330" w:type="dxa"/>
            <w:shd w:val="clear" w:color="auto" w:fill="auto"/>
            <w:noWrap/>
            <w:textDirection w:val="btLr"/>
            <w:vAlign w:val="bottom"/>
            <w:hideMark/>
          </w:tcPr>
          <w:p w14:paraId="7723173A" w14:textId="77777777" w:rsidR="00663FC5" w:rsidRPr="00E76B8A" w:rsidRDefault="00663FC5" w:rsidP="00E76B8A">
            <w:pPr>
              <w:pStyle w:val="Tables"/>
              <w:rPr>
                <w:sz w:val="20"/>
                <w:szCs w:val="20"/>
              </w:rPr>
            </w:pPr>
            <w:r w:rsidRPr="00E76B8A">
              <w:rPr>
                <w:sz w:val="20"/>
                <w:szCs w:val="20"/>
              </w:rPr>
              <w:t>1,4:3,6-Dianhydro-glucopyranose (83)</w:t>
            </w:r>
          </w:p>
        </w:tc>
        <w:tc>
          <w:tcPr>
            <w:tcW w:w="330" w:type="dxa"/>
            <w:shd w:val="clear" w:color="auto" w:fill="auto"/>
            <w:noWrap/>
            <w:textDirection w:val="btLr"/>
            <w:vAlign w:val="bottom"/>
            <w:hideMark/>
          </w:tcPr>
          <w:p w14:paraId="183EF2BA" w14:textId="77777777" w:rsidR="00663FC5" w:rsidRPr="00E76B8A" w:rsidRDefault="00663FC5" w:rsidP="00E76B8A">
            <w:pPr>
              <w:pStyle w:val="Tables"/>
              <w:rPr>
                <w:sz w:val="20"/>
                <w:szCs w:val="20"/>
              </w:rPr>
            </w:pPr>
            <w:r w:rsidRPr="00E76B8A">
              <w:rPr>
                <w:sz w:val="20"/>
                <w:szCs w:val="20"/>
              </w:rPr>
              <w:t>1,5-Anhydro-arabinofuranose (84)</w:t>
            </w:r>
          </w:p>
        </w:tc>
        <w:tc>
          <w:tcPr>
            <w:tcW w:w="331" w:type="dxa"/>
            <w:shd w:val="clear" w:color="auto" w:fill="auto"/>
            <w:noWrap/>
            <w:textDirection w:val="btLr"/>
            <w:vAlign w:val="bottom"/>
            <w:hideMark/>
          </w:tcPr>
          <w:p w14:paraId="41F2775A" w14:textId="77777777" w:rsidR="00663FC5" w:rsidRPr="00E76B8A" w:rsidRDefault="00663FC5" w:rsidP="00E76B8A">
            <w:pPr>
              <w:pStyle w:val="Tables"/>
              <w:rPr>
                <w:sz w:val="20"/>
                <w:szCs w:val="20"/>
              </w:rPr>
            </w:pPr>
            <w:r w:rsidRPr="00E76B8A">
              <w:rPr>
                <w:sz w:val="20"/>
                <w:szCs w:val="20"/>
              </w:rPr>
              <w:t>Anhydro-pento-faranose: unknown (92)</w:t>
            </w:r>
          </w:p>
        </w:tc>
        <w:tc>
          <w:tcPr>
            <w:tcW w:w="331" w:type="dxa"/>
            <w:shd w:val="clear" w:color="auto" w:fill="auto"/>
            <w:noWrap/>
            <w:textDirection w:val="btLr"/>
            <w:vAlign w:val="bottom"/>
            <w:hideMark/>
          </w:tcPr>
          <w:p w14:paraId="0DD990DD" w14:textId="77777777" w:rsidR="00663FC5" w:rsidRPr="00E76B8A" w:rsidRDefault="00663FC5" w:rsidP="00E76B8A">
            <w:pPr>
              <w:pStyle w:val="Tables"/>
              <w:rPr>
                <w:sz w:val="20"/>
                <w:szCs w:val="20"/>
              </w:rPr>
            </w:pPr>
            <w:r w:rsidRPr="00E76B8A">
              <w:rPr>
                <w:sz w:val="20"/>
                <w:szCs w:val="20"/>
              </w:rPr>
              <w:t>Unknown anhydrosugar (OU)</w:t>
            </w:r>
          </w:p>
        </w:tc>
        <w:tc>
          <w:tcPr>
            <w:tcW w:w="331" w:type="dxa"/>
            <w:shd w:val="clear" w:color="auto" w:fill="auto"/>
            <w:noWrap/>
            <w:textDirection w:val="btLr"/>
            <w:vAlign w:val="bottom"/>
            <w:hideMark/>
          </w:tcPr>
          <w:p w14:paraId="6E97279A" w14:textId="694999C8" w:rsidR="00663FC5" w:rsidRPr="00E76B8A" w:rsidRDefault="00663FC5" w:rsidP="00E76B8A">
            <w:pPr>
              <w:pStyle w:val="Tables"/>
              <w:rPr>
                <w:sz w:val="20"/>
                <w:szCs w:val="20"/>
              </w:rPr>
            </w:pPr>
          </w:p>
        </w:tc>
        <w:tc>
          <w:tcPr>
            <w:tcW w:w="331" w:type="dxa"/>
            <w:shd w:val="clear" w:color="auto" w:fill="auto"/>
            <w:noWrap/>
            <w:textDirection w:val="btLr"/>
            <w:vAlign w:val="bottom"/>
            <w:hideMark/>
          </w:tcPr>
          <w:p w14:paraId="37D73D6D" w14:textId="77777777" w:rsidR="00663FC5" w:rsidRPr="00663FC5" w:rsidRDefault="00663FC5" w:rsidP="00E76B8A">
            <w:pPr>
              <w:pStyle w:val="Tables"/>
              <w:rPr>
                <w:b/>
                <w:sz w:val="20"/>
                <w:szCs w:val="20"/>
                <w:u w:val="single"/>
              </w:rPr>
            </w:pPr>
            <w:r w:rsidRPr="00663FC5">
              <w:rPr>
                <w:b/>
                <w:sz w:val="20"/>
                <w:szCs w:val="20"/>
                <w:u w:val="single"/>
              </w:rPr>
              <w:t xml:space="preserve">Methoxyphenols </w:t>
            </w:r>
          </w:p>
        </w:tc>
        <w:tc>
          <w:tcPr>
            <w:tcW w:w="331" w:type="dxa"/>
            <w:shd w:val="clear" w:color="auto" w:fill="auto"/>
            <w:noWrap/>
            <w:textDirection w:val="btLr"/>
            <w:vAlign w:val="bottom"/>
            <w:hideMark/>
          </w:tcPr>
          <w:p w14:paraId="575C4973" w14:textId="77777777" w:rsidR="00663FC5" w:rsidRPr="00E76B8A" w:rsidRDefault="00663FC5" w:rsidP="00E76B8A">
            <w:pPr>
              <w:pStyle w:val="Tables"/>
              <w:rPr>
                <w:sz w:val="20"/>
                <w:szCs w:val="20"/>
              </w:rPr>
            </w:pPr>
            <w:r w:rsidRPr="00E76B8A">
              <w:rPr>
                <w:sz w:val="20"/>
                <w:szCs w:val="20"/>
              </w:rPr>
              <w:t>Guaiacol (L24)</w:t>
            </w:r>
          </w:p>
        </w:tc>
        <w:tc>
          <w:tcPr>
            <w:tcW w:w="331" w:type="dxa"/>
            <w:shd w:val="clear" w:color="auto" w:fill="auto"/>
            <w:noWrap/>
            <w:textDirection w:val="btLr"/>
            <w:vAlign w:val="bottom"/>
            <w:hideMark/>
          </w:tcPr>
          <w:p w14:paraId="0A7AAC3A" w14:textId="77777777" w:rsidR="00663FC5" w:rsidRPr="00E76B8A" w:rsidRDefault="00663FC5" w:rsidP="00E76B8A">
            <w:pPr>
              <w:pStyle w:val="Tables"/>
              <w:rPr>
                <w:sz w:val="20"/>
                <w:szCs w:val="20"/>
              </w:rPr>
            </w:pPr>
            <w:r w:rsidRPr="00E76B8A">
              <w:rPr>
                <w:sz w:val="20"/>
                <w:szCs w:val="20"/>
              </w:rPr>
              <w:t>Guaiacol, 4-methyl- (L34)</w:t>
            </w:r>
          </w:p>
        </w:tc>
        <w:tc>
          <w:tcPr>
            <w:tcW w:w="331" w:type="dxa"/>
            <w:gridSpan w:val="2"/>
            <w:shd w:val="clear" w:color="auto" w:fill="auto"/>
            <w:noWrap/>
            <w:textDirection w:val="btLr"/>
            <w:vAlign w:val="bottom"/>
            <w:hideMark/>
          </w:tcPr>
          <w:p w14:paraId="1F2DF2AE" w14:textId="77777777" w:rsidR="00663FC5" w:rsidRPr="00E76B8A" w:rsidRDefault="00663FC5" w:rsidP="00E76B8A">
            <w:pPr>
              <w:pStyle w:val="Tables"/>
              <w:rPr>
                <w:sz w:val="20"/>
                <w:szCs w:val="20"/>
              </w:rPr>
            </w:pPr>
            <w:r w:rsidRPr="00E76B8A">
              <w:rPr>
                <w:sz w:val="20"/>
                <w:szCs w:val="20"/>
              </w:rPr>
              <w:t>Guaiacol, 4-ethyl- (L40)</w:t>
            </w:r>
          </w:p>
        </w:tc>
        <w:tc>
          <w:tcPr>
            <w:tcW w:w="330" w:type="dxa"/>
            <w:shd w:val="clear" w:color="auto" w:fill="auto"/>
            <w:noWrap/>
            <w:textDirection w:val="btLr"/>
            <w:vAlign w:val="bottom"/>
            <w:hideMark/>
          </w:tcPr>
          <w:p w14:paraId="40C3CD3C" w14:textId="77777777" w:rsidR="00663FC5" w:rsidRPr="00E76B8A" w:rsidRDefault="00663FC5" w:rsidP="00E76B8A">
            <w:pPr>
              <w:pStyle w:val="Tables"/>
              <w:rPr>
                <w:sz w:val="20"/>
                <w:szCs w:val="20"/>
              </w:rPr>
            </w:pPr>
            <w:r w:rsidRPr="00E76B8A">
              <w:rPr>
                <w:sz w:val="20"/>
                <w:szCs w:val="20"/>
              </w:rPr>
              <w:t>Guaiacol, 4-vinyl- (L38)</w:t>
            </w:r>
          </w:p>
        </w:tc>
        <w:tc>
          <w:tcPr>
            <w:tcW w:w="332" w:type="dxa"/>
            <w:shd w:val="clear" w:color="auto" w:fill="auto"/>
            <w:noWrap/>
            <w:textDirection w:val="btLr"/>
            <w:vAlign w:val="bottom"/>
            <w:hideMark/>
          </w:tcPr>
          <w:p w14:paraId="32A55056" w14:textId="77777777" w:rsidR="00663FC5" w:rsidRPr="00E76B8A" w:rsidRDefault="00663FC5" w:rsidP="00E76B8A">
            <w:pPr>
              <w:pStyle w:val="Tables"/>
              <w:rPr>
                <w:sz w:val="20"/>
                <w:szCs w:val="20"/>
              </w:rPr>
            </w:pPr>
            <w:r w:rsidRPr="00E76B8A">
              <w:rPr>
                <w:sz w:val="20"/>
                <w:szCs w:val="20"/>
              </w:rPr>
              <w:t>Eugenol (L45)</w:t>
            </w:r>
          </w:p>
        </w:tc>
        <w:tc>
          <w:tcPr>
            <w:tcW w:w="331" w:type="dxa"/>
            <w:shd w:val="clear" w:color="auto" w:fill="auto"/>
            <w:noWrap/>
            <w:textDirection w:val="btLr"/>
            <w:vAlign w:val="bottom"/>
          </w:tcPr>
          <w:p w14:paraId="0B07CF68" w14:textId="479D6E63" w:rsidR="00663FC5" w:rsidRPr="00E76B8A" w:rsidRDefault="00663FC5" w:rsidP="00E76B8A">
            <w:pPr>
              <w:pStyle w:val="Tables"/>
              <w:rPr>
                <w:sz w:val="20"/>
                <w:szCs w:val="20"/>
              </w:rPr>
            </w:pPr>
            <w:r w:rsidRPr="00E76B8A">
              <w:rPr>
                <w:sz w:val="20"/>
                <w:szCs w:val="20"/>
              </w:rPr>
              <w:t>Isoeugenol (cis) (L46)</w:t>
            </w:r>
          </w:p>
        </w:tc>
        <w:tc>
          <w:tcPr>
            <w:tcW w:w="331" w:type="dxa"/>
            <w:shd w:val="clear" w:color="auto" w:fill="auto"/>
            <w:noWrap/>
            <w:textDirection w:val="btLr"/>
            <w:vAlign w:val="bottom"/>
          </w:tcPr>
          <w:p w14:paraId="45AC8C4B" w14:textId="2AD0D530" w:rsidR="00663FC5" w:rsidRPr="00E76B8A" w:rsidRDefault="00663FC5" w:rsidP="00E76B8A">
            <w:pPr>
              <w:pStyle w:val="Tables"/>
              <w:rPr>
                <w:sz w:val="20"/>
                <w:szCs w:val="20"/>
              </w:rPr>
            </w:pPr>
            <w:r w:rsidRPr="00E76B8A">
              <w:rPr>
                <w:sz w:val="20"/>
                <w:szCs w:val="20"/>
              </w:rPr>
              <w:t>Syringol (L42)</w:t>
            </w:r>
          </w:p>
        </w:tc>
        <w:tc>
          <w:tcPr>
            <w:tcW w:w="331" w:type="dxa"/>
            <w:shd w:val="clear" w:color="auto" w:fill="auto"/>
            <w:noWrap/>
            <w:textDirection w:val="btLr"/>
            <w:vAlign w:val="bottom"/>
          </w:tcPr>
          <w:p w14:paraId="078EE5FA" w14:textId="288F68E8" w:rsidR="00663FC5" w:rsidRPr="00E76B8A" w:rsidRDefault="00663FC5" w:rsidP="00E76B8A">
            <w:pPr>
              <w:pStyle w:val="Tables"/>
              <w:rPr>
                <w:sz w:val="20"/>
                <w:szCs w:val="20"/>
              </w:rPr>
            </w:pPr>
            <w:r w:rsidRPr="00E76B8A">
              <w:rPr>
                <w:sz w:val="20"/>
                <w:szCs w:val="20"/>
              </w:rPr>
              <w:t>Syringol, 4-methyl- (L51)</w:t>
            </w:r>
          </w:p>
        </w:tc>
        <w:tc>
          <w:tcPr>
            <w:tcW w:w="331" w:type="dxa"/>
            <w:shd w:val="clear" w:color="auto" w:fill="auto"/>
            <w:noWrap/>
            <w:textDirection w:val="btLr"/>
            <w:vAlign w:val="bottom"/>
          </w:tcPr>
          <w:p w14:paraId="10195B4D" w14:textId="20B85749" w:rsidR="00663FC5" w:rsidRPr="00E76B8A" w:rsidRDefault="00663FC5" w:rsidP="00E76B8A">
            <w:pPr>
              <w:pStyle w:val="Tables"/>
              <w:rPr>
                <w:sz w:val="20"/>
                <w:szCs w:val="20"/>
              </w:rPr>
            </w:pPr>
            <w:r w:rsidRPr="00E76B8A">
              <w:rPr>
                <w:sz w:val="20"/>
                <w:szCs w:val="20"/>
              </w:rPr>
              <w:t>Vanillin (L41)</w:t>
            </w:r>
          </w:p>
        </w:tc>
        <w:tc>
          <w:tcPr>
            <w:tcW w:w="331" w:type="dxa"/>
            <w:shd w:val="clear" w:color="auto" w:fill="auto"/>
            <w:noWrap/>
            <w:textDirection w:val="btLr"/>
            <w:vAlign w:val="bottom"/>
          </w:tcPr>
          <w:p w14:paraId="37D04448" w14:textId="5AF95E8A" w:rsidR="00663FC5" w:rsidRPr="00E76B8A" w:rsidRDefault="00663FC5" w:rsidP="00E76B8A">
            <w:pPr>
              <w:pStyle w:val="Tables"/>
              <w:rPr>
                <w:sz w:val="20"/>
                <w:szCs w:val="20"/>
              </w:rPr>
            </w:pPr>
            <w:r w:rsidRPr="00E76B8A">
              <w:rPr>
                <w:sz w:val="20"/>
                <w:szCs w:val="20"/>
              </w:rPr>
              <w:t>Homovanillin (L42)</w:t>
            </w:r>
          </w:p>
        </w:tc>
        <w:tc>
          <w:tcPr>
            <w:tcW w:w="331" w:type="dxa"/>
            <w:shd w:val="clear" w:color="auto" w:fill="auto"/>
            <w:noWrap/>
            <w:textDirection w:val="btLr"/>
            <w:vAlign w:val="bottom"/>
          </w:tcPr>
          <w:p w14:paraId="4BD8578C" w14:textId="2BACB7DD" w:rsidR="00663FC5" w:rsidRPr="00E76B8A" w:rsidRDefault="00663FC5" w:rsidP="00E76B8A">
            <w:pPr>
              <w:pStyle w:val="Tables"/>
              <w:rPr>
                <w:sz w:val="20"/>
                <w:szCs w:val="20"/>
              </w:rPr>
            </w:pPr>
            <w:r w:rsidRPr="00E76B8A">
              <w:rPr>
                <w:sz w:val="20"/>
                <w:szCs w:val="20"/>
              </w:rPr>
              <w:t>Syringol, 4-ethyl- (L62)</w:t>
            </w:r>
          </w:p>
        </w:tc>
        <w:tc>
          <w:tcPr>
            <w:tcW w:w="331" w:type="dxa"/>
            <w:shd w:val="clear" w:color="auto" w:fill="auto"/>
            <w:noWrap/>
            <w:textDirection w:val="btLr"/>
            <w:vAlign w:val="bottom"/>
          </w:tcPr>
          <w:p w14:paraId="45A36416" w14:textId="1C166A0F" w:rsidR="00663FC5" w:rsidRPr="00E76B8A" w:rsidRDefault="00663FC5" w:rsidP="00E76B8A">
            <w:pPr>
              <w:pStyle w:val="Tables"/>
              <w:rPr>
                <w:sz w:val="20"/>
                <w:szCs w:val="20"/>
              </w:rPr>
            </w:pPr>
            <w:r w:rsidRPr="00E76B8A">
              <w:rPr>
                <w:sz w:val="20"/>
                <w:szCs w:val="20"/>
              </w:rPr>
              <w:t>Acetoguaiacone (L50)</w:t>
            </w:r>
          </w:p>
        </w:tc>
        <w:tc>
          <w:tcPr>
            <w:tcW w:w="331" w:type="dxa"/>
            <w:shd w:val="clear" w:color="auto" w:fill="auto"/>
            <w:noWrap/>
            <w:textDirection w:val="btLr"/>
            <w:vAlign w:val="bottom"/>
          </w:tcPr>
          <w:p w14:paraId="28436BBF" w14:textId="22EF93F3" w:rsidR="00663FC5" w:rsidRPr="00E76B8A" w:rsidRDefault="00663FC5" w:rsidP="00E76B8A">
            <w:pPr>
              <w:pStyle w:val="Tables"/>
              <w:rPr>
                <w:sz w:val="20"/>
                <w:szCs w:val="20"/>
              </w:rPr>
            </w:pPr>
            <w:r w:rsidRPr="00E76B8A">
              <w:rPr>
                <w:sz w:val="20"/>
                <w:szCs w:val="20"/>
              </w:rPr>
              <w:t>Syringol, 4-vinyl- (L55)</w:t>
            </w:r>
          </w:p>
        </w:tc>
        <w:tc>
          <w:tcPr>
            <w:tcW w:w="331" w:type="dxa"/>
            <w:shd w:val="clear" w:color="auto" w:fill="auto"/>
            <w:noWrap/>
            <w:textDirection w:val="btLr"/>
            <w:vAlign w:val="bottom"/>
          </w:tcPr>
          <w:p w14:paraId="3D894A5D" w14:textId="5C0B843A" w:rsidR="00663FC5" w:rsidRPr="00E76B8A" w:rsidRDefault="00663FC5" w:rsidP="00E76B8A">
            <w:pPr>
              <w:pStyle w:val="Tables"/>
              <w:rPr>
                <w:sz w:val="20"/>
                <w:szCs w:val="20"/>
              </w:rPr>
            </w:pPr>
            <w:r w:rsidRPr="00E76B8A">
              <w:rPr>
                <w:sz w:val="20"/>
                <w:szCs w:val="20"/>
              </w:rPr>
              <w:t>Guaiacyl Acetone (L56)</w:t>
            </w:r>
          </w:p>
        </w:tc>
        <w:tc>
          <w:tcPr>
            <w:tcW w:w="331" w:type="dxa"/>
            <w:shd w:val="clear" w:color="auto" w:fill="auto"/>
            <w:noWrap/>
            <w:textDirection w:val="btLr"/>
            <w:vAlign w:val="bottom"/>
          </w:tcPr>
          <w:p w14:paraId="56F6B2AB" w14:textId="40DC92B1" w:rsidR="00663FC5" w:rsidRPr="00E76B8A" w:rsidRDefault="00663FC5" w:rsidP="00E76B8A">
            <w:pPr>
              <w:pStyle w:val="Tables"/>
              <w:rPr>
                <w:sz w:val="20"/>
                <w:szCs w:val="20"/>
              </w:rPr>
            </w:pPr>
            <w:r w:rsidRPr="00E76B8A">
              <w:rPr>
                <w:sz w:val="20"/>
                <w:szCs w:val="20"/>
              </w:rPr>
              <w:t>Syringol, 4-propenyl- (trans) (L70)</w:t>
            </w:r>
          </w:p>
        </w:tc>
        <w:tc>
          <w:tcPr>
            <w:tcW w:w="331" w:type="dxa"/>
            <w:shd w:val="clear" w:color="auto" w:fill="auto"/>
            <w:noWrap/>
            <w:textDirection w:val="btLr"/>
            <w:vAlign w:val="bottom"/>
            <w:hideMark/>
          </w:tcPr>
          <w:p w14:paraId="51311EA4" w14:textId="68F4602C" w:rsidR="00663FC5" w:rsidRPr="00E76B8A" w:rsidRDefault="00663FC5" w:rsidP="00E76B8A">
            <w:pPr>
              <w:pStyle w:val="Tables"/>
              <w:rPr>
                <w:sz w:val="20"/>
                <w:szCs w:val="20"/>
              </w:rPr>
            </w:pPr>
            <w:r w:rsidRPr="00E76B8A">
              <w:rPr>
                <w:sz w:val="20"/>
                <w:szCs w:val="20"/>
              </w:rPr>
              <w:t>Syringol, 4-propenyl- (cis) (L69)</w:t>
            </w:r>
          </w:p>
        </w:tc>
        <w:tc>
          <w:tcPr>
            <w:tcW w:w="276" w:type="dxa"/>
            <w:shd w:val="clear" w:color="auto" w:fill="auto"/>
            <w:noWrap/>
            <w:textDirection w:val="btLr"/>
            <w:vAlign w:val="bottom"/>
          </w:tcPr>
          <w:p w14:paraId="64714F38" w14:textId="234BCDA7" w:rsidR="00663FC5" w:rsidRPr="00E76B8A" w:rsidRDefault="00663FC5" w:rsidP="00E76B8A">
            <w:pPr>
              <w:pStyle w:val="Tables"/>
              <w:rPr>
                <w:sz w:val="20"/>
                <w:szCs w:val="20"/>
              </w:rPr>
            </w:pPr>
          </w:p>
        </w:tc>
        <w:tc>
          <w:tcPr>
            <w:tcW w:w="276" w:type="dxa"/>
            <w:shd w:val="clear" w:color="auto" w:fill="auto"/>
            <w:noWrap/>
            <w:textDirection w:val="btLr"/>
            <w:vAlign w:val="bottom"/>
          </w:tcPr>
          <w:p w14:paraId="69F908C8" w14:textId="345E5E13" w:rsidR="00663FC5" w:rsidRPr="00E76B8A" w:rsidRDefault="00663FC5" w:rsidP="00E76B8A">
            <w:pPr>
              <w:pStyle w:val="Tables"/>
              <w:rPr>
                <w:sz w:val="20"/>
                <w:szCs w:val="20"/>
              </w:rPr>
            </w:pPr>
          </w:p>
        </w:tc>
      </w:tr>
      <w:tr w:rsidR="00ED4E67" w:rsidRPr="00E76B8A" w14:paraId="5DC80E87" w14:textId="77777777" w:rsidTr="00ED4E67">
        <w:trPr>
          <w:trHeight w:val="3727"/>
        </w:trPr>
        <w:tc>
          <w:tcPr>
            <w:tcW w:w="324" w:type="dxa"/>
            <w:shd w:val="clear" w:color="auto" w:fill="auto"/>
            <w:noWrap/>
            <w:textDirection w:val="btLr"/>
            <w:vAlign w:val="bottom"/>
            <w:hideMark/>
          </w:tcPr>
          <w:p w14:paraId="620EE955" w14:textId="77777777" w:rsidR="00663FC5" w:rsidRPr="00663FC5" w:rsidRDefault="00663FC5" w:rsidP="00E76B8A">
            <w:pPr>
              <w:pStyle w:val="Tables"/>
              <w:rPr>
                <w:b/>
                <w:sz w:val="20"/>
                <w:szCs w:val="20"/>
                <w:u w:val="single"/>
              </w:rPr>
            </w:pPr>
            <w:r w:rsidRPr="00663FC5">
              <w:rPr>
                <w:b/>
                <w:sz w:val="20"/>
                <w:szCs w:val="20"/>
                <w:u w:val="single"/>
              </w:rPr>
              <w:t xml:space="preserve">Furfurals </w:t>
            </w:r>
          </w:p>
        </w:tc>
        <w:tc>
          <w:tcPr>
            <w:tcW w:w="330" w:type="dxa"/>
            <w:shd w:val="clear" w:color="auto" w:fill="auto"/>
            <w:noWrap/>
            <w:textDirection w:val="btLr"/>
            <w:vAlign w:val="bottom"/>
            <w:hideMark/>
          </w:tcPr>
          <w:p w14:paraId="711A5963" w14:textId="77777777" w:rsidR="00663FC5" w:rsidRPr="00E76B8A" w:rsidRDefault="00663FC5" w:rsidP="00E76B8A">
            <w:pPr>
              <w:pStyle w:val="Tables"/>
              <w:rPr>
                <w:sz w:val="20"/>
                <w:szCs w:val="20"/>
              </w:rPr>
            </w:pPr>
            <w:r w:rsidRPr="00E76B8A">
              <w:rPr>
                <w:sz w:val="20"/>
                <w:szCs w:val="20"/>
              </w:rPr>
              <w:t>Furan (6)</w:t>
            </w:r>
          </w:p>
        </w:tc>
        <w:tc>
          <w:tcPr>
            <w:tcW w:w="330" w:type="dxa"/>
            <w:shd w:val="clear" w:color="auto" w:fill="auto"/>
            <w:noWrap/>
            <w:textDirection w:val="btLr"/>
            <w:vAlign w:val="bottom"/>
            <w:hideMark/>
          </w:tcPr>
          <w:p w14:paraId="1AE4204E" w14:textId="77777777" w:rsidR="00663FC5" w:rsidRPr="00E76B8A" w:rsidRDefault="00663FC5" w:rsidP="00E76B8A">
            <w:pPr>
              <w:pStyle w:val="Tables"/>
              <w:rPr>
                <w:sz w:val="20"/>
                <w:szCs w:val="20"/>
              </w:rPr>
            </w:pPr>
            <w:r w:rsidRPr="00E76B8A">
              <w:rPr>
                <w:sz w:val="20"/>
                <w:szCs w:val="20"/>
              </w:rPr>
              <w:t>(2H)-Furan-3-one (29)</w:t>
            </w:r>
          </w:p>
        </w:tc>
        <w:tc>
          <w:tcPr>
            <w:tcW w:w="330" w:type="dxa"/>
            <w:shd w:val="clear" w:color="auto" w:fill="auto"/>
            <w:noWrap/>
            <w:textDirection w:val="btLr"/>
            <w:vAlign w:val="bottom"/>
            <w:hideMark/>
          </w:tcPr>
          <w:p w14:paraId="3CB81532" w14:textId="77777777" w:rsidR="00663FC5" w:rsidRPr="00E76B8A" w:rsidRDefault="00663FC5" w:rsidP="00E76B8A">
            <w:pPr>
              <w:pStyle w:val="Tables"/>
              <w:rPr>
                <w:sz w:val="20"/>
                <w:szCs w:val="20"/>
              </w:rPr>
            </w:pPr>
            <w:r w:rsidRPr="00E76B8A">
              <w:rPr>
                <w:sz w:val="20"/>
                <w:szCs w:val="20"/>
              </w:rPr>
              <w:t>3-Furaldehyde (30)</w:t>
            </w:r>
          </w:p>
        </w:tc>
        <w:tc>
          <w:tcPr>
            <w:tcW w:w="331" w:type="dxa"/>
            <w:shd w:val="clear" w:color="auto" w:fill="auto"/>
            <w:noWrap/>
            <w:textDirection w:val="btLr"/>
            <w:vAlign w:val="bottom"/>
            <w:hideMark/>
          </w:tcPr>
          <w:p w14:paraId="7D11F63A" w14:textId="77777777" w:rsidR="00663FC5" w:rsidRPr="00E76B8A" w:rsidRDefault="00663FC5" w:rsidP="00E76B8A">
            <w:pPr>
              <w:pStyle w:val="Tables"/>
              <w:rPr>
                <w:sz w:val="20"/>
                <w:szCs w:val="20"/>
              </w:rPr>
            </w:pPr>
            <w:r w:rsidRPr="00E76B8A">
              <w:rPr>
                <w:sz w:val="20"/>
                <w:szCs w:val="20"/>
              </w:rPr>
              <w:t>2-Furaldehyde (34)</w:t>
            </w:r>
          </w:p>
        </w:tc>
        <w:tc>
          <w:tcPr>
            <w:tcW w:w="331" w:type="dxa"/>
            <w:shd w:val="clear" w:color="auto" w:fill="auto"/>
            <w:noWrap/>
            <w:textDirection w:val="btLr"/>
            <w:vAlign w:val="bottom"/>
            <w:hideMark/>
          </w:tcPr>
          <w:p w14:paraId="352011D2" w14:textId="77777777" w:rsidR="00663FC5" w:rsidRPr="00E76B8A" w:rsidRDefault="00663FC5" w:rsidP="00E76B8A">
            <w:pPr>
              <w:pStyle w:val="Tables"/>
              <w:rPr>
                <w:sz w:val="20"/>
                <w:szCs w:val="20"/>
              </w:rPr>
            </w:pPr>
            <w:r w:rsidRPr="00E76B8A">
              <w:rPr>
                <w:sz w:val="20"/>
                <w:szCs w:val="20"/>
              </w:rPr>
              <w:t>2,3-Dihydro-5-methylfuran-2-one (36)</w:t>
            </w:r>
          </w:p>
        </w:tc>
        <w:tc>
          <w:tcPr>
            <w:tcW w:w="331" w:type="dxa"/>
            <w:shd w:val="clear" w:color="auto" w:fill="auto"/>
            <w:noWrap/>
            <w:textDirection w:val="btLr"/>
            <w:vAlign w:val="bottom"/>
            <w:hideMark/>
          </w:tcPr>
          <w:p w14:paraId="2A587DC8" w14:textId="77777777" w:rsidR="00663FC5" w:rsidRPr="00E76B8A" w:rsidRDefault="00663FC5" w:rsidP="00E76B8A">
            <w:pPr>
              <w:pStyle w:val="Tables"/>
              <w:rPr>
                <w:sz w:val="20"/>
                <w:szCs w:val="20"/>
              </w:rPr>
            </w:pPr>
            <w:r w:rsidRPr="00E76B8A">
              <w:rPr>
                <w:sz w:val="20"/>
                <w:szCs w:val="20"/>
              </w:rPr>
              <w:t>4-Cyclopentene-1,3-dione (44)</w:t>
            </w:r>
          </w:p>
        </w:tc>
        <w:tc>
          <w:tcPr>
            <w:tcW w:w="331" w:type="dxa"/>
            <w:shd w:val="clear" w:color="auto" w:fill="auto"/>
            <w:noWrap/>
            <w:textDirection w:val="btLr"/>
            <w:vAlign w:val="bottom"/>
            <w:hideMark/>
          </w:tcPr>
          <w:p w14:paraId="1FDE28FE" w14:textId="77777777" w:rsidR="00663FC5" w:rsidRPr="00E76B8A" w:rsidRDefault="00663FC5" w:rsidP="00E76B8A">
            <w:pPr>
              <w:pStyle w:val="Tables"/>
              <w:rPr>
                <w:sz w:val="20"/>
                <w:szCs w:val="20"/>
              </w:rPr>
            </w:pPr>
            <w:r w:rsidRPr="00E76B8A">
              <w:rPr>
                <w:sz w:val="20"/>
                <w:szCs w:val="20"/>
              </w:rPr>
              <w:t>Dihydro-methyl-furanone (47)</w:t>
            </w:r>
          </w:p>
        </w:tc>
        <w:tc>
          <w:tcPr>
            <w:tcW w:w="331" w:type="dxa"/>
            <w:shd w:val="clear" w:color="auto" w:fill="auto"/>
            <w:noWrap/>
            <w:textDirection w:val="btLr"/>
            <w:vAlign w:val="bottom"/>
            <w:hideMark/>
          </w:tcPr>
          <w:p w14:paraId="28D748C1" w14:textId="77777777" w:rsidR="00663FC5" w:rsidRPr="00E76B8A" w:rsidRDefault="00663FC5" w:rsidP="00E76B8A">
            <w:pPr>
              <w:pStyle w:val="Tables"/>
              <w:rPr>
                <w:sz w:val="20"/>
                <w:szCs w:val="20"/>
              </w:rPr>
            </w:pPr>
            <w:r w:rsidRPr="00E76B8A">
              <w:rPr>
                <w:sz w:val="20"/>
                <w:szCs w:val="20"/>
              </w:rPr>
              <w:t>Dihydro-methyl-furanone (48)</w:t>
            </w:r>
          </w:p>
        </w:tc>
        <w:tc>
          <w:tcPr>
            <w:tcW w:w="362" w:type="dxa"/>
            <w:gridSpan w:val="2"/>
            <w:shd w:val="clear" w:color="auto" w:fill="auto"/>
            <w:noWrap/>
            <w:textDirection w:val="btLr"/>
            <w:vAlign w:val="bottom"/>
            <w:hideMark/>
          </w:tcPr>
          <w:p w14:paraId="660EDB98" w14:textId="77777777" w:rsidR="00663FC5" w:rsidRPr="00E76B8A" w:rsidRDefault="00663FC5" w:rsidP="00E76B8A">
            <w:pPr>
              <w:pStyle w:val="Tables"/>
              <w:rPr>
                <w:sz w:val="20"/>
                <w:szCs w:val="20"/>
              </w:rPr>
            </w:pPr>
            <w:r w:rsidRPr="00E76B8A">
              <w:rPr>
                <w:sz w:val="20"/>
                <w:szCs w:val="20"/>
              </w:rPr>
              <w:t>(5H)-Furan-2-one (54)</w:t>
            </w:r>
          </w:p>
        </w:tc>
        <w:tc>
          <w:tcPr>
            <w:tcW w:w="630" w:type="dxa"/>
            <w:gridSpan w:val="2"/>
            <w:shd w:val="clear" w:color="auto" w:fill="auto"/>
            <w:noWrap/>
            <w:textDirection w:val="btLr"/>
            <w:vAlign w:val="bottom"/>
            <w:hideMark/>
          </w:tcPr>
          <w:p w14:paraId="40E32E3D" w14:textId="3A0E3AD5" w:rsidR="00663FC5" w:rsidRPr="00E76B8A" w:rsidRDefault="00663FC5" w:rsidP="00E76B8A">
            <w:pPr>
              <w:pStyle w:val="Tables"/>
              <w:rPr>
                <w:sz w:val="20"/>
                <w:szCs w:val="20"/>
              </w:rPr>
            </w:pPr>
            <w:r w:rsidRPr="00E76B8A">
              <w:rPr>
                <w:sz w:val="20"/>
                <w:szCs w:val="20"/>
              </w:rPr>
              <w:t xml:space="preserve">Overlapping spectra (gamma-Lactone </w:t>
            </w:r>
            <w:r w:rsidR="00D83732">
              <w:rPr>
                <w:sz w:val="20"/>
                <w:szCs w:val="20"/>
              </w:rPr>
              <w:br/>
            </w:r>
            <w:r w:rsidRPr="00E76B8A">
              <w:rPr>
                <w:sz w:val="20"/>
                <w:szCs w:val="20"/>
              </w:rPr>
              <w:t>and unknown) (56)</w:t>
            </w:r>
          </w:p>
        </w:tc>
        <w:tc>
          <w:tcPr>
            <w:tcW w:w="332" w:type="dxa"/>
            <w:shd w:val="clear" w:color="auto" w:fill="auto"/>
            <w:noWrap/>
            <w:textDirection w:val="btLr"/>
            <w:vAlign w:val="bottom"/>
          </w:tcPr>
          <w:p w14:paraId="6671BFB0" w14:textId="4C3FC80D" w:rsidR="00663FC5" w:rsidRPr="00E76B8A" w:rsidRDefault="00663FC5" w:rsidP="00E76B8A">
            <w:pPr>
              <w:pStyle w:val="Tables"/>
              <w:rPr>
                <w:sz w:val="20"/>
                <w:szCs w:val="20"/>
              </w:rPr>
            </w:pPr>
            <w:r w:rsidRPr="00E76B8A">
              <w:rPr>
                <w:sz w:val="20"/>
                <w:szCs w:val="20"/>
              </w:rPr>
              <w:t>gamma-Lactone derivative: unknown (70)</w:t>
            </w:r>
          </w:p>
        </w:tc>
        <w:tc>
          <w:tcPr>
            <w:tcW w:w="331" w:type="dxa"/>
            <w:shd w:val="clear" w:color="auto" w:fill="auto"/>
            <w:noWrap/>
            <w:textDirection w:val="btLr"/>
            <w:vAlign w:val="bottom"/>
          </w:tcPr>
          <w:p w14:paraId="34D3A17F" w14:textId="45EA7563" w:rsidR="00663FC5" w:rsidRPr="00E76B8A" w:rsidRDefault="00663FC5" w:rsidP="00E76B8A">
            <w:pPr>
              <w:pStyle w:val="Tables"/>
              <w:rPr>
                <w:sz w:val="20"/>
                <w:szCs w:val="20"/>
              </w:rPr>
            </w:pPr>
            <w:r w:rsidRPr="00E76B8A">
              <w:rPr>
                <w:sz w:val="20"/>
                <w:szCs w:val="20"/>
              </w:rPr>
              <w:t>4-Hydroxy-3-methyl-(5H)-furanone (79)</w:t>
            </w:r>
          </w:p>
        </w:tc>
        <w:tc>
          <w:tcPr>
            <w:tcW w:w="331" w:type="dxa"/>
            <w:shd w:val="clear" w:color="auto" w:fill="auto"/>
            <w:noWrap/>
            <w:textDirection w:val="btLr"/>
            <w:vAlign w:val="bottom"/>
          </w:tcPr>
          <w:p w14:paraId="35E767D1" w14:textId="4EA62890" w:rsidR="00663FC5" w:rsidRPr="00E76B8A" w:rsidRDefault="00663FC5" w:rsidP="00E76B8A">
            <w:pPr>
              <w:pStyle w:val="Tables"/>
              <w:rPr>
                <w:sz w:val="20"/>
                <w:szCs w:val="20"/>
              </w:rPr>
            </w:pPr>
            <w:r w:rsidRPr="00E76B8A">
              <w:rPr>
                <w:sz w:val="20"/>
                <w:szCs w:val="20"/>
              </w:rPr>
              <w:t>5-Hydroxymethyl-2-furaldehyde (86)</w:t>
            </w:r>
          </w:p>
        </w:tc>
        <w:tc>
          <w:tcPr>
            <w:tcW w:w="331" w:type="dxa"/>
            <w:shd w:val="clear" w:color="auto" w:fill="auto"/>
            <w:noWrap/>
            <w:textDirection w:val="btLr"/>
            <w:vAlign w:val="bottom"/>
          </w:tcPr>
          <w:p w14:paraId="09869F3C" w14:textId="3B2BB43F" w:rsidR="00663FC5" w:rsidRPr="00E76B8A" w:rsidRDefault="00663FC5" w:rsidP="00E76B8A">
            <w:pPr>
              <w:pStyle w:val="Tables"/>
              <w:rPr>
                <w:sz w:val="20"/>
                <w:szCs w:val="20"/>
              </w:rPr>
            </w:pPr>
          </w:p>
        </w:tc>
        <w:tc>
          <w:tcPr>
            <w:tcW w:w="331" w:type="dxa"/>
            <w:shd w:val="clear" w:color="auto" w:fill="auto"/>
            <w:noWrap/>
            <w:textDirection w:val="btLr"/>
            <w:vAlign w:val="bottom"/>
          </w:tcPr>
          <w:p w14:paraId="0C978044" w14:textId="576EEEBC" w:rsidR="00663FC5" w:rsidRPr="00663FC5" w:rsidRDefault="00663FC5" w:rsidP="00E76B8A">
            <w:pPr>
              <w:pStyle w:val="Tables"/>
              <w:rPr>
                <w:b/>
                <w:sz w:val="20"/>
                <w:szCs w:val="20"/>
                <w:u w:val="single"/>
              </w:rPr>
            </w:pPr>
            <w:r w:rsidRPr="00663FC5">
              <w:rPr>
                <w:b/>
                <w:sz w:val="20"/>
                <w:szCs w:val="20"/>
                <w:u w:val="single"/>
              </w:rPr>
              <w:t xml:space="preserve">Levoglucosan </w:t>
            </w:r>
          </w:p>
        </w:tc>
        <w:tc>
          <w:tcPr>
            <w:tcW w:w="331" w:type="dxa"/>
            <w:shd w:val="clear" w:color="auto" w:fill="auto"/>
            <w:noWrap/>
            <w:textDirection w:val="btLr"/>
            <w:vAlign w:val="bottom"/>
          </w:tcPr>
          <w:p w14:paraId="2B205E69" w14:textId="55C974A4" w:rsidR="00663FC5" w:rsidRPr="00E76B8A" w:rsidRDefault="00663FC5" w:rsidP="00E76B8A">
            <w:pPr>
              <w:pStyle w:val="Tables"/>
              <w:rPr>
                <w:sz w:val="20"/>
                <w:szCs w:val="20"/>
              </w:rPr>
            </w:pPr>
            <w:r w:rsidRPr="00E76B8A">
              <w:rPr>
                <w:sz w:val="20"/>
                <w:szCs w:val="20"/>
              </w:rPr>
              <w:t>Levoglucosan (101)</w:t>
            </w:r>
          </w:p>
        </w:tc>
        <w:tc>
          <w:tcPr>
            <w:tcW w:w="331" w:type="dxa"/>
            <w:shd w:val="clear" w:color="auto" w:fill="auto"/>
            <w:noWrap/>
            <w:textDirection w:val="btLr"/>
            <w:vAlign w:val="bottom"/>
          </w:tcPr>
          <w:p w14:paraId="13D2B458" w14:textId="49E98B37" w:rsidR="00663FC5" w:rsidRPr="00E76B8A" w:rsidRDefault="00663FC5" w:rsidP="00E76B8A">
            <w:pPr>
              <w:pStyle w:val="Tables"/>
              <w:rPr>
                <w:sz w:val="20"/>
                <w:szCs w:val="20"/>
              </w:rPr>
            </w:pPr>
          </w:p>
        </w:tc>
        <w:tc>
          <w:tcPr>
            <w:tcW w:w="331" w:type="dxa"/>
            <w:shd w:val="clear" w:color="auto" w:fill="auto"/>
            <w:noWrap/>
            <w:textDirection w:val="btLr"/>
            <w:vAlign w:val="bottom"/>
          </w:tcPr>
          <w:p w14:paraId="155D516A" w14:textId="15732324" w:rsidR="00663FC5" w:rsidRPr="00663FC5" w:rsidRDefault="00663FC5" w:rsidP="00E76B8A">
            <w:pPr>
              <w:pStyle w:val="Tables"/>
              <w:rPr>
                <w:b/>
                <w:sz w:val="20"/>
                <w:szCs w:val="20"/>
                <w:u w:val="single"/>
              </w:rPr>
            </w:pPr>
            <w:r w:rsidRPr="00663FC5">
              <w:rPr>
                <w:b/>
                <w:sz w:val="20"/>
                <w:szCs w:val="20"/>
                <w:u w:val="single"/>
              </w:rPr>
              <w:t>Pyran Derivatives</w:t>
            </w:r>
          </w:p>
        </w:tc>
        <w:tc>
          <w:tcPr>
            <w:tcW w:w="331" w:type="dxa"/>
            <w:shd w:val="clear" w:color="auto" w:fill="auto"/>
            <w:noWrap/>
            <w:textDirection w:val="btLr"/>
            <w:vAlign w:val="bottom"/>
          </w:tcPr>
          <w:p w14:paraId="380900E3" w14:textId="2B487E4A" w:rsidR="00663FC5" w:rsidRPr="00E76B8A" w:rsidRDefault="00663FC5" w:rsidP="00E76B8A">
            <w:pPr>
              <w:pStyle w:val="Tables"/>
              <w:rPr>
                <w:sz w:val="20"/>
                <w:szCs w:val="20"/>
              </w:rPr>
            </w:pPr>
            <w:r w:rsidRPr="00E76B8A">
              <w:rPr>
                <w:sz w:val="20"/>
                <w:szCs w:val="20"/>
              </w:rPr>
              <w:t>Isomer of compound no. 57: unknown (51)</w:t>
            </w:r>
          </w:p>
        </w:tc>
        <w:tc>
          <w:tcPr>
            <w:tcW w:w="331" w:type="dxa"/>
            <w:shd w:val="clear" w:color="auto" w:fill="auto"/>
            <w:noWrap/>
            <w:textDirection w:val="btLr"/>
            <w:vAlign w:val="bottom"/>
          </w:tcPr>
          <w:p w14:paraId="4C73D2D7" w14:textId="1721AC03" w:rsidR="00663FC5" w:rsidRPr="00E76B8A" w:rsidRDefault="00663FC5" w:rsidP="00E76B8A">
            <w:pPr>
              <w:pStyle w:val="Tables"/>
              <w:rPr>
                <w:sz w:val="20"/>
                <w:szCs w:val="20"/>
              </w:rPr>
            </w:pPr>
            <w:r w:rsidRPr="00E76B8A">
              <w:rPr>
                <w:sz w:val="20"/>
                <w:szCs w:val="20"/>
              </w:rPr>
              <w:t>4-Hydroxy-5,6-dihydro-(2H)-pyran-2-one (57)</w:t>
            </w:r>
          </w:p>
        </w:tc>
        <w:tc>
          <w:tcPr>
            <w:tcW w:w="331" w:type="dxa"/>
            <w:shd w:val="clear" w:color="auto" w:fill="auto"/>
            <w:noWrap/>
            <w:textDirection w:val="btLr"/>
            <w:vAlign w:val="bottom"/>
          </w:tcPr>
          <w:p w14:paraId="126C5BCC" w14:textId="01D09B60" w:rsidR="00663FC5" w:rsidRPr="00E76B8A" w:rsidRDefault="00663FC5" w:rsidP="00E76B8A">
            <w:pPr>
              <w:pStyle w:val="Tables"/>
              <w:rPr>
                <w:sz w:val="20"/>
                <w:szCs w:val="20"/>
              </w:rPr>
            </w:pPr>
            <w:r w:rsidRPr="00E76B8A">
              <w:rPr>
                <w:sz w:val="20"/>
                <w:szCs w:val="20"/>
              </w:rPr>
              <w:t>Methyl-dihydro-(2H)-pyran-2-one (60)</w:t>
            </w:r>
          </w:p>
        </w:tc>
        <w:tc>
          <w:tcPr>
            <w:tcW w:w="607" w:type="dxa"/>
            <w:gridSpan w:val="2"/>
            <w:shd w:val="clear" w:color="auto" w:fill="auto"/>
            <w:noWrap/>
            <w:textDirection w:val="btLr"/>
            <w:vAlign w:val="bottom"/>
            <w:hideMark/>
          </w:tcPr>
          <w:p w14:paraId="43CB941A" w14:textId="5DD69B17" w:rsidR="00663FC5" w:rsidRPr="00E76B8A" w:rsidRDefault="00663FC5" w:rsidP="00E76B8A">
            <w:pPr>
              <w:pStyle w:val="Tables"/>
              <w:rPr>
                <w:sz w:val="20"/>
                <w:szCs w:val="20"/>
              </w:rPr>
            </w:pPr>
            <w:r w:rsidRPr="00E76B8A">
              <w:rPr>
                <w:sz w:val="20"/>
                <w:szCs w:val="20"/>
              </w:rPr>
              <w:t>2-Hydroxymethyl-5-hydroxy-2,3-dihydro-(4H)-pyran-4-one (91)</w:t>
            </w:r>
          </w:p>
        </w:tc>
        <w:tc>
          <w:tcPr>
            <w:tcW w:w="276" w:type="dxa"/>
            <w:shd w:val="clear" w:color="auto" w:fill="auto"/>
            <w:noWrap/>
            <w:textDirection w:val="btLr"/>
            <w:vAlign w:val="bottom"/>
            <w:hideMark/>
          </w:tcPr>
          <w:p w14:paraId="73FD76EB" w14:textId="77777777" w:rsidR="00663FC5" w:rsidRPr="00E76B8A" w:rsidRDefault="00663FC5" w:rsidP="00E76B8A">
            <w:pPr>
              <w:pStyle w:val="Tables"/>
              <w:rPr>
                <w:sz w:val="20"/>
                <w:szCs w:val="20"/>
              </w:rPr>
            </w:pPr>
          </w:p>
        </w:tc>
      </w:tr>
      <w:tr w:rsidR="00ED4E67" w:rsidRPr="00E76B8A" w14:paraId="36372886" w14:textId="77777777" w:rsidTr="00ED4E67">
        <w:trPr>
          <w:trHeight w:val="3205"/>
        </w:trPr>
        <w:tc>
          <w:tcPr>
            <w:tcW w:w="324" w:type="dxa"/>
            <w:shd w:val="clear" w:color="auto" w:fill="auto"/>
            <w:noWrap/>
            <w:textDirection w:val="btLr"/>
            <w:vAlign w:val="bottom"/>
            <w:hideMark/>
          </w:tcPr>
          <w:p w14:paraId="5EE2464E" w14:textId="77777777" w:rsidR="00663FC5" w:rsidRPr="00663FC5" w:rsidRDefault="00663FC5" w:rsidP="00E76B8A">
            <w:pPr>
              <w:pStyle w:val="Tables"/>
              <w:rPr>
                <w:b/>
                <w:sz w:val="20"/>
                <w:szCs w:val="20"/>
                <w:u w:val="single"/>
              </w:rPr>
            </w:pPr>
            <w:r w:rsidRPr="00663FC5">
              <w:rPr>
                <w:b/>
                <w:sz w:val="20"/>
                <w:szCs w:val="20"/>
                <w:u w:val="single"/>
              </w:rPr>
              <w:t xml:space="preserve">Acetic Acid </w:t>
            </w:r>
          </w:p>
        </w:tc>
        <w:tc>
          <w:tcPr>
            <w:tcW w:w="330" w:type="dxa"/>
            <w:shd w:val="clear" w:color="auto" w:fill="auto"/>
            <w:noWrap/>
            <w:textDirection w:val="btLr"/>
            <w:vAlign w:val="bottom"/>
            <w:hideMark/>
          </w:tcPr>
          <w:p w14:paraId="29B00271" w14:textId="77777777" w:rsidR="00663FC5" w:rsidRPr="00E76B8A" w:rsidRDefault="00663FC5" w:rsidP="00E76B8A">
            <w:pPr>
              <w:pStyle w:val="Tables"/>
              <w:rPr>
                <w:sz w:val="20"/>
                <w:szCs w:val="20"/>
              </w:rPr>
            </w:pPr>
            <w:r w:rsidRPr="00E76B8A">
              <w:rPr>
                <w:sz w:val="20"/>
                <w:szCs w:val="20"/>
              </w:rPr>
              <w:t>Acetic acid (18)</w:t>
            </w:r>
          </w:p>
        </w:tc>
        <w:tc>
          <w:tcPr>
            <w:tcW w:w="330" w:type="dxa"/>
            <w:shd w:val="clear" w:color="auto" w:fill="auto"/>
            <w:noWrap/>
            <w:textDirection w:val="btLr"/>
            <w:vAlign w:val="bottom"/>
            <w:hideMark/>
          </w:tcPr>
          <w:p w14:paraId="605A764D" w14:textId="77777777" w:rsidR="00663FC5" w:rsidRPr="00E76B8A" w:rsidRDefault="00663FC5" w:rsidP="00E76B8A">
            <w:pPr>
              <w:pStyle w:val="Tables"/>
              <w:rPr>
                <w:sz w:val="20"/>
                <w:szCs w:val="20"/>
              </w:rPr>
            </w:pPr>
          </w:p>
        </w:tc>
        <w:tc>
          <w:tcPr>
            <w:tcW w:w="330" w:type="dxa"/>
            <w:shd w:val="clear" w:color="auto" w:fill="auto"/>
            <w:noWrap/>
            <w:textDirection w:val="btLr"/>
            <w:vAlign w:val="bottom"/>
            <w:hideMark/>
          </w:tcPr>
          <w:p w14:paraId="09794C3B" w14:textId="77777777" w:rsidR="00663FC5" w:rsidRPr="00E76B8A" w:rsidRDefault="00663FC5" w:rsidP="00E76B8A">
            <w:pPr>
              <w:pStyle w:val="Tables"/>
              <w:rPr>
                <w:sz w:val="20"/>
                <w:szCs w:val="20"/>
              </w:rPr>
            </w:pPr>
            <w:r w:rsidRPr="00E76B8A">
              <w:rPr>
                <w:sz w:val="20"/>
                <w:szCs w:val="20"/>
              </w:rPr>
              <w:t xml:space="preserve">Alkyl Phenols </w:t>
            </w:r>
          </w:p>
        </w:tc>
        <w:tc>
          <w:tcPr>
            <w:tcW w:w="331" w:type="dxa"/>
            <w:shd w:val="clear" w:color="auto" w:fill="auto"/>
            <w:noWrap/>
            <w:textDirection w:val="btLr"/>
            <w:vAlign w:val="bottom"/>
            <w:hideMark/>
          </w:tcPr>
          <w:p w14:paraId="0D6E2843" w14:textId="77777777" w:rsidR="00663FC5" w:rsidRPr="00E76B8A" w:rsidRDefault="00663FC5" w:rsidP="00E76B8A">
            <w:pPr>
              <w:pStyle w:val="Tables"/>
              <w:rPr>
                <w:sz w:val="20"/>
                <w:szCs w:val="20"/>
              </w:rPr>
            </w:pPr>
            <w:r w:rsidRPr="00E76B8A">
              <w:rPr>
                <w:sz w:val="20"/>
                <w:szCs w:val="20"/>
              </w:rPr>
              <w:t>Phenol (L2)</w:t>
            </w:r>
          </w:p>
        </w:tc>
        <w:tc>
          <w:tcPr>
            <w:tcW w:w="331" w:type="dxa"/>
            <w:shd w:val="clear" w:color="auto" w:fill="auto"/>
            <w:noWrap/>
            <w:textDirection w:val="btLr"/>
            <w:vAlign w:val="bottom"/>
            <w:hideMark/>
          </w:tcPr>
          <w:p w14:paraId="560B47FD" w14:textId="77777777" w:rsidR="00663FC5" w:rsidRPr="00E76B8A" w:rsidRDefault="00663FC5" w:rsidP="00E76B8A">
            <w:pPr>
              <w:pStyle w:val="Tables"/>
              <w:rPr>
                <w:sz w:val="20"/>
                <w:szCs w:val="20"/>
              </w:rPr>
            </w:pPr>
            <w:r w:rsidRPr="00E76B8A">
              <w:rPr>
                <w:sz w:val="20"/>
                <w:szCs w:val="20"/>
              </w:rPr>
              <w:t>o-Cresol (L10)</w:t>
            </w:r>
          </w:p>
        </w:tc>
        <w:tc>
          <w:tcPr>
            <w:tcW w:w="331" w:type="dxa"/>
            <w:shd w:val="clear" w:color="auto" w:fill="auto"/>
            <w:noWrap/>
            <w:textDirection w:val="btLr"/>
            <w:vAlign w:val="bottom"/>
            <w:hideMark/>
          </w:tcPr>
          <w:p w14:paraId="09D590DA" w14:textId="77777777" w:rsidR="00663FC5" w:rsidRPr="00E76B8A" w:rsidRDefault="00663FC5" w:rsidP="00E76B8A">
            <w:pPr>
              <w:pStyle w:val="Tables"/>
              <w:rPr>
                <w:sz w:val="20"/>
                <w:szCs w:val="20"/>
              </w:rPr>
            </w:pPr>
            <w:r w:rsidRPr="00E76B8A">
              <w:rPr>
                <w:sz w:val="20"/>
                <w:szCs w:val="20"/>
              </w:rPr>
              <w:t>m-Cresol (L11)</w:t>
            </w:r>
          </w:p>
        </w:tc>
        <w:tc>
          <w:tcPr>
            <w:tcW w:w="331" w:type="dxa"/>
            <w:shd w:val="clear" w:color="auto" w:fill="auto"/>
            <w:noWrap/>
            <w:textDirection w:val="btLr"/>
            <w:vAlign w:val="bottom"/>
            <w:hideMark/>
          </w:tcPr>
          <w:p w14:paraId="6122A9CD" w14:textId="77777777" w:rsidR="00663FC5" w:rsidRPr="00E76B8A" w:rsidRDefault="00663FC5" w:rsidP="00E76B8A">
            <w:pPr>
              <w:pStyle w:val="Tables"/>
              <w:rPr>
                <w:sz w:val="20"/>
                <w:szCs w:val="20"/>
              </w:rPr>
            </w:pPr>
            <w:r w:rsidRPr="00E76B8A">
              <w:rPr>
                <w:sz w:val="20"/>
                <w:szCs w:val="20"/>
              </w:rPr>
              <w:t>p-Cresol (L11)</w:t>
            </w:r>
          </w:p>
        </w:tc>
        <w:tc>
          <w:tcPr>
            <w:tcW w:w="331" w:type="dxa"/>
            <w:shd w:val="clear" w:color="auto" w:fill="auto"/>
            <w:noWrap/>
            <w:textDirection w:val="btLr"/>
            <w:vAlign w:val="bottom"/>
            <w:hideMark/>
          </w:tcPr>
          <w:p w14:paraId="09D8F691" w14:textId="77777777" w:rsidR="00663FC5" w:rsidRPr="00E76B8A" w:rsidRDefault="00663FC5" w:rsidP="00E76B8A">
            <w:pPr>
              <w:pStyle w:val="Tables"/>
              <w:rPr>
                <w:sz w:val="20"/>
                <w:szCs w:val="20"/>
              </w:rPr>
            </w:pPr>
            <w:r w:rsidRPr="00E76B8A">
              <w:rPr>
                <w:sz w:val="20"/>
                <w:szCs w:val="20"/>
              </w:rPr>
              <w:t>Phenol, 3-ethyl- (L20)</w:t>
            </w:r>
          </w:p>
        </w:tc>
        <w:tc>
          <w:tcPr>
            <w:tcW w:w="331" w:type="dxa"/>
            <w:shd w:val="clear" w:color="auto" w:fill="auto"/>
            <w:noWrap/>
            <w:textDirection w:val="btLr"/>
            <w:vAlign w:val="bottom"/>
            <w:hideMark/>
          </w:tcPr>
          <w:p w14:paraId="6377CB07" w14:textId="77777777" w:rsidR="00663FC5" w:rsidRPr="00E76B8A" w:rsidRDefault="00663FC5" w:rsidP="00E76B8A">
            <w:pPr>
              <w:pStyle w:val="Tables"/>
              <w:rPr>
                <w:sz w:val="20"/>
                <w:szCs w:val="20"/>
              </w:rPr>
            </w:pPr>
            <w:r w:rsidRPr="00E76B8A">
              <w:rPr>
                <w:sz w:val="20"/>
                <w:szCs w:val="20"/>
              </w:rPr>
              <w:t>Phenol, 4-ethyl- (L22)</w:t>
            </w:r>
          </w:p>
        </w:tc>
        <w:tc>
          <w:tcPr>
            <w:tcW w:w="331" w:type="dxa"/>
            <w:gridSpan w:val="2"/>
            <w:shd w:val="clear" w:color="auto" w:fill="auto"/>
            <w:noWrap/>
            <w:textDirection w:val="btLr"/>
            <w:vAlign w:val="bottom"/>
            <w:hideMark/>
          </w:tcPr>
          <w:p w14:paraId="05B4A7C9" w14:textId="77777777" w:rsidR="00663FC5" w:rsidRPr="00E76B8A" w:rsidRDefault="00663FC5" w:rsidP="00E76B8A">
            <w:pPr>
              <w:pStyle w:val="Tables"/>
              <w:rPr>
                <w:sz w:val="20"/>
                <w:szCs w:val="20"/>
              </w:rPr>
            </w:pPr>
            <w:r w:rsidRPr="00E76B8A">
              <w:rPr>
                <w:sz w:val="20"/>
                <w:szCs w:val="20"/>
              </w:rPr>
              <w:t>Anisol, 2,4-/2,5-dimethyl- (L30)</w:t>
            </w:r>
          </w:p>
        </w:tc>
        <w:tc>
          <w:tcPr>
            <w:tcW w:w="330" w:type="dxa"/>
            <w:shd w:val="clear" w:color="auto" w:fill="auto"/>
            <w:noWrap/>
            <w:textDirection w:val="btLr"/>
            <w:vAlign w:val="bottom"/>
            <w:hideMark/>
          </w:tcPr>
          <w:p w14:paraId="7E956E22" w14:textId="77777777" w:rsidR="00663FC5" w:rsidRPr="00E76B8A" w:rsidRDefault="00663FC5" w:rsidP="00E76B8A">
            <w:pPr>
              <w:pStyle w:val="Tables"/>
              <w:rPr>
                <w:sz w:val="20"/>
                <w:szCs w:val="20"/>
              </w:rPr>
            </w:pPr>
            <w:r w:rsidRPr="00E76B8A">
              <w:rPr>
                <w:sz w:val="20"/>
                <w:szCs w:val="20"/>
              </w:rPr>
              <w:t>Phenol, 4-vinyl- (L14)</w:t>
            </w:r>
          </w:p>
        </w:tc>
        <w:tc>
          <w:tcPr>
            <w:tcW w:w="332" w:type="dxa"/>
            <w:shd w:val="clear" w:color="auto" w:fill="auto"/>
            <w:noWrap/>
            <w:textDirection w:val="btLr"/>
            <w:vAlign w:val="bottom"/>
            <w:hideMark/>
          </w:tcPr>
          <w:p w14:paraId="45AEFD52" w14:textId="4E618BB7" w:rsidR="00663FC5" w:rsidRPr="00E76B8A" w:rsidRDefault="00663FC5" w:rsidP="00E76B8A">
            <w:pPr>
              <w:pStyle w:val="Tables"/>
              <w:rPr>
                <w:sz w:val="20"/>
                <w:szCs w:val="20"/>
              </w:rPr>
            </w:pPr>
          </w:p>
        </w:tc>
        <w:tc>
          <w:tcPr>
            <w:tcW w:w="331" w:type="dxa"/>
            <w:shd w:val="clear" w:color="auto" w:fill="auto"/>
            <w:noWrap/>
            <w:textDirection w:val="btLr"/>
            <w:vAlign w:val="bottom"/>
            <w:hideMark/>
          </w:tcPr>
          <w:p w14:paraId="65390D13" w14:textId="082B3153" w:rsidR="00663FC5" w:rsidRPr="00663FC5" w:rsidRDefault="00663FC5" w:rsidP="00E76B8A">
            <w:pPr>
              <w:pStyle w:val="Tables"/>
              <w:rPr>
                <w:b/>
                <w:sz w:val="20"/>
                <w:szCs w:val="20"/>
                <w:u w:val="single"/>
              </w:rPr>
            </w:pPr>
            <w:r w:rsidRPr="00663FC5">
              <w:rPr>
                <w:b/>
                <w:sz w:val="20"/>
                <w:szCs w:val="20"/>
                <w:u w:val="single"/>
              </w:rPr>
              <w:t>Light Oxygenates</w:t>
            </w:r>
          </w:p>
        </w:tc>
        <w:tc>
          <w:tcPr>
            <w:tcW w:w="331" w:type="dxa"/>
            <w:shd w:val="clear" w:color="auto" w:fill="auto"/>
            <w:noWrap/>
            <w:textDirection w:val="btLr"/>
            <w:vAlign w:val="bottom"/>
          </w:tcPr>
          <w:p w14:paraId="58B78D62" w14:textId="7C0FFA5E" w:rsidR="00663FC5" w:rsidRPr="00E76B8A" w:rsidRDefault="00663FC5" w:rsidP="00E76B8A">
            <w:pPr>
              <w:pStyle w:val="Tables"/>
              <w:rPr>
                <w:sz w:val="20"/>
                <w:szCs w:val="20"/>
              </w:rPr>
            </w:pPr>
            <w:r w:rsidRPr="00E76B8A">
              <w:rPr>
                <w:sz w:val="20"/>
                <w:szCs w:val="20"/>
              </w:rPr>
              <w:t>Light Oxygenate (OU) (Multiple peaks)</w:t>
            </w:r>
          </w:p>
        </w:tc>
        <w:tc>
          <w:tcPr>
            <w:tcW w:w="331" w:type="dxa"/>
            <w:shd w:val="clear" w:color="auto" w:fill="auto"/>
            <w:noWrap/>
            <w:textDirection w:val="btLr"/>
            <w:vAlign w:val="bottom"/>
          </w:tcPr>
          <w:p w14:paraId="14B7CFA2" w14:textId="0C04D15A" w:rsidR="00663FC5" w:rsidRPr="00E76B8A" w:rsidRDefault="00663FC5" w:rsidP="00E76B8A">
            <w:pPr>
              <w:pStyle w:val="Tables"/>
              <w:rPr>
                <w:sz w:val="20"/>
                <w:szCs w:val="20"/>
              </w:rPr>
            </w:pPr>
            <w:r w:rsidRPr="00E76B8A">
              <w:rPr>
                <w:sz w:val="20"/>
                <w:szCs w:val="20"/>
              </w:rPr>
              <w:t>2,3-Butanedione (11)</w:t>
            </w:r>
          </w:p>
        </w:tc>
        <w:tc>
          <w:tcPr>
            <w:tcW w:w="331" w:type="dxa"/>
            <w:shd w:val="clear" w:color="auto" w:fill="auto"/>
            <w:noWrap/>
            <w:textDirection w:val="btLr"/>
            <w:vAlign w:val="bottom"/>
          </w:tcPr>
          <w:p w14:paraId="6AA523F6" w14:textId="2FE01E12" w:rsidR="00663FC5" w:rsidRPr="00E76B8A" w:rsidRDefault="00663FC5" w:rsidP="00E76B8A">
            <w:pPr>
              <w:pStyle w:val="Tables"/>
              <w:rPr>
                <w:sz w:val="20"/>
                <w:szCs w:val="20"/>
              </w:rPr>
            </w:pPr>
            <w:r w:rsidRPr="00E76B8A">
              <w:rPr>
                <w:sz w:val="20"/>
                <w:szCs w:val="20"/>
              </w:rPr>
              <w:t>Hydroxypropanone (19)</w:t>
            </w:r>
          </w:p>
        </w:tc>
        <w:tc>
          <w:tcPr>
            <w:tcW w:w="331" w:type="dxa"/>
            <w:shd w:val="clear" w:color="auto" w:fill="auto"/>
            <w:noWrap/>
            <w:textDirection w:val="btLr"/>
            <w:vAlign w:val="bottom"/>
          </w:tcPr>
          <w:p w14:paraId="5C61715A" w14:textId="43EE711B" w:rsidR="00663FC5" w:rsidRPr="00E76B8A" w:rsidRDefault="00663FC5" w:rsidP="00E76B8A">
            <w:pPr>
              <w:pStyle w:val="Tables"/>
              <w:rPr>
                <w:sz w:val="20"/>
                <w:szCs w:val="20"/>
              </w:rPr>
            </w:pPr>
            <w:r w:rsidRPr="00E76B8A">
              <w:rPr>
                <w:sz w:val="20"/>
                <w:szCs w:val="20"/>
              </w:rPr>
              <w:t>2-Propenoic acid methyl ester (23)</w:t>
            </w:r>
          </w:p>
        </w:tc>
        <w:tc>
          <w:tcPr>
            <w:tcW w:w="662" w:type="dxa"/>
            <w:gridSpan w:val="2"/>
            <w:shd w:val="clear" w:color="auto" w:fill="auto"/>
            <w:noWrap/>
            <w:textDirection w:val="btLr"/>
            <w:vAlign w:val="bottom"/>
          </w:tcPr>
          <w:p w14:paraId="36315E85" w14:textId="5444D4B0" w:rsidR="00663FC5" w:rsidRPr="00E76B8A" w:rsidRDefault="00663FC5" w:rsidP="00E76B8A">
            <w:pPr>
              <w:pStyle w:val="Tables"/>
              <w:rPr>
                <w:sz w:val="20"/>
                <w:szCs w:val="20"/>
              </w:rPr>
            </w:pPr>
            <w:r w:rsidRPr="00E76B8A">
              <w:rPr>
                <w:sz w:val="20"/>
                <w:szCs w:val="20"/>
              </w:rPr>
              <w:t>3-Hydroxypropanal (isomer of compound no. 19) (26)</w:t>
            </w:r>
          </w:p>
        </w:tc>
        <w:tc>
          <w:tcPr>
            <w:tcW w:w="331" w:type="dxa"/>
            <w:shd w:val="clear" w:color="auto" w:fill="auto"/>
            <w:textDirection w:val="btLr"/>
            <w:vAlign w:val="bottom"/>
          </w:tcPr>
          <w:p w14:paraId="1E61F327" w14:textId="0D2BA2A6" w:rsidR="00663FC5" w:rsidRPr="00E76B8A" w:rsidRDefault="00663FC5" w:rsidP="00E76B8A">
            <w:pPr>
              <w:pStyle w:val="Tables"/>
              <w:rPr>
                <w:sz w:val="20"/>
                <w:szCs w:val="20"/>
              </w:rPr>
            </w:pPr>
            <w:r w:rsidRPr="00E76B8A">
              <w:rPr>
                <w:sz w:val="20"/>
                <w:szCs w:val="20"/>
              </w:rPr>
              <w:t>Isomer of compound no. 33 (31)</w:t>
            </w:r>
          </w:p>
        </w:tc>
        <w:tc>
          <w:tcPr>
            <w:tcW w:w="331" w:type="dxa"/>
            <w:shd w:val="clear" w:color="auto" w:fill="auto"/>
            <w:noWrap/>
            <w:textDirection w:val="btLr"/>
            <w:vAlign w:val="bottom"/>
          </w:tcPr>
          <w:p w14:paraId="2EB9F077" w14:textId="0D12EC0D" w:rsidR="00663FC5" w:rsidRPr="00E76B8A" w:rsidRDefault="00663FC5" w:rsidP="00E76B8A">
            <w:pPr>
              <w:pStyle w:val="Tables"/>
              <w:rPr>
                <w:sz w:val="20"/>
                <w:szCs w:val="20"/>
              </w:rPr>
            </w:pPr>
            <w:r w:rsidRPr="00E76B8A">
              <w:rPr>
                <w:sz w:val="20"/>
                <w:szCs w:val="20"/>
              </w:rPr>
              <w:t>1-Acetyloxypropane-2-one (38)</w:t>
            </w:r>
          </w:p>
        </w:tc>
        <w:tc>
          <w:tcPr>
            <w:tcW w:w="331" w:type="dxa"/>
            <w:shd w:val="clear" w:color="auto" w:fill="auto"/>
            <w:noWrap/>
            <w:textDirection w:val="btLr"/>
            <w:vAlign w:val="bottom"/>
          </w:tcPr>
          <w:p w14:paraId="2E4AE225" w14:textId="29F6699E" w:rsidR="00663FC5" w:rsidRPr="00E76B8A" w:rsidRDefault="00663FC5" w:rsidP="00E76B8A">
            <w:pPr>
              <w:pStyle w:val="Tables"/>
              <w:rPr>
                <w:sz w:val="20"/>
                <w:szCs w:val="20"/>
              </w:rPr>
            </w:pPr>
            <w:r w:rsidRPr="00E76B8A">
              <w:rPr>
                <w:sz w:val="20"/>
                <w:szCs w:val="20"/>
              </w:rPr>
              <w:t>Methyl-butyraldehyde derivative (67)</w:t>
            </w:r>
          </w:p>
        </w:tc>
        <w:tc>
          <w:tcPr>
            <w:tcW w:w="331" w:type="dxa"/>
            <w:shd w:val="clear" w:color="auto" w:fill="auto"/>
            <w:noWrap/>
            <w:textDirection w:val="btLr"/>
            <w:vAlign w:val="bottom"/>
          </w:tcPr>
          <w:p w14:paraId="09D261EA" w14:textId="41A9C23B" w:rsidR="00663FC5" w:rsidRPr="00E76B8A" w:rsidRDefault="00663FC5" w:rsidP="00E76B8A">
            <w:pPr>
              <w:pStyle w:val="Tables"/>
              <w:rPr>
                <w:sz w:val="20"/>
                <w:szCs w:val="20"/>
              </w:rPr>
            </w:pPr>
          </w:p>
        </w:tc>
        <w:tc>
          <w:tcPr>
            <w:tcW w:w="276" w:type="dxa"/>
            <w:shd w:val="clear" w:color="auto" w:fill="auto"/>
            <w:noWrap/>
            <w:textDirection w:val="btLr"/>
            <w:vAlign w:val="bottom"/>
          </w:tcPr>
          <w:p w14:paraId="6702F186" w14:textId="71C476D2" w:rsidR="00663FC5" w:rsidRPr="00663FC5" w:rsidRDefault="00663FC5" w:rsidP="00E76B8A">
            <w:pPr>
              <w:pStyle w:val="Tables"/>
              <w:rPr>
                <w:b/>
                <w:sz w:val="20"/>
                <w:szCs w:val="20"/>
                <w:u w:val="single"/>
              </w:rPr>
            </w:pPr>
            <w:r w:rsidRPr="00663FC5">
              <w:rPr>
                <w:b/>
                <w:sz w:val="20"/>
                <w:szCs w:val="20"/>
                <w:u w:val="single"/>
              </w:rPr>
              <w:t xml:space="preserve">Light Gases </w:t>
            </w:r>
          </w:p>
        </w:tc>
        <w:tc>
          <w:tcPr>
            <w:tcW w:w="276" w:type="dxa"/>
            <w:shd w:val="clear" w:color="auto" w:fill="auto"/>
            <w:noWrap/>
            <w:textDirection w:val="btLr"/>
            <w:vAlign w:val="bottom"/>
          </w:tcPr>
          <w:p w14:paraId="76F87F43" w14:textId="190F5BD0" w:rsidR="00663FC5" w:rsidRPr="00E76B8A" w:rsidRDefault="00663FC5" w:rsidP="00E76B8A">
            <w:pPr>
              <w:pStyle w:val="Tables"/>
              <w:rPr>
                <w:sz w:val="20"/>
                <w:szCs w:val="20"/>
              </w:rPr>
            </w:pPr>
            <w:r w:rsidRPr="00E76B8A">
              <w:rPr>
                <w:sz w:val="20"/>
                <w:szCs w:val="20"/>
              </w:rPr>
              <w:t>Light Gases (OU)</w:t>
            </w:r>
          </w:p>
        </w:tc>
      </w:tr>
    </w:tbl>
    <w:p w14:paraId="49A85EC2" w14:textId="752A8AA9" w:rsidR="00E24665" w:rsidRDefault="00E76B8A" w:rsidP="00E24665">
      <w:pPr>
        <w:pStyle w:val="Caption"/>
        <w:rPr>
          <w:b w:val="0"/>
        </w:rPr>
      </w:pPr>
      <w:r>
        <w:rPr>
          <w:b w:val="0"/>
        </w:rPr>
        <w:t xml:space="preserve"> </w:t>
      </w:r>
      <w:bookmarkStart w:id="146" w:name="_Toc449964936"/>
      <w:r w:rsidR="00E24665">
        <w:t xml:space="preserve">Table </w:t>
      </w:r>
      <w:fldSimple w:instr=" STYLEREF &quot;Chapter&quot; \s ">
        <w:r w:rsidR="00463F52">
          <w:rPr>
            <w:noProof/>
          </w:rPr>
          <w:t>6</w:t>
        </w:r>
      </w:fldSimple>
      <w:r w:rsidR="00E24665">
        <w:t>.</w:t>
      </w:r>
      <w:fldSimple w:instr=" SEQ Table \* ARABIC \s 1 ">
        <w:r w:rsidR="00463F52">
          <w:rPr>
            <w:noProof/>
          </w:rPr>
          <w:t>2</w:t>
        </w:r>
      </w:fldSimple>
      <w:r w:rsidR="00E24665">
        <w:t>.</w:t>
      </w:r>
      <w:r w:rsidR="00E24665" w:rsidRPr="008E2374">
        <w:t xml:space="preserve"> </w:t>
      </w:r>
      <w:r w:rsidR="00E24665">
        <w:rPr>
          <w:b w:val="0"/>
        </w:rPr>
        <w:t>Compounds and lumps used for pyrolysis modeling.</w:t>
      </w:r>
      <w:bookmarkEnd w:id="146"/>
    </w:p>
    <w:p w14:paraId="53A0AFCB" w14:textId="3E5F670E" w:rsidR="00EF6115" w:rsidRDefault="00EF6115">
      <w:pPr>
        <w:rPr>
          <w:rFonts w:asciiTheme="minorHAnsi" w:hAnsiTheme="minorHAnsi"/>
          <w:bCs/>
          <w:szCs w:val="18"/>
          <w:lang w:bidi="en-US"/>
        </w:rPr>
      </w:pPr>
      <w:r>
        <w:rPr>
          <w:b/>
        </w:rPr>
        <w:br w:type="page"/>
      </w:r>
    </w:p>
    <w:p w14:paraId="242FAFD8" w14:textId="7250A599" w:rsidR="00A02B8E" w:rsidRDefault="00A02B8E" w:rsidP="003762F5">
      <w:pPr>
        <w:pStyle w:val="Heading3"/>
      </w:pPr>
      <w:bookmarkStart w:id="147" w:name="_Toc449964886"/>
      <w:r>
        <w:lastRenderedPageBreak/>
        <w:t>Linear modeling</w:t>
      </w:r>
      <w:bookmarkEnd w:id="147"/>
    </w:p>
    <w:p w14:paraId="3085A938" w14:textId="7E5F22FE" w:rsidR="00642ABE" w:rsidRDefault="00642ABE" w:rsidP="00642ABE">
      <w:r>
        <w:t>To more robustly model the thermochemical product yields of the 22 tested switchgrasses as functions of their predictor variables (e.g., compositional features), a multi-step approach was used employing random forests, ordinary least squares regression, and stepwise feature selection. While pure predictive ability of a model on its own can be useful in some circumstances, approaches which may result in good predictive ability (e.g., principal components regression</w:t>
      </w:r>
      <w:r w:rsidR="00E326B8">
        <w:t xml:space="preserve"> </w:t>
      </w:r>
      <w:r w:rsidR="003A746C">
        <w:fldChar w:fldCharType="begin"/>
      </w:r>
      <w:r w:rsidR="00807999">
        <w:instrText xml:space="preserve"> ADDIN PAPERS2_CITATIONS &lt;citation&gt;&lt;uuid&gt;F5E762A7-2032-42F6-9A62-54A5AC361884&lt;/uuid&gt;&lt;priority&gt;0&lt;/priority&gt;&lt;publications&gt;&lt;publication&gt;&lt;title&gt;Applied predictive modeling&lt;/title&gt;&lt;uuid&gt;45992981-C86B-4B69-BE60-DCF3DCA96A3B&lt;/uuid&gt;&lt;subtype&gt;0&lt;/subtype&gt;&lt;publisher&gt;New York : Springer&lt;/publisher&gt;&lt;type&gt;0&lt;/type&gt;&lt;citekey&gt;Kuhn:2013vn&lt;/citekey&gt;&lt;publication_date&gt;99201300001200000000200000&lt;/publication_date&gt;&lt;authors&gt;&lt;author&gt;&lt;firstName&gt;Max&lt;/firstName&gt;&lt;lastName&gt;Kuhn&lt;/lastName&gt;&lt;/author&gt;&lt;author&gt;&lt;firstName&gt;Kjell&lt;/firstName&gt;&lt;lastName&gt;Johnson&lt;/lastName&gt;&lt;/author&gt;&lt;/authors&gt;&lt;/publication&gt;&lt;/publications&gt;&lt;cites&gt;&lt;cite&gt;&lt;suffix&gt;, chapter 3&lt;/suffix&gt;&lt;/cite&gt;&lt;/cites&gt;&lt;/citation&gt;</w:instrText>
      </w:r>
      <w:r w:rsidR="003A746C">
        <w:fldChar w:fldCharType="separate"/>
      </w:r>
      <w:r w:rsidR="001C1AAC">
        <w:t>(</w:t>
      </w:r>
      <w:r w:rsidR="001C1AAC">
        <w:rPr>
          <w:i/>
          <w:iCs/>
        </w:rPr>
        <w:t>177</w:t>
      </w:r>
      <w:r w:rsidR="001C1AAC">
        <w:t>, chapter 3)</w:t>
      </w:r>
      <w:r w:rsidR="003A746C">
        <w:fldChar w:fldCharType="end"/>
      </w:r>
      <w:r>
        <w:t xml:space="preserve">) can obscure the contribution of the predictor variables (a ‘black box’ model). To ensure that the models developed were fully interpretable, an ordinary least squares approach was chosen. However, the compositional data had 64 potential useful features; therefore, significant feature selection was needed in order to avoid over-fitting of the linear regression models built. </w:t>
      </w:r>
      <w:r w:rsidR="0015492E">
        <w:t xml:space="preserve">The source code for the models described in this work is available in </w:t>
      </w:r>
      <w:r w:rsidR="0000363E">
        <w:t>appendices</w:t>
      </w:r>
      <w:r w:rsidR="0015492E">
        <w:t xml:space="preserve"> B – D.</w:t>
      </w:r>
    </w:p>
    <w:p w14:paraId="12B99D57" w14:textId="38183342" w:rsidR="00642ABE" w:rsidRDefault="00642ABE" w:rsidP="00642ABE">
      <w:r>
        <w:t xml:space="preserve">Before beginning, predictor variables which were defined as combinations of other predictor variables (e.g., non-structural carbohydrates, defined as total soluble carbohydrates plus starch) were removed as these could lead to the development of models with highly correlated predictors. Beyond removal of the known combination variables, calculated linear combinations were removed from the predictor variables using the </w:t>
      </w:r>
      <w:r w:rsidRPr="005F40D3">
        <w:rPr>
          <w:rFonts w:ascii="Courier New" w:hAnsi="Courier New" w:cs="Courier New"/>
        </w:rPr>
        <w:t>findLinearCombos</w:t>
      </w:r>
      <w:r>
        <w:t xml:space="preserve"> function from the caret package in R</w:t>
      </w:r>
      <w:r w:rsidR="0017424E">
        <w:t xml:space="preserve"> </w:t>
      </w:r>
      <w:r w:rsidR="0017424E">
        <w:fldChar w:fldCharType="begin"/>
      </w:r>
      <w:r w:rsidR="00807999">
        <w:instrText xml:space="preserve"> ADDIN PAPERS2_CITATIONS &lt;citation&gt;&lt;uuid&gt;06B6F2BA-FB4C-47F5-B18B-B297D447124D&lt;/uuid&gt;&lt;priority&gt;0&lt;/priority&gt;&lt;publications&gt;&lt;publication&gt;&lt;institution&gt;R Foundation for Statistical Computing&lt;/institution&gt;&lt;accepted_date&gt;99201508141200000000222000&lt;/accepted_date&gt;&lt;title&gt;R: A language and environment for statistical computing&lt;/title&gt;&lt;uuid&gt;013A1E70-606A-45EA-A431-8E890E9E8275&lt;/uuid&gt;&lt;subtype&gt;341&lt;/subtype&gt;&lt;version&gt;version 3.2.2&lt;/version&gt;&lt;type&gt;300&lt;/type&gt;&lt;place&gt;Vienna, Austria&lt;/place&gt;&lt;url&gt;https://www.R-project.org/&lt;/url&gt;&lt;authors&gt;&lt;author&gt;&lt;lastName&gt;R Core Team&lt;/lastName&gt;&lt;/author&gt;&lt;/authors&gt;&lt;/publication&gt;&lt;/publications&gt;&lt;cites&gt;&lt;/cites&gt;&lt;/citation&gt;</w:instrText>
      </w:r>
      <w:r w:rsidR="0017424E">
        <w:fldChar w:fldCharType="separate"/>
      </w:r>
      <w:r w:rsidR="001C1AAC">
        <w:t>(</w:t>
      </w:r>
      <w:r w:rsidR="001C1AAC">
        <w:rPr>
          <w:i/>
          <w:iCs/>
        </w:rPr>
        <w:t>178</w:t>
      </w:r>
      <w:r w:rsidR="001C1AAC">
        <w:t>)</w:t>
      </w:r>
      <w:r w:rsidR="0017424E">
        <w:fldChar w:fldCharType="end"/>
      </w:r>
      <w:r w:rsidR="005A16AC">
        <w:t xml:space="preserve"> </w:t>
      </w:r>
      <w:r w:rsidR="005A16AC">
        <w:fldChar w:fldCharType="begin"/>
      </w:r>
      <w:r w:rsidR="00807999">
        <w:instrText xml:space="preserve"> ADDIN PAPERS2_CITATIONS &lt;citation&gt;&lt;uuid&gt;88A00AB8-AE7E-49CD-B163-9F366A4C89E3&lt;/uuid&gt;&lt;priority&gt;0&lt;/priority&gt;&lt;publications&gt;&lt;publication&gt;&lt;type&gt;400&lt;/type&gt;&lt;publication_date&gt;99200800001200000000200000&lt;/publication_date&gt;&lt;title&gt;Caret package&lt;/title&gt;&lt;url&gt;http://download.nextag.com/cran/web/packages/caret/caret.pdf&lt;/url&gt;&lt;subtype&gt;400&lt;/subtype&gt;&lt;uuid&gt;30110FDC-CD56-44D1-8599-6AE96DF9F28F&lt;/uuid&gt;&lt;bundle&gt;&lt;publication&gt;&lt;title&gt;Journal of Statistical Software&lt;/title&gt;&lt;type&gt;-100&lt;/type&gt;&lt;subtype&gt;-100&lt;/subtype&gt;&lt;uuid&gt;D3603D77-FFAC-4EB0-99F0-82C713B9FF4A&lt;/uuid&gt;&lt;/publication&gt;&lt;/bundle&gt;&lt;authors&gt;&lt;author&gt;&lt;firstName&gt;M&lt;/firstName&gt;&lt;lastName&gt;Kuhn&lt;/lastName&gt;&lt;/author&gt;&lt;/authors&gt;&lt;/publication&gt;&lt;/publications&gt;&lt;cites&gt;&lt;/cites&gt;&lt;/citation&gt;</w:instrText>
      </w:r>
      <w:r w:rsidR="005A16AC">
        <w:fldChar w:fldCharType="separate"/>
      </w:r>
      <w:r w:rsidR="001C1AAC">
        <w:t>(</w:t>
      </w:r>
      <w:r w:rsidR="001C1AAC">
        <w:rPr>
          <w:i/>
          <w:iCs/>
        </w:rPr>
        <w:t>179</w:t>
      </w:r>
      <w:r w:rsidR="001C1AAC">
        <w:t>)</w:t>
      </w:r>
      <w:r w:rsidR="005A16AC">
        <w:fldChar w:fldCharType="end"/>
      </w:r>
      <w:r>
        <w:t xml:space="preserve"> on the full compositional dataset (1096 observations). </w:t>
      </w:r>
    </w:p>
    <w:p w14:paraId="75D5DDD5" w14:textId="3D7A0CE2" w:rsidR="00642ABE" w:rsidRDefault="00642ABE" w:rsidP="00642ABE">
      <w:r>
        <w:t xml:space="preserve">To make initial selections for modeling features, random forests </w:t>
      </w:r>
      <w:r w:rsidR="005A16AC">
        <w:fldChar w:fldCharType="begin"/>
      </w:r>
      <w:r w:rsidR="00807999">
        <w:instrText xml:space="preserve"> ADDIN PAPERS2_CITATIONS &lt;citation&gt;&lt;uuid&gt;0008FCCA-F8D3-4101-94FD-AAA5632A6916&lt;/uuid&gt;&lt;priority&gt;0&lt;/priority&gt;&lt;publications&gt;&lt;publication&gt;&lt;uuid&gt;AA844DA4-C840-4817-86C7-012CEEDE1A78&lt;/uuid&gt;&lt;volume&gt;45&lt;/volume&gt;&lt;doi&gt;10.1023/A:1010933404324&lt;/doi&gt;&lt;startpage&gt;5&lt;/startpage&gt;&lt;publication_date&gt;99200100001200000000200000&lt;/publication_date&gt;&lt;url&gt;http://link.springer.com/10.1023/A:1010933404324&lt;/url&gt;&lt;type&gt;400&lt;/type&gt;&lt;title&gt;Random Forests&lt;/title&gt;&lt;publisher&gt;Kluwer Academic Publishers&lt;/publisher&gt;&lt;number&gt;1&lt;/number&gt;&lt;subtype&gt;400&lt;/subtype&gt;&lt;endpage&gt;32&lt;/endpage&gt;&lt;bundle&gt;&lt;publication&gt;&lt;title&gt;Machine learning&lt;/title&gt;&lt;type&gt;-100&lt;/type&gt;&lt;subtype&gt;-100&lt;/subtype&gt;&lt;uuid&gt;6751EF13-4029-4338-9BBA-6417CBB456D1&lt;/uuid&gt;&lt;/publication&gt;&lt;/bundle&gt;&lt;authors&gt;&lt;author&gt;&lt;firstName&gt;Leo&lt;/firstName&gt;&lt;lastName&gt;Breiman&lt;/lastName&gt;&lt;/author&gt;&lt;/authors&gt;&lt;/publication&gt;&lt;publication&gt;&lt;title&gt;Applied predictive modeling&lt;/title&gt;&lt;uuid&gt;45992981-C86B-4B69-BE60-DCF3DCA96A3B&lt;/uuid&gt;&lt;subtype&gt;0&lt;/subtype&gt;&lt;publisher&gt;New York : Springer&lt;/publisher&gt;&lt;type&gt;0&lt;/type&gt;&lt;citekey&gt;Kuhn:2013vn&lt;/citekey&gt;&lt;publication_date&gt;99201300001200000000200000&lt;/publication_date&gt;&lt;authors&gt;&lt;author&gt;&lt;firstName&gt;Max&lt;/firstName&gt;&lt;lastName&gt;Kuhn&lt;/lastName&gt;&lt;/author&gt;&lt;author&gt;&lt;firstName&gt;Kjell&lt;/firstName&gt;&lt;lastName&gt;Johnson&lt;/lastName&gt;&lt;/author&gt;&lt;/authors&gt;&lt;/publication&gt;&lt;/publications&gt;&lt;cites&gt;&lt;/cites&gt;&lt;/citation&gt;</w:instrText>
      </w:r>
      <w:r w:rsidR="005A16AC">
        <w:fldChar w:fldCharType="separate"/>
      </w:r>
      <w:r w:rsidR="001C1AAC">
        <w:t>(</w:t>
      </w:r>
      <w:r w:rsidR="001C1AAC">
        <w:rPr>
          <w:i/>
          <w:iCs/>
        </w:rPr>
        <w:t>177</w:t>
      </w:r>
      <w:r w:rsidR="001C1AAC">
        <w:t xml:space="preserve">, </w:t>
      </w:r>
      <w:r w:rsidR="001C1AAC">
        <w:rPr>
          <w:i/>
          <w:iCs/>
        </w:rPr>
        <w:t>180</w:t>
      </w:r>
      <w:r w:rsidR="001C1AAC">
        <w:t>)</w:t>
      </w:r>
      <w:r w:rsidR="005A16AC">
        <w:fldChar w:fldCharType="end"/>
      </w:r>
      <w:r w:rsidR="005A16AC">
        <w:t xml:space="preserve"> </w:t>
      </w:r>
      <w:r>
        <w:t>were used to assess the most important compositional features in predicting the thermochemical lump response</w:t>
      </w:r>
      <w:r w:rsidR="00673C36">
        <w:t>s</w:t>
      </w:r>
      <w:r>
        <w:t xml:space="preserve">. The random forests were built from the </w:t>
      </w:r>
      <w:r w:rsidRPr="004D1D8D">
        <w:rPr>
          <w:rFonts w:ascii="Courier New" w:hAnsi="Courier New" w:cs="Courier New"/>
        </w:rPr>
        <w:t>randomForest</w:t>
      </w:r>
      <w:r>
        <w:t xml:space="preserve"> package in R</w:t>
      </w:r>
      <w:r w:rsidR="005A16AC">
        <w:t xml:space="preserve"> </w:t>
      </w:r>
      <w:r w:rsidR="0017424E">
        <w:lastRenderedPageBreak/>
        <w:fldChar w:fldCharType="begin"/>
      </w:r>
      <w:r w:rsidR="00807999">
        <w:instrText xml:space="preserve"> ADDIN PAPERS2_CITATIONS &lt;citation&gt;&lt;uuid&gt;709D9CEB-AF69-4422-A335-0C0A8E878783&lt;/uuid&gt;&lt;priority&gt;0&lt;/priority&gt;&lt;publications&gt;&lt;publication&gt;&lt;type&gt;400&lt;/type&gt;&lt;publication_date&gt;99200200001200000000200000&lt;/publication_date&gt;&lt;title&gt;Classification and regression by randomForest&lt;/title&gt;&lt;url&gt;ftp://131.252.97.79/Transfer/Treg/WFRE_Articles/Liaw_02_Classification%20and%20regression%20by%20randomForest.pdf&lt;/url&gt;&lt;subtype&gt;400&lt;/subtype&gt;&lt;uuid&gt;44FA7B35-3406-4691-9E59-D26E244E857D&lt;/uuid&gt;&lt;bundle&gt;&lt;publication&gt;&lt;title&gt;R news&lt;/title&gt;&lt;type&gt;-100&lt;/type&gt;&lt;subtype&gt;-100&lt;/subtype&gt;&lt;uuid&gt;E3AAAD71-340D-4094-B392-D407CB7AA000&lt;/uuid&gt;&lt;/publication&gt;&lt;/bundle&gt;&lt;authors&gt;&lt;author&gt;&lt;firstName&gt;A&lt;/firstName&gt;&lt;lastName&gt;Liaw&lt;/lastName&gt;&lt;/author&gt;&lt;author&gt;&lt;firstName&gt;M&lt;/firstName&gt;&lt;lastName&gt;Wiener&lt;/lastName&gt;&lt;/author&gt;&lt;/authors&gt;&lt;/publication&gt;&lt;/publications&gt;&lt;cites&gt;&lt;/cites&gt;&lt;/citation&gt;</w:instrText>
      </w:r>
      <w:r w:rsidR="0017424E">
        <w:fldChar w:fldCharType="separate"/>
      </w:r>
      <w:r w:rsidR="001C1AAC">
        <w:t>(</w:t>
      </w:r>
      <w:r w:rsidR="001C1AAC">
        <w:rPr>
          <w:i/>
          <w:iCs/>
        </w:rPr>
        <w:t>181</w:t>
      </w:r>
      <w:r w:rsidR="001C1AAC">
        <w:t>)</w:t>
      </w:r>
      <w:r w:rsidR="0017424E">
        <w:fldChar w:fldCharType="end"/>
      </w:r>
      <w:r>
        <w:t xml:space="preserve"> with 15,000 trees and 20 random variables sampled for each split. Variable importance scoring was assessed as the mean decrease in accuracy measured by the mean standard error across the forest. The top 7 features from the variable importance scores (by percent increase of mean square error </w:t>
      </w:r>
      <w:r w:rsidR="00F436B3">
        <w:t xml:space="preserve">[MSE] </w:t>
      </w:r>
      <w:r>
        <w:t xml:space="preserve">upon deletion) were used for ordinary least squares regression </w:t>
      </w:r>
      <w:r w:rsidRPr="0007253F">
        <w:t>(table</w:t>
      </w:r>
      <w:r w:rsidR="0007253F">
        <w:t>s</w:t>
      </w:r>
      <w:r w:rsidRPr="0007253F">
        <w:t xml:space="preserve"> </w:t>
      </w:r>
      <w:r w:rsidR="0007253F">
        <w:t>6.3 and 6.4</w:t>
      </w:r>
      <w:r w:rsidRPr="0007253F">
        <w:t>)</w:t>
      </w:r>
      <w:r>
        <w:t xml:space="preserve">. </w:t>
      </w:r>
      <w:r w:rsidR="00F436B3">
        <w:t>Compositional features are described in table 3.1.</w:t>
      </w:r>
    </w:p>
    <w:tbl>
      <w:tblPr>
        <w:tblW w:w="7613"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84"/>
        <w:gridCol w:w="1660"/>
        <w:gridCol w:w="280"/>
        <w:gridCol w:w="2429"/>
        <w:gridCol w:w="1660"/>
      </w:tblGrid>
      <w:tr w:rsidR="00094E57" w:rsidRPr="00094E57" w14:paraId="137E59BA" w14:textId="77777777" w:rsidTr="00094E57">
        <w:trPr>
          <w:trHeight w:val="20"/>
        </w:trPr>
        <w:tc>
          <w:tcPr>
            <w:tcW w:w="1584" w:type="dxa"/>
            <w:shd w:val="clear" w:color="auto" w:fill="auto"/>
            <w:noWrap/>
            <w:vAlign w:val="bottom"/>
            <w:hideMark/>
          </w:tcPr>
          <w:p w14:paraId="5AEF8260" w14:textId="77777777" w:rsidR="00094E57" w:rsidRPr="00094E57" w:rsidRDefault="00094E57" w:rsidP="00094E57">
            <w:pPr>
              <w:pStyle w:val="Tables"/>
              <w:rPr>
                <w:sz w:val="20"/>
                <w:szCs w:val="20"/>
                <w:u w:val="single"/>
              </w:rPr>
            </w:pPr>
            <w:r w:rsidRPr="00094E57">
              <w:rPr>
                <w:sz w:val="20"/>
                <w:szCs w:val="20"/>
                <w:u w:val="single"/>
              </w:rPr>
              <w:t>acetic acid</w:t>
            </w:r>
          </w:p>
        </w:tc>
        <w:tc>
          <w:tcPr>
            <w:tcW w:w="1660" w:type="dxa"/>
            <w:tcBorders>
              <w:right w:val="single" w:sz="4" w:space="0" w:color="auto"/>
            </w:tcBorders>
            <w:shd w:val="clear" w:color="auto" w:fill="auto"/>
            <w:noWrap/>
            <w:vAlign w:val="bottom"/>
            <w:hideMark/>
          </w:tcPr>
          <w:p w14:paraId="3169833A" w14:textId="77777777" w:rsidR="00094E57" w:rsidRPr="00094E57" w:rsidRDefault="00094E57" w:rsidP="00094E57">
            <w:pPr>
              <w:pStyle w:val="Tables"/>
              <w:jc w:val="right"/>
              <w:rPr>
                <w:sz w:val="20"/>
                <w:szCs w:val="20"/>
                <w:u w:val="single"/>
              </w:rPr>
            </w:pPr>
            <w:r w:rsidRPr="00094E57">
              <w:rPr>
                <w:sz w:val="20"/>
                <w:szCs w:val="20"/>
                <w:u w:val="single"/>
              </w:rPr>
              <w:t>% Increase MSE</w:t>
            </w:r>
          </w:p>
        </w:tc>
        <w:tc>
          <w:tcPr>
            <w:tcW w:w="280" w:type="dxa"/>
            <w:tcBorders>
              <w:top w:val="single" w:sz="4" w:space="0" w:color="auto"/>
              <w:left w:val="single" w:sz="4" w:space="0" w:color="auto"/>
              <w:bottom w:val="nil"/>
              <w:right w:val="single" w:sz="4" w:space="0" w:color="auto"/>
            </w:tcBorders>
            <w:shd w:val="clear" w:color="auto" w:fill="auto"/>
            <w:noWrap/>
            <w:vAlign w:val="bottom"/>
            <w:hideMark/>
          </w:tcPr>
          <w:p w14:paraId="37DC268E" w14:textId="77777777" w:rsidR="00094E57" w:rsidRPr="00094E57" w:rsidRDefault="00094E57" w:rsidP="00094E57">
            <w:pPr>
              <w:pStyle w:val="Tables"/>
              <w:rPr>
                <w:sz w:val="20"/>
                <w:szCs w:val="20"/>
                <w:u w:val="single"/>
              </w:rPr>
            </w:pPr>
          </w:p>
        </w:tc>
        <w:tc>
          <w:tcPr>
            <w:tcW w:w="2429" w:type="dxa"/>
            <w:tcBorders>
              <w:left w:val="single" w:sz="4" w:space="0" w:color="auto"/>
            </w:tcBorders>
            <w:shd w:val="clear" w:color="auto" w:fill="auto"/>
            <w:noWrap/>
            <w:vAlign w:val="bottom"/>
            <w:hideMark/>
          </w:tcPr>
          <w:p w14:paraId="13BFF14D" w14:textId="77777777" w:rsidR="00094E57" w:rsidRPr="00094E57" w:rsidRDefault="00094E57" w:rsidP="00094E57">
            <w:pPr>
              <w:pStyle w:val="Tables"/>
              <w:rPr>
                <w:sz w:val="20"/>
                <w:szCs w:val="20"/>
                <w:u w:val="single"/>
              </w:rPr>
            </w:pPr>
            <w:r w:rsidRPr="00094E57">
              <w:rPr>
                <w:sz w:val="20"/>
                <w:szCs w:val="20"/>
                <w:u w:val="single"/>
              </w:rPr>
              <w:t>light oxygenates</w:t>
            </w:r>
          </w:p>
        </w:tc>
        <w:tc>
          <w:tcPr>
            <w:tcW w:w="1660" w:type="dxa"/>
            <w:shd w:val="clear" w:color="auto" w:fill="auto"/>
            <w:noWrap/>
            <w:vAlign w:val="bottom"/>
            <w:hideMark/>
          </w:tcPr>
          <w:p w14:paraId="4598D709" w14:textId="77777777" w:rsidR="00094E57" w:rsidRPr="00094E57" w:rsidRDefault="00094E57" w:rsidP="00094E57">
            <w:pPr>
              <w:pStyle w:val="Tables"/>
              <w:jc w:val="right"/>
              <w:rPr>
                <w:sz w:val="20"/>
                <w:szCs w:val="20"/>
                <w:u w:val="single"/>
              </w:rPr>
            </w:pPr>
            <w:r w:rsidRPr="00094E57">
              <w:rPr>
                <w:sz w:val="20"/>
                <w:szCs w:val="20"/>
                <w:u w:val="single"/>
              </w:rPr>
              <w:t>% Increase MSE</w:t>
            </w:r>
          </w:p>
        </w:tc>
      </w:tr>
      <w:tr w:rsidR="00094E57" w:rsidRPr="00094E57" w14:paraId="0B022AD1" w14:textId="77777777" w:rsidTr="00094E57">
        <w:trPr>
          <w:trHeight w:val="20"/>
        </w:trPr>
        <w:tc>
          <w:tcPr>
            <w:tcW w:w="1584" w:type="dxa"/>
            <w:shd w:val="clear" w:color="auto" w:fill="auto"/>
            <w:noWrap/>
            <w:vAlign w:val="bottom"/>
            <w:hideMark/>
          </w:tcPr>
          <w:p w14:paraId="7144E5CC" w14:textId="77777777" w:rsidR="00094E57" w:rsidRPr="00094E57" w:rsidRDefault="00094E57" w:rsidP="00094E57">
            <w:pPr>
              <w:pStyle w:val="Tables"/>
              <w:rPr>
                <w:b/>
                <w:bCs/>
                <w:sz w:val="20"/>
                <w:szCs w:val="20"/>
              </w:rPr>
            </w:pPr>
            <w:r w:rsidRPr="00094E57">
              <w:rPr>
                <w:b/>
                <w:bCs/>
                <w:sz w:val="20"/>
                <w:szCs w:val="20"/>
              </w:rPr>
              <w:t>FEST</w:t>
            </w:r>
          </w:p>
        </w:tc>
        <w:tc>
          <w:tcPr>
            <w:tcW w:w="1660" w:type="dxa"/>
            <w:tcBorders>
              <w:right w:val="single" w:sz="4" w:space="0" w:color="auto"/>
            </w:tcBorders>
            <w:shd w:val="clear" w:color="auto" w:fill="auto"/>
            <w:noWrap/>
            <w:vAlign w:val="bottom"/>
            <w:hideMark/>
          </w:tcPr>
          <w:p w14:paraId="7B30A9E8" w14:textId="77777777" w:rsidR="00094E57" w:rsidRPr="00094E57" w:rsidRDefault="00094E57" w:rsidP="00094E57">
            <w:pPr>
              <w:pStyle w:val="Tables"/>
              <w:jc w:val="right"/>
              <w:rPr>
                <w:sz w:val="20"/>
                <w:szCs w:val="20"/>
              </w:rPr>
            </w:pPr>
            <w:r w:rsidRPr="00094E57">
              <w:rPr>
                <w:sz w:val="20"/>
                <w:szCs w:val="20"/>
              </w:rPr>
              <w:t>3.84E+08</w:t>
            </w:r>
          </w:p>
        </w:tc>
        <w:tc>
          <w:tcPr>
            <w:tcW w:w="280" w:type="dxa"/>
            <w:tcBorders>
              <w:top w:val="nil"/>
              <w:left w:val="single" w:sz="4" w:space="0" w:color="auto"/>
              <w:bottom w:val="nil"/>
              <w:right w:val="single" w:sz="4" w:space="0" w:color="auto"/>
            </w:tcBorders>
            <w:shd w:val="clear" w:color="auto" w:fill="auto"/>
            <w:noWrap/>
            <w:vAlign w:val="bottom"/>
            <w:hideMark/>
          </w:tcPr>
          <w:p w14:paraId="14F33194" w14:textId="77777777" w:rsidR="00094E57" w:rsidRPr="00094E57" w:rsidRDefault="00094E57" w:rsidP="00094E57">
            <w:pPr>
              <w:pStyle w:val="Tables"/>
              <w:rPr>
                <w:sz w:val="20"/>
                <w:szCs w:val="20"/>
              </w:rPr>
            </w:pPr>
          </w:p>
        </w:tc>
        <w:tc>
          <w:tcPr>
            <w:tcW w:w="2429" w:type="dxa"/>
            <w:tcBorders>
              <w:left w:val="single" w:sz="4" w:space="0" w:color="auto"/>
            </w:tcBorders>
            <w:shd w:val="clear" w:color="auto" w:fill="auto"/>
            <w:noWrap/>
            <w:vAlign w:val="bottom"/>
            <w:hideMark/>
          </w:tcPr>
          <w:p w14:paraId="50C1BDD3" w14:textId="77777777" w:rsidR="00094E57" w:rsidRPr="00094E57" w:rsidRDefault="00094E57" w:rsidP="00094E57">
            <w:pPr>
              <w:pStyle w:val="Tables"/>
              <w:rPr>
                <w:b/>
                <w:bCs/>
                <w:sz w:val="20"/>
                <w:szCs w:val="20"/>
              </w:rPr>
            </w:pPr>
            <w:r w:rsidRPr="00094E57">
              <w:rPr>
                <w:b/>
                <w:bCs/>
                <w:sz w:val="20"/>
                <w:szCs w:val="20"/>
              </w:rPr>
              <w:t>RHA</w:t>
            </w:r>
          </w:p>
        </w:tc>
        <w:tc>
          <w:tcPr>
            <w:tcW w:w="1660" w:type="dxa"/>
            <w:shd w:val="clear" w:color="auto" w:fill="auto"/>
            <w:noWrap/>
            <w:vAlign w:val="bottom"/>
            <w:hideMark/>
          </w:tcPr>
          <w:p w14:paraId="339C374C" w14:textId="77777777" w:rsidR="00094E57" w:rsidRPr="00094E57" w:rsidRDefault="00094E57" w:rsidP="00094E57">
            <w:pPr>
              <w:pStyle w:val="Tables"/>
              <w:jc w:val="right"/>
              <w:rPr>
                <w:sz w:val="20"/>
                <w:szCs w:val="20"/>
              </w:rPr>
            </w:pPr>
            <w:r w:rsidRPr="00094E57">
              <w:rPr>
                <w:sz w:val="20"/>
                <w:szCs w:val="20"/>
              </w:rPr>
              <w:t>1.79E+05</w:t>
            </w:r>
          </w:p>
        </w:tc>
      </w:tr>
      <w:tr w:rsidR="00094E57" w:rsidRPr="00094E57" w14:paraId="0732AF92" w14:textId="77777777" w:rsidTr="00094E57">
        <w:trPr>
          <w:trHeight w:val="20"/>
        </w:trPr>
        <w:tc>
          <w:tcPr>
            <w:tcW w:w="1584" w:type="dxa"/>
            <w:shd w:val="clear" w:color="auto" w:fill="auto"/>
            <w:noWrap/>
            <w:vAlign w:val="bottom"/>
            <w:hideMark/>
          </w:tcPr>
          <w:p w14:paraId="6D313CFC" w14:textId="77777777" w:rsidR="00094E57" w:rsidRPr="00094E57" w:rsidRDefault="00094E57" w:rsidP="00094E57">
            <w:pPr>
              <w:pStyle w:val="Tables"/>
              <w:rPr>
                <w:sz w:val="20"/>
                <w:szCs w:val="20"/>
              </w:rPr>
            </w:pPr>
            <w:r w:rsidRPr="00094E57">
              <w:rPr>
                <w:sz w:val="20"/>
                <w:szCs w:val="20"/>
              </w:rPr>
              <w:t>GLC</w:t>
            </w:r>
          </w:p>
        </w:tc>
        <w:tc>
          <w:tcPr>
            <w:tcW w:w="1660" w:type="dxa"/>
            <w:tcBorders>
              <w:right w:val="single" w:sz="4" w:space="0" w:color="auto"/>
            </w:tcBorders>
            <w:shd w:val="clear" w:color="auto" w:fill="auto"/>
            <w:noWrap/>
            <w:vAlign w:val="bottom"/>
            <w:hideMark/>
          </w:tcPr>
          <w:p w14:paraId="14FD7E12" w14:textId="77777777" w:rsidR="00094E57" w:rsidRPr="00094E57" w:rsidRDefault="00094E57" w:rsidP="00094E57">
            <w:pPr>
              <w:pStyle w:val="Tables"/>
              <w:jc w:val="right"/>
              <w:rPr>
                <w:sz w:val="20"/>
                <w:szCs w:val="20"/>
              </w:rPr>
            </w:pPr>
            <w:r w:rsidRPr="00094E57">
              <w:rPr>
                <w:sz w:val="20"/>
                <w:szCs w:val="20"/>
              </w:rPr>
              <w:t>2.98E+08</w:t>
            </w:r>
          </w:p>
        </w:tc>
        <w:tc>
          <w:tcPr>
            <w:tcW w:w="280" w:type="dxa"/>
            <w:tcBorders>
              <w:top w:val="nil"/>
              <w:left w:val="single" w:sz="4" w:space="0" w:color="auto"/>
              <w:bottom w:val="nil"/>
              <w:right w:val="single" w:sz="4" w:space="0" w:color="auto"/>
            </w:tcBorders>
            <w:shd w:val="clear" w:color="auto" w:fill="auto"/>
            <w:noWrap/>
            <w:vAlign w:val="bottom"/>
            <w:hideMark/>
          </w:tcPr>
          <w:p w14:paraId="5BDA2904" w14:textId="77777777" w:rsidR="00094E57" w:rsidRPr="00094E57" w:rsidRDefault="00094E57" w:rsidP="00094E57">
            <w:pPr>
              <w:pStyle w:val="Tables"/>
              <w:rPr>
                <w:sz w:val="20"/>
                <w:szCs w:val="20"/>
              </w:rPr>
            </w:pPr>
          </w:p>
        </w:tc>
        <w:tc>
          <w:tcPr>
            <w:tcW w:w="2429" w:type="dxa"/>
            <w:tcBorders>
              <w:left w:val="single" w:sz="4" w:space="0" w:color="auto"/>
            </w:tcBorders>
            <w:shd w:val="clear" w:color="auto" w:fill="auto"/>
            <w:noWrap/>
            <w:vAlign w:val="bottom"/>
            <w:hideMark/>
          </w:tcPr>
          <w:p w14:paraId="5B646C4C" w14:textId="77777777" w:rsidR="00094E57" w:rsidRPr="00094E57" w:rsidRDefault="00094E57" w:rsidP="00094E57">
            <w:pPr>
              <w:pStyle w:val="Tables"/>
              <w:rPr>
                <w:sz w:val="20"/>
                <w:szCs w:val="20"/>
              </w:rPr>
            </w:pPr>
            <w:r w:rsidRPr="00094E57">
              <w:rPr>
                <w:sz w:val="20"/>
                <w:szCs w:val="20"/>
              </w:rPr>
              <w:t>C</w:t>
            </w:r>
          </w:p>
        </w:tc>
        <w:tc>
          <w:tcPr>
            <w:tcW w:w="1660" w:type="dxa"/>
            <w:shd w:val="clear" w:color="auto" w:fill="auto"/>
            <w:noWrap/>
            <w:vAlign w:val="bottom"/>
            <w:hideMark/>
          </w:tcPr>
          <w:p w14:paraId="369B8464" w14:textId="77777777" w:rsidR="00094E57" w:rsidRPr="00094E57" w:rsidRDefault="00094E57" w:rsidP="00094E57">
            <w:pPr>
              <w:pStyle w:val="Tables"/>
              <w:jc w:val="right"/>
              <w:rPr>
                <w:sz w:val="20"/>
                <w:szCs w:val="20"/>
              </w:rPr>
            </w:pPr>
            <w:r w:rsidRPr="00094E57">
              <w:rPr>
                <w:sz w:val="20"/>
                <w:szCs w:val="20"/>
              </w:rPr>
              <w:t>1.62E+05</w:t>
            </w:r>
          </w:p>
        </w:tc>
      </w:tr>
      <w:tr w:rsidR="00094E57" w:rsidRPr="00094E57" w14:paraId="429C3F9D" w14:textId="77777777" w:rsidTr="00094E57">
        <w:trPr>
          <w:trHeight w:val="20"/>
        </w:trPr>
        <w:tc>
          <w:tcPr>
            <w:tcW w:w="1584" w:type="dxa"/>
            <w:shd w:val="clear" w:color="auto" w:fill="auto"/>
            <w:noWrap/>
            <w:vAlign w:val="bottom"/>
            <w:hideMark/>
          </w:tcPr>
          <w:p w14:paraId="3E863334" w14:textId="77777777" w:rsidR="00094E57" w:rsidRPr="00094E57" w:rsidRDefault="00094E57" w:rsidP="00094E57">
            <w:pPr>
              <w:pStyle w:val="Tables"/>
              <w:rPr>
                <w:b/>
                <w:bCs/>
                <w:sz w:val="20"/>
                <w:szCs w:val="20"/>
              </w:rPr>
            </w:pPr>
            <w:r w:rsidRPr="00094E57">
              <w:rPr>
                <w:b/>
                <w:bCs/>
                <w:sz w:val="20"/>
                <w:szCs w:val="20"/>
              </w:rPr>
              <w:t>Ca</w:t>
            </w:r>
          </w:p>
        </w:tc>
        <w:tc>
          <w:tcPr>
            <w:tcW w:w="1660" w:type="dxa"/>
            <w:tcBorders>
              <w:right w:val="single" w:sz="4" w:space="0" w:color="auto"/>
            </w:tcBorders>
            <w:shd w:val="clear" w:color="auto" w:fill="auto"/>
            <w:noWrap/>
            <w:vAlign w:val="bottom"/>
            <w:hideMark/>
          </w:tcPr>
          <w:p w14:paraId="3D673073" w14:textId="77777777" w:rsidR="00094E57" w:rsidRPr="00094E57" w:rsidRDefault="00094E57" w:rsidP="00094E57">
            <w:pPr>
              <w:pStyle w:val="Tables"/>
              <w:jc w:val="right"/>
              <w:rPr>
                <w:sz w:val="20"/>
                <w:szCs w:val="20"/>
              </w:rPr>
            </w:pPr>
            <w:r w:rsidRPr="00094E57">
              <w:rPr>
                <w:sz w:val="20"/>
                <w:szCs w:val="20"/>
              </w:rPr>
              <w:t>1.70E+08</w:t>
            </w:r>
          </w:p>
        </w:tc>
        <w:tc>
          <w:tcPr>
            <w:tcW w:w="280" w:type="dxa"/>
            <w:tcBorders>
              <w:top w:val="nil"/>
              <w:left w:val="single" w:sz="4" w:space="0" w:color="auto"/>
              <w:bottom w:val="nil"/>
              <w:right w:val="single" w:sz="4" w:space="0" w:color="auto"/>
            </w:tcBorders>
            <w:shd w:val="clear" w:color="auto" w:fill="auto"/>
            <w:noWrap/>
            <w:vAlign w:val="bottom"/>
            <w:hideMark/>
          </w:tcPr>
          <w:p w14:paraId="3ABA8E75" w14:textId="77777777" w:rsidR="00094E57" w:rsidRPr="00094E57" w:rsidRDefault="00094E57" w:rsidP="00094E57">
            <w:pPr>
              <w:pStyle w:val="Tables"/>
              <w:rPr>
                <w:sz w:val="20"/>
                <w:szCs w:val="20"/>
              </w:rPr>
            </w:pPr>
          </w:p>
        </w:tc>
        <w:tc>
          <w:tcPr>
            <w:tcW w:w="2429" w:type="dxa"/>
            <w:tcBorders>
              <w:left w:val="single" w:sz="4" w:space="0" w:color="auto"/>
            </w:tcBorders>
            <w:shd w:val="clear" w:color="auto" w:fill="auto"/>
            <w:noWrap/>
            <w:vAlign w:val="bottom"/>
            <w:hideMark/>
          </w:tcPr>
          <w:p w14:paraId="21F800D0" w14:textId="77777777" w:rsidR="00094E57" w:rsidRPr="00094E57" w:rsidRDefault="00094E57" w:rsidP="00094E57">
            <w:pPr>
              <w:pStyle w:val="Tables"/>
              <w:rPr>
                <w:sz w:val="20"/>
                <w:szCs w:val="20"/>
              </w:rPr>
            </w:pPr>
            <w:r w:rsidRPr="00094E57">
              <w:rPr>
                <w:sz w:val="20"/>
                <w:szCs w:val="20"/>
              </w:rPr>
              <w:t>ARA</w:t>
            </w:r>
          </w:p>
        </w:tc>
        <w:tc>
          <w:tcPr>
            <w:tcW w:w="1660" w:type="dxa"/>
            <w:shd w:val="clear" w:color="auto" w:fill="auto"/>
            <w:noWrap/>
            <w:vAlign w:val="bottom"/>
            <w:hideMark/>
          </w:tcPr>
          <w:p w14:paraId="4243EB07" w14:textId="77777777" w:rsidR="00094E57" w:rsidRPr="00094E57" w:rsidRDefault="00094E57" w:rsidP="00094E57">
            <w:pPr>
              <w:pStyle w:val="Tables"/>
              <w:jc w:val="right"/>
              <w:rPr>
                <w:sz w:val="20"/>
                <w:szCs w:val="20"/>
              </w:rPr>
            </w:pPr>
            <w:r w:rsidRPr="00094E57">
              <w:rPr>
                <w:sz w:val="20"/>
                <w:szCs w:val="20"/>
              </w:rPr>
              <w:t>1.52E+05</w:t>
            </w:r>
          </w:p>
        </w:tc>
      </w:tr>
      <w:tr w:rsidR="00094E57" w:rsidRPr="00094E57" w14:paraId="4421B9ED" w14:textId="77777777" w:rsidTr="0030016B">
        <w:trPr>
          <w:trHeight w:val="252"/>
        </w:trPr>
        <w:tc>
          <w:tcPr>
            <w:tcW w:w="1584" w:type="dxa"/>
            <w:shd w:val="clear" w:color="auto" w:fill="auto"/>
            <w:noWrap/>
            <w:vAlign w:val="bottom"/>
            <w:hideMark/>
          </w:tcPr>
          <w:p w14:paraId="7F413C3A" w14:textId="77777777" w:rsidR="00094E57" w:rsidRPr="00094E57" w:rsidRDefault="00094E57" w:rsidP="00094E57">
            <w:pPr>
              <w:pStyle w:val="Tables"/>
              <w:rPr>
                <w:sz w:val="20"/>
                <w:szCs w:val="20"/>
              </w:rPr>
            </w:pPr>
            <w:r w:rsidRPr="00094E57">
              <w:rPr>
                <w:sz w:val="20"/>
                <w:szCs w:val="20"/>
              </w:rPr>
              <w:t>total_sugar.nrel</w:t>
            </w:r>
          </w:p>
        </w:tc>
        <w:tc>
          <w:tcPr>
            <w:tcW w:w="1660" w:type="dxa"/>
            <w:tcBorders>
              <w:right w:val="single" w:sz="4" w:space="0" w:color="auto"/>
            </w:tcBorders>
            <w:shd w:val="clear" w:color="auto" w:fill="auto"/>
            <w:noWrap/>
            <w:vAlign w:val="bottom"/>
            <w:hideMark/>
          </w:tcPr>
          <w:p w14:paraId="04B0873E" w14:textId="77777777" w:rsidR="00094E57" w:rsidRPr="00094E57" w:rsidRDefault="00094E57" w:rsidP="00094E57">
            <w:pPr>
              <w:pStyle w:val="Tables"/>
              <w:jc w:val="right"/>
              <w:rPr>
                <w:sz w:val="20"/>
                <w:szCs w:val="20"/>
              </w:rPr>
            </w:pPr>
            <w:r w:rsidRPr="00094E57">
              <w:rPr>
                <w:sz w:val="20"/>
                <w:szCs w:val="20"/>
              </w:rPr>
              <w:t>1.29E+08</w:t>
            </w:r>
          </w:p>
        </w:tc>
        <w:tc>
          <w:tcPr>
            <w:tcW w:w="280" w:type="dxa"/>
            <w:tcBorders>
              <w:top w:val="nil"/>
              <w:left w:val="single" w:sz="4" w:space="0" w:color="auto"/>
              <w:bottom w:val="nil"/>
              <w:right w:val="single" w:sz="4" w:space="0" w:color="auto"/>
            </w:tcBorders>
            <w:shd w:val="clear" w:color="auto" w:fill="auto"/>
            <w:noWrap/>
            <w:vAlign w:val="bottom"/>
            <w:hideMark/>
          </w:tcPr>
          <w:p w14:paraId="034106E8" w14:textId="77777777" w:rsidR="00094E57" w:rsidRPr="00094E57" w:rsidRDefault="00094E57" w:rsidP="00094E57">
            <w:pPr>
              <w:pStyle w:val="Tables"/>
              <w:rPr>
                <w:sz w:val="20"/>
                <w:szCs w:val="20"/>
              </w:rPr>
            </w:pPr>
          </w:p>
        </w:tc>
        <w:tc>
          <w:tcPr>
            <w:tcW w:w="2429" w:type="dxa"/>
            <w:tcBorders>
              <w:left w:val="single" w:sz="4" w:space="0" w:color="auto"/>
            </w:tcBorders>
            <w:shd w:val="clear" w:color="auto" w:fill="auto"/>
            <w:noWrap/>
            <w:vAlign w:val="bottom"/>
            <w:hideMark/>
          </w:tcPr>
          <w:p w14:paraId="70B29A4A" w14:textId="77777777" w:rsidR="00094E57" w:rsidRPr="00094E57" w:rsidRDefault="00094E57" w:rsidP="00094E57">
            <w:pPr>
              <w:pStyle w:val="Tables"/>
              <w:rPr>
                <w:sz w:val="20"/>
                <w:szCs w:val="20"/>
              </w:rPr>
            </w:pPr>
            <w:r w:rsidRPr="00094E57">
              <w:rPr>
                <w:sz w:val="20"/>
                <w:szCs w:val="20"/>
              </w:rPr>
              <w:t>HCA</w:t>
            </w:r>
          </w:p>
        </w:tc>
        <w:tc>
          <w:tcPr>
            <w:tcW w:w="1660" w:type="dxa"/>
            <w:shd w:val="clear" w:color="auto" w:fill="auto"/>
            <w:noWrap/>
            <w:vAlign w:val="bottom"/>
            <w:hideMark/>
          </w:tcPr>
          <w:p w14:paraId="0ED608F1" w14:textId="77777777" w:rsidR="00094E57" w:rsidRPr="00094E57" w:rsidRDefault="00094E57" w:rsidP="00094E57">
            <w:pPr>
              <w:pStyle w:val="Tables"/>
              <w:jc w:val="right"/>
              <w:rPr>
                <w:sz w:val="20"/>
                <w:szCs w:val="20"/>
              </w:rPr>
            </w:pPr>
            <w:r w:rsidRPr="00094E57">
              <w:rPr>
                <w:sz w:val="20"/>
                <w:szCs w:val="20"/>
              </w:rPr>
              <w:t>9.26E+04</w:t>
            </w:r>
          </w:p>
        </w:tc>
      </w:tr>
      <w:tr w:rsidR="00094E57" w:rsidRPr="00094E57" w14:paraId="3312ABBB" w14:textId="77777777" w:rsidTr="00094E57">
        <w:trPr>
          <w:trHeight w:val="20"/>
        </w:trPr>
        <w:tc>
          <w:tcPr>
            <w:tcW w:w="1584" w:type="dxa"/>
            <w:shd w:val="clear" w:color="auto" w:fill="auto"/>
            <w:noWrap/>
            <w:vAlign w:val="bottom"/>
            <w:hideMark/>
          </w:tcPr>
          <w:p w14:paraId="5CE691A9" w14:textId="77777777" w:rsidR="00094E57" w:rsidRPr="00094E57" w:rsidRDefault="00094E57" w:rsidP="00094E57">
            <w:pPr>
              <w:pStyle w:val="Tables"/>
              <w:rPr>
                <w:sz w:val="20"/>
                <w:szCs w:val="20"/>
              </w:rPr>
            </w:pPr>
            <w:r w:rsidRPr="00094E57">
              <w:rPr>
                <w:sz w:val="20"/>
                <w:szCs w:val="20"/>
              </w:rPr>
              <w:t>KL</w:t>
            </w:r>
          </w:p>
        </w:tc>
        <w:tc>
          <w:tcPr>
            <w:tcW w:w="1660" w:type="dxa"/>
            <w:tcBorders>
              <w:right w:val="single" w:sz="4" w:space="0" w:color="auto"/>
            </w:tcBorders>
            <w:shd w:val="clear" w:color="auto" w:fill="auto"/>
            <w:noWrap/>
            <w:vAlign w:val="bottom"/>
            <w:hideMark/>
          </w:tcPr>
          <w:p w14:paraId="146EF510" w14:textId="77777777" w:rsidR="00094E57" w:rsidRPr="00094E57" w:rsidRDefault="00094E57" w:rsidP="00094E57">
            <w:pPr>
              <w:pStyle w:val="Tables"/>
              <w:jc w:val="right"/>
              <w:rPr>
                <w:sz w:val="20"/>
                <w:szCs w:val="20"/>
              </w:rPr>
            </w:pPr>
            <w:r w:rsidRPr="00094E57">
              <w:rPr>
                <w:sz w:val="20"/>
                <w:szCs w:val="20"/>
              </w:rPr>
              <w:t>9.55E+07</w:t>
            </w:r>
          </w:p>
        </w:tc>
        <w:tc>
          <w:tcPr>
            <w:tcW w:w="280" w:type="dxa"/>
            <w:tcBorders>
              <w:top w:val="nil"/>
              <w:left w:val="single" w:sz="4" w:space="0" w:color="auto"/>
              <w:bottom w:val="nil"/>
              <w:right w:val="single" w:sz="4" w:space="0" w:color="auto"/>
            </w:tcBorders>
            <w:shd w:val="clear" w:color="auto" w:fill="auto"/>
            <w:noWrap/>
            <w:vAlign w:val="bottom"/>
            <w:hideMark/>
          </w:tcPr>
          <w:p w14:paraId="7FBC132B" w14:textId="77777777" w:rsidR="00094E57" w:rsidRPr="00094E57" w:rsidRDefault="00094E57" w:rsidP="00094E57">
            <w:pPr>
              <w:pStyle w:val="Tables"/>
              <w:rPr>
                <w:sz w:val="20"/>
                <w:szCs w:val="20"/>
              </w:rPr>
            </w:pPr>
          </w:p>
        </w:tc>
        <w:tc>
          <w:tcPr>
            <w:tcW w:w="2429" w:type="dxa"/>
            <w:tcBorders>
              <w:left w:val="single" w:sz="4" w:space="0" w:color="auto"/>
            </w:tcBorders>
            <w:shd w:val="clear" w:color="auto" w:fill="auto"/>
            <w:noWrap/>
            <w:vAlign w:val="bottom"/>
            <w:hideMark/>
          </w:tcPr>
          <w:p w14:paraId="6D3846D7" w14:textId="77777777" w:rsidR="00094E57" w:rsidRPr="00094E57" w:rsidRDefault="00094E57" w:rsidP="00094E57">
            <w:pPr>
              <w:pStyle w:val="Tables"/>
              <w:rPr>
                <w:sz w:val="20"/>
                <w:szCs w:val="20"/>
              </w:rPr>
            </w:pPr>
            <w:r w:rsidRPr="00094E57">
              <w:rPr>
                <w:sz w:val="20"/>
                <w:szCs w:val="20"/>
              </w:rPr>
              <w:t>Lignin.forage</w:t>
            </w:r>
          </w:p>
        </w:tc>
        <w:tc>
          <w:tcPr>
            <w:tcW w:w="1660" w:type="dxa"/>
            <w:shd w:val="clear" w:color="auto" w:fill="auto"/>
            <w:noWrap/>
            <w:vAlign w:val="bottom"/>
            <w:hideMark/>
          </w:tcPr>
          <w:p w14:paraId="23028770" w14:textId="77777777" w:rsidR="00094E57" w:rsidRPr="00094E57" w:rsidRDefault="00094E57" w:rsidP="00094E57">
            <w:pPr>
              <w:pStyle w:val="Tables"/>
              <w:jc w:val="right"/>
              <w:rPr>
                <w:sz w:val="20"/>
                <w:szCs w:val="20"/>
              </w:rPr>
            </w:pPr>
            <w:r w:rsidRPr="00094E57">
              <w:rPr>
                <w:sz w:val="20"/>
                <w:szCs w:val="20"/>
              </w:rPr>
              <w:t>6.42E+04</w:t>
            </w:r>
          </w:p>
        </w:tc>
      </w:tr>
      <w:tr w:rsidR="00094E57" w:rsidRPr="00094E57" w14:paraId="786A40AF" w14:textId="77777777" w:rsidTr="00094E57">
        <w:trPr>
          <w:trHeight w:val="20"/>
        </w:trPr>
        <w:tc>
          <w:tcPr>
            <w:tcW w:w="1584" w:type="dxa"/>
            <w:shd w:val="clear" w:color="auto" w:fill="auto"/>
            <w:noWrap/>
            <w:vAlign w:val="bottom"/>
            <w:hideMark/>
          </w:tcPr>
          <w:p w14:paraId="6E52E8D1" w14:textId="77777777" w:rsidR="00094E57" w:rsidRPr="00094E57" w:rsidRDefault="00094E57" w:rsidP="00094E57">
            <w:pPr>
              <w:pStyle w:val="Tables"/>
              <w:rPr>
                <w:sz w:val="20"/>
                <w:szCs w:val="20"/>
              </w:rPr>
            </w:pPr>
            <w:r w:rsidRPr="00094E57">
              <w:rPr>
                <w:sz w:val="20"/>
                <w:szCs w:val="20"/>
              </w:rPr>
              <w:t>PCA</w:t>
            </w:r>
          </w:p>
        </w:tc>
        <w:tc>
          <w:tcPr>
            <w:tcW w:w="1660" w:type="dxa"/>
            <w:tcBorders>
              <w:right w:val="single" w:sz="4" w:space="0" w:color="auto"/>
            </w:tcBorders>
            <w:shd w:val="clear" w:color="auto" w:fill="auto"/>
            <w:noWrap/>
            <w:vAlign w:val="bottom"/>
            <w:hideMark/>
          </w:tcPr>
          <w:p w14:paraId="7DBA897E" w14:textId="77777777" w:rsidR="00094E57" w:rsidRPr="00094E57" w:rsidRDefault="00094E57" w:rsidP="00094E57">
            <w:pPr>
              <w:pStyle w:val="Tables"/>
              <w:jc w:val="right"/>
              <w:rPr>
                <w:sz w:val="20"/>
                <w:szCs w:val="20"/>
              </w:rPr>
            </w:pPr>
            <w:r w:rsidRPr="00094E57">
              <w:rPr>
                <w:sz w:val="20"/>
                <w:szCs w:val="20"/>
              </w:rPr>
              <w:t>9.51E+07</w:t>
            </w:r>
          </w:p>
        </w:tc>
        <w:tc>
          <w:tcPr>
            <w:tcW w:w="280" w:type="dxa"/>
            <w:tcBorders>
              <w:top w:val="nil"/>
              <w:left w:val="single" w:sz="4" w:space="0" w:color="auto"/>
              <w:bottom w:val="nil"/>
              <w:right w:val="single" w:sz="4" w:space="0" w:color="auto"/>
            </w:tcBorders>
            <w:shd w:val="clear" w:color="auto" w:fill="auto"/>
            <w:noWrap/>
            <w:vAlign w:val="bottom"/>
            <w:hideMark/>
          </w:tcPr>
          <w:p w14:paraId="78399271" w14:textId="77777777" w:rsidR="00094E57" w:rsidRPr="00094E57" w:rsidRDefault="00094E57" w:rsidP="00094E57">
            <w:pPr>
              <w:pStyle w:val="Tables"/>
              <w:rPr>
                <w:sz w:val="20"/>
                <w:szCs w:val="20"/>
              </w:rPr>
            </w:pPr>
          </w:p>
        </w:tc>
        <w:tc>
          <w:tcPr>
            <w:tcW w:w="2429" w:type="dxa"/>
            <w:tcBorders>
              <w:left w:val="single" w:sz="4" w:space="0" w:color="auto"/>
            </w:tcBorders>
            <w:shd w:val="clear" w:color="auto" w:fill="auto"/>
            <w:noWrap/>
            <w:vAlign w:val="bottom"/>
            <w:hideMark/>
          </w:tcPr>
          <w:p w14:paraId="53B3FA00" w14:textId="77777777" w:rsidR="00094E57" w:rsidRPr="00094E57" w:rsidRDefault="00094E57" w:rsidP="00094E57">
            <w:pPr>
              <w:pStyle w:val="Tables"/>
              <w:rPr>
                <w:sz w:val="20"/>
                <w:szCs w:val="20"/>
              </w:rPr>
            </w:pPr>
            <w:r w:rsidRPr="00094E57">
              <w:rPr>
                <w:sz w:val="20"/>
                <w:szCs w:val="20"/>
              </w:rPr>
              <w:t>UA</w:t>
            </w:r>
          </w:p>
        </w:tc>
        <w:tc>
          <w:tcPr>
            <w:tcW w:w="1660" w:type="dxa"/>
            <w:shd w:val="clear" w:color="auto" w:fill="auto"/>
            <w:noWrap/>
            <w:vAlign w:val="bottom"/>
            <w:hideMark/>
          </w:tcPr>
          <w:p w14:paraId="3A8AC311" w14:textId="77777777" w:rsidR="00094E57" w:rsidRPr="00094E57" w:rsidRDefault="00094E57" w:rsidP="00094E57">
            <w:pPr>
              <w:pStyle w:val="Tables"/>
              <w:jc w:val="right"/>
              <w:rPr>
                <w:sz w:val="20"/>
                <w:szCs w:val="20"/>
              </w:rPr>
            </w:pPr>
            <w:r w:rsidRPr="00094E57">
              <w:rPr>
                <w:sz w:val="20"/>
                <w:szCs w:val="20"/>
              </w:rPr>
              <w:t>5.49E+04</w:t>
            </w:r>
          </w:p>
        </w:tc>
      </w:tr>
      <w:tr w:rsidR="00094E57" w:rsidRPr="00094E57" w14:paraId="3873DC93" w14:textId="77777777" w:rsidTr="00094E57">
        <w:trPr>
          <w:trHeight w:val="20"/>
        </w:trPr>
        <w:tc>
          <w:tcPr>
            <w:tcW w:w="1584" w:type="dxa"/>
            <w:shd w:val="clear" w:color="auto" w:fill="auto"/>
            <w:noWrap/>
            <w:vAlign w:val="bottom"/>
            <w:hideMark/>
          </w:tcPr>
          <w:p w14:paraId="1F406DCA" w14:textId="77777777" w:rsidR="00094E57" w:rsidRPr="00094E57" w:rsidRDefault="00094E57" w:rsidP="00094E57">
            <w:pPr>
              <w:pStyle w:val="Tables"/>
              <w:rPr>
                <w:b/>
                <w:bCs/>
                <w:sz w:val="20"/>
                <w:szCs w:val="20"/>
              </w:rPr>
            </w:pPr>
            <w:r w:rsidRPr="00094E57">
              <w:rPr>
                <w:b/>
                <w:bCs/>
                <w:sz w:val="20"/>
                <w:szCs w:val="20"/>
              </w:rPr>
              <w:t>lignin..nrel</w:t>
            </w:r>
          </w:p>
        </w:tc>
        <w:tc>
          <w:tcPr>
            <w:tcW w:w="1660" w:type="dxa"/>
            <w:tcBorders>
              <w:right w:val="single" w:sz="4" w:space="0" w:color="auto"/>
            </w:tcBorders>
            <w:shd w:val="clear" w:color="auto" w:fill="auto"/>
            <w:noWrap/>
            <w:vAlign w:val="bottom"/>
            <w:hideMark/>
          </w:tcPr>
          <w:p w14:paraId="05C0ADBC" w14:textId="77777777" w:rsidR="00094E57" w:rsidRPr="00094E57" w:rsidRDefault="00094E57" w:rsidP="00094E57">
            <w:pPr>
              <w:pStyle w:val="Tables"/>
              <w:jc w:val="right"/>
              <w:rPr>
                <w:sz w:val="20"/>
                <w:szCs w:val="20"/>
              </w:rPr>
            </w:pPr>
            <w:r w:rsidRPr="00094E57">
              <w:rPr>
                <w:sz w:val="20"/>
                <w:szCs w:val="20"/>
              </w:rPr>
              <w:t>6.57E+07</w:t>
            </w:r>
          </w:p>
        </w:tc>
        <w:tc>
          <w:tcPr>
            <w:tcW w:w="280" w:type="dxa"/>
            <w:tcBorders>
              <w:top w:val="nil"/>
              <w:left w:val="single" w:sz="4" w:space="0" w:color="auto"/>
              <w:bottom w:val="nil"/>
              <w:right w:val="single" w:sz="4" w:space="0" w:color="auto"/>
            </w:tcBorders>
            <w:shd w:val="clear" w:color="auto" w:fill="auto"/>
            <w:noWrap/>
            <w:vAlign w:val="bottom"/>
            <w:hideMark/>
          </w:tcPr>
          <w:p w14:paraId="4BD5C67C" w14:textId="77777777" w:rsidR="00094E57" w:rsidRPr="00094E57" w:rsidRDefault="00094E57" w:rsidP="00094E57">
            <w:pPr>
              <w:pStyle w:val="Tables"/>
              <w:rPr>
                <w:sz w:val="20"/>
                <w:szCs w:val="20"/>
              </w:rPr>
            </w:pPr>
          </w:p>
        </w:tc>
        <w:tc>
          <w:tcPr>
            <w:tcW w:w="2429" w:type="dxa"/>
            <w:tcBorders>
              <w:left w:val="single" w:sz="4" w:space="0" w:color="auto"/>
            </w:tcBorders>
            <w:shd w:val="clear" w:color="auto" w:fill="auto"/>
            <w:noWrap/>
            <w:vAlign w:val="bottom"/>
            <w:hideMark/>
          </w:tcPr>
          <w:p w14:paraId="632C5DEF" w14:textId="77777777" w:rsidR="00094E57" w:rsidRPr="00094E57" w:rsidRDefault="00094E57" w:rsidP="00094E57">
            <w:pPr>
              <w:pStyle w:val="Tables"/>
              <w:rPr>
                <w:sz w:val="20"/>
                <w:szCs w:val="20"/>
              </w:rPr>
            </w:pPr>
            <w:r w:rsidRPr="00094E57">
              <w:rPr>
                <w:sz w:val="20"/>
                <w:szCs w:val="20"/>
              </w:rPr>
              <w:t>xylose.nrel</w:t>
            </w:r>
          </w:p>
        </w:tc>
        <w:tc>
          <w:tcPr>
            <w:tcW w:w="1660" w:type="dxa"/>
            <w:shd w:val="clear" w:color="auto" w:fill="auto"/>
            <w:noWrap/>
            <w:vAlign w:val="bottom"/>
            <w:hideMark/>
          </w:tcPr>
          <w:p w14:paraId="381C8054" w14:textId="77777777" w:rsidR="00094E57" w:rsidRPr="00094E57" w:rsidRDefault="00094E57" w:rsidP="00094E57">
            <w:pPr>
              <w:pStyle w:val="Tables"/>
              <w:jc w:val="right"/>
              <w:rPr>
                <w:sz w:val="20"/>
                <w:szCs w:val="20"/>
              </w:rPr>
            </w:pPr>
            <w:r w:rsidRPr="00094E57">
              <w:rPr>
                <w:sz w:val="20"/>
                <w:szCs w:val="20"/>
              </w:rPr>
              <w:t>4.76E+04</w:t>
            </w:r>
          </w:p>
        </w:tc>
      </w:tr>
      <w:tr w:rsidR="00094E57" w:rsidRPr="00094E57" w14:paraId="5853283A" w14:textId="77777777" w:rsidTr="00094E57">
        <w:trPr>
          <w:trHeight w:val="20"/>
        </w:trPr>
        <w:tc>
          <w:tcPr>
            <w:tcW w:w="1584" w:type="dxa"/>
            <w:shd w:val="clear" w:color="auto" w:fill="auto"/>
            <w:noWrap/>
            <w:vAlign w:val="bottom"/>
            <w:hideMark/>
          </w:tcPr>
          <w:p w14:paraId="4FE1C6DF" w14:textId="77777777" w:rsidR="00094E57" w:rsidRPr="00094E57" w:rsidRDefault="00094E57" w:rsidP="00094E57">
            <w:pPr>
              <w:pStyle w:val="Tables"/>
              <w:rPr>
                <w:sz w:val="20"/>
                <w:szCs w:val="20"/>
              </w:rPr>
            </w:pPr>
          </w:p>
        </w:tc>
        <w:tc>
          <w:tcPr>
            <w:tcW w:w="1660" w:type="dxa"/>
            <w:tcBorders>
              <w:right w:val="single" w:sz="4" w:space="0" w:color="auto"/>
            </w:tcBorders>
            <w:shd w:val="clear" w:color="auto" w:fill="auto"/>
            <w:noWrap/>
            <w:vAlign w:val="bottom"/>
            <w:hideMark/>
          </w:tcPr>
          <w:p w14:paraId="23974031" w14:textId="77777777" w:rsidR="00094E57" w:rsidRPr="00094E57" w:rsidRDefault="00094E57" w:rsidP="00094E57">
            <w:pPr>
              <w:pStyle w:val="Tables"/>
              <w:jc w:val="right"/>
              <w:rPr>
                <w:sz w:val="20"/>
                <w:szCs w:val="20"/>
              </w:rPr>
            </w:pPr>
          </w:p>
        </w:tc>
        <w:tc>
          <w:tcPr>
            <w:tcW w:w="280" w:type="dxa"/>
            <w:tcBorders>
              <w:top w:val="nil"/>
              <w:left w:val="single" w:sz="4" w:space="0" w:color="auto"/>
              <w:bottom w:val="nil"/>
              <w:right w:val="single" w:sz="4" w:space="0" w:color="auto"/>
            </w:tcBorders>
            <w:shd w:val="clear" w:color="auto" w:fill="auto"/>
            <w:noWrap/>
            <w:vAlign w:val="bottom"/>
            <w:hideMark/>
          </w:tcPr>
          <w:p w14:paraId="7C864FD8" w14:textId="77777777" w:rsidR="00094E57" w:rsidRPr="00094E57" w:rsidRDefault="00094E57" w:rsidP="00094E57">
            <w:pPr>
              <w:pStyle w:val="Tables"/>
              <w:rPr>
                <w:sz w:val="20"/>
                <w:szCs w:val="20"/>
              </w:rPr>
            </w:pPr>
          </w:p>
        </w:tc>
        <w:tc>
          <w:tcPr>
            <w:tcW w:w="2429" w:type="dxa"/>
            <w:tcBorders>
              <w:left w:val="single" w:sz="4" w:space="0" w:color="auto"/>
            </w:tcBorders>
            <w:shd w:val="clear" w:color="auto" w:fill="auto"/>
            <w:noWrap/>
            <w:vAlign w:val="bottom"/>
            <w:hideMark/>
          </w:tcPr>
          <w:p w14:paraId="47B20C93" w14:textId="77777777" w:rsidR="00094E57" w:rsidRPr="00094E57" w:rsidRDefault="00094E57" w:rsidP="00094E57">
            <w:pPr>
              <w:pStyle w:val="Tables"/>
              <w:rPr>
                <w:sz w:val="20"/>
                <w:szCs w:val="20"/>
              </w:rPr>
            </w:pPr>
          </w:p>
        </w:tc>
        <w:tc>
          <w:tcPr>
            <w:tcW w:w="1660" w:type="dxa"/>
            <w:shd w:val="clear" w:color="auto" w:fill="auto"/>
            <w:noWrap/>
            <w:vAlign w:val="bottom"/>
            <w:hideMark/>
          </w:tcPr>
          <w:p w14:paraId="14994E07" w14:textId="77777777" w:rsidR="00094E57" w:rsidRPr="00094E57" w:rsidRDefault="00094E57" w:rsidP="00094E57">
            <w:pPr>
              <w:pStyle w:val="Tables"/>
              <w:jc w:val="right"/>
              <w:rPr>
                <w:sz w:val="20"/>
                <w:szCs w:val="20"/>
              </w:rPr>
            </w:pPr>
          </w:p>
        </w:tc>
      </w:tr>
      <w:tr w:rsidR="00094E57" w:rsidRPr="00094E57" w14:paraId="0F256403" w14:textId="77777777" w:rsidTr="00094E57">
        <w:trPr>
          <w:trHeight w:val="20"/>
        </w:trPr>
        <w:tc>
          <w:tcPr>
            <w:tcW w:w="1584" w:type="dxa"/>
            <w:shd w:val="clear" w:color="auto" w:fill="auto"/>
            <w:noWrap/>
            <w:vAlign w:val="bottom"/>
            <w:hideMark/>
          </w:tcPr>
          <w:p w14:paraId="093B1011" w14:textId="77777777" w:rsidR="00094E57" w:rsidRPr="00094E57" w:rsidRDefault="00094E57" w:rsidP="00094E57">
            <w:pPr>
              <w:pStyle w:val="Tables"/>
              <w:rPr>
                <w:sz w:val="20"/>
                <w:szCs w:val="20"/>
                <w:u w:val="single"/>
              </w:rPr>
            </w:pPr>
            <w:r w:rsidRPr="00094E57">
              <w:rPr>
                <w:sz w:val="20"/>
                <w:szCs w:val="20"/>
                <w:u w:val="single"/>
              </w:rPr>
              <w:t>alkyl phenols</w:t>
            </w:r>
          </w:p>
        </w:tc>
        <w:tc>
          <w:tcPr>
            <w:tcW w:w="1660" w:type="dxa"/>
            <w:tcBorders>
              <w:right w:val="single" w:sz="4" w:space="0" w:color="auto"/>
            </w:tcBorders>
            <w:shd w:val="clear" w:color="auto" w:fill="auto"/>
            <w:noWrap/>
            <w:vAlign w:val="bottom"/>
            <w:hideMark/>
          </w:tcPr>
          <w:p w14:paraId="39E40B3B" w14:textId="77777777" w:rsidR="00094E57" w:rsidRPr="00094E57" w:rsidRDefault="00094E57" w:rsidP="00094E57">
            <w:pPr>
              <w:pStyle w:val="Tables"/>
              <w:jc w:val="right"/>
              <w:rPr>
                <w:sz w:val="20"/>
                <w:szCs w:val="20"/>
                <w:u w:val="single"/>
              </w:rPr>
            </w:pPr>
            <w:r w:rsidRPr="00094E57">
              <w:rPr>
                <w:sz w:val="20"/>
                <w:szCs w:val="20"/>
                <w:u w:val="single"/>
              </w:rPr>
              <w:t>% Increase MSE</w:t>
            </w:r>
          </w:p>
        </w:tc>
        <w:tc>
          <w:tcPr>
            <w:tcW w:w="280" w:type="dxa"/>
            <w:tcBorders>
              <w:top w:val="nil"/>
              <w:left w:val="single" w:sz="4" w:space="0" w:color="auto"/>
              <w:bottom w:val="nil"/>
              <w:right w:val="single" w:sz="4" w:space="0" w:color="auto"/>
            </w:tcBorders>
            <w:shd w:val="clear" w:color="auto" w:fill="auto"/>
            <w:noWrap/>
            <w:vAlign w:val="bottom"/>
            <w:hideMark/>
          </w:tcPr>
          <w:p w14:paraId="7C8FB2F7" w14:textId="77777777" w:rsidR="00094E57" w:rsidRPr="00094E57" w:rsidRDefault="00094E57" w:rsidP="00094E57">
            <w:pPr>
              <w:pStyle w:val="Tables"/>
              <w:rPr>
                <w:sz w:val="20"/>
                <w:szCs w:val="20"/>
                <w:u w:val="single"/>
              </w:rPr>
            </w:pPr>
          </w:p>
        </w:tc>
        <w:tc>
          <w:tcPr>
            <w:tcW w:w="2429" w:type="dxa"/>
            <w:tcBorders>
              <w:left w:val="single" w:sz="4" w:space="0" w:color="auto"/>
            </w:tcBorders>
            <w:shd w:val="clear" w:color="auto" w:fill="auto"/>
            <w:noWrap/>
            <w:vAlign w:val="bottom"/>
            <w:hideMark/>
          </w:tcPr>
          <w:p w14:paraId="2FD1BA72" w14:textId="77777777" w:rsidR="00094E57" w:rsidRPr="00094E57" w:rsidRDefault="00094E57" w:rsidP="00094E57">
            <w:pPr>
              <w:pStyle w:val="Tables"/>
              <w:rPr>
                <w:sz w:val="20"/>
                <w:szCs w:val="20"/>
                <w:u w:val="single"/>
              </w:rPr>
            </w:pPr>
            <w:r w:rsidRPr="00094E57">
              <w:rPr>
                <w:sz w:val="20"/>
                <w:szCs w:val="20"/>
                <w:u w:val="single"/>
              </w:rPr>
              <w:t>methoxyphenols</w:t>
            </w:r>
          </w:p>
        </w:tc>
        <w:tc>
          <w:tcPr>
            <w:tcW w:w="1660" w:type="dxa"/>
            <w:shd w:val="clear" w:color="auto" w:fill="auto"/>
            <w:noWrap/>
            <w:vAlign w:val="bottom"/>
            <w:hideMark/>
          </w:tcPr>
          <w:p w14:paraId="1BEA860D" w14:textId="77777777" w:rsidR="00094E57" w:rsidRPr="00094E57" w:rsidRDefault="00094E57" w:rsidP="00094E57">
            <w:pPr>
              <w:pStyle w:val="Tables"/>
              <w:jc w:val="right"/>
              <w:rPr>
                <w:sz w:val="20"/>
                <w:szCs w:val="20"/>
                <w:u w:val="single"/>
              </w:rPr>
            </w:pPr>
            <w:r w:rsidRPr="00094E57">
              <w:rPr>
                <w:sz w:val="20"/>
                <w:szCs w:val="20"/>
                <w:u w:val="single"/>
              </w:rPr>
              <w:t>% Increase MSE</w:t>
            </w:r>
          </w:p>
        </w:tc>
      </w:tr>
      <w:tr w:rsidR="00094E57" w:rsidRPr="00094E57" w14:paraId="3DC17BB5" w14:textId="77777777" w:rsidTr="00094E57">
        <w:trPr>
          <w:trHeight w:val="20"/>
        </w:trPr>
        <w:tc>
          <w:tcPr>
            <w:tcW w:w="1584" w:type="dxa"/>
            <w:shd w:val="clear" w:color="auto" w:fill="auto"/>
            <w:noWrap/>
            <w:vAlign w:val="bottom"/>
            <w:hideMark/>
          </w:tcPr>
          <w:p w14:paraId="287A7EEA" w14:textId="77777777" w:rsidR="00094E57" w:rsidRPr="00094E57" w:rsidRDefault="00094E57" w:rsidP="00094E57">
            <w:pPr>
              <w:pStyle w:val="Tables"/>
              <w:rPr>
                <w:b/>
                <w:bCs/>
                <w:sz w:val="20"/>
                <w:szCs w:val="20"/>
              </w:rPr>
            </w:pPr>
            <w:r w:rsidRPr="00094E57">
              <w:rPr>
                <w:b/>
                <w:bCs/>
                <w:sz w:val="20"/>
                <w:szCs w:val="20"/>
              </w:rPr>
              <w:t>pCA</w:t>
            </w:r>
          </w:p>
        </w:tc>
        <w:tc>
          <w:tcPr>
            <w:tcW w:w="1660" w:type="dxa"/>
            <w:tcBorders>
              <w:right w:val="single" w:sz="4" w:space="0" w:color="auto"/>
            </w:tcBorders>
            <w:shd w:val="clear" w:color="auto" w:fill="auto"/>
            <w:noWrap/>
            <w:vAlign w:val="bottom"/>
            <w:hideMark/>
          </w:tcPr>
          <w:p w14:paraId="7E6396D8" w14:textId="77777777" w:rsidR="00094E57" w:rsidRPr="00094E57" w:rsidRDefault="00094E57" w:rsidP="00094E57">
            <w:pPr>
              <w:pStyle w:val="Tables"/>
              <w:jc w:val="right"/>
              <w:rPr>
                <w:sz w:val="20"/>
                <w:szCs w:val="20"/>
              </w:rPr>
            </w:pPr>
            <w:r w:rsidRPr="00094E57">
              <w:rPr>
                <w:sz w:val="20"/>
                <w:szCs w:val="20"/>
              </w:rPr>
              <w:t>3.15E+08</w:t>
            </w:r>
          </w:p>
        </w:tc>
        <w:tc>
          <w:tcPr>
            <w:tcW w:w="280" w:type="dxa"/>
            <w:tcBorders>
              <w:top w:val="nil"/>
              <w:left w:val="single" w:sz="4" w:space="0" w:color="auto"/>
              <w:bottom w:val="nil"/>
              <w:right w:val="single" w:sz="4" w:space="0" w:color="auto"/>
            </w:tcBorders>
            <w:shd w:val="clear" w:color="auto" w:fill="auto"/>
            <w:noWrap/>
            <w:vAlign w:val="bottom"/>
            <w:hideMark/>
          </w:tcPr>
          <w:p w14:paraId="4D9ED361" w14:textId="77777777" w:rsidR="00094E57" w:rsidRPr="00094E57" w:rsidRDefault="00094E57" w:rsidP="00094E57">
            <w:pPr>
              <w:pStyle w:val="Tables"/>
              <w:rPr>
                <w:sz w:val="20"/>
                <w:szCs w:val="20"/>
              </w:rPr>
            </w:pPr>
          </w:p>
        </w:tc>
        <w:tc>
          <w:tcPr>
            <w:tcW w:w="2429" w:type="dxa"/>
            <w:tcBorders>
              <w:left w:val="single" w:sz="4" w:space="0" w:color="auto"/>
            </w:tcBorders>
            <w:shd w:val="clear" w:color="auto" w:fill="auto"/>
            <w:noWrap/>
            <w:vAlign w:val="bottom"/>
            <w:hideMark/>
          </w:tcPr>
          <w:p w14:paraId="61201444" w14:textId="77777777" w:rsidR="00094E57" w:rsidRPr="00094E57" w:rsidRDefault="00094E57" w:rsidP="00094E57">
            <w:pPr>
              <w:pStyle w:val="Tables"/>
              <w:rPr>
                <w:sz w:val="20"/>
                <w:szCs w:val="20"/>
              </w:rPr>
            </w:pPr>
            <w:r w:rsidRPr="00094E57">
              <w:rPr>
                <w:sz w:val="20"/>
                <w:szCs w:val="20"/>
              </w:rPr>
              <w:t>KL</w:t>
            </w:r>
          </w:p>
        </w:tc>
        <w:tc>
          <w:tcPr>
            <w:tcW w:w="1660" w:type="dxa"/>
            <w:shd w:val="clear" w:color="auto" w:fill="auto"/>
            <w:noWrap/>
            <w:vAlign w:val="bottom"/>
            <w:hideMark/>
          </w:tcPr>
          <w:p w14:paraId="26B6615A" w14:textId="77777777" w:rsidR="00094E57" w:rsidRPr="00094E57" w:rsidRDefault="00094E57" w:rsidP="00094E57">
            <w:pPr>
              <w:pStyle w:val="Tables"/>
              <w:jc w:val="right"/>
              <w:rPr>
                <w:sz w:val="20"/>
                <w:szCs w:val="20"/>
              </w:rPr>
            </w:pPr>
            <w:r w:rsidRPr="00094E57">
              <w:rPr>
                <w:sz w:val="20"/>
                <w:szCs w:val="20"/>
              </w:rPr>
              <w:t>7.22E+05</w:t>
            </w:r>
          </w:p>
        </w:tc>
      </w:tr>
      <w:tr w:rsidR="00094E57" w:rsidRPr="00094E57" w14:paraId="6BB94B9E" w14:textId="77777777" w:rsidTr="00094E57">
        <w:trPr>
          <w:trHeight w:val="20"/>
        </w:trPr>
        <w:tc>
          <w:tcPr>
            <w:tcW w:w="1584" w:type="dxa"/>
            <w:shd w:val="clear" w:color="auto" w:fill="auto"/>
            <w:noWrap/>
            <w:vAlign w:val="bottom"/>
            <w:hideMark/>
          </w:tcPr>
          <w:p w14:paraId="42B3A991" w14:textId="77777777" w:rsidR="00094E57" w:rsidRPr="00094E57" w:rsidRDefault="00094E57" w:rsidP="00094E57">
            <w:pPr>
              <w:pStyle w:val="Tables"/>
              <w:rPr>
                <w:b/>
                <w:bCs/>
                <w:sz w:val="20"/>
                <w:szCs w:val="20"/>
              </w:rPr>
            </w:pPr>
            <w:r w:rsidRPr="00094E57">
              <w:rPr>
                <w:b/>
                <w:bCs/>
                <w:sz w:val="20"/>
                <w:szCs w:val="20"/>
              </w:rPr>
              <w:t>Ash.forage</w:t>
            </w:r>
          </w:p>
        </w:tc>
        <w:tc>
          <w:tcPr>
            <w:tcW w:w="1660" w:type="dxa"/>
            <w:tcBorders>
              <w:right w:val="single" w:sz="4" w:space="0" w:color="auto"/>
            </w:tcBorders>
            <w:shd w:val="clear" w:color="auto" w:fill="auto"/>
            <w:noWrap/>
            <w:vAlign w:val="bottom"/>
            <w:hideMark/>
          </w:tcPr>
          <w:p w14:paraId="017CFF37" w14:textId="77777777" w:rsidR="00094E57" w:rsidRPr="00094E57" w:rsidRDefault="00094E57" w:rsidP="00094E57">
            <w:pPr>
              <w:pStyle w:val="Tables"/>
              <w:jc w:val="right"/>
              <w:rPr>
                <w:sz w:val="20"/>
                <w:szCs w:val="20"/>
              </w:rPr>
            </w:pPr>
            <w:r w:rsidRPr="00094E57">
              <w:rPr>
                <w:sz w:val="20"/>
                <w:szCs w:val="20"/>
              </w:rPr>
              <w:t>1.44E+08</w:t>
            </w:r>
          </w:p>
        </w:tc>
        <w:tc>
          <w:tcPr>
            <w:tcW w:w="280" w:type="dxa"/>
            <w:tcBorders>
              <w:top w:val="nil"/>
              <w:left w:val="single" w:sz="4" w:space="0" w:color="auto"/>
              <w:bottom w:val="nil"/>
              <w:right w:val="single" w:sz="4" w:space="0" w:color="auto"/>
            </w:tcBorders>
            <w:shd w:val="clear" w:color="auto" w:fill="auto"/>
            <w:noWrap/>
            <w:vAlign w:val="bottom"/>
            <w:hideMark/>
          </w:tcPr>
          <w:p w14:paraId="335784CC" w14:textId="77777777" w:rsidR="00094E57" w:rsidRPr="00094E57" w:rsidRDefault="00094E57" w:rsidP="00094E57">
            <w:pPr>
              <w:pStyle w:val="Tables"/>
              <w:rPr>
                <w:sz w:val="20"/>
                <w:szCs w:val="20"/>
              </w:rPr>
            </w:pPr>
          </w:p>
        </w:tc>
        <w:tc>
          <w:tcPr>
            <w:tcW w:w="2429" w:type="dxa"/>
            <w:tcBorders>
              <w:left w:val="single" w:sz="4" w:space="0" w:color="auto"/>
            </w:tcBorders>
            <w:shd w:val="clear" w:color="auto" w:fill="auto"/>
            <w:noWrap/>
            <w:vAlign w:val="bottom"/>
            <w:hideMark/>
          </w:tcPr>
          <w:p w14:paraId="3F8E5935" w14:textId="77777777" w:rsidR="00094E57" w:rsidRPr="00094E57" w:rsidRDefault="00094E57" w:rsidP="00094E57">
            <w:pPr>
              <w:pStyle w:val="Tables"/>
              <w:rPr>
                <w:b/>
                <w:bCs/>
                <w:sz w:val="20"/>
                <w:szCs w:val="20"/>
              </w:rPr>
            </w:pPr>
            <w:r w:rsidRPr="00094E57">
              <w:rPr>
                <w:b/>
                <w:bCs/>
                <w:sz w:val="20"/>
                <w:szCs w:val="20"/>
              </w:rPr>
              <w:t>UA</w:t>
            </w:r>
          </w:p>
        </w:tc>
        <w:tc>
          <w:tcPr>
            <w:tcW w:w="1660" w:type="dxa"/>
            <w:shd w:val="clear" w:color="auto" w:fill="auto"/>
            <w:noWrap/>
            <w:vAlign w:val="bottom"/>
            <w:hideMark/>
          </w:tcPr>
          <w:p w14:paraId="53011617" w14:textId="77777777" w:rsidR="00094E57" w:rsidRPr="00094E57" w:rsidRDefault="00094E57" w:rsidP="00094E57">
            <w:pPr>
              <w:pStyle w:val="Tables"/>
              <w:jc w:val="right"/>
              <w:rPr>
                <w:sz w:val="20"/>
                <w:szCs w:val="20"/>
              </w:rPr>
            </w:pPr>
            <w:r w:rsidRPr="00094E57">
              <w:rPr>
                <w:sz w:val="20"/>
                <w:szCs w:val="20"/>
              </w:rPr>
              <w:t>4.49E+05</w:t>
            </w:r>
          </w:p>
        </w:tc>
      </w:tr>
      <w:tr w:rsidR="00094E57" w:rsidRPr="00094E57" w14:paraId="4A5BE14D" w14:textId="77777777" w:rsidTr="00094E57">
        <w:trPr>
          <w:trHeight w:val="20"/>
        </w:trPr>
        <w:tc>
          <w:tcPr>
            <w:tcW w:w="1584" w:type="dxa"/>
            <w:shd w:val="clear" w:color="auto" w:fill="auto"/>
            <w:noWrap/>
            <w:vAlign w:val="bottom"/>
            <w:hideMark/>
          </w:tcPr>
          <w:p w14:paraId="3E96CF61" w14:textId="77777777" w:rsidR="00094E57" w:rsidRPr="00094E57" w:rsidRDefault="00094E57" w:rsidP="00094E57">
            <w:pPr>
              <w:pStyle w:val="Tables"/>
              <w:rPr>
                <w:b/>
                <w:bCs/>
                <w:sz w:val="20"/>
                <w:szCs w:val="20"/>
              </w:rPr>
            </w:pPr>
            <w:r w:rsidRPr="00094E57">
              <w:rPr>
                <w:b/>
                <w:bCs/>
                <w:sz w:val="20"/>
                <w:szCs w:val="20"/>
              </w:rPr>
              <w:t>UA</w:t>
            </w:r>
          </w:p>
        </w:tc>
        <w:tc>
          <w:tcPr>
            <w:tcW w:w="1660" w:type="dxa"/>
            <w:tcBorders>
              <w:right w:val="single" w:sz="4" w:space="0" w:color="auto"/>
            </w:tcBorders>
            <w:shd w:val="clear" w:color="auto" w:fill="auto"/>
            <w:noWrap/>
            <w:vAlign w:val="bottom"/>
            <w:hideMark/>
          </w:tcPr>
          <w:p w14:paraId="3A9E9421" w14:textId="77777777" w:rsidR="00094E57" w:rsidRPr="00094E57" w:rsidRDefault="00094E57" w:rsidP="00094E57">
            <w:pPr>
              <w:pStyle w:val="Tables"/>
              <w:jc w:val="right"/>
              <w:rPr>
                <w:sz w:val="20"/>
                <w:szCs w:val="20"/>
              </w:rPr>
            </w:pPr>
            <w:r w:rsidRPr="00094E57">
              <w:rPr>
                <w:sz w:val="20"/>
                <w:szCs w:val="20"/>
              </w:rPr>
              <w:t>7.84E+07</w:t>
            </w:r>
          </w:p>
        </w:tc>
        <w:tc>
          <w:tcPr>
            <w:tcW w:w="280" w:type="dxa"/>
            <w:tcBorders>
              <w:top w:val="nil"/>
              <w:left w:val="single" w:sz="4" w:space="0" w:color="auto"/>
              <w:bottom w:val="nil"/>
              <w:right w:val="single" w:sz="4" w:space="0" w:color="auto"/>
            </w:tcBorders>
            <w:shd w:val="clear" w:color="auto" w:fill="auto"/>
            <w:noWrap/>
            <w:vAlign w:val="bottom"/>
            <w:hideMark/>
          </w:tcPr>
          <w:p w14:paraId="70A5924C" w14:textId="77777777" w:rsidR="00094E57" w:rsidRPr="00094E57" w:rsidRDefault="00094E57" w:rsidP="00094E57">
            <w:pPr>
              <w:pStyle w:val="Tables"/>
              <w:rPr>
                <w:sz w:val="20"/>
                <w:szCs w:val="20"/>
              </w:rPr>
            </w:pPr>
          </w:p>
        </w:tc>
        <w:tc>
          <w:tcPr>
            <w:tcW w:w="2429" w:type="dxa"/>
            <w:tcBorders>
              <w:left w:val="single" w:sz="4" w:space="0" w:color="auto"/>
            </w:tcBorders>
            <w:shd w:val="clear" w:color="auto" w:fill="auto"/>
            <w:noWrap/>
            <w:vAlign w:val="bottom"/>
            <w:hideMark/>
          </w:tcPr>
          <w:p w14:paraId="1AEA656C" w14:textId="77777777" w:rsidR="00094E57" w:rsidRPr="00094E57" w:rsidRDefault="00094E57" w:rsidP="00094E57">
            <w:pPr>
              <w:pStyle w:val="Tables"/>
              <w:rPr>
                <w:sz w:val="20"/>
                <w:szCs w:val="20"/>
              </w:rPr>
            </w:pPr>
            <w:r w:rsidRPr="00094E57">
              <w:rPr>
                <w:sz w:val="20"/>
                <w:szCs w:val="20"/>
              </w:rPr>
              <w:t>GLCS</w:t>
            </w:r>
          </w:p>
        </w:tc>
        <w:tc>
          <w:tcPr>
            <w:tcW w:w="1660" w:type="dxa"/>
            <w:shd w:val="clear" w:color="auto" w:fill="auto"/>
            <w:noWrap/>
            <w:vAlign w:val="bottom"/>
            <w:hideMark/>
          </w:tcPr>
          <w:p w14:paraId="2D41A4CC" w14:textId="77777777" w:rsidR="00094E57" w:rsidRPr="00094E57" w:rsidRDefault="00094E57" w:rsidP="00094E57">
            <w:pPr>
              <w:pStyle w:val="Tables"/>
              <w:jc w:val="right"/>
              <w:rPr>
                <w:sz w:val="20"/>
                <w:szCs w:val="20"/>
              </w:rPr>
            </w:pPr>
            <w:r w:rsidRPr="00094E57">
              <w:rPr>
                <w:sz w:val="20"/>
                <w:szCs w:val="20"/>
              </w:rPr>
              <w:t>4.22E+05</w:t>
            </w:r>
          </w:p>
        </w:tc>
      </w:tr>
      <w:tr w:rsidR="00094E57" w:rsidRPr="00094E57" w14:paraId="27DC77CF" w14:textId="77777777" w:rsidTr="00094E57">
        <w:trPr>
          <w:trHeight w:val="20"/>
        </w:trPr>
        <w:tc>
          <w:tcPr>
            <w:tcW w:w="1584" w:type="dxa"/>
            <w:shd w:val="clear" w:color="auto" w:fill="auto"/>
            <w:noWrap/>
            <w:vAlign w:val="bottom"/>
            <w:hideMark/>
          </w:tcPr>
          <w:p w14:paraId="41DF33D8" w14:textId="77777777" w:rsidR="00094E57" w:rsidRPr="00094E57" w:rsidRDefault="00094E57" w:rsidP="00094E57">
            <w:pPr>
              <w:pStyle w:val="Tables"/>
              <w:rPr>
                <w:sz w:val="20"/>
                <w:szCs w:val="20"/>
              </w:rPr>
            </w:pPr>
            <w:r w:rsidRPr="00094E57">
              <w:rPr>
                <w:sz w:val="20"/>
                <w:szCs w:val="20"/>
              </w:rPr>
              <w:t>HCA</w:t>
            </w:r>
          </w:p>
        </w:tc>
        <w:tc>
          <w:tcPr>
            <w:tcW w:w="1660" w:type="dxa"/>
            <w:tcBorders>
              <w:right w:val="single" w:sz="4" w:space="0" w:color="auto"/>
            </w:tcBorders>
            <w:shd w:val="clear" w:color="auto" w:fill="auto"/>
            <w:noWrap/>
            <w:vAlign w:val="bottom"/>
            <w:hideMark/>
          </w:tcPr>
          <w:p w14:paraId="2AD4BC63" w14:textId="77777777" w:rsidR="00094E57" w:rsidRPr="00094E57" w:rsidRDefault="00094E57" w:rsidP="00094E57">
            <w:pPr>
              <w:pStyle w:val="Tables"/>
              <w:jc w:val="right"/>
              <w:rPr>
                <w:sz w:val="20"/>
                <w:szCs w:val="20"/>
              </w:rPr>
            </w:pPr>
            <w:r w:rsidRPr="00094E57">
              <w:rPr>
                <w:sz w:val="20"/>
                <w:szCs w:val="20"/>
              </w:rPr>
              <w:t>7.58E+07</w:t>
            </w:r>
          </w:p>
        </w:tc>
        <w:tc>
          <w:tcPr>
            <w:tcW w:w="280" w:type="dxa"/>
            <w:tcBorders>
              <w:top w:val="nil"/>
              <w:left w:val="single" w:sz="4" w:space="0" w:color="auto"/>
              <w:bottom w:val="nil"/>
              <w:right w:val="single" w:sz="4" w:space="0" w:color="auto"/>
            </w:tcBorders>
            <w:shd w:val="clear" w:color="auto" w:fill="auto"/>
            <w:noWrap/>
            <w:vAlign w:val="bottom"/>
            <w:hideMark/>
          </w:tcPr>
          <w:p w14:paraId="3E4BF06A" w14:textId="77777777" w:rsidR="00094E57" w:rsidRPr="00094E57" w:rsidRDefault="00094E57" w:rsidP="00094E57">
            <w:pPr>
              <w:pStyle w:val="Tables"/>
              <w:rPr>
                <w:sz w:val="20"/>
                <w:szCs w:val="20"/>
              </w:rPr>
            </w:pPr>
          </w:p>
        </w:tc>
        <w:tc>
          <w:tcPr>
            <w:tcW w:w="2429" w:type="dxa"/>
            <w:tcBorders>
              <w:left w:val="single" w:sz="4" w:space="0" w:color="auto"/>
            </w:tcBorders>
            <w:shd w:val="clear" w:color="auto" w:fill="auto"/>
            <w:noWrap/>
            <w:vAlign w:val="bottom"/>
            <w:hideMark/>
          </w:tcPr>
          <w:p w14:paraId="0252F32B" w14:textId="77777777" w:rsidR="00094E57" w:rsidRPr="00094E57" w:rsidRDefault="00094E57" w:rsidP="00094E57">
            <w:pPr>
              <w:pStyle w:val="Tables"/>
              <w:rPr>
                <w:sz w:val="20"/>
                <w:szCs w:val="20"/>
              </w:rPr>
            </w:pPr>
            <w:r w:rsidRPr="00094E57">
              <w:rPr>
                <w:sz w:val="20"/>
                <w:szCs w:val="20"/>
              </w:rPr>
              <w:t>FEST</w:t>
            </w:r>
          </w:p>
        </w:tc>
        <w:tc>
          <w:tcPr>
            <w:tcW w:w="1660" w:type="dxa"/>
            <w:shd w:val="clear" w:color="auto" w:fill="auto"/>
            <w:noWrap/>
            <w:vAlign w:val="bottom"/>
            <w:hideMark/>
          </w:tcPr>
          <w:p w14:paraId="4347783C" w14:textId="77777777" w:rsidR="00094E57" w:rsidRPr="00094E57" w:rsidRDefault="00094E57" w:rsidP="00094E57">
            <w:pPr>
              <w:pStyle w:val="Tables"/>
              <w:jc w:val="right"/>
              <w:rPr>
                <w:sz w:val="20"/>
                <w:szCs w:val="20"/>
              </w:rPr>
            </w:pPr>
            <w:r w:rsidRPr="00094E57">
              <w:rPr>
                <w:sz w:val="20"/>
                <w:szCs w:val="20"/>
              </w:rPr>
              <w:t>2.17E+05</w:t>
            </w:r>
          </w:p>
        </w:tc>
      </w:tr>
      <w:tr w:rsidR="00094E57" w:rsidRPr="00094E57" w14:paraId="49356C47" w14:textId="77777777" w:rsidTr="00094E57">
        <w:trPr>
          <w:trHeight w:val="20"/>
        </w:trPr>
        <w:tc>
          <w:tcPr>
            <w:tcW w:w="1584" w:type="dxa"/>
            <w:shd w:val="clear" w:color="auto" w:fill="auto"/>
            <w:noWrap/>
            <w:vAlign w:val="bottom"/>
            <w:hideMark/>
          </w:tcPr>
          <w:p w14:paraId="4FECFACB" w14:textId="77777777" w:rsidR="00094E57" w:rsidRPr="00094E57" w:rsidRDefault="00094E57" w:rsidP="00094E57">
            <w:pPr>
              <w:pStyle w:val="Tables"/>
              <w:rPr>
                <w:b/>
                <w:bCs/>
                <w:sz w:val="20"/>
                <w:szCs w:val="20"/>
              </w:rPr>
            </w:pPr>
            <w:r w:rsidRPr="00094E57">
              <w:rPr>
                <w:b/>
                <w:bCs/>
                <w:sz w:val="20"/>
                <w:szCs w:val="20"/>
              </w:rPr>
              <w:t>FEST</w:t>
            </w:r>
          </w:p>
        </w:tc>
        <w:tc>
          <w:tcPr>
            <w:tcW w:w="1660" w:type="dxa"/>
            <w:tcBorders>
              <w:right w:val="single" w:sz="4" w:space="0" w:color="auto"/>
            </w:tcBorders>
            <w:shd w:val="clear" w:color="auto" w:fill="auto"/>
            <w:noWrap/>
            <w:vAlign w:val="bottom"/>
            <w:hideMark/>
          </w:tcPr>
          <w:p w14:paraId="515E193C" w14:textId="77777777" w:rsidR="00094E57" w:rsidRPr="00094E57" w:rsidRDefault="00094E57" w:rsidP="00094E57">
            <w:pPr>
              <w:pStyle w:val="Tables"/>
              <w:jc w:val="right"/>
              <w:rPr>
                <w:sz w:val="20"/>
                <w:szCs w:val="20"/>
              </w:rPr>
            </w:pPr>
            <w:r w:rsidRPr="00094E57">
              <w:rPr>
                <w:sz w:val="20"/>
                <w:szCs w:val="20"/>
              </w:rPr>
              <w:t>5.52E+07</w:t>
            </w:r>
          </w:p>
        </w:tc>
        <w:tc>
          <w:tcPr>
            <w:tcW w:w="280" w:type="dxa"/>
            <w:tcBorders>
              <w:top w:val="nil"/>
              <w:left w:val="single" w:sz="4" w:space="0" w:color="auto"/>
              <w:bottom w:val="nil"/>
              <w:right w:val="single" w:sz="4" w:space="0" w:color="auto"/>
            </w:tcBorders>
            <w:shd w:val="clear" w:color="auto" w:fill="auto"/>
            <w:noWrap/>
            <w:vAlign w:val="bottom"/>
            <w:hideMark/>
          </w:tcPr>
          <w:p w14:paraId="21FAE452" w14:textId="77777777" w:rsidR="00094E57" w:rsidRPr="00094E57" w:rsidRDefault="00094E57" w:rsidP="00094E57">
            <w:pPr>
              <w:pStyle w:val="Tables"/>
              <w:rPr>
                <w:sz w:val="20"/>
                <w:szCs w:val="20"/>
              </w:rPr>
            </w:pPr>
          </w:p>
        </w:tc>
        <w:tc>
          <w:tcPr>
            <w:tcW w:w="2429" w:type="dxa"/>
            <w:tcBorders>
              <w:left w:val="single" w:sz="4" w:space="0" w:color="auto"/>
            </w:tcBorders>
            <w:shd w:val="clear" w:color="auto" w:fill="auto"/>
            <w:noWrap/>
            <w:vAlign w:val="bottom"/>
            <w:hideMark/>
          </w:tcPr>
          <w:p w14:paraId="3115E93E" w14:textId="77777777" w:rsidR="00094E57" w:rsidRPr="00094E57" w:rsidRDefault="00094E57" w:rsidP="00094E57">
            <w:pPr>
              <w:pStyle w:val="Tables"/>
              <w:rPr>
                <w:sz w:val="20"/>
                <w:szCs w:val="20"/>
              </w:rPr>
            </w:pPr>
            <w:r w:rsidRPr="00094E57">
              <w:rPr>
                <w:sz w:val="20"/>
                <w:szCs w:val="20"/>
              </w:rPr>
              <w:t>proG..Z.Factor</w:t>
            </w:r>
          </w:p>
        </w:tc>
        <w:tc>
          <w:tcPr>
            <w:tcW w:w="1660" w:type="dxa"/>
            <w:shd w:val="clear" w:color="auto" w:fill="auto"/>
            <w:noWrap/>
            <w:vAlign w:val="bottom"/>
            <w:hideMark/>
          </w:tcPr>
          <w:p w14:paraId="30A1C5FE" w14:textId="77777777" w:rsidR="00094E57" w:rsidRPr="00094E57" w:rsidRDefault="00094E57" w:rsidP="00094E57">
            <w:pPr>
              <w:pStyle w:val="Tables"/>
              <w:jc w:val="right"/>
              <w:rPr>
                <w:sz w:val="20"/>
                <w:szCs w:val="20"/>
              </w:rPr>
            </w:pPr>
            <w:r w:rsidRPr="00094E57">
              <w:rPr>
                <w:sz w:val="20"/>
                <w:szCs w:val="20"/>
              </w:rPr>
              <w:t>1.11E+05</w:t>
            </w:r>
          </w:p>
        </w:tc>
      </w:tr>
      <w:tr w:rsidR="00094E57" w:rsidRPr="00094E57" w14:paraId="02A4D36E" w14:textId="77777777" w:rsidTr="00094E57">
        <w:trPr>
          <w:trHeight w:val="20"/>
        </w:trPr>
        <w:tc>
          <w:tcPr>
            <w:tcW w:w="1584" w:type="dxa"/>
            <w:shd w:val="clear" w:color="auto" w:fill="auto"/>
            <w:noWrap/>
            <w:vAlign w:val="bottom"/>
            <w:hideMark/>
          </w:tcPr>
          <w:p w14:paraId="2187B2D1" w14:textId="77777777" w:rsidR="00094E57" w:rsidRPr="00094E57" w:rsidRDefault="00094E57" w:rsidP="00094E57">
            <w:pPr>
              <w:pStyle w:val="Tables"/>
              <w:rPr>
                <w:sz w:val="20"/>
                <w:szCs w:val="20"/>
              </w:rPr>
            </w:pPr>
            <w:r w:rsidRPr="00094E57">
              <w:rPr>
                <w:sz w:val="20"/>
                <w:szCs w:val="20"/>
              </w:rPr>
              <w:t>Ash</w:t>
            </w:r>
          </w:p>
        </w:tc>
        <w:tc>
          <w:tcPr>
            <w:tcW w:w="1660" w:type="dxa"/>
            <w:tcBorders>
              <w:right w:val="single" w:sz="4" w:space="0" w:color="auto"/>
            </w:tcBorders>
            <w:shd w:val="clear" w:color="auto" w:fill="auto"/>
            <w:noWrap/>
            <w:vAlign w:val="bottom"/>
            <w:hideMark/>
          </w:tcPr>
          <w:p w14:paraId="6DE3B94A" w14:textId="77777777" w:rsidR="00094E57" w:rsidRPr="00094E57" w:rsidRDefault="00094E57" w:rsidP="00094E57">
            <w:pPr>
              <w:pStyle w:val="Tables"/>
              <w:jc w:val="right"/>
              <w:rPr>
                <w:sz w:val="20"/>
                <w:szCs w:val="20"/>
              </w:rPr>
            </w:pPr>
            <w:r w:rsidRPr="00094E57">
              <w:rPr>
                <w:sz w:val="20"/>
                <w:szCs w:val="20"/>
              </w:rPr>
              <w:t>5.10E+07</w:t>
            </w:r>
          </w:p>
        </w:tc>
        <w:tc>
          <w:tcPr>
            <w:tcW w:w="280" w:type="dxa"/>
            <w:tcBorders>
              <w:top w:val="nil"/>
              <w:left w:val="single" w:sz="4" w:space="0" w:color="auto"/>
              <w:bottom w:val="nil"/>
              <w:right w:val="single" w:sz="4" w:space="0" w:color="auto"/>
            </w:tcBorders>
            <w:shd w:val="clear" w:color="auto" w:fill="auto"/>
            <w:noWrap/>
            <w:vAlign w:val="bottom"/>
            <w:hideMark/>
          </w:tcPr>
          <w:p w14:paraId="54484305" w14:textId="77777777" w:rsidR="00094E57" w:rsidRPr="00094E57" w:rsidRDefault="00094E57" w:rsidP="00094E57">
            <w:pPr>
              <w:pStyle w:val="Tables"/>
              <w:rPr>
                <w:sz w:val="20"/>
                <w:szCs w:val="20"/>
              </w:rPr>
            </w:pPr>
          </w:p>
        </w:tc>
        <w:tc>
          <w:tcPr>
            <w:tcW w:w="2429" w:type="dxa"/>
            <w:tcBorders>
              <w:left w:val="single" w:sz="4" w:space="0" w:color="auto"/>
            </w:tcBorders>
            <w:shd w:val="clear" w:color="auto" w:fill="auto"/>
            <w:noWrap/>
            <w:vAlign w:val="bottom"/>
            <w:hideMark/>
          </w:tcPr>
          <w:p w14:paraId="733FE976" w14:textId="77777777" w:rsidR="00094E57" w:rsidRPr="00094E57" w:rsidRDefault="00094E57" w:rsidP="00094E57">
            <w:pPr>
              <w:pStyle w:val="Tables"/>
              <w:rPr>
                <w:sz w:val="20"/>
                <w:szCs w:val="20"/>
              </w:rPr>
            </w:pPr>
            <w:r w:rsidRPr="00094E57">
              <w:rPr>
                <w:sz w:val="20"/>
                <w:szCs w:val="20"/>
              </w:rPr>
              <w:t>PCA</w:t>
            </w:r>
          </w:p>
        </w:tc>
        <w:tc>
          <w:tcPr>
            <w:tcW w:w="1660" w:type="dxa"/>
            <w:shd w:val="clear" w:color="auto" w:fill="auto"/>
            <w:noWrap/>
            <w:vAlign w:val="bottom"/>
            <w:hideMark/>
          </w:tcPr>
          <w:p w14:paraId="75EC3B1E" w14:textId="77777777" w:rsidR="00094E57" w:rsidRPr="00094E57" w:rsidRDefault="00094E57" w:rsidP="00094E57">
            <w:pPr>
              <w:pStyle w:val="Tables"/>
              <w:jc w:val="right"/>
              <w:rPr>
                <w:sz w:val="20"/>
                <w:szCs w:val="20"/>
              </w:rPr>
            </w:pPr>
            <w:r w:rsidRPr="00094E57">
              <w:rPr>
                <w:sz w:val="20"/>
                <w:szCs w:val="20"/>
              </w:rPr>
              <w:t>1.00E+05</w:t>
            </w:r>
          </w:p>
        </w:tc>
      </w:tr>
      <w:tr w:rsidR="00094E57" w:rsidRPr="00094E57" w14:paraId="51BD8500" w14:textId="77777777" w:rsidTr="00094E57">
        <w:trPr>
          <w:trHeight w:val="20"/>
        </w:trPr>
        <w:tc>
          <w:tcPr>
            <w:tcW w:w="1584" w:type="dxa"/>
            <w:shd w:val="clear" w:color="auto" w:fill="auto"/>
            <w:noWrap/>
            <w:vAlign w:val="bottom"/>
            <w:hideMark/>
          </w:tcPr>
          <w:p w14:paraId="084FDB3C" w14:textId="77777777" w:rsidR="00094E57" w:rsidRPr="00094E57" w:rsidRDefault="00094E57" w:rsidP="00094E57">
            <w:pPr>
              <w:pStyle w:val="Tables"/>
              <w:rPr>
                <w:sz w:val="20"/>
                <w:szCs w:val="20"/>
              </w:rPr>
            </w:pPr>
            <w:r w:rsidRPr="00094E57">
              <w:rPr>
                <w:sz w:val="20"/>
                <w:szCs w:val="20"/>
              </w:rPr>
              <w:t>Ca</w:t>
            </w:r>
          </w:p>
        </w:tc>
        <w:tc>
          <w:tcPr>
            <w:tcW w:w="1660" w:type="dxa"/>
            <w:tcBorders>
              <w:right w:val="single" w:sz="4" w:space="0" w:color="auto"/>
            </w:tcBorders>
            <w:shd w:val="clear" w:color="auto" w:fill="auto"/>
            <w:noWrap/>
            <w:vAlign w:val="bottom"/>
            <w:hideMark/>
          </w:tcPr>
          <w:p w14:paraId="7A9A5015" w14:textId="77777777" w:rsidR="00094E57" w:rsidRPr="00094E57" w:rsidRDefault="00094E57" w:rsidP="00094E57">
            <w:pPr>
              <w:pStyle w:val="Tables"/>
              <w:jc w:val="right"/>
              <w:rPr>
                <w:sz w:val="20"/>
                <w:szCs w:val="20"/>
              </w:rPr>
            </w:pPr>
            <w:r w:rsidRPr="00094E57">
              <w:rPr>
                <w:sz w:val="20"/>
                <w:szCs w:val="20"/>
              </w:rPr>
              <w:t>4.67E+07</w:t>
            </w:r>
          </w:p>
        </w:tc>
        <w:tc>
          <w:tcPr>
            <w:tcW w:w="280" w:type="dxa"/>
            <w:tcBorders>
              <w:top w:val="nil"/>
              <w:left w:val="single" w:sz="4" w:space="0" w:color="auto"/>
              <w:bottom w:val="nil"/>
              <w:right w:val="single" w:sz="4" w:space="0" w:color="auto"/>
            </w:tcBorders>
            <w:shd w:val="clear" w:color="auto" w:fill="auto"/>
            <w:noWrap/>
            <w:vAlign w:val="bottom"/>
            <w:hideMark/>
          </w:tcPr>
          <w:p w14:paraId="0CFF2AD0" w14:textId="77777777" w:rsidR="00094E57" w:rsidRPr="00094E57" w:rsidRDefault="00094E57" w:rsidP="00094E57">
            <w:pPr>
              <w:pStyle w:val="Tables"/>
              <w:rPr>
                <w:sz w:val="20"/>
                <w:szCs w:val="20"/>
              </w:rPr>
            </w:pPr>
          </w:p>
        </w:tc>
        <w:tc>
          <w:tcPr>
            <w:tcW w:w="2429" w:type="dxa"/>
            <w:tcBorders>
              <w:left w:val="single" w:sz="4" w:space="0" w:color="auto"/>
            </w:tcBorders>
            <w:shd w:val="clear" w:color="auto" w:fill="auto"/>
            <w:noWrap/>
            <w:vAlign w:val="bottom"/>
            <w:hideMark/>
          </w:tcPr>
          <w:p w14:paraId="341A1533" w14:textId="77777777" w:rsidR="00094E57" w:rsidRPr="00094E57" w:rsidRDefault="00094E57" w:rsidP="00094E57">
            <w:pPr>
              <w:pStyle w:val="Tables"/>
              <w:rPr>
                <w:sz w:val="20"/>
                <w:szCs w:val="20"/>
              </w:rPr>
            </w:pPr>
            <w:r w:rsidRPr="00094E57">
              <w:rPr>
                <w:sz w:val="20"/>
                <w:szCs w:val="20"/>
              </w:rPr>
              <w:t>Ash.forage</w:t>
            </w:r>
          </w:p>
        </w:tc>
        <w:tc>
          <w:tcPr>
            <w:tcW w:w="1660" w:type="dxa"/>
            <w:shd w:val="clear" w:color="auto" w:fill="auto"/>
            <w:noWrap/>
            <w:vAlign w:val="bottom"/>
            <w:hideMark/>
          </w:tcPr>
          <w:p w14:paraId="67AC22BC" w14:textId="77777777" w:rsidR="00094E57" w:rsidRPr="00094E57" w:rsidRDefault="00094E57" w:rsidP="00094E57">
            <w:pPr>
              <w:pStyle w:val="Tables"/>
              <w:jc w:val="right"/>
              <w:rPr>
                <w:sz w:val="20"/>
                <w:szCs w:val="20"/>
              </w:rPr>
            </w:pPr>
            <w:r w:rsidRPr="00094E57">
              <w:rPr>
                <w:sz w:val="20"/>
                <w:szCs w:val="20"/>
              </w:rPr>
              <w:t>6.15E+04</w:t>
            </w:r>
          </w:p>
        </w:tc>
      </w:tr>
      <w:tr w:rsidR="00094E57" w:rsidRPr="00094E57" w14:paraId="6ACA77DB" w14:textId="77777777" w:rsidTr="00094E57">
        <w:trPr>
          <w:trHeight w:val="20"/>
        </w:trPr>
        <w:tc>
          <w:tcPr>
            <w:tcW w:w="1584" w:type="dxa"/>
            <w:shd w:val="clear" w:color="auto" w:fill="auto"/>
            <w:noWrap/>
            <w:vAlign w:val="bottom"/>
            <w:hideMark/>
          </w:tcPr>
          <w:p w14:paraId="6EA430C1" w14:textId="77777777" w:rsidR="00094E57" w:rsidRPr="00094E57" w:rsidRDefault="00094E57" w:rsidP="00094E57">
            <w:pPr>
              <w:pStyle w:val="Tables"/>
              <w:rPr>
                <w:sz w:val="20"/>
                <w:szCs w:val="20"/>
              </w:rPr>
            </w:pPr>
          </w:p>
        </w:tc>
        <w:tc>
          <w:tcPr>
            <w:tcW w:w="1660" w:type="dxa"/>
            <w:tcBorders>
              <w:right w:val="single" w:sz="4" w:space="0" w:color="auto"/>
            </w:tcBorders>
            <w:shd w:val="clear" w:color="auto" w:fill="auto"/>
            <w:noWrap/>
            <w:vAlign w:val="bottom"/>
            <w:hideMark/>
          </w:tcPr>
          <w:p w14:paraId="2BEF6190" w14:textId="77777777" w:rsidR="00094E57" w:rsidRPr="00094E57" w:rsidRDefault="00094E57" w:rsidP="00094E57">
            <w:pPr>
              <w:pStyle w:val="Tables"/>
              <w:jc w:val="right"/>
              <w:rPr>
                <w:sz w:val="20"/>
                <w:szCs w:val="20"/>
              </w:rPr>
            </w:pPr>
          </w:p>
        </w:tc>
        <w:tc>
          <w:tcPr>
            <w:tcW w:w="280" w:type="dxa"/>
            <w:tcBorders>
              <w:top w:val="nil"/>
              <w:left w:val="single" w:sz="4" w:space="0" w:color="auto"/>
              <w:bottom w:val="nil"/>
              <w:right w:val="single" w:sz="4" w:space="0" w:color="auto"/>
            </w:tcBorders>
            <w:shd w:val="clear" w:color="auto" w:fill="auto"/>
            <w:noWrap/>
            <w:vAlign w:val="bottom"/>
            <w:hideMark/>
          </w:tcPr>
          <w:p w14:paraId="197E981F" w14:textId="77777777" w:rsidR="00094E57" w:rsidRPr="00094E57" w:rsidRDefault="00094E57" w:rsidP="00094E57">
            <w:pPr>
              <w:pStyle w:val="Tables"/>
              <w:rPr>
                <w:sz w:val="20"/>
                <w:szCs w:val="20"/>
              </w:rPr>
            </w:pPr>
          </w:p>
        </w:tc>
        <w:tc>
          <w:tcPr>
            <w:tcW w:w="2429" w:type="dxa"/>
            <w:tcBorders>
              <w:left w:val="single" w:sz="4" w:space="0" w:color="auto"/>
            </w:tcBorders>
            <w:shd w:val="clear" w:color="auto" w:fill="auto"/>
            <w:noWrap/>
            <w:vAlign w:val="bottom"/>
            <w:hideMark/>
          </w:tcPr>
          <w:p w14:paraId="289EA9B1" w14:textId="77777777" w:rsidR="00094E57" w:rsidRPr="00094E57" w:rsidRDefault="00094E57" w:rsidP="00094E57">
            <w:pPr>
              <w:pStyle w:val="Tables"/>
              <w:rPr>
                <w:sz w:val="20"/>
                <w:szCs w:val="20"/>
              </w:rPr>
            </w:pPr>
          </w:p>
        </w:tc>
        <w:tc>
          <w:tcPr>
            <w:tcW w:w="1660" w:type="dxa"/>
            <w:shd w:val="clear" w:color="auto" w:fill="auto"/>
            <w:noWrap/>
            <w:vAlign w:val="bottom"/>
            <w:hideMark/>
          </w:tcPr>
          <w:p w14:paraId="69E0A944" w14:textId="77777777" w:rsidR="00094E57" w:rsidRPr="00094E57" w:rsidRDefault="00094E57" w:rsidP="00094E57">
            <w:pPr>
              <w:pStyle w:val="Tables"/>
              <w:jc w:val="right"/>
              <w:rPr>
                <w:sz w:val="20"/>
                <w:szCs w:val="20"/>
              </w:rPr>
            </w:pPr>
          </w:p>
        </w:tc>
      </w:tr>
      <w:tr w:rsidR="00094E57" w:rsidRPr="00094E57" w14:paraId="335C558A" w14:textId="77777777" w:rsidTr="00094E57">
        <w:trPr>
          <w:trHeight w:val="20"/>
        </w:trPr>
        <w:tc>
          <w:tcPr>
            <w:tcW w:w="1584" w:type="dxa"/>
            <w:shd w:val="clear" w:color="auto" w:fill="auto"/>
            <w:noWrap/>
            <w:vAlign w:val="bottom"/>
            <w:hideMark/>
          </w:tcPr>
          <w:p w14:paraId="74650ACF" w14:textId="77777777" w:rsidR="00094E57" w:rsidRPr="00094E57" w:rsidRDefault="00094E57" w:rsidP="00094E57">
            <w:pPr>
              <w:pStyle w:val="Tables"/>
              <w:rPr>
                <w:sz w:val="20"/>
                <w:szCs w:val="20"/>
                <w:u w:val="single"/>
              </w:rPr>
            </w:pPr>
            <w:r w:rsidRPr="00094E57">
              <w:rPr>
                <w:sz w:val="20"/>
                <w:szCs w:val="20"/>
                <w:u w:val="single"/>
              </w:rPr>
              <w:t>furfurals</w:t>
            </w:r>
          </w:p>
        </w:tc>
        <w:tc>
          <w:tcPr>
            <w:tcW w:w="1660" w:type="dxa"/>
            <w:tcBorders>
              <w:right w:val="single" w:sz="4" w:space="0" w:color="auto"/>
            </w:tcBorders>
            <w:shd w:val="clear" w:color="auto" w:fill="auto"/>
            <w:noWrap/>
            <w:vAlign w:val="bottom"/>
            <w:hideMark/>
          </w:tcPr>
          <w:p w14:paraId="635CA9F2" w14:textId="77777777" w:rsidR="00094E57" w:rsidRPr="00094E57" w:rsidRDefault="00094E57" w:rsidP="00094E57">
            <w:pPr>
              <w:pStyle w:val="Tables"/>
              <w:jc w:val="right"/>
              <w:rPr>
                <w:sz w:val="20"/>
                <w:szCs w:val="20"/>
                <w:u w:val="single"/>
              </w:rPr>
            </w:pPr>
            <w:r w:rsidRPr="00094E57">
              <w:rPr>
                <w:sz w:val="20"/>
                <w:szCs w:val="20"/>
                <w:u w:val="single"/>
              </w:rPr>
              <w:t>% Increase MSE</w:t>
            </w:r>
          </w:p>
        </w:tc>
        <w:tc>
          <w:tcPr>
            <w:tcW w:w="280" w:type="dxa"/>
            <w:tcBorders>
              <w:top w:val="nil"/>
              <w:left w:val="single" w:sz="4" w:space="0" w:color="auto"/>
              <w:bottom w:val="nil"/>
              <w:right w:val="single" w:sz="4" w:space="0" w:color="auto"/>
            </w:tcBorders>
            <w:shd w:val="clear" w:color="auto" w:fill="auto"/>
            <w:noWrap/>
            <w:vAlign w:val="bottom"/>
            <w:hideMark/>
          </w:tcPr>
          <w:p w14:paraId="74F0A7C4" w14:textId="77777777" w:rsidR="00094E57" w:rsidRPr="00094E57" w:rsidRDefault="00094E57" w:rsidP="00094E57">
            <w:pPr>
              <w:pStyle w:val="Tables"/>
              <w:rPr>
                <w:sz w:val="20"/>
                <w:szCs w:val="20"/>
                <w:u w:val="single"/>
              </w:rPr>
            </w:pPr>
          </w:p>
        </w:tc>
        <w:tc>
          <w:tcPr>
            <w:tcW w:w="2429" w:type="dxa"/>
            <w:tcBorders>
              <w:left w:val="single" w:sz="4" w:space="0" w:color="auto"/>
            </w:tcBorders>
            <w:shd w:val="clear" w:color="auto" w:fill="auto"/>
            <w:noWrap/>
            <w:vAlign w:val="bottom"/>
            <w:hideMark/>
          </w:tcPr>
          <w:p w14:paraId="4F60F7E6" w14:textId="77777777" w:rsidR="00094E57" w:rsidRPr="00094E57" w:rsidRDefault="00094E57" w:rsidP="00094E57">
            <w:pPr>
              <w:pStyle w:val="Tables"/>
              <w:rPr>
                <w:sz w:val="20"/>
                <w:szCs w:val="20"/>
                <w:u w:val="single"/>
              </w:rPr>
            </w:pPr>
            <w:r w:rsidRPr="00094E57">
              <w:rPr>
                <w:sz w:val="20"/>
                <w:szCs w:val="20"/>
                <w:u w:val="single"/>
              </w:rPr>
              <w:t>pyran derivatives</w:t>
            </w:r>
          </w:p>
        </w:tc>
        <w:tc>
          <w:tcPr>
            <w:tcW w:w="1660" w:type="dxa"/>
            <w:shd w:val="clear" w:color="auto" w:fill="auto"/>
            <w:noWrap/>
            <w:vAlign w:val="bottom"/>
            <w:hideMark/>
          </w:tcPr>
          <w:p w14:paraId="56130965" w14:textId="77777777" w:rsidR="00094E57" w:rsidRPr="00094E57" w:rsidRDefault="00094E57" w:rsidP="00094E57">
            <w:pPr>
              <w:pStyle w:val="Tables"/>
              <w:jc w:val="right"/>
              <w:rPr>
                <w:sz w:val="20"/>
                <w:szCs w:val="20"/>
                <w:u w:val="single"/>
              </w:rPr>
            </w:pPr>
            <w:r w:rsidRPr="00094E57">
              <w:rPr>
                <w:sz w:val="20"/>
                <w:szCs w:val="20"/>
                <w:u w:val="single"/>
              </w:rPr>
              <w:t>% Increase MSE</w:t>
            </w:r>
          </w:p>
        </w:tc>
      </w:tr>
      <w:tr w:rsidR="00094E57" w:rsidRPr="00094E57" w14:paraId="6F6057C4" w14:textId="77777777" w:rsidTr="00094E57">
        <w:trPr>
          <w:trHeight w:val="20"/>
        </w:trPr>
        <w:tc>
          <w:tcPr>
            <w:tcW w:w="1584" w:type="dxa"/>
            <w:shd w:val="clear" w:color="auto" w:fill="auto"/>
            <w:noWrap/>
            <w:vAlign w:val="bottom"/>
            <w:hideMark/>
          </w:tcPr>
          <w:p w14:paraId="784A4D8C" w14:textId="77777777" w:rsidR="00094E57" w:rsidRPr="00094E57" w:rsidRDefault="00094E57" w:rsidP="00094E57">
            <w:pPr>
              <w:pStyle w:val="Tables"/>
              <w:rPr>
                <w:b/>
                <w:bCs/>
                <w:sz w:val="20"/>
                <w:szCs w:val="20"/>
              </w:rPr>
            </w:pPr>
            <w:r w:rsidRPr="00094E57">
              <w:rPr>
                <w:b/>
                <w:bCs/>
                <w:sz w:val="20"/>
                <w:szCs w:val="20"/>
              </w:rPr>
              <w:t>GLCS</w:t>
            </w:r>
          </w:p>
        </w:tc>
        <w:tc>
          <w:tcPr>
            <w:tcW w:w="1660" w:type="dxa"/>
            <w:tcBorders>
              <w:right w:val="single" w:sz="4" w:space="0" w:color="auto"/>
            </w:tcBorders>
            <w:shd w:val="clear" w:color="auto" w:fill="auto"/>
            <w:noWrap/>
            <w:vAlign w:val="bottom"/>
            <w:hideMark/>
          </w:tcPr>
          <w:p w14:paraId="558DD976" w14:textId="77777777" w:rsidR="00094E57" w:rsidRPr="00094E57" w:rsidRDefault="00094E57" w:rsidP="00094E57">
            <w:pPr>
              <w:pStyle w:val="Tables"/>
              <w:jc w:val="right"/>
              <w:rPr>
                <w:sz w:val="20"/>
                <w:szCs w:val="20"/>
              </w:rPr>
            </w:pPr>
            <w:r w:rsidRPr="00094E57">
              <w:rPr>
                <w:sz w:val="20"/>
                <w:szCs w:val="20"/>
              </w:rPr>
              <w:t>5.98E+06</w:t>
            </w:r>
          </w:p>
        </w:tc>
        <w:tc>
          <w:tcPr>
            <w:tcW w:w="280" w:type="dxa"/>
            <w:tcBorders>
              <w:top w:val="nil"/>
              <w:left w:val="single" w:sz="4" w:space="0" w:color="auto"/>
              <w:bottom w:val="nil"/>
              <w:right w:val="single" w:sz="4" w:space="0" w:color="auto"/>
            </w:tcBorders>
            <w:shd w:val="clear" w:color="auto" w:fill="auto"/>
            <w:noWrap/>
            <w:vAlign w:val="bottom"/>
            <w:hideMark/>
          </w:tcPr>
          <w:p w14:paraId="3DDC6965" w14:textId="77777777" w:rsidR="00094E57" w:rsidRPr="00094E57" w:rsidRDefault="00094E57" w:rsidP="00094E57">
            <w:pPr>
              <w:pStyle w:val="Tables"/>
              <w:rPr>
                <w:sz w:val="20"/>
                <w:szCs w:val="20"/>
              </w:rPr>
            </w:pPr>
          </w:p>
        </w:tc>
        <w:tc>
          <w:tcPr>
            <w:tcW w:w="2429" w:type="dxa"/>
            <w:tcBorders>
              <w:left w:val="single" w:sz="4" w:space="0" w:color="auto"/>
            </w:tcBorders>
            <w:shd w:val="clear" w:color="auto" w:fill="auto"/>
            <w:noWrap/>
            <w:vAlign w:val="bottom"/>
            <w:hideMark/>
          </w:tcPr>
          <w:p w14:paraId="4BC42640" w14:textId="77777777" w:rsidR="00094E57" w:rsidRPr="00094E57" w:rsidRDefault="00094E57" w:rsidP="00094E57">
            <w:pPr>
              <w:pStyle w:val="Tables"/>
              <w:rPr>
                <w:sz w:val="20"/>
                <w:szCs w:val="20"/>
              </w:rPr>
            </w:pPr>
            <w:r w:rsidRPr="00094E57">
              <w:rPr>
                <w:sz w:val="20"/>
                <w:szCs w:val="20"/>
              </w:rPr>
              <w:t>SUC</w:t>
            </w:r>
          </w:p>
        </w:tc>
        <w:tc>
          <w:tcPr>
            <w:tcW w:w="1660" w:type="dxa"/>
            <w:shd w:val="clear" w:color="auto" w:fill="auto"/>
            <w:noWrap/>
            <w:vAlign w:val="bottom"/>
            <w:hideMark/>
          </w:tcPr>
          <w:p w14:paraId="3EFC47EE" w14:textId="77777777" w:rsidR="00094E57" w:rsidRPr="00094E57" w:rsidRDefault="00094E57" w:rsidP="00094E57">
            <w:pPr>
              <w:pStyle w:val="Tables"/>
              <w:jc w:val="right"/>
              <w:rPr>
                <w:sz w:val="20"/>
                <w:szCs w:val="20"/>
              </w:rPr>
            </w:pPr>
            <w:r w:rsidRPr="00094E57">
              <w:rPr>
                <w:sz w:val="20"/>
                <w:szCs w:val="20"/>
              </w:rPr>
              <w:t>1.44E+08</w:t>
            </w:r>
          </w:p>
        </w:tc>
      </w:tr>
      <w:tr w:rsidR="00094E57" w:rsidRPr="00094E57" w14:paraId="3673FF97" w14:textId="77777777" w:rsidTr="00094E57">
        <w:trPr>
          <w:trHeight w:val="20"/>
        </w:trPr>
        <w:tc>
          <w:tcPr>
            <w:tcW w:w="1584" w:type="dxa"/>
            <w:shd w:val="clear" w:color="auto" w:fill="auto"/>
            <w:noWrap/>
            <w:vAlign w:val="bottom"/>
            <w:hideMark/>
          </w:tcPr>
          <w:p w14:paraId="5E13E007" w14:textId="77777777" w:rsidR="00094E57" w:rsidRPr="00094E57" w:rsidRDefault="00094E57" w:rsidP="00094E57">
            <w:pPr>
              <w:pStyle w:val="Tables"/>
              <w:rPr>
                <w:sz w:val="20"/>
                <w:szCs w:val="20"/>
              </w:rPr>
            </w:pPr>
            <w:r w:rsidRPr="00094E57">
              <w:rPr>
                <w:sz w:val="20"/>
                <w:szCs w:val="20"/>
              </w:rPr>
              <w:t>ADL</w:t>
            </w:r>
          </w:p>
        </w:tc>
        <w:tc>
          <w:tcPr>
            <w:tcW w:w="1660" w:type="dxa"/>
            <w:tcBorders>
              <w:right w:val="single" w:sz="4" w:space="0" w:color="auto"/>
            </w:tcBorders>
            <w:shd w:val="clear" w:color="auto" w:fill="auto"/>
            <w:noWrap/>
            <w:vAlign w:val="bottom"/>
            <w:hideMark/>
          </w:tcPr>
          <w:p w14:paraId="3B86670D" w14:textId="77777777" w:rsidR="00094E57" w:rsidRPr="00094E57" w:rsidRDefault="00094E57" w:rsidP="00094E57">
            <w:pPr>
              <w:pStyle w:val="Tables"/>
              <w:jc w:val="right"/>
              <w:rPr>
                <w:sz w:val="20"/>
                <w:szCs w:val="20"/>
              </w:rPr>
            </w:pPr>
            <w:r w:rsidRPr="00094E57">
              <w:rPr>
                <w:sz w:val="20"/>
                <w:szCs w:val="20"/>
              </w:rPr>
              <w:t>3.86E+06</w:t>
            </w:r>
          </w:p>
        </w:tc>
        <w:tc>
          <w:tcPr>
            <w:tcW w:w="280" w:type="dxa"/>
            <w:tcBorders>
              <w:top w:val="nil"/>
              <w:left w:val="single" w:sz="4" w:space="0" w:color="auto"/>
              <w:bottom w:val="nil"/>
              <w:right w:val="single" w:sz="4" w:space="0" w:color="auto"/>
            </w:tcBorders>
            <w:shd w:val="clear" w:color="auto" w:fill="auto"/>
            <w:noWrap/>
            <w:vAlign w:val="bottom"/>
            <w:hideMark/>
          </w:tcPr>
          <w:p w14:paraId="2E2C36E4" w14:textId="77777777" w:rsidR="00094E57" w:rsidRPr="00094E57" w:rsidRDefault="00094E57" w:rsidP="00094E57">
            <w:pPr>
              <w:pStyle w:val="Tables"/>
              <w:rPr>
                <w:sz w:val="20"/>
                <w:szCs w:val="20"/>
              </w:rPr>
            </w:pPr>
          </w:p>
        </w:tc>
        <w:tc>
          <w:tcPr>
            <w:tcW w:w="2429" w:type="dxa"/>
            <w:tcBorders>
              <w:left w:val="single" w:sz="4" w:space="0" w:color="auto"/>
            </w:tcBorders>
            <w:shd w:val="clear" w:color="auto" w:fill="auto"/>
            <w:noWrap/>
            <w:vAlign w:val="bottom"/>
            <w:hideMark/>
          </w:tcPr>
          <w:p w14:paraId="71428225" w14:textId="77777777" w:rsidR="00094E57" w:rsidRPr="00094E57" w:rsidRDefault="00094E57" w:rsidP="00094E57">
            <w:pPr>
              <w:pStyle w:val="Tables"/>
              <w:rPr>
                <w:sz w:val="20"/>
                <w:szCs w:val="20"/>
              </w:rPr>
            </w:pPr>
            <w:r w:rsidRPr="00094E57">
              <w:rPr>
                <w:sz w:val="20"/>
                <w:szCs w:val="20"/>
              </w:rPr>
              <w:t>XYL</w:t>
            </w:r>
          </w:p>
        </w:tc>
        <w:tc>
          <w:tcPr>
            <w:tcW w:w="1660" w:type="dxa"/>
            <w:shd w:val="clear" w:color="auto" w:fill="auto"/>
            <w:noWrap/>
            <w:vAlign w:val="bottom"/>
            <w:hideMark/>
          </w:tcPr>
          <w:p w14:paraId="1F87C3EC" w14:textId="77777777" w:rsidR="00094E57" w:rsidRPr="00094E57" w:rsidRDefault="00094E57" w:rsidP="00094E57">
            <w:pPr>
              <w:pStyle w:val="Tables"/>
              <w:jc w:val="right"/>
              <w:rPr>
                <w:sz w:val="20"/>
                <w:szCs w:val="20"/>
              </w:rPr>
            </w:pPr>
            <w:r w:rsidRPr="00094E57">
              <w:rPr>
                <w:sz w:val="20"/>
                <w:szCs w:val="20"/>
              </w:rPr>
              <w:t>8.59E+07</w:t>
            </w:r>
          </w:p>
        </w:tc>
      </w:tr>
      <w:tr w:rsidR="00094E57" w:rsidRPr="00094E57" w14:paraId="5728C5DC" w14:textId="77777777" w:rsidTr="00094E57">
        <w:trPr>
          <w:trHeight w:val="20"/>
        </w:trPr>
        <w:tc>
          <w:tcPr>
            <w:tcW w:w="1584" w:type="dxa"/>
            <w:shd w:val="clear" w:color="auto" w:fill="auto"/>
            <w:noWrap/>
            <w:vAlign w:val="bottom"/>
            <w:hideMark/>
          </w:tcPr>
          <w:p w14:paraId="1B2108F1" w14:textId="77777777" w:rsidR="00094E57" w:rsidRPr="00094E57" w:rsidRDefault="00094E57" w:rsidP="00094E57">
            <w:pPr>
              <w:pStyle w:val="Tables"/>
              <w:rPr>
                <w:b/>
                <w:bCs/>
                <w:sz w:val="20"/>
                <w:szCs w:val="20"/>
              </w:rPr>
            </w:pPr>
            <w:r w:rsidRPr="00094E57">
              <w:rPr>
                <w:b/>
                <w:bCs/>
                <w:sz w:val="20"/>
                <w:szCs w:val="20"/>
              </w:rPr>
              <w:t>ARA</w:t>
            </w:r>
          </w:p>
        </w:tc>
        <w:tc>
          <w:tcPr>
            <w:tcW w:w="1660" w:type="dxa"/>
            <w:tcBorders>
              <w:right w:val="single" w:sz="4" w:space="0" w:color="auto"/>
            </w:tcBorders>
            <w:shd w:val="clear" w:color="auto" w:fill="auto"/>
            <w:noWrap/>
            <w:vAlign w:val="bottom"/>
            <w:hideMark/>
          </w:tcPr>
          <w:p w14:paraId="5D60CB28" w14:textId="77777777" w:rsidR="00094E57" w:rsidRPr="00094E57" w:rsidRDefault="00094E57" w:rsidP="00094E57">
            <w:pPr>
              <w:pStyle w:val="Tables"/>
              <w:jc w:val="right"/>
              <w:rPr>
                <w:sz w:val="20"/>
                <w:szCs w:val="20"/>
              </w:rPr>
            </w:pPr>
            <w:r w:rsidRPr="00094E57">
              <w:rPr>
                <w:sz w:val="20"/>
                <w:szCs w:val="20"/>
              </w:rPr>
              <w:t>3.07E+06</w:t>
            </w:r>
          </w:p>
        </w:tc>
        <w:tc>
          <w:tcPr>
            <w:tcW w:w="280" w:type="dxa"/>
            <w:tcBorders>
              <w:top w:val="nil"/>
              <w:left w:val="single" w:sz="4" w:space="0" w:color="auto"/>
              <w:bottom w:val="nil"/>
              <w:right w:val="single" w:sz="4" w:space="0" w:color="auto"/>
            </w:tcBorders>
            <w:shd w:val="clear" w:color="auto" w:fill="auto"/>
            <w:noWrap/>
            <w:vAlign w:val="bottom"/>
            <w:hideMark/>
          </w:tcPr>
          <w:p w14:paraId="655EB3EA" w14:textId="77777777" w:rsidR="00094E57" w:rsidRPr="00094E57" w:rsidRDefault="00094E57" w:rsidP="00094E57">
            <w:pPr>
              <w:pStyle w:val="Tables"/>
              <w:rPr>
                <w:sz w:val="20"/>
                <w:szCs w:val="20"/>
              </w:rPr>
            </w:pPr>
          </w:p>
        </w:tc>
        <w:tc>
          <w:tcPr>
            <w:tcW w:w="2429" w:type="dxa"/>
            <w:tcBorders>
              <w:left w:val="single" w:sz="4" w:space="0" w:color="auto"/>
            </w:tcBorders>
            <w:shd w:val="clear" w:color="auto" w:fill="auto"/>
            <w:noWrap/>
            <w:vAlign w:val="bottom"/>
            <w:hideMark/>
          </w:tcPr>
          <w:p w14:paraId="7D2917E8" w14:textId="77777777" w:rsidR="00094E57" w:rsidRPr="00094E57" w:rsidRDefault="00094E57" w:rsidP="00094E57">
            <w:pPr>
              <w:pStyle w:val="Tables"/>
              <w:rPr>
                <w:b/>
                <w:bCs/>
                <w:sz w:val="20"/>
                <w:szCs w:val="20"/>
              </w:rPr>
            </w:pPr>
            <w:r w:rsidRPr="00094E57">
              <w:rPr>
                <w:b/>
                <w:bCs/>
                <w:sz w:val="20"/>
                <w:szCs w:val="20"/>
              </w:rPr>
              <w:t>PENT</w:t>
            </w:r>
          </w:p>
        </w:tc>
        <w:tc>
          <w:tcPr>
            <w:tcW w:w="1660" w:type="dxa"/>
            <w:shd w:val="clear" w:color="auto" w:fill="auto"/>
            <w:noWrap/>
            <w:vAlign w:val="bottom"/>
            <w:hideMark/>
          </w:tcPr>
          <w:p w14:paraId="2C8721CF" w14:textId="77777777" w:rsidR="00094E57" w:rsidRPr="00094E57" w:rsidRDefault="00094E57" w:rsidP="00094E57">
            <w:pPr>
              <w:pStyle w:val="Tables"/>
              <w:jc w:val="right"/>
              <w:rPr>
                <w:sz w:val="20"/>
                <w:szCs w:val="20"/>
              </w:rPr>
            </w:pPr>
            <w:r w:rsidRPr="00094E57">
              <w:rPr>
                <w:sz w:val="20"/>
                <w:szCs w:val="20"/>
              </w:rPr>
              <w:t>7.73E+07</w:t>
            </w:r>
          </w:p>
        </w:tc>
      </w:tr>
      <w:tr w:rsidR="00094E57" w:rsidRPr="00094E57" w14:paraId="5ACF575F" w14:textId="77777777" w:rsidTr="00094E57">
        <w:trPr>
          <w:trHeight w:val="20"/>
        </w:trPr>
        <w:tc>
          <w:tcPr>
            <w:tcW w:w="1584" w:type="dxa"/>
            <w:shd w:val="clear" w:color="auto" w:fill="auto"/>
            <w:noWrap/>
            <w:vAlign w:val="bottom"/>
            <w:hideMark/>
          </w:tcPr>
          <w:p w14:paraId="523B6396" w14:textId="77777777" w:rsidR="00094E57" w:rsidRPr="00094E57" w:rsidRDefault="00094E57" w:rsidP="00094E57">
            <w:pPr>
              <w:pStyle w:val="Tables"/>
              <w:rPr>
                <w:sz w:val="20"/>
                <w:szCs w:val="20"/>
              </w:rPr>
            </w:pPr>
            <w:r w:rsidRPr="00094E57">
              <w:rPr>
                <w:sz w:val="20"/>
                <w:szCs w:val="20"/>
              </w:rPr>
              <w:t>SUC</w:t>
            </w:r>
          </w:p>
        </w:tc>
        <w:tc>
          <w:tcPr>
            <w:tcW w:w="1660" w:type="dxa"/>
            <w:tcBorders>
              <w:right w:val="single" w:sz="4" w:space="0" w:color="auto"/>
            </w:tcBorders>
            <w:shd w:val="clear" w:color="auto" w:fill="auto"/>
            <w:noWrap/>
            <w:vAlign w:val="bottom"/>
            <w:hideMark/>
          </w:tcPr>
          <w:p w14:paraId="4B684317" w14:textId="77777777" w:rsidR="00094E57" w:rsidRPr="00094E57" w:rsidRDefault="00094E57" w:rsidP="00094E57">
            <w:pPr>
              <w:pStyle w:val="Tables"/>
              <w:jc w:val="right"/>
              <w:rPr>
                <w:sz w:val="20"/>
                <w:szCs w:val="20"/>
              </w:rPr>
            </w:pPr>
            <w:r w:rsidRPr="00094E57">
              <w:rPr>
                <w:sz w:val="20"/>
                <w:szCs w:val="20"/>
              </w:rPr>
              <w:t>2.25E+06</w:t>
            </w:r>
          </w:p>
        </w:tc>
        <w:tc>
          <w:tcPr>
            <w:tcW w:w="280" w:type="dxa"/>
            <w:tcBorders>
              <w:top w:val="nil"/>
              <w:left w:val="single" w:sz="4" w:space="0" w:color="auto"/>
              <w:bottom w:val="nil"/>
              <w:right w:val="single" w:sz="4" w:space="0" w:color="auto"/>
            </w:tcBorders>
            <w:shd w:val="clear" w:color="auto" w:fill="auto"/>
            <w:noWrap/>
            <w:vAlign w:val="bottom"/>
            <w:hideMark/>
          </w:tcPr>
          <w:p w14:paraId="79E29BC6" w14:textId="77777777" w:rsidR="00094E57" w:rsidRPr="00094E57" w:rsidRDefault="00094E57" w:rsidP="00094E57">
            <w:pPr>
              <w:pStyle w:val="Tables"/>
              <w:rPr>
                <w:sz w:val="20"/>
                <w:szCs w:val="20"/>
              </w:rPr>
            </w:pPr>
          </w:p>
        </w:tc>
        <w:tc>
          <w:tcPr>
            <w:tcW w:w="2429" w:type="dxa"/>
            <w:tcBorders>
              <w:left w:val="single" w:sz="4" w:space="0" w:color="auto"/>
            </w:tcBorders>
            <w:shd w:val="clear" w:color="auto" w:fill="auto"/>
            <w:noWrap/>
            <w:vAlign w:val="bottom"/>
            <w:hideMark/>
          </w:tcPr>
          <w:p w14:paraId="057EF3A5" w14:textId="77777777" w:rsidR="00094E57" w:rsidRPr="00094E57" w:rsidRDefault="00094E57" w:rsidP="00094E57">
            <w:pPr>
              <w:pStyle w:val="Tables"/>
              <w:rPr>
                <w:b/>
                <w:bCs/>
                <w:sz w:val="20"/>
                <w:szCs w:val="20"/>
              </w:rPr>
            </w:pPr>
            <w:r w:rsidRPr="00094E57">
              <w:rPr>
                <w:b/>
                <w:bCs/>
                <w:sz w:val="20"/>
                <w:szCs w:val="20"/>
              </w:rPr>
              <w:t>GLCS</w:t>
            </w:r>
          </w:p>
        </w:tc>
        <w:tc>
          <w:tcPr>
            <w:tcW w:w="1660" w:type="dxa"/>
            <w:shd w:val="clear" w:color="auto" w:fill="auto"/>
            <w:noWrap/>
            <w:vAlign w:val="bottom"/>
            <w:hideMark/>
          </w:tcPr>
          <w:p w14:paraId="7255A607" w14:textId="77777777" w:rsidR="00094E57" w:rsidRPr="00094E57" w:rsidRDefault="00094E57" w:rsidP="00094E57">
            <w:pPr>
              <w:pStyle w:val="Tables"/>
              <w:jc w:val="right"/>
              <w:rPr>
                <w:sz w:val="20"/>
                <w:szCs w:val="20"/>
              </w:rPr>
            </w:pPr>
            <w:r w:rsidRPr="00094E57">
              <w:rPr>
                <w:sz w:val="20"/>
                <w:szCs w:val="20"/>
              </w:rPr>
              <w:t>4.60E+07</w:t>
            </w:r>
          </w:p>
        </w:tc>
      </w:tr>
      <w:tr w:rsidR="00094E57" w:rsidRPr="00094E57" w14:paraId="4B2FD3C3" w14:textId="77777777" w:rsidTr="00094E57">
        <w:trPr>
          <w:trHeight w:val="20"/>
        </w:trPr>
        <w:tc>
          <w:tcPr>
            <w:tcW w:w="1584" w:type="dxa"/>
            <w:shd w:val="clear" w:color="auto" w:fill="auto"/>
            <w:noWrap/>
            <w:vAlign w:val="bottom"/>
            <w:hideMark/>
          </w:tcPr>
          <w:p w14:paraId="5F57C907" w14:textId="77777777" w:rsidR="00094E57" w:rsidRPr="00094E57" w:rsidRDefault="00094E57" w:rsidP="00094E57">
            <w:pPr>
              <w:pStyle w:val="Tables"/>
              <w:rPr>
                <w:sz w:val="20"/>
                <w:szCs w:val="20"/>
              </w:rPr>
            </w:pPr>
            <w:r w:rsidRPr="00094E57">
              <w:rPr>
                <w:sz w:val="20"/>
                <w:szCs w:val="20"/>
              </w:rPr>
              <w:t>Lignin.forage</w:t>
            </w:r>
          </w:p>
        </w:tc>
        <w:tc>
          <w:tcPr>
            <w:tcW w:w="1660" w:type="dxa"/>
            <w:tcBorders>
              <w:right w:val="single" w:sz="4" w:space="0" w:color="auto"/>
            </w:tcBorders>
            <w:shd w:val="clear" w:color="auto" w:fill="auto"/>
            <w:noWrap/>
            <w:vAlign w:val="bottom"/>
            <w:hideMark/>
          </w:tcPr>
          <w:p w14:paraId="45C7F280" w14:textId="77777777" w:rsidR="00094E57" w:rsidRPr="00094E57" w:rsidRDefault="00094E57" w:rsidP="00094E57">
            <w:pPr>
              <w:pStyle w:val="Tables"/>
              <w:jc w:val="right"/>
              <w:rPr>
                <w:sz w:val="20"/>
                <w:szCs w:val="20"/>
              </w:rPr>
            </w:pPr>
            <w:r w:rsidRPr="00094E57">
              <w:rPr>
                <w:sz w:val="20"/>
                <w:szCs w:val="20"/>
              </w:rPr>
              <w:t>2.07E+06</w:t>
            </w:r>
          </w:p>
        </w:tc>
        <w:tc>
          <w:tcPr>
            <w:tcW w:w="280" w:type="dxa"/>
            <w:tcBorders>
              <w:top w:val="nil"/>
              <w:left w:val="single" w:sz="4" w:space="0" w:color="auto"/>
              <w:bottom w:val="nil"/>
              <w:right w:val="single" w:sz="4" w:space="0" w:color="auto"/>
            </w:tcBorders>
            <w:shd w:val="clear" w:color="auto" w:fill="auto"/>
            <w:noWrap/>
            <w:vAlign w:val="bottom"/>
            <w:hideMark/>
          </w:tcPr>
          <w:p w14:paraId="22AEF3FD" w14:textId="77777777" w:rsidR="00094E57" w:rsidRPr="00094E57" w:rsidRDefault="00094E57" w:rsidP="00094E57">
            <w:pPr>
              <w:pStyle w:val="Tables"/>
              <w:rPr>
                <w:sz w:val="20"/>
                <w:szCs w:val="20"/>
              </w:rPr>
            </w:pPr>
          </w:p>
        </w:tc>
        <w:tc>
          <w:tcPr>
            <w:tcW w:w="2429" w:type="dxa"/>
            <w:tcBorders>
              <w:left w:val="single" w:sz="4" w:space="0" w:color="auto"/>
            </w:tcBorders>
            <w:shd w:val="clear" w:color="auto" w:fill="auto"/>
            <w:noWrap/>
            <w:vAlign w:val="bottom"/>
            <w:hideMark/>
          </w:tcPr>
          <w:p w14:paraId="2CD3026F" w14:textId="77777777" w:rsidR="00094E57" w:rsidRPr="00094E57" w:rsidRDefault="00094E57" w:rsidP="00094E57">
            <w:pPr>
              <w:pStyle w:val="Tables"/>
              <w:rPr>
                <w:sz w:val="20"/>
                <w:szCs w:val="20"/>
              </w:rPr>
            </w:pPr>
            <w:r w:rsidRPr="00094E57">
              <w:rPr>
                <w:sz w:val="20"/>
                <w:szCs w:val="20"/>
              </w:rPr>
              <w:t>GLC</w:t>
            </w:r>
          </w:p>
        </w:tc>
        <w:tc>
          <w:tcPr>
            <w:tcW w:w="1660" w:type="dxa"/>
            <w:shd w:val="clear" w:color="auto" w:fill="auto"/>
            <w:noWrap/>
            <w:vAlign w:val="bottom"/>
            <w:hideMark/>
          </w:tcPr>
          <w:p w14:paraId="361127C7" w14:textId="77777777" w:rsidR="00094E57" w:rsidRPr="00094E57" w:rsidRDefault="00094E57" w:rsidP="00094E57">
            <w:pPr>
              <w:pStyle w:val="Tables"/>
              <w:jc w:val="right"/>
              <w:rPr>
                <w:sz w:val="20"/>
                <w:szCs w:val="20"/>
              </w:rPr>
            </w:pPr>
            <w:r w:rsidRPr="00094E57">
              <w:rPr>
                <w:sz w:val="20"/>
                <w:szCs w:val="20"/>
              </w:rPr>
              <w:t>2.77E+07</w:t>
            </w:r>
          </w:p>
        </w:tc>
      </w:tr>
      <w:tr w:rsidR="00094E57" w:rsidRPr="00094E57" w14:paraId="0A956483" w14:textId="77777777" w:rsidTr="00094E57">
        <w:trPr>
          <w:trHeight w:val="20"/>
        </w:trPr>
        <w:tc>
          <w:tcPr>
            <w:tcW w:w="1584" w:type="dxa"/>
            <w:shd w:val="clear" w:color="auto" w:fill="auto"/>
            <w:noWrap/>
            <w:vAlign w:val="bottom"/>
            <w:hideMark/>
          </w:tcPr>
          <w:p w14:paraId="04DBAAD9" w14:textId="77777777" w:rsidR="00094E57" w:rsidRPr="00094E57" w:rsidRDefault="00094E57" w:rsidP="00094E57">
            <w:pPr>
              <w:pStyle w:val="Tables"/>
              <w:rPr>
                <w:sz w:val="20"/>
                <w:szCs w:val="20"/>
              </w:rPr>
            </w:pPr>
            <w:r w:rsidRPr="00094E57">
              <w:rPr>
                <w:sz w:val="20"/>
                <w:szCs w:val="20"/>
              </w:rPr>
              <w:t>proG..Z.Factor</w:t>
            </w:r>
          </w:p>
        </w:tc>
        <w:tc>
          <w:tcPr>
            <w:tcW w:w="1660" w:type="dxa"/>
            <w:tcBorders>
              <w:right w:val="single" w:sz="4" w:space="0" w:color="auto"/>
            </w:tcBorders>
            <w:shd w:val="clear" w:color="auto" w:fill="auto"/>
            <w:noWrap/>
            <w:vAlign w:val="bottom"/>
            <w:hideMark/>
          </w:tcPr>
          <w:p w14:paraId="7A35F37C" w14:textId="77777777" w:rsidR="00094E57" w:rsidRPr="00094E57" w:rsidRDefault="00094E57" w:rsidP="00094E57">
            <w:pPr>
              <w:pStyle w:val="Tables"/>
              <w:jc w:val="right"/>
              <w:rPr>
                <w:sz w:val="20"/>
                <w:szCs w:val="20"/>
              </w:rPr>
            </w:pPr>
            <w:r w:rsidRPr="00094E57">
              <w:rPr>
                <w:sz w:val="20"/>
                <w:szCs w:val="20"/>
              </w:rPr>
              <w:t>1.67E+06</w:t>
            </w:r>
          </w:p>
        </w:tc>
        <w:tc>
          <w:tcPr>
            <w:tcW w:w="280" w:type="dxa"/>
            <w:tcBorders>
              <w:top w:val="nil"/>
              <w:left w:val="single" w:sz="4" w:space="0" w:color="auto"/>
              <w:bottom w:val="nil"/>
              <w:right w:val="single" w:sz="4" w:space="0" w:color="auto"/>
            </w:tcBorders>
            <w:shd w:val="clear" w:color="auto" w:fill="auto"/>
            <w:noWrap/>
            <w:vAlign w:val="bottom"/>
            <w:hideMark/>
          </w:tcPr>
          <w:p w14:paraId="02CAE625" w14:textId="77777777" w:rsidR="00094E57" w:rsidRPr="00094E57" w:rsidRDefault="00094E57" w:rsidP="00094E57">
            <w:pPr>
              <w:pStyle w:val="Tables"/>
              <w:rPr>
                <w:sz w:val="20"/>
                <w:szCs w:val="20"/>
              </w:rPr>
            </w:pPr>
          </w:p>
        </w:tc>
        <w:tc>
          <w:tcPr>
            <w:tcW w:w="2429" w:type="dxa"/>
            <w:tcBorders>
              <w:left w:val="single" w:sz="4" w:space="0" w:color="auto"/>
            </w:tcBorders>
            <w:shd w:val="clear" w:color="auto" w:fill="auto"/>
            <w:noWrap/>
            <w:vAlign w:val="bottom"/>
            <w:hideMark/>
          </w:tcPr>
          <w:p w14:paraId="3CEBC3ED" w14:textId="77777777" w:rsidR="00094E57" w:rsidRPr="00094E57" w:rsidRDefault="00094E57" w:rsidP="00094E57">
            <w:pPr>
              <w:pStyle w:val="Tables"/>
              <w:rPr>
                <w:sz w:val="20"/>
                <w:szCs w:val="20"/>
              </w:rPr>
            </w:pPr>
            <w:r w:rsidRPr="00094E57">
              <w:rPr>
                <w:sz w:val="20"/>
                <w:szCs w:val="20"/>
              </w:rPr>
              <w:t>CP</w:t>
            </w:r>
          </w:p>
        </w:tc>
        <w:tc>
          <w:tcPr>
            <w:tcW w:w="1660" w:type="dxa"/>
            <w:shd w:val="clear" w:color="auto" w:fill="auto"/>
            <w:noWrap/>
            <w:vAlign w:val="bottom"/>
            <w:hideMark/>
          </w:tcPr>
          <w:p w14:paraId="3BC83491" w14:textId="77777777" w:rsidR="00094E57" w:rsidRPr="00094E57" w:rsidRDefault="00094E57" w:rsidP="00094E57">
            <w:pPr>
              <w:pStyle w:val="Tables"/>
              <w:jc w:val="right"/>
              <w:rPr>
                <w:sz w:val="20"/>
                <w:szCs w:val="20"/>
              </w:rPr>
            </w:pPr>
            <w:r w:rsidRPr="00094E57">
              <w:rPr>
                <w:sz w:val="20"/>
                <w:szCs w:val="20"/>
              </w:rPr>
              <w:t>2.11E+07</w:t>
            </w:r>
          </w:p>
        </w:tc>
      </w:tr>
      <w:tr w:rsidR="00094E57" w:rsidRPr="00094E57" w14:paraId="028D0DCA" w14:textId="77777777" w:rsidTr="00094E57">
        <w:trPr>
          <w:trHeight w:val="20"/>
        </w:trPr>
        <w:tc>
          <w:tcPr>
            <w:tcW w:w="1584" w:type="dxa"/>
            <w:shd w:val="clear" w:color="auto" w:fill="auto"/>
            <w:noWrap/>
            <w:vAlign w:val="bottom"/>
            <w:hideMark/>
          </w:tcPr>
          <w:p w14:paraId="203DB428" w14:textId="77777777" w:rsidR="00094E57" w:rsidRPr="00094E57" w:rsidRDefault="00094E57" w:rsidP="00094E57">
            <w:pPr>
              <w:pStyle w:val="Tables"/>
              <w:rPr>
                <w:sz w:val="20"/>
                <w:szCs w:val="20"/>
              </w:rPr>
            </w:pPr>
            <w:r w:rsidRPr="00094E57">
              <w:rPr>
                <w:sz w:val="20"/>
                <w:szCs w:val="20"/>
              </w:rPr>
              <w:t>lignin.nrel</w:t>
            </w:r>
          </w:p>
        </w:tc>
        <w:tc>
          <w:tcPr>
            <w:tcW w:w="1660" w:type="dxa"/>
            <w:tcBorders>
              <w:right w:val="single" w:sz="4" w:space="0" w:color="auto"/>
            </w:tcBorders>
            <w:shd w:val="clear" w:color="auto" w:fill="auto"/>
            <w:noWrap/>
            <w:vAlign w:val="bottom"/>
            <w:hideMark/>
          </w:tcPr>
          <w:p w14:paraId="7A352FB4" w14:textId="77777777" w:rsidR="00094E57" w:rsidRPr="00094E57" w:rsidRDefault="00094E57" w:rsidP="00094E57">
            <w:pPr>
              <w:pStyle w:val="Tables"/>
              <w:jc w:val="right"/>
              <w:rPr>
                <w:sz w:val="20"/>
                <w:szCs w:val="20"/>
              </w:rPr>
            </w:pPr>
            <w:r w:rsidRPr="00094E57">
              <w:rPr>
                <w:sz w:val="20"/>
                <w:szCs w:val="20"/>
              </w:rPr>
              <w:t>8.48E+05</w:t>
            </w:r>
          </w:p>
        </w:tc>
        <w:tc>
          <w:tcPr>
            <w:tcW w:w="280" w:type="dxa"/>
            <w:tcBorders>
              <w:top w:val="nil"/>
              <w:left w:val="single" w:sz="4" w:space="0" w:color="auto"/>
              <w:bottom w:val="nil"/>
              <w:right w:val="single" w:sz="4" w:space="0" w:color="auto"/>
            </w:tcBorders>
            <w:shd w:val="clear" w:color="auto" w:fill="auto"/>
            <w:noWrap/>
            <w:vAlign w:val="bottom"/>
            <w:hideMark/>
          </w:tcPr>
          <w:p w14:paraId="6574100A" w14:textId="77777777" w:rsidR="00094E57" w:rsidRPr="00094E57" w:rsidRDefault="00094E57" w:rsidP="00094E57">
            <w:pPr>
              <w:pStyle w:val="Tables"/>
              <w:rPr>
                <w:sz w:val="20"/>
                <w:szCs w:val="20"/>
              </w:rPr>
            </w:pPr>
          </w:p>
        </w:tc>
        <w:tc>
          <w:tcPr>
            <w:tcW w:w="2429" w:type="dxa"/>
            <w:tcBorders>
              <w:left w:val="single" w:sz="4" w:space="0" w:color="auto"/>
            </w:tcBorders>
            <w:shd w:val="clear" w:color="auto" w:fill="auto"/>
            <w:noWrap/>
            <w:vAlign w:val="bottom"/>
            <w:hideMark/>
          </w:tcPr>
          <w:p w14:paraId="30982F05" w14:textId="77777777" w:rsidR="00094E57" w:rsidRPr="00094E57" w:rsidRDefault="00094E57" w:rsidP="00094E57">
            <w:pPr>
              <w:pStyle w:val="Tables"/>
              <w:rPr>
                <w:sz w:val="20"/>
                <w:szCs w:val="20"/>
              </w:rPr>
            </w:pPr>
            <w:r w:rsidRPr="00094E57">
              <w:rPr>
                <w:sz w:val="20"/>
                <w:szCs w:val="20"/>
              </w:rPr>
              <w:t>P.forage</w:t>
            </w:r>
          </w:p>
        </w:tc>
        <w:tc>
          <w:tcPr>
            <w:tcW w:w="1660" w:type="dxa"/>
            <w:shd w:val="clear" w:color="auto" w:fill="auto"/>
            <w:noWrap/>
            <w:vAlign w:val="bottom"/>
            <w:hideMark/>
          </w:tcPr>
          <w:p w14:paraId="59508F0F" w14:textId="77777777" w:rsidR="00094E57" w:rsidRPr="00094E57" w:rsidRDefault="00094E57" w:rsidP="00094E57">
            <w:pPr>
              <w:pStyle w:val="Tables"/>
              <w:jc w:val="right"/>
              <w:rPr>
                <w:sz w:val="20"/>
                <w:szCs w:val="20"/>
              </w:rPr>
            </w:pPr>
            <w:r w:rsidRPr="00094E57">
              <w:rPr>
                <w:sz w:val="20"/>
                <w:szCs w:val="20"/>
              </w:rPr>
              <w:t>1.63E+07</w:t>
            </w:r>
          </w:p>
        </w:tc>
      </w:tr>
      <w:tr w:rsidR="00094E57" w:rsidRPr="00094E57" w14:paraId="72304C8D" w14:textId="77777777" w:rsidTr="00094E57">
        <w:trPr>
          <w:trHeight w:val="20"/>
        </w:trPr>
        <w:tc>
          <w:tcPr>
            <w:tcW w:w="1584" w:type="dxa"/>
            <w:shd w:val="clear" w:color="auto" w:fill="auto"/>
            <w:noWrap/>
            <w:vAlign w:val="bottom"/>
            <w:hideMark/>
          </w:tcPr>
          <w:p w14:paraId="7856C1F7" w14:textId="77777777" w:rsidR="00094E57" w:rsidRPr="00094E57" w:rsidRDefault="00094E57" w:rsidP="00094E57">
            <w:pPr>
              <w:pStyle w:val="Tables"/>
              <w:rPr>
                <w:sz w:val="20"/>
                <w:szCs w:val="20"/>
              </w:rPr>
            </w:pPr>
          </w:p>
        </w:tc>
        <w:tc>
          <w:tcPr>
            <w:tcW w:w="1660" w:type="dxa"/>
            <w:tcBorders>
              <w:right w:val="single" w:sz="4" w:space="0" w:color="auto"/>
            </w:tcBorders>
            <w:shd w:val="clear" w:color="auto" w:fill="auto"/>
            <w:noWrap/>
            <w:vAlign w:val="bottom"/>
            <w:hideMark/>
          </w:tcPr>
          <w:p w14:paraId="335C1ACB" w14:textId="77777777" w:rsidR="00094E57" w:rsidRPr="00094E57" w:rsidRDefault="00094E57" w:rsidP="00094E57">
            <w:pPr>
              <w:pStyle w:val="Tables"/>
              <w:jc w:val="right"/>
              <w:rPr>
                <w:sz w:val="20"/>
                <w:szCs w:val="20"/>
              </w:rPr>
            </w:pPr>
          </w:p>
        </w:tc>
        <w:tc>
          <w:tcPr>
            <w:tcW w:w="280" w:type="dxa"/>
            <w:tcBorders>
              <w:top w:val="nil"/>
              <w:left w:val="single" w:sz="4" w:space="0" w:color="auto"/>
              <w:bottom w:val="nil"/>
              <w:right w:val="single" w:sz="4" w:space="0" w:color="auto"/>
            </w:tcBorders>
            <w:shd w:val="clear" w:color="auto" w:fill="auto"/>
            <w:noWrap/>
            <w:vAlign w:val="bottom"/>
            <w:hideMark/>
          </w:tcPr>
          <w:p w14:paraId="6F7CA41A" w14:textId="77777777" w:rsidR="00094E57" w:rsidRPr="00094E57" w:rsidRDefault="00094E57" w:rsidP="00094E57">
            <w:pPr>
              <w:pStyle w:val="Tables"/>
              <w:rPr>
                <w:sz w:val="20"/>
                <w:szCs w:val="20"/>
              </w:rPr>
            </w:pPr>
          </w:p>
        </w:tc>
        <w:tc>
          <w:tcPr>
            <w:tcW w:w="2429" w:type="dxa"/>
            <w:tcBorders>
              <w:left w:val="single" w:sz="4" w:space="0" w:color="auto"/>
            </w:tcBorders>
            <w:shd w:val="clear" w:color="auto" w:fill="auto"/>
            <w:noWrap/>
            <w:vAlign w:val="bottom"/>
            <w:hideMark/>
          </w:tcPr>
          <w:p w14:paraId="1BB068CB" w14:textId="77777777" w:rsidR="00094E57" w:rsidRPr="00094E57" w:rsidRDefault="00094E57" w:rsidP="00094E57">
            <w:pPr>
              <w:pStyle w:val="Tables"/>
              <w:rPr>
                <w:sz w:val="20"/>
                <w:szCs w:val="20"/>
              </w:rPr>
            </w:pPr>
          </w:p>
        </w:tc>
        <w:tc>
          <w:tcPr>
            <w:tcW w:w="1660" w:type="dxa"/>
            <w:shd w:val="clear" w:color="auto" w:fill="auto"/>
            <w:noWrap/>
            <w:vAlign w:val="bottom"/>
            <w:hideMark/>
          </w:tcPr>
          <w:p w14:paraId="59B0E439" w14:textId="77777777" w:rsidR="00094E57" w:rsidRPr="00094E57" w:rsidRDefault="00094E57" w:rsidP="00094E57">
            <w:pPr>
              <w:pStyle w:val="Tables"/>
              <w:jc w:val="right"/>
              <w:rPr>
                <w:sz w:val="20"/>
                <w:szCs w:val="20"/>
              </w:rPr>
            </w:pPr>
          </w:p>
        </w:tc>
      </w:tr>
      <w:tr w:rsidR="00094E57" w:rsidRPr="00094E57" w14:paraId="567B8E87" w14:textId="77777777" w:rsidTr="00094E57">
        <w:trPr>
          <w:trHeight w:val="20"/>
        </w:trPr>
        <w:tc>
          <w:tcPr>
            <w:tcW w:w="1584" w:type="dxa"/>
            <w:shd w:val="clear" w:color="auto" w:fill="auto"/>
            <w:noWrap/>
            <w:vAlign w:val="bottom"/>
            <w:hideMark/>
          </w:tcPr>
          <w:p w14:paraId="41F5A200" w14:textId="77777777" w:rsidR="00094E57" w:rsidRPr="00094E57" w:rsidRDefault="00094E57" w:rsidP="00094E57">
            <w:pPr>
              <w:pStyle w:val="Tables"/>
              <w:rPr>
                <w:sz w:val="20"/>
                <w:szCs w:val="20"/>
                <w:u w:val="single"/>
              </w:rPr>
            </w:pPr>
            <w:r w:rsidRPr="00094E57">
              <w:rPr>
                <w:sz w:val="20"/>
                <w:szCs w:val="20"/>
                <w:u w:val="single"/>
              </w:rPr>
              <w:t>light gases</w:t>
            </w:r>
          </w:p>
        </w:tc>
        <w:tc>
          <w:tcPr>
            <w:tcW w:w="1660" w:type="dxa"/>
            <w:tcBorders>
              <w:right w:val="single" w:sz="4" w:space="0" w:color="auto"/>
            </w:tcBorders>
            <w:shd w:val="clear" w:color="auto" w:fill="auto"/>
            <w:noWrap/>
            <w:vAlign w:val="bottom"/>
            <w:hideMark/>
          </w:tcPr>
          <w:p w14:paraId="0754BFAE" w14:textId="77777777" w:rsidR="00094E57" w:rsidRPr="00094E57" w:rsidRDefault="00094E57" w:rsidP="00094E57">
            <w:pPr>
              <w:pStyle w:val="Tables"/>
              <w:jc w:val="right"/>
              <w:rPr>
                <w:sz w:val="20"/>
                <w:szCs w:val="20"/>
                <w:u w:val="single"/>
              </w:rPr>
            </w:pPr>
            <w:r w:rsidRPr="00094E57">
              <w:rPr>
                <w:sz w:val="20"/>
                <w:szCs w:val="20"/>
                <w:u w:val="single"/>
              </w:rPr>
              <w:t>% Increase MSE</w:t>
            </w:r>
          </w:p>
        </w:tc>
        <w:tc>
          <w:tcPr>
            <w:tcW w:w="280" w:type="dxa"/>
            <w:tcBorders>
              <w:top w:val="nil"/>
              <w:left w:val="single" w:sz="4" w:space="0" w:color="auto"/>
              <w:bottom w:val="nil"/>
              <w:right w:val="single" w:sz="4" w:space="0" w:color="auto"/>
            </w:tcBorders>
            <w:shd w:val="clear" w:color="auto" w:fill="auto"/>
            <w:noWrap/>
            <w:vAlign w:val="bottom"/>
            <w:hideMark/>
          </w:tcPr>
          <w:p w14:paraId="594A3C58" w14:textId="77777777" w:rsidR="00094E57" w:rsidRPr="00094E57" w:rsidRDefault="00094E57" w:rsidP="00094E57">
            <w:pPr>
              <w:pStyle w:val="Tables"/>
              <w:rPr>
                <w:sz w:val="20"/>
                <w:szCs w:val="20"/>
                <w:u w:val="single"/>
              </w:rPr>
            </w:pPr>
          </w:p>
        </w:tc>
        <w:tc>
          <w:tcPr>
            <w:tcW w:w="2429" w:type="dxa"/>
            <w:tcBorders>
              <w:left w:val="single" w:sz="4" w:space="0" w:color="auto"/>
            </w:tcBorders>
            <w:shd w:val="clear" w:color="auto" w:fill="auto"/>
            <w:noWrap/>
            <w:vAlign w:val="bottom"/>
            <w:hideMark/>
          </w:tcPr>
          <w:p w14:paraId="0FF9D669" w14:textId="77777777" w:rsidR="00094E57" w:rsidRPr="00094E57" w:rsidRDefault="00094E57" w:rsidP="00094E57">
            <w:pPr>
              <w:pStyle w:val="Tables"/>
              <w:rPr>
                <w:sz w:val="20"/>
                <w:szCs w:val="20"/>
                <w:u w:val="single"/>
              </w:rPr>
            </w:pPr>
            <w:r w:rsidRPr="00094E57">
              <w:rPr>
                <w:sz w:val="20"/>
                <w:szCs w:val="20"/>
                <w:u w:val="single"/>
              </w:rPr>
              <w:t>non-levoglucosan sugars</w:t>
            </w:r>
          </w:p>
        </w:tc>
        <w:tc>
          <w:tcPr>
            <w:tcW w:w="1660" w:type="dxa"/>
            <w:shd w:val="clear" w:color="auto" w:fill="auto"/>
            <w:noWrap/>
            <w:vAlign w:val="bottom"/>
            <w:hideMark/>
          </w:tcPr>
          <w:p w14:paraId="7EA336D5" w14:textId="77777777" w:rsidR="00094E57" w:rsidRPr="00094E57" w:rsidRDefault="00094E57" w:rsidP="00094E57">
            <w:pPr>
              <w:pStyle w:val="Tables"/>
              <w:jc w:val="right"/>
              <w:rPr>
                <w:sz w:val="20"/>
                <w:szCs w:val="20"/>
                <w:u w:val="single"/>
              </w:rPr>
            </w:pPr>
            <w:r w:rsidRPr="00094E57">
              <w:rPr>
                <w:sz w:val="20"/>
                <w:szCs w:val="20"/>
                <w:u w:val="single"/>
              </w:rPr>
              <w:t>% Increase MSE</w:t>
            </w:r>
          </w:p>
        </w:tc>
      </w:tr>
      <w:tr w:rsidR="00094E57" w:rsidRPr="00094E57" w14:paraId="261BBECA" w14:textId="77777777" w:rsidTr="00094E57">
        <w:trPr>
          <w:trHeight w:val="20"/>
        </w:trPr>
        <w:tc>
          <w:tcPr>
            <w:tcW w:w="1584" w:type="dxa"/>
            <w:shd w:val="clear" w:color="auto" w:fill="auto"/>
            <w:noWrap/>
            <w:vAlign w:val="bottom"/>
            <w:hideMark/>
          </w:tcPr>
          <w:p w14:paraId="5D17A257" w14:textId="77777777" w:rsidR="00094E57" w:rsidRPr="00094E57" w:rsidRDefault="00094E57" w:rsidP="00094E57">
            <w:pPr>
              <w:pStyle w:val="Tables"/>
              <w:rPr>
                <w:sz w:val="20"/>
                <w:szCs w:val="20"/>
              </w:rPr>
            </w:pPr>
            <w:r w:rsidRPr="00094E57">
              <w:rPr>
                <w:sz w:val="20"/>
                <w:szCs w:val="20"/>
              </w:rPr>
              <w:t>C</w:t>
            </w:r>
          </w:p>
        </w:tc>
        <w:tc>
          <w:tcPr>
            <w:tcW w:w="1660" w:type="dxa"/>
            <w:tcBorders>
              <w:right w:val="single" w:sz="4" w:space="0" w:color="auto"/>
            </w:tcBorders>
            <w:shd w:val="clear" w:color="auto" w:fill="auto"/>
            <w:noWrap/>
            <w:vAlign w:val="bottom"/>
            <w:hideMark/>
          </w:tcPr>
          <w:p w14:paraId="6EBBC084" w14:textId="77777777" w:rsidR="00094E57" w:rsidRPr="00094E57" w:rsidRDefault="00094E57" w:rsidP="00094E57">
            <w:pPr>
              <w:pStyle w:val="Tables"/>
              <w:jc w:val="right"/>
              <w:rPr>
                <w:sz w:val="20"/>
                <w:szCs w:val="20"/>
              </w:rPr>
            </w:pPr>
            <w:r w:rsidRPr="00094E57">
              <w:rPr>
                <w:sz w:val="20"/>
                <w:szCs w:val="20"/>
              </w:rPr>
              <w:t>6.71E+06</w:t>
            </w:r>
          </w:p>
        </w:tc>
        <w:tc>
          <w:tcPr>
            <w:tcW w:w="280" w:type="dxa"/>
            <w:tcBorders>
              <w:top w:val="nil"/>
              <w:left w:val="single" w:sz="4" w:space="0" w:color="auto"/>
              <w:bottom w:val="nil"/>
              <w:right w:val="single" w:sz="4" w:space="0" w:color="auto"/>
            </w:tcBorders>
            <w:shd w:val="clear" w:color="auto" w:fill="auto"/>
            <w:noWrap/>
            <w:vAlign w:val="bottom"/>
            <w:hideMark/>
          </w:tcPr>
          <w:p w14:paraId="33D56AC9" w14:textId="77777777" w:rsidR="00094E57" w:rsidRPr="00094E57" w:rsidRDefault="00094E57" w:rsidP="00094E57">
            <w:pPr>
              <w:pStyle w:val="Tables"/>
              <w:rPr>
                <w:sz w:val="20"/>
                <w:szCs w:val="20"/>
              </w:rPr>
            </w:pPr>
          </w:p>
        </w:tc>
        <w:tc>
          <w:tcPr>
            <w:tcW w:w="2429" w:type="dxa"/>
            <w:tcBorders>
              <w:left w:val="single" w:sz="4" w:space="0" w:color="auto"/>
            </w:tcBorders>
            <w:shd w:val="clear" w:color="auto" w:fill="auto"/>
            <w:noWrap/>
            <w:vAlign w:val="bottom"/>
            <w:hideMark/>
          </w:tcPr>
          <w:p w14:paraId="1D6E6AFA" w14:textId="77777777" w:rsidR="00094E57" w:rsidRPr="00094E57" w:rsidRDefault="00094E57" w:rsidP="00094E57">
            <w:pPr>
              <w:pStyle w:val="Tables"/>
              <w:rPr>
                <w:sz w:val="20"/>
                <w:szCs w:val="20"/>
              </w:rPr>
            </w:pPr>
            <w:r w:rsidRPr="00094E57">
              <w:rPr>
                <w:sz w:val="20"/>
                <w:szCs w:val="20"/>
              </w:rPr>
              <w:t>PENT</w:t>
            </w:r>
          </w:p>
        </w:tc>
        <w:tc>
          <w:tcPr>
            <w:tcW w:w="1660" w:type="dxa"/>
            <w:shd w:val="clear" w:color="auto" w:fill="auto"/>
            <w:noWrap/>
            <w:vAlign w:val="bottom"/>
            <w:hideMark/>
          </w:tcPr>
          <w:p w14:paraId="300AB703" w14:textId="77777777" w:rsidR="00094E57" w:rsidRPr="00094E57" w:rsidRDefault="00094E57" w:rsidP="00094E57">
            <w:pPr>
              <w:pStyle w:val="Tables"/>
              <w:jc w:val="right"/>
              <w:rPr>
                <w:sz w:val="20"/>
                <w:szCs w:val="20"/>
              </w:rPr>
            </w:pPr>
            <w:r w:rsidRPr="00094E57">
              <w:rPr>
                <w:sz w:val="20"/>
                <w:szCs w:val="20"/>
              </w:rPr>
              <w:t>6.49E+05</w:t>
            </w:r>
          </w:p>
        </w:tc>
      </w:tr>
      <w:tr w:rsidR="00094E57" w:rsidRPr="00094E57" w14:paraId="55BD5BA5" w14:textId="77777777" w:rsidTr="00094E57">
        <w:trPr>
          <w:trHeight w:val="20"/>
        </w:trPr>
        <w:tc>
          <w:tcPr>
            <w:tcW w:w="1584" w:type="dxa"/>
            <w:shd w:val="clear" w:color="auto" w:fill="auto"/>
            <w:noWrap/>
            <w:vAlign w:val="bottom"/>
            <w:hideMark/>
          </w:tcPr>
          <w:p w14:paraId="117316EA" w14:textId="77777777" w:rsidR="00094E57" w:rsidRPr="00094E57" w:rsidRDefault="00094E57" w:rsidP="00094E57">
            <w:pPr>
              <w:pStyle w:val="Tables"/>
              <w:rPr>
                <w:sz w:val="20"/>
                <w:szCs w:val="20"/>
              </w:rPr>
            </w:pPr>
            <w:r w:rsidRPr="00094E57">
              <w:rPr>
                <w:sz w:val="20"/>
                <w:szCs w:val="20"/>
              </w:rPr>
              <w:t>KL</w:t>
            </w:r>
          </w:p>
        </w:tc>
        <w:tc>
          <w:tcPr>
            <w:tcW w:w="1660" w:type="dxa"/>
            <w:tcBorders>
              <w:right w:val="single" w:sz="4" w:space="0" w:color="auto"/>
            </w:tcBorders>
            <w:shd w:val="clear" w:color="auto" w:fill="auto"/>
            <w:noWrap/>
            <w:vAlign w:val="bottom"/>
            <w:hideMark/>
          </w:tcPr>
          <w:p w14:paraId="0742C615" w14:textId="77777777" w:rsidR="00094E57" w:rsidRPr="00094E57" w:rsidRDefault="00094E57" w:rsidP="00094E57">
            <w:pPr>
              <w:pStyle w:val="Tables"/>
              <w:jc w:val="right"/>
              <w:rPr>
                <w:sz w:val="20"/>
                <w:szCs w:val="20"/>
              </w:rPr>
            </w:pPr>
            <w:r w:rsidRPr="00094E57">
              <w:rPr>
                <w:sz w:val="20"/>
                <w:szCs w:val="20"/>
              </w:rPr>
              <w:t>5.46E+06</w:t>
            </w:r>
          </w:p>
        </w:tc>
        <w:tc>
          <w:tcPr>
            <w:tcW w:w="280" w:type="dxa"/>
            <w:tcBorders>
              <w:top w:val="nil"/>
              <w:left w:val="single" w:sz="4" w:space="0" w:color="auto"/>
              <w:bottom w:val="nil"/>
              <w:right w:val="single" w:sz="4" w:space="0" w:color="auto"/>
            </w:tcBorders>
            <w:shd w:val="clear" w:color="auto" w:fill="auto"/>
            <w:noWrap/>
            <w:vAlign w:val="bottom"/>
            <w:hideMark/>
          </w:tcPr>
          <w:p w14:paraId="27B5DA83" w14:textId="77777777" w:rsidR="00094E57" w:rsidRPr="00094E57" w:rsidRDefault="00094E57" w:rsidP="00094E57">
            <w:pPr>
              <w:pStyle w:val="Tables"/>
              <w:rPr>
                <w:sz w:val="20"/>
                <w:szCs w:val="20"/>
              </w:rPr>
            </w:pPr>
          </w:p>
        </w:tc>
        <w:tc>
          <w:tcPr>
            <w:tcW w:w="2429" w:type="dxa"/>
            <w:tcBorders>
              <w:left w:val="single" w:sz="4" w:space="0" w:color="auto"/>
            </w:tcBorders>
            <w:shd w:val="clear" w:color="auto" w:fill="auto"/>
            <w:noWrap/>
            <w:vAlign w:val="bottom"/>
            <w:hideMark/>
          </w:tcPr>
          <w:p w14:paraId="068CA6FD" w14:textId="77777777" w:rsidR="00094E57" w:rsidRPr="00094E57" w:rsidRDefault="00094E57" w:rsidP="00094E57">
            <w:pPr>
              <w:pStyle w:val="Tables"/>
              <w:rPr>
                <w:b/>
                <w:bCs/>
                <w:sz w:val="20"/>
                <w:szCs w:val="20"/>
              </w:rPr>
            </w:pPr>
            <w:r w:rsidRPr="00094E57">
              <w:rPr>
                <w:b/>
                <w:bCs/>
                <w:sz w:val="20"/>
                <w:szCs w:val="20"/>
              </w:rPr>
              <w:t>Ash</w:t>
            </w:r>
          </w:p>
        </w:tc>
        <w:tc>
          <w:tcPr>
            <w:tcW w:w="1660" w:type="dxa"/>
            <w:shd w:val="clear" w:color="auto" w:fill="auto"/>
            <w:noWrap/>
            <w:vAlign w:val="bottom"/>
            <w:hideMark/>
          </w:tcPr>
          <w:p w14:paraId="5CEEF1C1" w14:textId="77777777" w:rsidR="00094E57" w:rsidRPr="00094E57" w:rsidRDefault="00094E57" w:rsidP="00094E57">
            <w:pPr>
              <w:pStyle w:val="Tables"/>
              <w:jc w:val="right"/>
              <w:rPr>
                <w:sz w:val="20"/>
                <w:szCs w:val="20"/>
              </w:rPr>
            </w:pPr>
            <w:r w:rsidRPr="00094E57">
              <w:rPr>
                <w:sz w:val="20"/>
                <w:szCs w:val="20"/>
              </w:rPr>
              <w:t>6.11E+05</w:t>
            </w:r>
          </w:p>
        </w:tc>
      </w:tr>
      <w:tr w:rsidR="00094E57" w:rsidRPr="00094E57" w14:paraId="2CE173FE" w14:textId="77777777" w:rsidTr="00094E57">
        <w:trPr>
          <w:trHeight w:val="20"/>
        </w:trPr>
        <w:tc>
          <w:tcPr>
            <w:tcW w:w="1584" w:type="dxa"/>
            <w:shd w:val="clear" w:color="auto" w:fill="auto"/>
            <w:noWrap/>
            <w:vAlign w:val="bottom"/>
            <w:hideMark/>
          </w:tcPr>
          <w:p w14:paraId="5C719D4F" w14:textId="77777777" w:rsidR="00094E57" w:rsidRPr="00094E57" w:rsidRDefault="00094E57" w:rsidP="00094E57">
            <w:pPr>
              <w:pStyle w:val="Tables"/>
              <w:rPr>
                <w:sz w:val="20"/>
                <w:szCs w:val="20"/>
              </w:rPr>
            </w:pPr>
            <w:r w:rsidRPr="00094E57">
              <w:rPr>
                <w:sz w:val="20"/>
                <w:szCs w:val="20"/>
              </w:rPr>
              <w:t>GLC</w:t>
            </w:r>
          </w:p>
        </w:tc>
        <w:tc>
          <w:tcPr>
            <w:tcW w:w="1660" w:type="dxa"/>
            <w:tcBorders>
              <w:right w:val="single" w:sz="4" w:space="0" w:color="auto"/>
            </w:tcBorders>
            <w:shd w:val="clear" w:color="auto" w:fill="auto"/>
            <w:noWrap/>
            <w:vAlign w:val="bottom"/>
            <w:hideMark/>
          </w:tcPr>
          <w:p w14:paraId="0DACCDC6" w14:textId="77777777" w:rsidR="00094E57" w:rsidRPr="00094E57" w:rsidRDefault="00094E57" w:rsidP="00094E57">
            <w:pPr>
              <w:pStyle w:val="Tables"/>
              <w:jc w:val="right"/>
              <w:rPr>
                <w:sz w:val="20"/>
                <w:szCs w:val="20"/>
              </w:rPr>
            </w:pPr>
            <w:r w:rsidRPr="00094E57">
              <w:rPr>
                <w:sz w:val="20"/>
                <w:szCs w:val="20"/>
              </w:rPr>
              <w:t>3.80E+06</w:t>
            </w:r>
          </w:p>
        </w:tc>
        <w:tc>
          <w:tcPr>
            <w:tcW w:w="280" w:type="dxa"/>
            <w:tcBorders>
              <w:top w:val="nil"/>
              <w:left w:val="single" w:sz="4" w:space="0" w:color="auto"/>
              <w:bottom w:val="nil"/>
              <w:right w:val="single" w:sz="4" w:space="0" w:color="auto"/>
            </w:tcBorders>
            <w:shd w:val="clear" w:color="auto" w:fill="auto"/>
            <w:noWrap/>
            <w:vAlign w:val="bottom"/>
            <w:hideMark/>
          </w:tcPr>
          <w:p w14:paraId="395ED1E3" w14:textId="77777777" w:rsidR="00094E57" w:rsidRPr="00094E57" w:rsidRDefault="00094E57" w:rsidP="00094E57">
            <w:pPr>
              <w:pStyle w:val="Tables"/>
              <w:rPr>
                <w:sz w:val="20"/>
                <w:szCs w:val="20"/>
              </w:rPr>
            </w:pPr>
          </w:p>
        </w:tc>
        <w:tc>
          <w:tcPr>
            <w:tcW w:w="2429" w:type="dxa"/>
            <w:tcBorders>
              <w:left w:val="single" w:sz="4" w:space="0" w:color="auto"/>
            </w:tcBorders>
            <w:shd w:val="clear" w:color="auto" w:fill="auto"/>
            <w:noWrap/>
            <w:vAlign w:val="bottom"/>
            <w:hideMark/>
          </w:tcPr>
          <w:p w14:paraId="05A6CAB5" w14:textId="77777777" w:rsidR="00094E57" w:rsidRPr="00094E57" w:rsidRDefault="00094E57" w:rsidP="00094E57">
            <w:pPr>
              <w:pStyle w:val="Tables"/>
              <w:rPr>
                <w:sz w:val="20"/>
                <w:szCs w:val="20"/>
              </w:rPr>
            </w:pPr>
            <w:r w:rsidRPr="00094E57">
              <w:rPr>
                <w:sz w:val="20"/>
                <w:szCs w:val="20"/>
              </w:rPr>
              <w:t>ASH</w:t>
            </w:r>
          </w:p>
        </w:tc>
        <w:tc>
          <w:tcPr>
            <w:tcW w:w="1660" w:type="dxa"/>
            <w:shd w:val="clear" w:color="auto" w:fill="auto"/>
            <w:noWrap/>
            <w:vAlign w:val="bottom"/>
            <w:hideMark/>
          </w:tcPr>
          <w:p w14:paraId="6ABB420A" w14:textId="77777777" w:rsidR="00094E57" w:rsidRPr="00094E57" w:rsidRDefault="00094E57" w:rsidP="00094E57">
            <w:pPr>
              <w:pStyle w:val="Tables"/>
              <w:jc w:val="right"/>
              <w:rPr>
                <w:sz w:val="20"/>
                <w:szCs w:val="20"/>
              </w:rPr>
            </w:pPr>
            <w:r w:rsidRPr="00094E57">
              <w:rPr>
                <w:sz w:val="20"/>
                <w:szCs w:val="20"/>
              </w:rPr>
              <w:t>4.09E+05</w:t>
            </w:r>
          </w:p>
        </w:tc>
      </w:tr>
      <w:tr w:rsidR="00094E57" w:rsidRPr="00094E57" w14:paraId="14B14219" w14:textId="77777777" w:rsidTr="00094E57">
        <w:trPr>
          <w:trHeight w:val="20"/>
        </w:trPr>
        <w:tc>
          <w:tcPr>
            <w:tcW w:w="1584" w:type="dxa"/>
            <w:shd w:val="clear" w:color="auto" w:fill="auto"/>
            <w:noWrap/>
            <w:vAlign w:val="bottom"/>
            <w:hideMark/>
          </w:tcPr>
          <w:p w14:paraId="602BA280" w14:textId="77777777" w:rsidR="00094E57" w:rsidRPr="00094E57" w:rsidRDefault="00094E57" w:rsidP="00094E57">
            <w:pPr>
              <w:pStyle w:val="Tables"/>
              <w:rPr>
                <w:b/>
                <w:bCs/>
                <w:sz w:val="20"/>
                <w:szCs w:val="20"/>
              </w:rPr>
            </w:pPr>
            <w:r w:rsidRPr="00094E57">
              <w:rPr>
                <w:b/>
                <w:bCs/>
                <w:sz w:val="20"/>
                <w:szCs w:val="20"/>
              </w:rPr>
              <w:t>Crude.Protein</w:t>
            </w:r>
          </w:p>
        </w:tc>
        <w:tc>
          <w:tcPr>
            <w:tcW w:w="1660" w:type="dxa"/>
            <w:tcBorders>
              <w:right w:val="single" w:sz="4" w:space="0" w:color="auto"/>
            </w:tcBorders>
            <w:shd w:val="clear" w:color="auto" w:fill="auto"/>
            <w:noWrap/>
            <w:vAlign w:val="bottom"/>
            <w:hideMark/>
          </w:tcPr>
          <w:p w14:paraId="0505F06E" w14:textId="77777777" w:rsidR="00094E57" w:rsidRPr="00094E57" w:rsidRDefault="00094E57" w:rsidP="00094E57">
            <w:pPr>
              <w:pStyle w:val="Tables"/>
              <w:jc w:val="right"/>
              <w:rPr>
                <w:sz w:val="20"/>
                <w:szCs w:val="20"/>
              </w:rPr>
            </w:pPr>
            <w:r w:rsidRPr="00094E57">
              <w:rPr>
                <w:sz w:val="20"/>
                <w:szCs w:val="20"/>
              </w:rPr>
              <w:t>3.76E+06</w:t>
            </w:r>
          </w:p>
        </w:tc>
        <w:tc>
          <w:tcPr>
            <w:tcW w:w="280" w:type="dxa"/>
            <w:tcBorders>
              <w:top w:val="nil"/>
              <w:left w:val="single" w:sz="4" w:space="0" w:color="auto"/>
              <w:bottom w:val="nil"/>
              <w:right w:val="single" w:sz="4" w:space="0" w:color="auto"/>
            </w:tcBorders>
            <w:shd w:val="clear" w:color="auto" w:fill="auto"/>
            <w:noWrap/>
            <w:vAlign w:val="bottom"/>
            <w:hideMark/>
          </w:tcPr>
          <w:p w14:paraId="4FE55CF7" w14:textId="77777777" w:rsidR="00094E57" w:rsidRPr="00094E57" w:rsidRDefault="00094E57" w:rsidP="00094E57">
            <w:pPr>
              <w:pStyle w:val="Tables"/>
              <w:rPr>
                <w:sz w:val="20"/>
                <w:szCs w:val="20"/>
              </w:rPr>
            </w:pPr>
          </w:p>
        </w:tc>
        <w:tc>
          <w:tcPr>
            <w:tcW w:w="2429" w:type="dxa"/>
            <w:tcBorders>
              <w:left w:val="single" w:sz="4" w:space="0" w:color="auto"/>
            </w:tcBorders>
            <w:shd w:val="clear" w:color="auto" w:fill="auto"/>
            <w:noWrap/>
            <w:vAlign w:val="bottom"/>
            <w:hideMark/>
          </w:tcPr>
          <w:p w14:paraId="2D2C41A1" w14:textId="77777777" w:rsidR="00094E57" w:rsidRPr="00094E57" w:rsidRDefault="00094E57" w:rsidP="00094E57">
            <w:pPr>
              <w:pStyle w:val="Tables"/>
              <w:rPr>
                <w:b/>
                <w:bCs/>
                <w:sz w:val="20"/>
                <w:szCs w:val="20"/>
              </w:rPr>
            </w:pPr>
            <w:r w:rsidRPr="00094E57">
              <w:rPr>
                <w:b/>
                <w:bCs/>
                <w:sz w:val="20"/>
                <w:szCs w:val="20"/>
              </w:rPr>
              <w:t>sgratio.nrel</w:t>
            </w:r>
          </w:p>
        </w:tc>
        <w:tc>
          <w:tcPr>
            <w:tcW w:w="1660" w:type="dxa"/>
            <w:shd w:val="clear" w:color="auto" w:fill="auto"/>
            <w:noWrap/>
            <w:vAlign w:val="bottom"/>
            <w:hideMark/>
          </w:tcPr>
          <w:p w14:paraId="15DE856C" w14:textId="77777777" w:rsidR="00094E57" w:rsidRPr="00094E57" w:rsidRDefault="00094E57" w:rsidP="00094E57">
            <w:pPr>
              <w:pStyle w:val="Tables"/>
              <w:jc w:val="right"/>
              <w:rPr>
                <w:sz w:val="20"/>
                <w:szCs w:val="20"/>
              </w:rPr>
            </w:pPr>
            <w:r w:rsidRPr="00094E57">
              <w:rPr>
                <w:sz w:val="20"/>
                <w:szCs w:val="20"/>
              </w:rPr>
              <w:t>4.02E+05</w:t>
            </w:r>
          </w:p>
        </w:tc>
      </w:tr>
      <w:tr w:rsidR="00094E57" w:rsidRPr="00094E57" w14:paraId="638F62E0" w14:textId="77777777" w:rsidTr="00094E57">
        <w:trPr>
          <w:trHeight w:val="20"/>
        </w:trPr>
        <w:tc>
          <w:tcPr>
            <w:tcW w:w="1584" w:type="dxa"/>
            <w:shd w:val="clear" w:color="auto" w:fill="auto"/>
            <w:noWrap/>
            <w:vAlign w:val="bottom"/>
            <w:hideMark/>
          </w:tcPr>
          <w:p w14:paraId="6F4185F5" w14:textId="77777777" w:rsidR="00094E57" w:rsidRPr="00094E57" w:rsidRDefault="00094E57" w:rsidP="00094E57">
            <w:pPr>
              <w:pStyle w:val="Tables"/>
              <w:rPr>
                <w:sz w:val="20"/>
                <w:szCs w:val="20"/>
              </w:rPr>
            </w:pPr>
            <w:r w:rsidRPr="00094E57">
              <w:rPr>
                <w:sz w:val="20"/>
                <w:szCs w:val="20"/>
              </w:rPr>
              <w:t>RHA</w:t>
            </w:r>
          </w:p>
        </w:tc>
        <w:tc>
          <w:tcPr>
            <w:tcW w:w="1660" w:type="dxa"/>
            <w:tcBorders>
              <w:right w:val="single" w:sz="4" w:space="0" w:color="auto"/>
            </w:tcBorders>
            <w:shd w:val="clear" w:color="auto" w:fill="auto"/>
            <w:noWrap/>
            <w:vAlign w:val="bottom"/>
            <w:hideMark/>
          </w:tcPr>
          <w:p w14:paraId="3FBCEFC8" w14:textId="77777777" w:rsidR="00094E57" w:rsidRPr="00094E57" w:rsidRDefault="00094E57" w:rsidP="00094E57">
            <w:pPr>
              <w:pStyle w:val="Tables"/>
              <w:jc w:val="right"/>
              <w:rPr>
                <w:sz w:val="20"/>
                <w:szCs w:val="20"/>
              </w:rPr>
            </w:pPr>
            <w:r w:rsidRPr="00094E57">
              <w:rPr>
                <w:sz w:val="20"/>
                <w:szCs w:val="20"/>
              </w:rPr>
              <w:t>3.51E+06</w:t>
            </w:r>
          </w:p>
        </w:tc>
        <w:tc>
          <w:tcPr>
            <w:tcW w:w="280" w:type="dxa"/>
            <w:tcBorders>
              <w:top w:val="nil"/>
              <w:left w:val="single" w:sz="4" w:space="0" w:color="auto"/>
              <w:bottom w:val="nil"/>
              <w:right w:val="single" w:sz="4" w:space="0" w:color="auto"/>
            </w:tcBorders>
            <w:shd w:val="clear" w:color="auto" w:fill="auto"/>
            <w:noWrap/>
            <w:vAlign w:val="bottom"/>
            <w:hideMark/>
          </w:tcPr>
          <w:p w14:paraId="4E479529" w14:textId="77777777" w:rsidR="00094E57" w:rsidRPr="00094E57" w:rsidRDefault="00094E57" w:rsidP="00094E57">
            <w:pPr>
              <w:pStyle w:val="Tables"/>
              <w:rPr>
                <w:sz w:val="20"/>
                <w:szCs w:val="20"/>
              </w:rPr>
            </w:pPr>
          </w:p>
        </w:tc>
        <w:tc>
          <w:tcPr>
            <w:tcW w:w="2429" w:type="dxa"/>
            <w:tcBorders>
              <w:left w:val="single" w:sz="4" w:space="0" w:color="auto"/>
            </w:tcBorders>
            <w:shd w:val="clear" w:color="auto" w:fill="auto"/>
            <w:noWrap/>
            <w:vAlign w:val="bottom"/>
            <w:hideMark/>
          </w:tcPr>
          <w:p w14:paraId="2B322701" w14:textId="77777777" w:rsidR="00094E57" w:rsidRPr="00094E57" w:rsidRDefault="00094E57" w:rsidP="00094E57">
            <w:pPr>
              <w:pStyle w:val="Tables"/>
              <w:rPr>
                <w:b/>
                <w:bCs/>
                <w:sz w:val="20"/>
                <w:szCs w:val="20"/>
              </w:rPr>
            </w:pPr>
            <w:r w:rsidRPr="00094E57">
              <w:rPr>
                <w:b/>
                <w:bCs/>
                <w:sz w:val="20"/>
                <w:szCs w:val="20"/>
              </w:rPr>
              <w:t>EE</w:t>
            </w:r>
          </w:p>
        </w:tc>
        <w:tc>
          <w:tcPr>
            <w:tcW w:w="1660" w:type="dxa"/>
            <w:shd w:val="clear" w:color="auto" w:fill="auto"/>
            <w:noWrap/>
            <w:vAlign w:val="bottom"/>
            <w:hideMark/>
          </w:tcPr>
          <w:p w14:paraId="3E0F146D" w14:textId="77777777" w:rsidR="00094E57" w:rsidRPr="00094E57" w:rsidRDefault="00094E57" w:rsidP="00094E57">
            <w:pPr>
              <w:pStyle w:val="Tables"/>
              <w:jc w:val="right"/>
              <w:rPr>
                <w:sz w:val="20"/>
                <w:szCs w:val="20"/>
              </w:rPr>
            </w:pPr>
            <w:r w:rsidRPr="00094E57">
              <w:rPr>
                <w:sz w:val="20"/>
                <w:szCs w:val="20"/>
              </w:rPr>
              <w:t>2.51E+05</w:t>
            </w:r>
          </w:p>
        </w:tc>
      </w:tr>
      <w:tr w:rsidR="00094E57" w:rsidRPr="00094E57" w14:paraId="6AE66C0C" w14:textId="77777777" w:rsidTr="00094E57">
        <w:trPr>
          <w:trHeight w:val="20"/>
        </w:trPr>
        <w:tc>
          <w:tcPr>
            <w:tcW w:w="1584" w:type="dxa"/>
            <w:shd w:val="clear" w:color="auto" w:fill="auto"/>
            <w:noWrap/>
            <w:vAlign w:val="bottom"/>
            <w:hideMark/>
          </w:tcPr>
          <w:p w14:paraId="0ED11DF2" w14:textId="77777777" w:rsidR="00094E57" w:rsidRPr="00094E57" w:rsidRDefault="00094E57" w:rsidP="00094E57">
            <w:pPr>
              <w:pStyle w:val="Tables"/>
              <w:rPr>
                <w:sz w:val="20"/>
                <w:szCs w:val="20"/>
              </w:rPr>
            </w:pPr>
            <w:r w:rsidRPr="00094E57">
              <w:rPr>
                <w:sz w:val="20"/>
                <w:szCs w:val="20"/>
              </w:rPr>
              <w:t>GAL</w:t>
            </w:r>
          </w:p>
        </w:tc>
        <w:tc>
          <w:tcPr>
            <w:tcW w:w="1660" w:type="dxa"/>
            <w:tcBorders>
              <w:right w:val="single" w:sz="4" w:space="0" w:color="auto"/>
            </w:tcBorders>
            <w:shd w:val="clear" w:color="auto" w:fill="auto"/>
            <w:noWrap/>
            <w:vAlign w:val="bottom"/>
            <w:hideMark/>
          </w:tcPr>
          <w:p w14:paraId="077675FB" w14:textId="77777777" w:rsidR="00094E57" w:rsidRPr="00094E57" w:rsidRDefault="00094E57" w:rsidP="00094E57">
            <w:pPr>
              <w:pStyle w:val="Tables"/>
              <w:jc w:val="right"/>
              <w:rPr>
                <w:sz w:val="20"/>
                <w:szCs w:val="20"/>
              </w:rPr>
            </w:pPr>
            <w:r w:rsidRPr="00094E57">
              <w:rPr>
                <w:sz w:val="20"/>
                <w:szCs w:val="20"/>
              </w:rPr>
              <w:t>2.08E+06</w:t>
            </w:r>
          </w:p>
        </w:tc>
        <w:tc>
          <w:tcPr>
            <w:tcW w:w="280" w:type="dxa"/>
            <w:tcBorders>
              <w:top w:val="nil"/>
              <w:left w:val="single" w:sz="4" w:space="0" w:color="auto"/>
              <w:bottom w:val="nil"/>
              <w:right w:val="single" w:sz="4" w:space="0" w:color="auto"/>
            </w:tcBorders>
            <w:shd w:val="clear" w:color="auto" w:fill="auto"/>
            <w:noWrap/>
            <w:vAlign w:val="bottom"/>
            <w:hideMark/>
          </w:tcPr>
          <w:p w14:paraId="6698BFF9" w14:textId="77777777" w:rsidR="00094E57" w:rsidRPr="00094E57" w:rsidRDefault="00094E57" w:rsidP="00094E57">
            <w:pPr>
              <w:pStyle w:val="Tables"/>
              <w:rPr>
                <w:sz w:val="20"/>
                <w:szCs w:val="20"/>
              </w:rPr>
            </w:pPr>
          </w:p>
        </w:tc>
        <w:tc>
          <w:tcPr>
            <w:tcW w:w="2429" w:type="dxa"/>
            <w:tcBorders>
              <w:left w:val="single" w:sz="4" w:space="0" w:color="auto"/>
            </w:tcBorders>
            <w:shd w:val="clear" w:color="auto" w:fill="auto"/>
            <w:noWrap/>
            <w:vAlign w:val="bottom"/>
            <w:hideMark/>
          </w:tcPr>
          <w:p w14:paraId="0D09B097" w14:textId="77777777" w:rsidR="00094E57" w:rsidRPr="00094E57" w:rsidRDefault="00094E57" w:rsidP="00094E57">
            <w:pPr>
              <w:pStyle w:val="Tables"/>
              <w:rPr>
                <w:sz w:val="20"/>
                <w:szCs w:val="20"/>
              </w:rPr>
            </w:pPr>
            <w:r w:rsidRPr="00094E57">
              <w:rPr>
                <w:sz w:val="20"/>
                <w:szCs w:val="20"/>
              </w:rPr>
              <w:t>ARA</w:t>
            </w:r>
          </w:p>
        </w:tc>
        <w:tc>
          <w:tcPr>
            <w:tcW w:w="1660" w:type="dxa"/>
            <w:shd w:val="clear" w:color="auto" w:fill="auto"/>
            <w:noWrap/>
            <w:vAlign w:val="bottom"/>
            <w:hideMark/>
          </w:tcPr>
          <w:p w14:paraId="47C8515E" w14:textId="77777777" w:rsidR="00094E57" w:rsidRPr="00094E57" w:rsidRDefault="00094E57" w:rsidP="00094E57">
            <w:pPr>
              <w:pStyle w:val="Tables"/>
              <w:jc w:val="right"/>
              <w:rPr>
                <w:sz w:val="20"/>
                <w:szCs w:val="20"/>
              </w:rPr>
            </w:pPr>
            <w:r w:rsidRPr="00094E57">
              <w:rPr>
                <w:sz w:val="20"/>
                <w:szCs w:val="20"/>
              </w:rPr>
              <w:t>2.17E+03</w:t>
            </w:r>
          </w:p>
        </w:tc>
      </w:tr>
      <w:tr w:rsidR="00094E57" w:rsidRPr="00094E57" w14:paraId="5D3F433D" w14:textId="77777777" w:rsidTr="00094E57">
        <w:trPr>
          <w:trHeight w:val="207"/>
        </w:trPr>
        <w:tc>
          <w:tcPr>
            <w:tcW w:w="1584" w:type="dxa"/>
            <w:shd w:val="clear" w:color="auto" w:fill="auto"/>
            <w:noWrap/>
            <w:vAlign w:val="bottom"/>
            <w:hideMark/>
          </w:tcPr>
          <w:p w14:paraId="24CBED97" w14:textId="77777777" w:rsidR="00094E57" w:rsidRPr="00094E57" w:rsidRDefault="00094E57" w:rsidP="00094E57">
            <w:pPr>
              <w:pStyle w:val="Tables"/>
              <w:rPr>
                <w:b/>
                <w:bCs/>
                <w:sz w:val="20"/>
                <w:szCs w:val="20"/>
              </w:rPr>
            </w:pPr>
            <w:r w:rsidRPr="00094E57">
              <w:rPr>
                <w:b/>
                <w:bCs/>
                <w:sz w:val="20"/>
                <w:szCs w:val="20"/>
              </w:rPr>
              <w:t>XYL</w:t>
            </w:r>
          </w:p>
        </w:tc>
        <w:tc>
          <w:tcPr>
            <w:tcW w:w="1660" w:type="dxa"/>
            <w:tcBorders>
              <w:right w:val="single" w:sz="4" w:space="0" w:color="auto"/>
            </w:tcBorders>
            <w:shd w:val="clear" w:color="auto" w:fill="auto"/>
            <w:noWrap/>
            <w:vAlign w:val="bottom"/>
            <w:hideMark/>
          </w:tcPr>
          <w:p w14:paraId="3E667C9E" w14:textId="77777777" w:rsidR="00094E57" w:rsidRPr="00094E57" w:rsidRDefault="00094E57" w:rsidP="00094E57">
            <w:pPr>
              <w:pStyle w:val="Tables"/>
              <w:jc w:val="right"/>
              <w:rPr>
                <w:sz w:val="20"/>
                <w:szCs w:val="20"/>
              </w:rPr>
            </w:pPr>
            <w:r w:rsidRPr="00094E57">
              <w:rPr>
                <w:sz w:val="20"/>
                <w:szCs w:val="20"/>
              </w:rPr>
              <w:t>1.89E+06</w:t>
            </w:r>
          </w:p>
        </w:tc>
        <w:tc>
          <w:tcPr>
            <w:tcW w:w="280" w:type="dxa"/>
            <w:tcBorders>
              <w:top w:val="nil"/>
              <w:left w:val="single" w:sz="4" w:space="0" w:color="auto"/>
              <w:bottom w:val="single" w:sz="4" w:space="0" w:color="auto"/>
              <w:right w:val="single" w:sz="4" w:space="0" w:color="auto"/>
            </w:tcBorders>
            <w:shd w:val="clear" w:color="auto" w:fill="auto"/>
            <w:noWrap/>
            <w:vAlign w:val="bottom"/>
            <w:hideMark/>
          </w:tcPr>
          <w:p w14:paraId="7CC78D2A" w14:textId="77777777" w:rsidR="00094E57" w:rsidRPr="00094E57" w:rsidRDefault="00094E57" w:rsidP="00094E57">
            <w:pPr>
              <w:pStyle w:val="Tables"/>
              <w:rPr>
                <w:sz w:val="20"/>
                <w:szCs w:val="20"/>
              </w:rPr>
            </w:pPr>
          </w:p>
        </w:tc>
        <w:tc>
          <w:tcPr>
            <w:tcW w:w="2429" w:type="dxa"/>
            <w:tcBorders>
              <w:left w:val="single" w:sz="4" w:space="0" w:color="auto"/>
            </w:tcBorders>
            <w:shd w:val="clear" w:color="auto" w:fill="auto"/>
            <w:noWrap/>
            <w:vAlign w:val="bottom"/>
            <w:hideMark/>
          </w:tcPr>
          <w:p w14:paraId="0E7F8750" w14:textId="77777777" w:rsidR="00094E57" w:rsidRPr="00094E57" w:rsidRDefault="00094E57" w:rsidP="00094E57">
            <w:pPr>
              <w:pStyle w:val="Tables"/>
              <w:rPr>
                <w:sz w:val="20"/>
                <w:szCs w:val="20"/>
              </w:rPr>
            </w:pPr>
            <w:r w:rsidRPr="00094E57">
              <w:rPr>
                <w:sz w:val="20"/>
                <w:szCs w:val="20"/>
              </w:rPr>
              <w:t>RHA</w:t>
            </w:r>
          </w:p>
        </w:tc>
        <w:tc>
          <w:tcPr>
            <w:tcW w:w="1660" w:type="dxa"/>
            <w:shd w:val="clear" w:color="auto" w:fill="auto"/>
            <w:noWrap/>
            <w:vAlign w:val="bottom"/>
            <w:hideMark/>
          </w:tcPr>
          <w:p w14:paraId="4D76AFB3" w14:textId="77777777" w:rsidR="00094E57" w:rsidRPr="00094E57" w:rsidRDefault="00094E57" w:rsidP="00094E57">
            <w:pPr>
              <w:pStyle w:val="Tables"/>
              <w:jc w:val="right"/>
              <w:rPr>
                <w:sz w:val="20"/>
                <w:szCs w:val="20"/>
              </w:rPr>
            </w:pPr>
            <w:r w:rsidRPr="00094E57">
              <w:rPr>
                <w:sz w:val="20"/>
                <w:szCs w:val="20"/>
              </w:rPr>
              <w:t>-1.43E+03</w:t>
            </w:r>
          </w:p>
        </w:tc>
      </w:tr>
    </w:tbl>
    <w:p w14:paraId="27AAE955" w14:textId="77777777" w:rsidR="004B12F3" w:rsidRDefault="00094E57" w:rsidP="005141A0">
      <w:pPr>
        <w:pStyle w:val="Caption"/>
        <w:rPr>
          <w:b w:val="0"/>
        </w:rPr>
      </w:pPr>
      <w:bookmarkStart w:id="148" w:name="_Toc449964937"/>
      <w:r>
        <w:t xml:space="preserve">Table </w:t>
      </w:r>
      <w:fldSimple w:instr=" STYLEREF &quot;Chapter&quot; \s ">
        <w:r w:rsidR="00463F52">
          <w:rPr>
            <w:noProof/>
          </w:rPr>
          <w:t>6</w:t>
        </w:r>
      </w:fldSimple>
      <w:r>
        <w:t>.</w:t>
      </w:r>
      <w:fldSimple w:instr=" SEQ Table \* ARABIC \s 1 ">
        <w:r w:rsidR="00463F52">
          <w:rPr>
            <w:noProof/>
          </w:rPr>
          <w:t>3</w:t>
        </w:r>
      </w:fldSimple>
      <w:r>
        <w:t>.</w:t>
      </w:r>
      <w:r w:rsidRPr="008E2374">
        <w:t xml:space="preserve"> </w:t>
      </w:r>
      <w:r w:rsidR="009B30FC">
        <w:rPr>
          <w:b w:val="0"/>
        </w:rPr>
        <w:t>Model v</w:t>
      </w:r>
      <w:r>
        <w:rPr>
          <w:b w:val="0"/>
        </w:rPr>
        <w:t>ariable importance scores for</w:t>
      </w:r>
      <w:r w:rsidR="0029350A">
        <w:rPr>
          <w:b w:val="0"/>
        </w:rPr>
        <w:t xml:space="preserve"> top seven</w:t>
      </w:r>
      <w:r>
        <w:rPr>
          <w:b w:val="0"/>
        </w:rPr>
        <w:t xml:space="preserve"> torrefaction random forest</w:t>
      </w:r>
      <w:r w:rsidR="004B12F3">
        <w:rPr>
          <w:b w:val="0"/>
        </w:rPr>
        <w:t xml:space="preserve"> variables.</w:t>
      </w:r>
      <w:bookmarkEnd w:id="148"/>
    </w:p>
    <w:p w14:paraId="6CB9D396" w14:textId="62C62D68" w:rsidR="005141A0" w:rsidRDefault="00094E57" w:rsidP="005141A0">
      <w:pPr>
        <w:pStyle w:val="Caption"/>
        <w:rPr>
          <w:b w:val="0"/>
        </w:rPr>
      </w:pPr>
      <w:r>
        <w:rPr>
          <w:b w:val="0"/>
        </w:rPr>
        <w:t>Variables in bold were eventually used in the final models.</w:t>
      </w:r>
    </w:p>
    <w:p w14:paraId="352C7B4E" w14:textId="2060E332" w:rsidR="001907B1" w:rsidRPr="005141A0" w:rsidRDefault="005141A0" w:rsidP="005141A0">
      <w:r>
        <w:rPr>
          <w:b/>
        </w:rPr>
        <w:br w:type="page"/>
      </w:r>
    </w:p>
    <w:tbl>
      <w:tblPr>
        <w:tblW w:w="7551"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20"/>
        <w:gridCol w:w="1801"/>
        <w:gridCol w:w="360"/>
        <w:gridCol w:w="2250"/>
        <w:gridCol w:w="1620"/>
      </w:tblGrid>
      <w:tr w:rsidR="007F0C12" w:rsidRPr="0003486C" w14:paraId="2F376E59" w14:textId="77777777" w:rsidTr="007F0C12">
        <w:trPr>
          <w:trHeight w:val="20"/>
        </w:trPr>
        <w:tc>
          <w:tcPr>
            <w:tcW w:w="1520" w:type="dxa"/>
            <w:shd w:val="clear" w:color="auto" w:fill="auto"/>
            <w:noWrap/>
            <w:vAlign w:val="bottom"/>
            <w:hideMark/>
          </w:tcPr>
          <w:p w14:paraId="49CA30AC" w14:textId="77777777" w:rsidR="0003486C" w:rsidRPr="0029350A" w:rsidRDefault="0003486C" w:rsidP="0003486C">
            <w:pPr>
              <w:pStyle w:val="Tables"/>
              <w:rPr>
                <w:sz w:val="20"/>
                <w:szCs w:val="20"/>
                <w:u w:val="single"/>
              </w:rPr>
            </w:pPr>
            <w:r w:rsidRPr="0029350A">
              <w:rPr>
                <w:sz w:val="20"/>
                <w:szCs w:val="20"/>
                <w:u w:val="single"/>
              </w:rPr>
              <w:lastRenderedPageBreak/>
              <w:t>acetic acid</w:t>
            </w:r>
          </w:p>
        </w:tc>
        <w:tc>
          <w:tcPr>
            <w:tcW w:w="1801" w:type="dxa"/>
            <w:shd w:val="clear" w:color="auto" w:fill="auto"/>
            <w:noWrap/>
            <w:vAlign w:val="center"/>
            <w:hideMark/>
          </w:tcPr>
          <w:p w14:paraId="6CBA24A0" w14:textId="7E50CF04" w:rsidR="0003486C" w:rsidRPr="0029350A" w:rsidRDefault="0003486C" w:rsidP="0029350A">
            <w:pPr>
              <w:pStyle w:val="Tables"/>
              <w:jc w:val="right"/>
              <w:rPr>
                <w:sz w:val="20"/>
                <w:szCs w:val="20"/>
                <w:u w:val="single"/>
              </w:rPr>
            </w:pPr>
            <w:r w:rsidRPr="0029350A">
              <w:rPr>
                <w:color w:val="000000"/>
                <w:sz w:val="20"/>
                <w:szCs w:val="20"/>
                <w:u w:val="single"/>
              </w:rPr>
              <w:t>% Increase MSE</w:t>
            </w:r>
          </w:p>
        </w:tc>
        <w:tc>
          <w:tcPr>
            <w:tcW w:w="360" w:type="dxa"/>
            <w:shd w:val="clear" w:color="auto" w:fill="auto"/>
            <w:noWrap/>
            <w:vAlign w:val="bottom"/>
            <w:hideMark/>
          </w:tcPr>
          <w:p w14:paraId="3C1C0EC7" w14:textId="77777777" w:rsidR="0003486C" w:rsidRPr="0029350A" w:rsidRDefault="0003486C" w:rsidP="0003486C">
            <w:pPr>
              <w:pStyle w:val="Tables"/>
              <w:rPr>
                <w:sz w:val="20"/>
                <w:szCs w:val="20"/>
                <w:u w:val="single"/>
              </w:rPr>
            </w:pPr>
          </w:p>
        </w:tc>
        <w:tc>
          <w:tcPr>
            <w:tcW w:w="2250" w:type="dxa"/>
            <w:shd w:val="clear" w:color="auto" w:fill="auto"/>
            <w:noWrap/>
            <w:vAlign w:val="bottom"/>
            <w:hideMark/>
          </w:tcPr>
          <w:p w14:paraId="1B6FBD7D" w14:textId="77777777" w:rsidR="0003486C" w:rsidRPr="0029350A" w:rsidRDefault="0003486C" w:rsidP="0003486C">
            <w:pPr>
              <w:pStyle w:val="Tables"/>
              <w:rPr>
                <w:sz w:val="20"/>
                <w:szCs w:val="20"/>
                <w:u w:val="single"/>
              </w:rPr>
            </w:pPr>
            <w:r w:rsidRPr="0029350A">
              <w:rPr>
                <w:sz w:val="20"/>
                <w:szCs w:val="20"/>
                <w:u w:val="single"/>
              </w:rPr>
              <w:t>light oxygenates</w:t>
            </w:r>
          </w:p>
        </w:tc>
        <w:tc>
          <w:tcPr>
            <w:tcW w:w="1620" w:type="dxa"/>
            <w:shd w:val="clear" w:color="auto" w:fill="auto"/>
            <w:noWrap/>
            <w:vAlign w:val="center"/>
            <w:hideMark/>
          </w:tcPr>
          <w:p w14:paraId="28C52C0B" w14:textId="4C971452" w:rsidR="0003486C" w:rsidRPr="0029350A" w:rsidRDefault="0003486C" w:rsidP="0029350A">
            <w:pPr>
              <w:pStyle w:val="Tables"/>
              <w:jc w:val="right"/>
              <w:rPr>
                <w:sz w:val="20"/>
                <w:szCs w:val="20"/>
                <w:u w:val="single"/>
              </w:rPr>
            </w:pPr>
            <w:r w:rsidRPr="0029350A">
              <w:rPr>
                <w:color w:val="000000"/>
                <w:sz w:val="20"/>
                <w:szCs w:val="20"/>
                <w:u w:val="single"/>
              </w:rPr>
              <w:t>% Increase MSE</w:t>
            </w:r>
          </w:p>
        </w:tc>
      </w:tr>
      <w:tr w:rsidR="007F0C12" w:rsidRPr="0003486C" w14:paraId="33BF348C" w14:textId="77777777" w:rsidTr="007F0C12">
        <w:trPr>
          <w:trHeight w:val="20"/>
        </w:trPr>
        <w:tc>
          <w:tcPr>
            <w:tcW w:w="1520" w:type="dxa"/>
            <w:shd w:val="clear" w:color="auto" w:fill="auto"/>
            <w:noWrap/>
            <w:vAlign w:val="bottom"/>
            <w:hideMark/>
          </w:tcPr>
          <w:p w14:paraId="7C9129B0" w14:textId="77777777" w:rsidR="0003486C" w:rsidRPr="0003486C" w:rsidRDefault="0003486C" w:rsidP="0003486C">
            <w:pPr>
              <w:pStyle w:val="Tables"/>
              <w:rPr>
                <w:sz w:val="20"/>
                <w:szCs w:val="20"/>
              </w:rPr>
            </w:pPr>
            <w:r w:rsidRPr="0003486C">
              <w:rPr>
                <w:sz w:val="20"/>
                <w:szCs w:val="20"/>
              </w:rPr>
              <w:t>PCA</w:t>
            </w:r>
          </w:p>
        </w:tc>
        <w:tc>
          <w:tcPr>
            <w:tcW w:w="1801" w:type="dxa"/>
            <w:shd w:val="clear" w:color="auto" w:fill="auto"/>
            <w:noWrap/>
            <w:vAlign w:val="center"/>
            <w:hideMark/>
          </w:tcPr>
          <w:p w14:paraId="67F95193" w14:textId="3A266562" w:rsidR="0003486C" w:rsidRPr="0003486C" w:rsidRDefault="0003486C" w:rsidP="0029350A">
            <w:pPr>
              <w:pStyle w:val="Tables"/>
              <w:jc w:val="right"/>
              <w:rPr>
                <w:sz w:val="20"/>
                <w:szCs w:val="20"/>
              </w:rPr>
            </w:pPr>
            <w:r w:rsidRPr="0003486C">
              <w:rPr>
                <w:color w:val="000000"/>
                <w:sz w:val="20"/>
                <w:szCs w:val="20"/>
              </w:rPr>
              <w:t>8.21E+07</w:t>
            </w:r>
          </w:p>
        </w:tc>
        <w:tc>
          <w:tcPr>
            <w:tcW w:w="360" w:type="dxa"/>
            <w:shd w:val="clear" w:color="auto" w:fill="auto"/>
            <w:noWrap/>
            <w:vAlign w:val="bottom"/>
            <w:hideMark/>
          </w:tcPr>
          <w:p w14:paraId="62BB725B" w14:textId="77777777" w:rsidR="0003486C" w:rsidRPr="0003486C" w:rsidRDefault="0003486C" w:rsidP="0003486C">
            <w:pPr>
              <w:pStyle w:val="Tables"/>
              <w:rPr>
                <w:sz w:val="20"/>
                <w:szCs w:val="20"/>
              </w:rPr>
            </w:pPr>
          </w:p>
        </w:tc>
        <w:tc>
          <w:tcPr>
            <w:tcW w:w="2250" w:type="dxa"/>
            <w:shd w:val="clear" w:color="auto" w:fill="auto"/>
            <w:noWrap/>
            <w:vAlign w:val="bottom"/>
            <w:hideMark/>
          </w:tcPr>
          <w:p w14:paraId="4C1EF3DC" w14:textId="77777777" w:rsidR="0003486C" w:rsidRPr="0003486C" w:rsidRDefault="0003486C" w:rsidP="0003486C">
            <w:pPr>
              <w:pStyle w:val="Tables"/>
              <w:rPr>
                <w:b/>
                <w:bCs/>
                <w:sz w:val="20"/>
                <w:szCs w:val="20"/>
              </w:rPr>
            </w:pPr>
            <w:r w:rsidRPr="0003486C">
              <w:rPr>
                <w:b/>
                <w:bCs/>
                <w:sz w:val="20"/>
                <w:szCs w:val="20"/>
              </w:rPr>
              <w:t>FA</w:t>
            </w:r>
          </w:p>
        </w:tc>
        <w:tc>
          <w:tcPr>
            <w:tcW w:w="1620" w:type="dxa"/>
            <w:shd w:val="clear" w:color="auto" w:fill="auto"/>
            <w:noWrap/>
            <w:vAlign w:val="center"/>
            <w:hideMark/>
          </w:tcPr>
          <w:p w14:paraId="5A7E20DA" w14:textId="45B06A9C" w:rsidR="0003486C" w:rsidRPr="0003486C" w:rsidRDefault="0003486C" w:rsidP="0029350A">
            <w:pPr>
              <w:pStyle w:val="Tables"/>
              <w:jc w:val="right"/>
              <w:rPr>
                <w:sz w:val="20"/>
                <w:szCs w:val="20"/>
              </w:rPr>
            </w:pPr>
            <w:r w:rsidRPr="0003486C">
              <w:rPr>
                <w:color w:val="000000"/>
                <w:sz w:val="20"/>
                <w:szCs w:val="20"/>
              </w:rPr>
              <w:t>1.44E+06</w:t>
            </w:r>
          </w:p>
        </w:tc>
      </w:tr>
      <w:tr w:rsidR="007F0C12" w:rsidRPr="0003486C" w14:paraId="77095618" w14:textId="77777777" w:rsidTr="007F0C12">
        <w:trPr>
          <w:trHeight w:val="20"/>
        </w:trPr>
        <w:tc>
          <w:tcPr>
            <w:tcW w:w="1520" w:type="dxa"/>
            <w:shd w:val="clear" w:color="auto" w:fill="auto"/>
            <w:noWrap/>
            <w:vAlign w:val="bottom"/>
            <w:hideMark/>
          </w:tcPr>
          <w:p w14:paraId="494FA12C" w14:textId="77777777" w:rsidR="0003486C" w:rsidRPr="0003486C" w:rsidRDefault="0003486C" w:rsidP="0003486C">
            <w:pPr>
              <w:pStyle w:val="Tables"/>
              <w:rPr>
                <w:sz w:val="20"/>
                <w:szCs w:val="20"/>
              </w:rPr>
            </w:pPr>
            <w:r w:rsidRPr="0003486C">
              <w:rPr>
                <w:sz w:val="20"/>
                <w:szCs w:val="20"/>
              </w:rPr>
              <w:t>GLC</w:t>
            </w:r>
          </w:p>
        </w:tc>
        <w:tc>
          <w:tcPr>
            <w:tcW w:w="1801" w:type="dxa"/>
            <w:shd w:val="clear" w:color="auto" w:fill="auto"/>
            <w:noWrap/>
            <w:vAlign w:val="center"/>
            <w:hideMark/>
          </w:tcPr>
          <w:p w14:paraId="0EE6E550" w14:textId="660E1404" w:rsidR="0003486C" w:rsidRPr="0003486C" w:rsidRDefault="0003486C" w:rsidP="0029350A">
            <w:pPr>
              <w:pStyle w:val="Tables"/>
              <w:jc w:val="right"/>
              <w:rPr>
                <w:sz w:val="20"/>
                <w:szCs w:val="20"/>
              </w:rPr>
            </w:pPr>
            <w:r w:rsidRPr="0003486C">
              <w:rPr>
                <w:color w:val="000000"/>
                <w:sz w:val="20"/>
                <w:szCs w:val="20"/>
              </w:rPr>
              <w:t>1.97E+07</w:t>
            </w:r>
          </w:p>
        </w:tc>
        <w:tc>
          <w:tcPr>
            <w:tcW w:w="360" w:type="dxa"/>
            <w:shd w:val="clear" w:color="auto" w:fill="auto"/>
            <w:noWrap/>
            <w:vAlign w:val="bottom"/>
            <w:hideMark/>
          </w:tcPr>
          <w:p w14:paraId="4AF7D6C0" w14:textId="77777777" w:rsidR="0003486C" w:rsidRPr="0003486C" w:rsidRDefault="0003486C" w:rsidP="0003486C">
            <w:pPr>
              <w:pStyle w:val="Tables"/>
              <w:rPr>
                <w:sz w:val="20"/>
                <w:szCs w:val="20"/>
              </w:rPr>
            </w:pPr>
          </w:p>
        </w:tc>
        <w:tc>
          <w:tcPr>
            <w:tcW w:w="2250" w:type="dxa"/>
            <w:shd w:val="clear" w:color="auto" w:fill="auto"/>
            <w:noWrap/>
            <w:vAlign w:val="bottom"/>
            <w:hideMark/>
          </w:tcPr>
          <w:p w14:paraId="20F64F6E" w14:textId="77777777" w:rsidR="0003486C" w:rsidRPr="0003486C" w:rsidRDefault="0003486C" w:rsidP="0003486C">
            <w:pPr>
              <w:pStyle w:val="Tables"/>
              <w:rPr>
                <w:b/>
                <w:bCs/>
                <w:sz w:val="20"/>
                <w:szCs w:val="20"/>
              </w:rPr>
            </w:pPr>
            <w:r w:rsidRPr="0003486C">
              <w:rPr>
                <w:b/>
                <w:bCs/>
                <w:sz w:val="20"/>
                <w:szCs w:val="20"/>
              </w:rPr>
              <w:t>UA</w:t>
            </w:r>
          </w:p>
        </w:tc>
        <w:tc>
          <w:tcPr>
            <w:tcW w:w="1620" w:type="dxa"/>
            <w:shd w:val="clear" w:color="auto" w:fill="auto"/>
            <w:noWrap/>
            <w:vAlign w:val="center"/>
            <w:hideMark/>
          </w:tcPr>
          <w:p w14:paraId="2451F3F9" w14:textId="649674A8" w:rsidR="0003486C" w:rsidRPr="0003486C" w:rsidRDefault="0003486C" w:rsidP="0029350A">
            <w:pPr>
              <w:pStyle w:val="Tables"/>
              <w:jc w:val="right"/>
              <w:rPr>
                <w:sz w:val="20"/>
                <w:szCs w:val="20"/>
              </w:rPr>
            </w:pPr>
            <w:r w:rsidRPr="0003486C">
              <w:rPr>
                <w:color w:val="000000"/>
                <w:sz w:val="20"/>
                <w:szCs w:val="20"/>
              </w:rPr>
              <w:t>1.28E+06</w:t>
            </w:r>
          </w:p>
        </w:tc>
      </w:tr>
      <w:tr w:rsidR="007F0C12" w:rsidRPr="0003486C" w14:paraId="647D37F7" w14:textId="77777777" w:rsidTr="007F0C12">
        <w:trPr>
          <w:trHeight w:val="20"/>
        </w:trPr>
        <w:tc>
          <w:tcPr>
            <w:tcW w:w="1520" w:type="dxa"/>
            <w:shd w:val="clear" w:color="auto" w:fill="auto"/>
            <w:noWrap/>
            <w:vAlign w:val="bottom"/>
            <w:hideMark/>
          </w:tcPr>
          <w:p w14:paraId="3C38D13A" w14:textId="77777777" w:rsidR="0003486C" w:rsidRPr="0003486C" w:rsidRDefault="0003486C" w:rsidP="0003486C">
            <w:pPr>
              <w:pStyle w:val="Tables"/>
              <w:rPr>
                <w:b/>
                <w:bCs/>
                <w:sz w:val="20"/>
                <w:szCs w:val="20"/>
              </w:rPr>
            </w:pPr>
            <w:r w:rsidRPr="0003486C">
              <w:rPr>
                <w:b/>
                <w:bCs/>
                <w:sz w:val="20"/>
                <w:szCs w:val="20"/>
              </w:rPr>
              <w:t>K</w:t>
            </w:r>
          </w:p>
        </w:tc>
        <w:tc>
          <w:tcPr>
            <w:tcW w:w="1801" w:type="dxa"/>
            <w:shd w:val="clear" w:color="auto" w:fill="auto"/>
            <w:noWrap/>
            <w:vAlign w:val="center"/>
            <w:hideMark/>
          </w:tcPr>
          <w:p w14:paraId="6ABF774F" w14:textId="603A85C7" w:rsidR="0003486C" w:rsidRPr="0003486C" w:rsidRDefault="0003486C" w:rsidP="0029350A">
            <w:pPr>
              <w:pStyle w:val="Tables"/>
              <w:jc w:val="right"/>
              <w:rPr>
                <w:sz w:val="20"/>
                <w:szCs w:val="20"/>
              </w:rPr>
            </w:pPr>
            <w:r w:rsidRPr="0003486C">
              <w:rPr>
                <w:color w:val="000000"/>
                <w:sz w:val="20"/>
                <w:szCs w:val="20"/>
              </w:rPr>
              <w:t>1.73E+07</w:t>
            </w:r>
          </w:p>
        </w:tc>
        <w:tc>
          <w:tcPr>
            <w:tcW w:w="360" w:type="dxa"/>
            <w:shd w:val="clear" w:color="auto" w:fill="auto"/>
            <w:noWrap/>
            <w:vAlign w:val="bottom"/>
            <w:hideMark/>
          </w:tcPr>
          <w:p w14:paraId="4E50F85A" w14:textId="77777777" w:rsidR="0003486C" w:rsidRPr="0003486C" w:rsidRDefault="0003486C" w:rsidP="0003486C">
            <w:pPr>
              <w:pStyle w:val="Tables"/>
              <w:rPr>
                <w:sz w:val="20"/>
                <w:szCs w:val="20"/>
              </w:rPr>
            </w:pPr>
          </w:p>
        </w:tc>
        <w:tc>
          <w:tcPr>
            <w:tcW w:w="2250" w:type="dxa"/>
            <w:shd w:val="clear" w:color="auto" w:fill="auto"/>
            <w:noWrap/>
            <w:vAlign w:val="bottom"/>
            <w:hideMark/>
          </w:tcPr>
          <w:p w14:paraId="135468B1" w14:textId="77777777" w:rsidR="0003486C" w:rsidRPr="0003486C" w:rsidRDefault="0003486C" w:rsidP="0003486C">
            <w:pPr>
              <w:pStyle w:val="Tables"/>
              <w:rPr>
                <w:sz w:val="20"/>
                <w:szCs w:val="20"/>
              </w:rPr>
            </w:pPr>
            <w:r w:rsidRPr="0003486C">
              <w:rPr>
                <w:sz w:val="20"/>
                <w:szCs w:val="20"/>
              </w:rPr>
              <w:t>Ca</w:t>
            </w:r>
          </w:p>
        </w:tc>
        <w:tc>
          <w:tcPr>
            <w:tcW w:w="1620" w:type="dxa"/>
            <w:shd w:val="clear" w:color="auto" w:fill="auto"/>
            <w:noWrap/>
            <w:vAlign w:val="center"/>
            <w:hideMark/>
          </w:tcPr>
          <w:p w14:paraId="28411988" w14:textId="37AFF2C9" w:rsidR="0003486C" w:rsidRPr="0003486C" w:rsidRDefault="0003486C" w:rsidP="0029350A">
            <w:pPr>
              <w:pStyle w:val="Tables"/>
              <w:jc w:val="right"/>
              <w:rPr>
                <w:sz w:val="20"/>
                <w:szCs w:val="20"/>
              </w:rPr>
            </w:pPr>
            <w:r w:rsidRPr="0003486C">
              <w:rPr>
                <w:color w:val="000000"/>
                <w:sz w:val="20"/>
                <w:szCs w:val="20"/>
              </w:rPr>
              <w:t>1.22E+06</w:t>
            </w:r>
          </w:p>
        </w:tc>
      </w:tr>
      <w:tr w:rsidR="007F0C12" w:rsidRPr="0003486C" w14:paraId="6BBADC5A" w14:textId="77777777" w:rsidTr="007F0C12">
        <w:trPr>
          <w:trHeight w:val="20"/>
        </w:trPr>
        <w:tc>
          <w:tcPr>
            <w:tcW w:w="1520" w:type="dxa"/>
            <w:shd w:val="clear" w:color="auto" w:fill="auto"/>
            <w:noWrap/>
            <w:vAlign w:val="bottom"/>
            <w:hideMark/>
          </w:tcPr>
          <w:p w14:paraId="32D8FC76" w14:textId="77777777" w:rsidR="0003486C" w:rsidRPr="0003486C" w:rsidRDefault="0003486C" w:rsidP="0003486C">
            <w:pPr>
              <w:pStyle w:val="Tables"/>
              <w:rPr>
                <w:sz w:val="20"/>
                <w:szCs w:val="20"/>
              </w:rPr>
            </w:pPr>
            <w:r w:rsidRPr="0003486C">
              <w:rPr>
                <w:sz w:val="20"/>
                <w:szCs w:val="20"/>
              </w:rPr>
              <w:t>FA</w:t>
            </w:r>
          </w:p>
        </w:tc>
        <w:tc>
          <w:tcPr>
            <w:tcW w:w="1801" w:type="dxa"/>
            <w:shd w:val="clear" w:color="auto" w:fill="auto"/>
            <w:noWrap/>
            <w:vAlign w:val="center"/>
            <w:hideMark/>
          </w:tcPr>
          <w:p w14:paraId="495A0CC3" w14:textId="4F686E8E" w:rsidR="0003486C" w:rsidRPr="0003486C" w:rsidRDefault="0003486C" w:rsidP="0029350A">
            <w:pPr>
              <w:pStyle w:val="Tables"/>
              <w:jc w:val="right"/>
              <w:rPr>
                <w:sz w:val="20"/>
                <w:szCs w:val="20"/>
              </w:rPr>
            </w:pPr>
            <w:r w:rsidRPr="0003486C">
              <w:rPr>
                <w:color w:val="000000"/>
                <w:sz w:val="20"/>
                <w:szCs w:val="20"/>
              </w:rPr>
              <w:t>1.23E+07</w:t>
            </w:r>
          </w:p>
        </w:tc>
        <w:tc>
          <w:tcPr>
            <w:tcW w:w="360" w:type="dxa"/>
            <w:shd w:val="clear" w:color="auto" w:fill="auto"/>
            <w:noWrap/>
            <w:vAlign w:val="bottom"/>
            <w:hideMark/>
          </w:tcPr>
          <w:p w14:paraId="1EA88323" w14:textId="77777777" w:rsidR="0003486C" w:rsidRPr="0003486C" w:rsidRDefault="0003486C" w:rsidP="0003486C">
            <w:pPr>
              <w:pStyle w:val="Tables"/>
              <w:rPr>
                <w:sz w:val="20"/>
                <w:szCs w:val="20"/>
              </w:rPr>
            </w:pPr>
          </w:p>
        </w:tc>
        <w:tc>
          <w:tcPr>
            <w:tcW w:w="2250" w:type="dxa"/>
            <w:shd w:val="clear" w:color="auto" w:fill="auto"/>
            <w:noWrap/>
            <w:vAlign w:val="bottom"/>
            <w:hideMark/>
          </w:tcPr>
          <w:p w14:paraId="41BB9794" w14:textId="77777777" w:rsidR="0003486C" w:rsidRPr="0003486C" w:rsidRDefault="0003486C" w:rsidP="0003486C">
            <w:pPr>
              <w:pStyle w:val="Tables"/>
              <w:rPr>
                <w:sz w:val="20"/>
                <w:szCs w:val="20"/>
              </w:rPr>
            </w:pPr>
            <w:r w:rsidRPr="0003486C">
              <w:rPr>
                <w:sz w:val="20"/>
                <w:szCs w:val="20"/>
              </w:rPr>
              <w:t>KL</w:t>
            </w:r>
          </w:p>
        </w:tc>
        <w:tc>
          <w:tcPr>
            <w:tcW w:w="1620" w:type="dxa"/>
            <w:shd w:val="clear" w:color="auto" w:fill="auto"/>
            <w:noWrap/>
            <w:vAlign w:val="center"/>
            <w:hideMark/>
          </w:tcPr>
          <w:p w14:paraId="54B2D5A4" w14:textId="0809DC5B" w:rsidR="0003486C" w:rsidRPr="0003486C" w:rsidRDefault="0003486C" w:rsidP="0029350A">
            <w:pPr>
              <w:pStyle w:val="Tables"/>
              <w:jc w:val="right"/>
              <w:rPr>
                <w:sz w:val="20"/>
                <w:szCs w:val="20"/>
              </w:rPr>
            </w:pPr>
            <w:r w:rsidRPr="0003486C">
              <w:rPr>
                <w:color w:val="000000"/>
                <w:sz w:val="20"/>
                <w:szCs w:val="20"/>
              </w:rPr>
              <w:t>6.67E+05</w:t>
            </w:r>
          </w:p>
        </w:tc>
      </w:tr>
      <w:tr w:rsidR="007F0C12" w:rsidRPr="0003486C" w14:paraId="6AC4CD5E" w14:textId="77777777" w:rsidTr="007F0C12">
        <w:trPr>
          <w:trHeight w:val="20"/>
        </w:trPr>
        <w:tc>
          <w:tcPr>
            <w:tcW w:w="1520" w:type="dxa"/>
            <w:shd w:val="clear" w:color="auto" w:fill="auto"/>
            <w:noWrap/>
            <w:vAlign w:val="bottom"/>
            <w:hideMark/>
          </w:tcPr>
          <w:p w14:paraId="7AA4587C" w14:textId="77777777" w:rsidR="0003486C" w:rsidRPr="0003486C" w:rsidRDefault="0003486C" w:rsidP="0003486C">
            <w:pPr>
              <w:pStyle w:val="Tables"/>
              <w:rPr>
                <w:sz w:val="20"/>
                <w:szCs w:val="20"/>
              </w:rPr>
            </w:pPr>
            <w:r w:rsidRPr="0003486C">
              <w:rPr>
                <w:sz w:val="20"/>
                <w:szCs w:val="20"/>
              </w:rPr>
              <w:t>PENT</w:t>
            </w:r>
          </w:p>
        </w:tc>
        <w:tc>
          <w:tcPr>
            <w:tcW w:w="1801" w:type="dxa"/>
            <w:shd w:val="clear" w:color="auto" w:fill="auto"/>
            <w:noWrap/>
            <w:vAlign w:val="center"/>
            <w:hideMark/>
          </w:tcPr>
          <w:p w14:paraId="0DE38D8D" w14:textId="09DD1673" w:rsidR="0003486C" w:rsidRPr="0003486C" w:rsidRDefault="0003486C" w:rsidP="0029350A">
            <w:pPr>
              <w:pStyle w:val="Tables"/>
              <w:jc w:val="right"/>
              <w:rPr>
                <w:sz w:val="20"/>
                <w:szCs w:val="20"/>
              </w:rPr>
            </w:pPr>
            <w:r w:rsidRPr="0003486C">
              <w:rPr>
                <w:color w:val="000000"/>
                <w:sz w:val="20"/>
                <w:szCs w:val="20"/>
              </w:rPr>
              <w:t>1.04E+07</w:t>
            </w:r>
          </w:p>
        </w:tc>
        <w:tc>
          <w:tcPr>
            <w:tcW w:w="360" w:type="dxa"/>
            <w:shd w:val="clear" w:color="auto" w:fill="auto"/>
            <w:noWrap/>
            <w:vAlign w:val="bottom"/>
            <w:hideMark/>
          </w:tcPr>
          <w:p w14:paraId="6DBA217A" w14:textId="77777777" w:rsidR="0003486C" w:rsidRPr="0003486C" w:rsidRDefault="0003486C" w:rsidP="0003486C">
            <w:pPr>
              <w:pStyle w:val="Tables"/>
              <w:rPr>
                <w:sz w:val="20"/>
                <w:szCs w:val="20"/>
              </w:rPr>
            </w:pPr>
          </w:p>
        </w:tc>
        <w:tc>
          <w:tcPr>
            <w:tcW w:w="2250" w:type="dxa"/>
            <w:shd w:val="clear" w:color="auto" w:fill="auto"/>
            <w:noWrap/>
            <w:vAlign w:val="bottom"/>
            <w:hideMark/>
          </w:tcPr>
          <w:p w14:paraId="18A33B8F" w14:textId="77777777" w:rsidR="0003486C" w:rsidRPr="0003486C" w:rsidRDefault="0003486C" w:rsidP="0003486C">
            <w:pPr>
              <w:pStyle w:val="Tables"/>
              <w:rPr>
                <w:sz w:val="20"/>
                <w:szCs w:val="20"/>
              </w:rPr>
            </w:pPr>
            <w:r w:rsidRPr="0003486C">
              <w:rPr>
                <w:sz w:val="20"/>
                <w:szCs w:val="20"/>
              </w:rPr>
              <w:t>PENT</w:t>
            </w:r>
          </w:p>
        </w:tc>
        <w:tc>
          <w:tcPr>
            <w:tcW w:w="1620" w:type="dxa"/>
            <w:shd w:val="clear" w:color="auto" w:fill="auto"/>
            <w:noWrap/>
            <w:vAlign w:val="center"/>
            <w:hideMark/>
          </w:tcPr>
          <w:p w14:paraId="4930A8B4" w14:textId="177DD4FF" w:rsidR="0003486C" w:rsidRPr="0003486C" w:rsidRDefault="0003486C" w:rsidP="0029350A">
            <w:pPr>
              <w:pStyle w:val="Tables"/>
              <w:jc w:val="right"/>
              <w:rPr>
                <w:sz w:val="20"/>
                <w:szCs w:val="20"/>
              </w:rPr>
            </w:pPr>
            <w:r w:rsidRPr="0003486C">
              <w:rPr>
                <w:color w:val="000000"/>
                <w:sz w:val="20"/>
                <w:szCs w:val="20"/>
              </w:rPr>
              <w:t>4.62E+05</w:t>
            </w:r>
          </w:p>
        </w:tc>
      </w:tr>
      <w:tr w:rsidR="007F0C12" w:rsidRPr="0003486C" w14:paraId="09755BCE" w14:textId="77777777" w:rsidTr="007F0C12">
        <w:trPr>
          <w:trHeight w:val="20"/>
        </w:trPr>
        <w:tc>
          <w:tcPr>
            <w:tcW w:w="1520" w:type="dxa"/>
            <w:shd w:val="clear" w:color="auto" w:fill="auto"/>
            <w:noWrap/>
            <w:vAlign w:val="bottom"/>
            <w:hideMark/>
          </w:tcPr>
          <w:p w14:paraId="1B077009" w14:textId="77777777" w:rsidR="0003486C" w:rsidRPr="0003486C" w:rsidRDefault="0003486C" w:rsidP="0003486C">
            <w:pPr>
              <w:pStyle w:val="Tables"/>
              <w:rPr>
                <w:sz w:val="20"/>
                <w:szCs w:val="20"/>
              </w:rPr>
            </w:pPr>
            <w:r w:rsidRPr="0003486C">
              <w:rPr>
                <w:sz w:val="20"/>
                <w:szCs w:val="20"/>
              </w:rPr>
              <w:t>Lignin.forage</w:t>
            </w:r>
          </w:p>
        </w:tc>
        <w:tc>
          <w:tcPr>
            <w:tcW w:w="1801" w:type="dxa"/>
            <w:shd w:val="clear" w:color="auto" w:fill="auto"/>
            <w:noWrap/>
            <w:vAlign w:val="center"/>
            <w:hideMark/>
          </w:tcPr>
          <w:p w14:paraId="0761B781" w14:textId="46D4B8D7" w:rsidR="0003486C" w:rsidRPr="0003486C" w:rsidRDefault="0003486C" w:rsidP="0029350A">
            <w:pPr>
              <w:pStyle w:val="Tables"/>
              <w:jc w:val="right"/>
              <w:rPr>
                <w:sz w:val="20"/>
                <w:szCs w:val="20"/>
              </w:rPr>
            </w:pPr>
            <w:r w:rsidRPr="0003486C">
              <w:rPr>
                <w:color w:val="000000"/>
                <w:sz w:val="20"/>
                <w:szCs w:val="20"/>
              </w:rPr>
              <w:t>1.03E+07</w:t>
            </w:r>
          </w:p>
        </w:tc>
        <w:tc>
          <w:tcPr>
            <w:tcW w:w="360" w:type="dxa"/>
            <w:shd w:val="clear" w:color="auto" w:fill="auto"/>
            <w:noWrap/>
            <w:vAlign w:val="bottom"/>
            <w:hideMark/>
          </w:tcPr>
          <w:p w14:paraId="4AC9861C" w14:textId="77777777" w:rsidR="0003486C" w:rsidRPr="0003486C" w:rsidRDefault="0003486C" w:rsidP="0003486C">
            <w:pPr>
              <w:pStyle w:val="Tables"/>
              <w:rPr>
                <w:sz w:val="20"/>
                <w:szCs w:val="20"/>
              </w:rPr>
            </w:pPr>
          </w:p>
        </w:tc>
        <w:tc>
          <w:tcPr>
            <w:tcW w:w="2250" w:type="dxa"/>
            <w:shd w:val="clear" w:color="auto" w:fill="auto"/>
            <w:noWrap/>
            <w:vAlign w:val="bottom"/>
            <w:hideMark/>
          </w:tcPr>
          <w:p w14:paraId="302ACD7E" w14:textId="77777777" w:rsidR="0003486C" w:rsidRPr="0003486C" w:rsidRDefault="0003486C" w:rsidP="0003486C">
            <w:pPr>
              <w:pStyle w:val="Tables"/>
              <w:rPr>
                <w:sz w:val="20"/>
                <w:szCs w:val="20"/>
              </w:rPr>
            </w:pPr>
            <w:r w:rsidRPr="0003486C">
              <w:rPr>
                <w:sz w:val="20"/>
                <w:szCs w:val="20"/>
              </w:rPr>
              <w:t>C</w:t>
            </w:r>
          </w:p>
        </w:tc>
        <w:tc>
          <w:tcPr>
            <w:tcW w:w="1620" w:type="dxa"/>
            <w:shd w:val="clear" w:color="auto" w:fill="auto"/>
            <w:noWrap/>
            <w:vAlign w:val="center"/>
            <w:hideMark/>
          </w:tcPr>
          <w:p w14:paraId="751A3522" w14:textId="10398D96" w:rsidR="0003486C" w:rsidRPr="0003486C" w:rsidRDefault="0003486C" w:rsidP="0029350A">
            <w:pPr>
              <w:pStyle w:val="Tables"/>
              <w:jc w:val="right"/>
              <w:rPr>
                <w:sz w:val="20"/>
                <w:szCs w:val="20"/>
              </w:rPr>
            </w:pPr>
            <w:r w:rsidRPr="0003486C">
              <w:rPr>
                <w:color w:val="000000"/>
                <w:sz w:val="20"/>
                <w:szCs w:val="20"/>
              </w:rPr>
              <w:t>4.48E+05</w:t>
            </w:r>
          </w:p>
        </w:tc>
      </w:tr>
      <w:tr w:rsidR="007F0C12" w:rsidRPr="0003486C" w14:paraId="54ACAE65" w14:textId="77777777" w:rsidTr="007F0C12">
        <w:trPr>
          <w:trHeight w:val="20"/>
        </w:trPr>
        <w:tc>
          <w:tcPr>
            <w:tcW w:w="1520" w:type="dxa"/>
            <w:shd w:val="clear" w:color="auto" w:fill="auto"/>
            <w:noWrap/>
            <w:vAlign w:val="bottom"/>
            <w:hideMark/>
          </w:tcPr>
          <w:p w14:paraId="764FAA73" w14:textId="77777777" w:rsidR="0003486C" w:rsidRPr="0003486C" w:rsidRDefault="0003486C" w:rsidP="0003486C">
            <w:pPr>
              <w:pStyle w:val="Tables"/>
              <w:rPr>
                <w:b/>
                <w:bCs/>
                <w:sz w:val="20"/>
                <w:szCs w:val="20"/>
              </w:rPr>
            </w:pPr>
            <w:r w:rsidRPr="0003486C">
              <w:rPr>
                <w:b/>
                <w:bCs/>
                <w:sz w:val="20"/>
                <w:szCs w:val="20"/>
              </w:rPr>
              <w:t>Ash</w:t>
            </w:r>
          </w:p>
        </w:tc>
        <w:tc>
          <w:tcPr>
            <w:tcW w:w="1801" w:type="dxa"/>
            <w:shd w:val="clear" w:color="auto" w:fill="auto"/>
            <w:noWrap/>
            <w:vAlign w:val="center"/>
            <w:hideMark/>
          </w:tcPr>
          <w:p w14:paraId="694AFBF4" w14:textId="1A71A2EC" w:rsidR="0003486C" w:rsidRPr="0003486C" w:rsidRDefault="0003486C" w:rsidP="0029350A">
            <w:pPr>
              <w:pStyle w:val="Tables"/>
              <w:jc w:val="right"/>
              <w:rPr>
                <w:sz w:val="20"/>
                <w:szCs w:val="20"/>
              </w:rPr>
            </w:pPr>
            <w:r w:rsidRPr="0003486C">
              <w:rPr>
                <w:color w:val="000000"/>
                <w:sz w:val="20"/>
                <w:szCs w:val="20"/>
              </w:rPr>
              <w:t>8.58E+06</w:t>
            </w:r>
          </w:p>
        </w:tc>
        <w:tc>
          <w:tcPr>
            <w:tcW w:w="360" w:type="dxa"/>
            <w:shd w:val="clear" w:color="auto" w:fill="auto"/>
            <w:noWrap/>
            <w:vAlign w:val="bottom"/>
            <w:hideMark/>
          </w:tcPr>
          <w:p w14:paraId="7CB0BB58" w14:textId="77777777" w:rsidR="0003486C" w:rsidRPr="0003486C" w:rsidRDefault="0003486C" w:rsidP="0003486C">
            <w:pPr>
              <w:pStyle w:val="Tables"/>
              <w:rPr>
                <w:sz w:val="20"/>
                <w:szCs w:val="20"/>
              </w:rPr>
            </w:pPr>
          </w:p>
        </w:tc>
        <w:tc>
          <w:tcPr>
            <w:tcW w:w="2250" w:type="dxa"/>
            <w:shd w:val="clear" w:color="auto" w:fill="auto"/>
            <w:noWrap/>
            <w:vAlign w:val="bottom"/>
            <w:hideMark/>
          </w:tcPr>
          <w:p w14:paraId="23101AE7" w14:textId="77777777" w:rsidR="0003486C" w:rsidRPr="0003486C" w:rsidRDefault="0003486C" w:rsidP="0003486C">
            <w:pPr>
              <w:pStyle w:val="Tables"/>
              <w:rPr>
                <w:b/>
                <w:bCs/>
                <w:sz w:val="20"/>
                <w:szCs w:val="20"/>
              </w:rPr>
            </w:pPr>
            <w:r w:rsidRPr="0003486C">
              <w:rPr>
                <w:b/>
                <w:bCs/>
                <w:sz w:val="20"/>
                <w:szCs w:val="20"/>
              </w:rPr>
              <w:t>glucose.nrel</w:t>
            </w:r>
          </w:p>
        </w:tc>
        <w:tc>
          <w:tcPr>
            <w:tcW w:w="1620" w:type="dxa"/>
            <w:shd w:val="clear" w:color="auto" w:fill="auto"/>
            <w:noWrap/>
            <w:vAlign w:val="center"/>
            <w:hideMark/>
          </w:tcPr>
          <w:p w14:paraId="3BE4D42E" w14:textId="1FECA75E" w:rsidR="0003486C" w:rsidRPr="0003486C" w:rsidRDefault="0003486C" w:rsidP="0029350A">
            <w:pPr>
              <w:pStyle w:val="Tables"/>
              <w:jc w:val="right"/>
              <w:rPr>
                <w:sz w:val="20"/>
                <w:szCs w:val="20"/>
              </w:rPr>
            </w:pPr>
            <w:r w:rsidRPr="0003486C">
              <w:rPr>
                <w:color w:val="000000"/>
                <w:sz w:val="20"/>
                <w:szCs w:val="20"/>
              </w:rPr>
              <w:t>3.76E+05</w:t>
            </w:r>
          </w:p>
        </w:tc>
      </w:tr>
      <w:tr w:rsidR="007F0C12" w:rsidRPr="0003486C" w14:paraId="693D6E35" w14:textId="77777777" w:rsidTr="007F0C12">
        <w:trPr>
          <w:trHeight w:val="20"/>
        </w:trPr>
        <w:tc>
          <w:tcPr>
            <w:tcW w:w="1520" w:type="dxa"/>
            <w:shd w:val="clear" w:color="auto" w:fill="auto"/>
            <w:noWrap/>
            <w:vAlign w:val="bottom"/>
            <w:hideMark/>
          </w:tcPr>
          <w:p w14:paraId="7FAB2FAE" w14:textId="77777777" w:rsidR="0003486C" w:rsidRPr="0003486C" w:rsidRDefault="0003486C" w:rsidP="0003486C">
            <w:pPr>
              <w:pStyle w:val="Tables"/>
              <w:rPr>
                <w:sz w:val="20"/>
                <w:szCs w:val="20"/>
              </w:rPr>
            </w:pPr>
          </w:p>
        </w:tc>
        <w:tc>
          <w:tcPr>
            <w:tcW w:w="1801" w:type="dxa"/>
            <w:shd w:val="clear" w:color="auto" w:fill="auto"/>
            <w:noWrap/>
            <w:vAlign w:val="bottom"/>
            <w:hideMark/>
          </w:tcPr>
          <w:p w14:paraId="655121FE" w14:textId="1483F0D5" w:rsidR="0003486C" w:rsidRPr="0003486C" w:rsidRDefault="0003486C" w:rsidP="0029350A">
            <w:pPr>
              <w:pStyle w:val="Tables"/>
              <w:jc w:val="right"/>
              <w:rPr>
                <w:sz w:val="20"/>
                <w:szCs w:val="20"/>
              </w:rPr>
            </w:pPr>
            <w:r w:rsidRPr="0003486C">
              <w:rPr>
                <w:color w:val="000000"/>
                <w:sz w:val="20"/>
                <w:szCs w:val="20"/>
              </w:rPr>
              <w:t> </w:t>
            </w:r>
          </w:p>
        </w:tc>
        <w:tc>
          <w:tcPr>
            <w:tcW w:w="360" w:type="dxa"/>
            <w:shd w:val="clear" w:color="auto" w:fill="auto"/>
            <w:noWrap/>
            <w:vAlign w:val="bottom"/>
            <w:hideMark/>
          </w:tcPr>
          <w:p w14:paraId="7491E9CF" w14:textId="77777777" w:rsidR="0003486C" w:rsidRPr="0003486C" w:rsidRDefault="0003486C" w:rsidP="0003486C">
            <w:pPr>
              <w:pStyle w:val="Tables"/>
              <w:rPr>
                <w:sz w:val="20"/>
                <w:szCs w:val="20"/>
              </w:rPr>
            </w:pPr>
          </w:p>
        </w:tc>
        <w:tc>
          <w:tcPr>
            <w:tcW w:w="2250" w:type="dxa"/>
            <w:shd w:val="clear" w:color="auto" w:fill="auto"/>
            <w:noWrap/>
            <w:vAlign w:val="bottom"/>
            <w:hideMark/>
          </w:tcPr>
          <w:p w14:paraId="1CC3908E" w14:textId="77777777" w:rsidR="0003486C" w:rsidRPr="0003486C" w:rsidRDefault="0003486C" w:rsidP="0003486C">
            <w:pPr>
              <w:pStyle w:val="Tables"/>
              <w:rPr>
                <w:sz w:val="20"/>
                <w:szCs w:val="20"/>
              </w:rPr>
            </w:pPr>
          </w:p>
        </w:tc>
        <w:tc>
          <w:tcPr>
            <w:tcW w:w="1620" w:type="dxa"/>
            <w:shd w:val="clear" w:color="auto" w:fill="auto"/>
            <w:noWrap/>
            <w:vAlign w:val="bottom"/>
            <w:hideMark/>
          </w:tcPr>
          <w:p w14:paraId="158D4FDC" w14:textId="54DD8482" w:rsidR="0003486C" w:rsidRPr="0003486C" w:rsidRDefault="0003486C" w:rsidP="0029350A">
            <w:pPr>
              <w:pStyle w:val="Tables"/>
              <w:jc w:val="right"/>
              <w:rPr>
                <w:sz w:val="20"/>
                <w:szCs w:val="20"/>
              </w:rPr>
            </w:pPr>
            <w:r w:rsidRPr="0003486C">
              <w:rPr>
                <w:color w:val="000000"/>
                <w:sz w:val="20"/>
                <w:szCs w:val="20"/>
              </w:rPr>
              <w:t> </w:t>
            </w:r>
          </w:p>
        </w:tc>
      </w:tr>
      <w:tr w:rsidR="007F0C12" w:rsidRPr="0003486C" w14:paraId="149C80CD" w14:textId="77777777" w:rsidTr="007F0C12">
        <w:trPr>
          <w:trHeight w:val="20"/>
        </w:trPr>
        <w:tc>
          <w:tcPr>
            <w:tcW w:w="1520" w:type="dxa"/>
            <w:shd w:val="clear" w:color="auto" w:fill="auto"/>
            <w:noWrap/>
            <w:vAlign w:val="bottom"/>
            <w:hideMark/>
          </w:tcPr>
          <w:p w14:paraId="74B9C570" w14:textId="77777777" w:rsidR="0003486C" w:rsidRPr="0029350A" w:rsidRDefault="0003486C" w:rsidP="0003486C">
            <w:pPr>
              <w:pStyle w:val="Tables"/>
              <w:rPr>
                <w:sz w:val="20"/>
                <w:szCs w:val="20"/>
                <w:u w:val="single"/>
              </w:rPr>
            </w:pPr>
            <w:r w:rsidRPr="0029350A">
              <w:rPr>
                <w:sz w:val="20"/>
                <w:szCs w:val="20"/>
                <w:u w:val="single"/>
              </w:rPr>
              <w:t>alkyl phenols</w:t>
            </w:r>
          </w:p>
        </w:tc>
        <w:tc>
          <w:tcPr>
            <w:tcW w:w="1801" w:type="dxa"/>
            <w:shd w:val="clear" w:color="auto" w:fill="auto"/>
            <w:noWrap/>
            <w:vAlign w:val="center"/>
            <w:hideMark/>
          </w:tcPr>
          <w:p w14:paraId="15D83FE5" w14:textId="2FFA1E13" w:rsidR="0003486C" w:rsidRPr="0029350A" w:rsidRDefault="0003486C" w:rsidP="0029350A">
            <w:pPr>
              <w:pStyle w:val="Tables"/>
              <w:jc w:val="right"/>
              <w:rPr>
                <w:sz w:val="20"/>
                <w:szCs w:val="20"/>
                <w:u w:val="single"/>
              </w:rPr>
            </w:pPr>
            <w:r w:rsidRPr="0029350A">
              <w:rPr>
                <w:color w:val="000000"/>
                <w:sz w:val="20"/>
                <w:szCs w:val="20"/>
                <w:u w:val="single"/>
              </w:rPr>
              <w:t>% Increase MSE</w:t>
            </w:r>
          </w:p>
        </w:tc>
        <w:tc>
          <w:tcPr>
            <w:tcW w:w="360" w:type="dxa"/>
            <w:shd w:val="clear" w:color="auto" w:fill="auto"/>
            <w:noWrap/>
            <w:vAlign w:val="bottom"/>
            <w:hideMark/>
          </w:tcPr>
          <w:p w14:paraId="2417DE61" w14:textId="77777777" w:rsidR="0003486C" w:rsidRPr="0029350A" w:rsidRDefault="0003486C" w:rsidP="0003486C">
            <w:pPr>
              <w:pStyle w:val="Tables"/>
              <w:rPr>
                <w:sz w:val="20"/>
                <w:szCs w:val="20"/>
                <w:u w:val="single"/>
              </w:rPr>
            </w:pPr>
          </w:p>
        </w:tc>
        <w:tc>
          <w:tcPr>
            <w:tcW w:w="2250" w:type="dxa"/>
            <w:shd w:val="clear" w:color="auto" w:fill="auto"/>
            <w:noWrap/>
            <w:vAlign w:val="bottom"/>
            <w:hideMark/>
          </w:tcPr>
          <w:p w14:paraId="42BAECD4" w14:textId="77777777" w:rsidR="0003486C" w:rsidRPr="0029350A" w:rsidRDefault="0003486C" w:rsidP="0003486C">
            <w:pPr>
              <w:pStyle w:val="Tables"/>
              <w:rPr>
                <w:sz w:val="20"/>
                <w:szCs w:val="20"/>
                <w:u w:val="single"/>
              </w:rPr>
            </w:pPr>
            <w:r w:rsidRPr="0029350A">
              <w:rPr>
                <w:sz w:val="20"/>
                <w:szCs w:val="20"/>
                <w:u w:val="single"/>
              </w:rPr>
              <w:t>methoxyphenols</w:t>
            </w:r>
          </w:p>
        </w:tc>
        <w:tc>
          <w:tcPr>
            <w:tcW w:w="1620" w:type="dxa"/>
            <w:shd w:val="clear" w:color="auto" w:fill="auto"/>
            <w:noWrap/>
            <w:vAlign w:val="center"/>
            <w:hideMark/>
          </w:tcPr>
          <w:p w14:paraId="181C66B2" w14:textId="6C7EEF51" w:rsidR="0003486C" w:rsidRPr="0029350A" w:rsidRDefault="0003486C" w:rsidP="0029350A">
            <w:pPr>
              <w:pStyle w:val="Tables"/>
              <w:jc w:val="right"/>
              <w:rPr>
                <w:sz w:val="20"/>
                <w:szCs w:val="20"/>
                <w:u w:val="single"/>
              </w:rPr>
            </w:pPr>
            <w:r w:rsidRPr="0029350A">
              <w:rPr>
                <w:color w:val="000000"/>
                <w:sz w:val="20"/>
                <w:szCs w:val="20"/>
                <w:u w:val="single"/>
              </w:rPr>
              <w:t>% Increase MSE</w:t>
            </w:r>
          </w:p>
        </w:tc>
      </w:tr>
      <w:tr w:rsidR="007F0C12" w:rsidRPr="0003486C" w14:paraId="6879F038" w14:textId="77777777" w:rsidTr="007F0C12">
        <w:trPr>
          <w:trHeight w:val="20"/>
        </w:trPr>
        <w:tc>
          <w:tcPr>
            <w:tcW w:w="1520" w:type="dxa"/>
            <w:shd w:val="clear" w:color="auto" w:fill="auto"/>
            <w:noWrap/>
            <w:vAlign w:val="bottom"/>
            <w:hideMark/>
          </w:tcPr>
          <w:p w14:paraId="5305EC8C" w14:textId="77777777" w:rsidR="0003486C" w:rsidRPr="0003486C" w:rsidRDefault="0003486C" w:rsidP="0003486C">
            <w:pPr>
              <w:pStyle w:val="Tables"/>
              <w:rPr>
                <w:b/>
                <w:bCs/>
                <w:sz w:val="20"/>
                <w:szCs w:val="20"/>
              </w:rPr>
            </w:pPr>
            <w:r w:rsidRPr="0003486C">
              <w:rPr>
                <w:b/>
                <w:bCs/>
                <w:sz w:val="20"/>
                <w:szCs w:val="20"/>
              </w:rPr>
              <w:t>pCA</w:t>
            </w:r>
          </w:p>
        </w:tc>
        <w:tc>
          <w:tcPr>
            <w:tcW w:w="1801" w:type="dxa"/>
            <w:shd w:val="clear" w:color="auto" w:fill="auto"/>
            <w:noWrap/>
            <w:vAlign w:val="center"/>
            <w:hideMark/>
          </w:tcPr>
          <w:p w14:paraId="255099EB" w14:textId="76892875" w:rsidR="0003486C" w:rsidRPr="0003486C" w:rsidRDefault="0003486C" w:rsidP="0029350A">
            <w:pPr>
              <w:pStyle w:val="Tables"/>
              <w:jc w:val="right"/>
              <w:rPr>
                <w:sz w:val="20"/>
                <w:szCs w:val="20"/>
              </w:rPr>
            </w:pPr>
            <w:r w:rsidRPr="0003486C">
              <w:rPr>
                <w:color w:val="000000"/>
                <w:sz w:val="20"/>
                <w:szCs w:val="20"/>
              </w:rPr>
              <w:t>4.50E+06</w:t>
            </w:r>
          </w:p>
        </w:tc>
        <w:tc>
          <w:tcPr>
            <w:tcW w:w="360" w:type="dxa"/>
            <w:shd w:val="clear" w:color="auto" w:fill="auto"/>
            <w:noWrap/>
            <w:vAlign w:val="bottom"/>
            <w:hideMark/>
          </w:tcPr>
          <w:p w14:paraId="202D84CB" w14:textId="77777777" w:rsidR="0003486C" w:rsidRPr="0003486C" w:rsidRDefault="0003486C" w:rsidP="0003486C">
            <w:pPr>
              <w:pStyle w:val="Tables"/>
              <w:rPr>
                <w:sz w:val="20"/>
                <w:szCs w:val="20"/>
              </w:rPr>
            </w:pPr>
          </w:p>
        </w:tc>
        <w:tc>
          <w:tcPr>
            <w:tcW w:w="2250" w:type="dxa"/>
            <w:shd w:val="clear" w:color="auto" w:fill="auto"/>
            <w:noWrap/>
            <w:vAlign w:val="bottom"/>
            <w:hideMark/>
          </w:tcPr>
          <w:p w14:paraId="0D4C30F9" w14:textId="77777777" w:rsidR="0003486C" w:rsidRPr="0003486C" w:rsidRDefault="0003486C" w:rsidP="0003486C">
            <w:pPr>
              <w:pStyle w:val="Tables"/>
              <w:rPr>
                <w:b/>
                <w:bCs/>
                <w:sz w:val="20"/>
                <w:szCs w:val="20"/>
              </w:rPr>
            </w:pPr>
            <w:r w:rsidRPr="0003486C">
              <w:rPr>
                <w:b/>
                <w:bCs/>
                <w:sz w:val="20"/>
                <w:szCs w:val="20"/>
              </w:rPr>
              <w:t>ARA</w:t>
            </w:r>
          </w:p>
        </w:tc>
        <w:tc>
          <w:tcPr>
            <w:tcW w:w="1620" w:type="dxa"/>
            <w:shd w:val="clear" w:color="auto" w:fill="auto"/>
            <w:noWrap/>
            <w:vAlign w:val="center"/>
            <w:hideMark/>
          </w:tcPr>
          <w:p w14:paraId="3EFF7009" w14:textId="643F3F8C" w:rsidR="0003486C" w:rsidRPr="0003486C" w:rsidRDefault="0003486C" w:rsidP="0029350A">
            <w:pPr>
              <w:pStyle w:val="Tables"/>
              <w:jc w:val="right"/>
              <w:rPr>
                <w:sz w:val="20"/>
                <w:szCs w:val="20"/>
              </w:rPr>
            </w:pPr>
            <w:r w:rsidRPr="0003486C">
              <w:rPr>
                <w:color w:val="000000"/>
                <w:sz w:val="20"/>
                <w:szCs w:val="20"/>
              </w:rPr>
              <w:t>1.68E+06</w:t>
            </w:r>
          </w:p>
        </w:tc>
      </w:tr>
      <w:tr w:rsidR="007F0C12" w:rsidRPr="0003486C" w14:paraId="58FC5102" w14:textId="77777777" w:rsidTr="007F0C12">
        <w:trPr>
          <w:trHeight w:val="20"/>
        </w:trPr>
        <w:tc>
          <w:tcPr>
            <w:tcW w:w="1520" w:type="dxa"/>
            <w:shd w:val="clear" w:color="auto" w:fill="auto"/>
            <w:noWrap/>
            <w:vAlign w:val="bottom"/>
            <w:hideMark/>
          </w:tcPr>
          <w:p w14:paraId="29018437" w14:textId="77777777" w:rsidR="0003486C" w:rsidRPr="0003486C" w:rsidRDefault="0003486C" w:rsidP="0003486C">
            <w:pPr>
              <w:pStyle w:val="Tables"/>
              <w:rPr>
                <w:sz w:val="20"/>
                <w:szCs w:val="20"/>
              </w:rPr>
            </w:pPr>
            <w:r w:rsidRPr="0003486C">
              <w:rPr>
                <w:sz w:val="20"/>
                <w:szCs w:val="20"/>
              </w:rPr>
              <w:t>glucose.nrel</w:t>
            </w:r>
          </w:p>
        </w:tc>
        <w:tc>
          <w:tcPr>
            <w:tcW w:w="1801" w:type="dxa"/>
            <w:shd w:val="clear" w:color="auto" w:fill="auto"/>
            <w:noWrap/>
            <w:vAlign w:val="center"/>
            <w:hideMark/>
          </w:tcPr>
          <w:p w14:paraId="3A39ECBA" w14:textId="25F32C2E" w:rsidR="0003486C" w:rsidRPr="0003486C" w:rsidRDefault="0003486C" w:rsidP="0029350A">
            <w:pPr>
              <w:pStyle w:val="Tables"/>
              <w:jc w:val="right"/>
              <w:rPr>
                <w:sz w:val="20"/>
                <w:szCs w:val="20"/>
              </w:rPr>
            </w:pPr>
            <w:r w:rsidRPr="0003486C">
              <w:rPr>
                <w:color w:val="000000"/>
                <w:sz w:val="20"/>
                <w:szCs w:val="20"/>
              </w:rPr>
              <w:t>2.64E+06</w:t>
            </w:r>
          </w:p>
        </w:tc>
        <w:tc>
          <w:tcPr>
            <w:tcW w:w="360" w:type="dxa"/>
            <w:shd w:val="clear" w:color="auto" w:fill="auto"/>
            <w:noWrap/>
            <w:vAlign w:val="bottom"/>
            <w:hideMark/>
          </w:tcPr>
          <w:p w14:paraId="5B3B5EA1" w14:textId="77777777" w:rsidR="0003486C" w:rsidRPr="0003486C" w:rsidRDefault="0003486C" w:rsidP="0003486C">
            <w:pPr>
              <w:pStyle w:val="Tables"/>
              <w:rPr>
                <w:sz w:val="20"/>
                <w:szCs w:val="20"/>
              </w:rPr>
            </w:pPr>
          </w:p>
        </w:tc>
        <w:tc>
          <w:tcPr>
            <w:tcW w:w="2250" w:type="dxa"/>
            <w:shd w:val="clear" w:color="auto" w:fill="auto"/>
            <w:noWrap/>
            <w:vAlign w:val="bottom"/>
            <w:hideMark/>
          </w:tcPr>
          <w:p w14:paraId="0FAA3622" w14:textId="77777777" w:rsidR="0003486C" w:rsidRPr="0003486C" w:rsidRDefault="0003486C" w:rsidP="0003486C">
            <w:pPr>
              <w:pStyle w:val="Tables"/>
              <w:rPr>
                <w:sz w:val="20"/>
                <w:szCs w:val="20"/>
              </w:rPr>
            </w:pPr>
            <w:r w:rsidRPr="0003486C">
              <w:rPr>
                <w:sz w:val="20"/>
                <w:szCs w:val="20"/>
              </w:rPr>
              <w:t>PENT</w:t>
            </w:r>
          </w:p>
        </w:tc>
        <w:tc>
          <w:tcPr>
            <w:tcW w:w="1620" w:type="dxa"/>
            <w:shd w:val="clear" w:color="auto" w:fill="auto"/>
            <w:noWrap/>
            <w:vAlign w:val="center"/>
            <w:hideMark/>
          </w:tcPr>
          <w:p w14:paraId="0FEB828F" w14:textId="68848C9D" w:rsidR="0003486C" w:rsidRPr="0003486C" w:rsidRDefault="0003486C" w:rsidP="0029350A">
            <w:pPr>
              <w:pStyle w:val="Tables"/>
              <w:jc w:val="right"/>
              <w:rPr>
                <w:sz w:val="20"/>
                <w:szCs w:val="20"/>
              </w:rPr>
            </w:pPr>
            <w:r w:rsidRPr="0003486C">
              <w:rPr>
                <w:color w:val="000000"/>
                <w:sz w:val="20"/>
                <w:szCs w:val="20"/>
              </w:rPr>
              <w:t>1.33E+06</w:t>
            </w:r>
          </w:p>
        </w:tc>
      </w:tr>
      <w:tr w:rsidR="007F0C12" w:rsidRPr="0003486C" w14:paraId="5C639A4F" w14:textId="77777777" w:rsidTr="007F0C12">
        <w:trPr>
          <w:trHeight w:val="20"/>
        </w:trPr>
        <w:tc>
          <w:tcPr>
            <w:tcW w:w="1520" w:type="dxa"/>
            <w:shd w:val="clear" w:color="auto" w:fill="auto"/>
            <w:noWrap/>
            <w:vAlign w:val="bottom"/>
            <w:hideMark/>
          </w:tcPr>
          <w:p w14:paraId="62BCA83E" w14:textId="77777777" w:rsidR="0003486C" w:rsidRPr="0003486C" w:rsidRDefault="0003486C" w:rsidP="0003486C">
            <w:pPr>
              <w:pStyle w:val="Tables"/>
              <w:rPr>
                <w:sz w:val="20"/>
                <w:szCs w:val="20"/>
              </w:rPr>
            </w:pPr>
            <w:r w:rsidRPr="0003486C">
              <w:rPr>
                <w:sz w:val="20"/>
                <w:szCs w:val="20"/>
              </w:rPr>
              <w:t>PCA</w:t>
            </w:r>
          </w:p>
        </w:tc>
        <w:tc>
          <w:tcPr>
            <w:tcW w:w="1801" w:type="dxa"/>
            <w:shd w:val="clear" w:color="auto" w:fill="auto"/>
            <w:noWrap/>
            <w:vAlign w:val="center"/>
            <w:hideMark/>
          </w:tcPr>
          <w:p w14:paraId="7A8F4FA7" w14:textId="04BAFE1E" w:rsidR="0003486C" w:rsidRPr="0003486C" w:rsidRDefault="0003486C" w:rsidP="0029350A">
            <w:pPr>
              <w:pStyle w:val="Tables"/>
              <w:jc w:val="right"/>
              <w:rPr>
                <w:sz w:val="20"/>
                <w:szCs w:val="20"/>
              </w:rPr>
            </w:pPr>
            <w:r w:rsidRPr="0003486C">
              <w:rPr>
                <w:color w:val="000000"/>
                <w:sz w:val="20"/>
                <w:szCs w:val="20"/>
              </w:rPr>
              <w:t>1.25E+06</w:t>
            </w:r>
          </w:p>
        </w:tc>
        <w:tc>
          <w:tcPr>
            <w:tcW w:w="360" w:type="dxa"/>
            <w:shd w:val="clear" w:color="auto" w:fill="auto"/>
            <w:noWrap/>
            <w:vAlign w:val="bottom"/>
            <w:hideMark/>
          </w:tcPr>
          <w:p w14:paraId="66EFA08B" w14:textId="77777777" w:rsidR="0003486C" w:rsidRPr="0003486C" w:rsidRDefault="0003486C" w:rsidP="0003486C">
            <w:pPr>
              <w:pStyle w:val="Tables"/>
              <w:rPr>
                <w:sz w:val="20"/>
                <w:szCs w:val="20"/>
              </w:rPr>
            </w:pPr>
          </w:p>
        </w:tc>
        <w:tc>
          <w:tcPr>
            <w:tcW w:w="2250" w:type="dxa"/>
            <w:shd w:val="clear" w:color="auto" w:fill="auto"/>
            <w:noWrap/>
            <w:vAlign w:val="bottom"/>
            <w:hideMark/>
          </w:tcPr>
          <w:p w14:paraId="11EEDD79" w14:textId="77777777" w:rsidR="0003486C" w:rsidRPr="0003486C" w:rsidRDefault="0003486C" w:rsidP="0003486C">
            <w:pPr>
              <w:pStyle w:val="Tables"/>
              <w:rPr>
                <w:b/>
                <w:bCs/>
                <w:sz w:val="20"/>
                <w:szCs w:val="20"/>
              </w:rPr>
            </w:pPr>
            <w:r w:rsidRPr="0003486C">
              <w:rPr>
                <w:b/>
                <w:bCs/>
                <w:sz w:val="20"/>
                <w:szCs w:val="20"/>
              </w:rPr>
              <w:t>lignin.nrel</w:t>
            </w:r>
          </w:p>
        </w:tc>
        <w:tc>
          <w:tcPr>
            <w:tcW w:w="1620" w:type="dxa"/>
            <w:shd w:val="clear" w:color="auto" w:fill="auto"/>
            <w:noWrap/>
            <w:vAlign w:val="center"/>
            <w:hideMark/>
          </w:tcPr>
          <w:p w14:paraId="13B330CB" w14:textId="40466A30" w:rsidR="0003486C" w:rsidRPr="0003486C" w:rsidRDefault="0003486C" w:rsidP="0029350A">
            <w:pPr>
              <w:pStyle w:val="Tables"/>
              <w:jc w:val="right"/>
              <w:rPr>
                <w:sz w:val="20"/>
                <w:szCs w:val="20"/>
              </w:rPr>
            </w:pPr>
            <w:r w:rsidRPr="0003486C">
              <w:rPr>
                <w:color w:val="000000"/>
                <w:sz w:val="20"/>
                <w:szCs w:val="20"/>
              </w:rPr>
              <w:t>8.82E+05</w:t>
            </w:r>
          </w:p>
        </w:tc>
      </w:tr>
      <w:tr w:rsidR="007F0C12" w:rsidRPr="0003486C" w14:paraId="15D2BBE1" w14:textId="77777777" w:rsidTr="007F0C12">
        <w:trPr>
          <w:trHeight w:val="20"/>
        </w:trPr>
        <w:tc>
          <w:tcPr>
            <w:tcW w:w="1520" w:type="dxa"/>
            <w:shd w:val="clear" w:color="auto" w:fill="auto"/>
            <w:noWrap/>
            <w:vAlign w:val="bottom"/>
            <w:hideMark/>
          </w:tcPr>
          <w:p w14:paraId="7423BC3C" w14:textId="77777777" w:rsidR="0003486C" w:rsidRPr="0003486C" w:rsidRDefault="0003486C" w:rsidP="0003486C">
            <w:pPr>
              <w:pStyle w:val="Tables"/>
              <w:rPr>
                <w:b/>
                <w:bCs/>
                <w:sz w:val="20"/>
                <w:szCs w:val="20"/>
              </w:rPr>
            </w:pPr>
            <w:r w:rsidRPr="0003486C">
              <w:rPr>
                <w:b/>
                <w:bCs/>
                <w:sz w:val="20"/>
                <w:szCs w:val="20"/>
              </w:rPr>
              <w:t>K</w:t>
            </w:r>
          </w:p>
        </w:tc>
        <w:tc>
          <w:tcPr>
            <w:tcW w:w="1801" w:type="dxa"/>
            <w:shd w:val="clear" w:color="auto" w:fill="auto"/>
            <w:noWrap/>
            <w:vAlign w:val="center"/>
            <w:hideMark/>
          </w:tcPr>
          <w:p w14:paraId="19F94D73" w14:textId="43C1D0AF" w:rsidR="0003486C" w:rsidRPr="0003486C" w:rsidRDefault="0003486C" w:rsidP="0029350A">
            <w:pPr>
              <w:pStyle w:val="Tables"/>
              <w:jc w:val="right"/>
              <w:rPr>
                <w:sz w:val="20"/>
                <w:szCs w:val="20"/>
              </w:rPr>
            </w:pPr>
            <w:r w:rsidRPr="0003486C">
              <w:rPr>
                <w:color w:val="000000"/>
                <w:sz w:val="20"/>
                <w:szCs w:val="20"/>
              </w:rPr>
              <w:t>8.02E+05</w:t>
            </w:r>
          </w:p>
        </w:tc>
        <w:tc>
          <w:tcPr>
            <w:tcW w:w="360" w:type="dxa"/>
            <w:shd w:val="clear" w:color="auto" w:fill="auto"/>
            <w:noWrap/>
            <w:vAlign w:val="bottom"/>
            <w:hideMark/>
          </w:tcPr>
          <w:p w14:paraId="0C1CEDCD" w14:textId="77777777" w:rsidR="0003486C" w:rsidRPr="0003486C" w:rsidRDefault="0003486C" w:rsidP="0003486C">
            <w:pPr>
              <w:pStyle w:val="Tables"/>
              <w:rPr>
                <w:sz w:val="20"/>
                <w:szCs w:val="20"/>
              </w:rPr>
            </w:pPr>
          </w:p>
        </w:tc>
        <w:tc>
          <w:tcPr>
            <w:tcW w:w="2250" w:type="dxa"/>
            <w:shd w:val="clear" w:color="auto" w:fill="auto"/>
            <w:noWrap/>
            <w:vAlign w:val="bottom"/>
            <w:hideMark/>
          </w:tcPr>
          <w:p w14:paraId="4CDB8DB7" w14:textId="77777777" w:rsidR="0003486C" w:rsidRPr="0003486C" w:rsidRDefault="0003486C" w:rsidP="0003486C">
            <w:pPr>
              <w:pStyle w:val="Tables"/>
              <w:rPr>
                <w:sz w:val="20"/>
                <w:szCs w:val="20"/>
              </w:rPr>
            </w:pPr>
            <w:r w:rsidRPr="0003486C">
              <w:rPr>
                <w:sz w:val="20"/>
                <w:szCs w:val="20"/>
              </w:rPr>
              <w:t>STA</w:t>
            </w:r>
          </w:p>
        </w:tc>
        <w:tc>
          <w:tcPr>
            <w:tcW w:w="1620" w:type="dxa"/>
            <w:shd w:val="clear" w:color="auto" w:fill="auto"/>
            <w:noWrap/>
            <w:vAlign w:val="center"/>
            <w:hideMark/>
          </w:tcPr>
          <w:p w14:paraId="1DD880D2" w14:textId="76B1B5C3" w:rsidR="0003486C" w:rsidRPr="0003486C" w:rsidRDefault="0003486C" w:rsidP="0029350A">
            <w:pPr>
              <w:pStyle w:val="Tables"/>
              <w:jc w:val="right"/>
              <w:rPr>
                <w:sz w:val="20"/>
                <w:szCs w:val="20"/>
              </w:rPr>
            </w:pPr>
            <w:r w:rsidRPr="0003486C">
              <w:rPr>
                <w:color w:val="000000"/>
                <w:sz w:val="20"/>
                <w:szCs w:val="20"/>
              </w:rPr>
              <w:t>5.26E+05</w:t>
            </w:r>
          </w:p>
        </w:tc>
      </w:tr>
      <w:tr w:rsidR="007F0C12" w:rsidRPr="0003486C" w14:paraId="44366F99" w14:textId="77777777" w:rsidTr="007F0C12">
        <w:trPr>
          <w:trHeight w:val="20"/>
        </w:trPr>
        <w:tc>
          <w:tcPr>
            <w:tcW w:w="1520" w:type="dxa"/>
            <w:shd w:val="clear" w:color="auto" w:fill="auto"/>
            <w:noWrap/>
            <w:vAlign w:val="bottom"/>
            <w:hideMark/>
          </w:tcPr>
          <w:p w14:paraId="507E5412" w14:textId="77777777" w:rsidR="0003486C" w:rsidRPr="0003486C" w:rsidRDefault="0003486C" w:rsidP="0003486C">
            <w:pPr>
              <w:pStyle w:val="Tables"/>
              <w:rPr>
                <w:sz w:val="20"/>
                <w:szCs w:val="20"/>
              </w:rPr>
            </w:pPr>
            <w:r w:rsidRPr="0003486C">
              <w:rPr>
                <w:sz w:val="20"/>
                <w:szCs w:val="20"/>
              </w:rPr>
              <w:t>Crude.Protein</w:t>
            </w:r>
          </w:p>
        </w:tc>
        <w:tc>
          <w:tcPr>
            <w:tcW w:w="1801" w:type="dxa"/>
            <w:shd w:val="clear" w:color="auto" w:fill="auto"/>
            <w:noWrap/>
            <w:vAlign w:val="center"/>
            <w:hideMark/>
          </w:tcPr>
          <w:p w14:paraId="196C0C42" w14:textId="414F8EFD" w:rsidR="0003486C" w:rsidRPr="0003486C" w:rsidRDefault="0003486C" w:rsidP="0029350A">
            <w:pPr>
              <w:pStyle w:val="Tables"/>
              <w:jc w:val="right"/>
              <w:rPr>
                <w:sz w:val="20"/>
                <w:szCs w:val="20"/>
              </w:rPr>
            </w:pPr>
            <w:r w:rsidRPr="0003486C">
              <w:rPr>
                <w:color w:val="000000"/>
                <w:sz w:val="20"/>
                <w:szCs w:val="20"/>
              </w:rPr>
              <w:t>7.29E+05</w:t>
            </w:r>
          </w:p>
        </w:tc>
        <w:tc>
          <w:tcPr>
            <w:tcW w:w="360" w:type="dxa"/>
            <w:shd w:val="clear" w:color="auto" w:fill="auto"/>
            <w:noWrap/>
            <w:vAlign w:val="bottom"/>
            <w:hideMark/>
          </w:tcPr>
          <w:p w14:paraId="611F1205" w14:textId="77777777" w:rsidR="0003486C" w:rsidRPr="0003486C" w:rsidRDefault="0003486C" w:rsidP="0003486C">
            <w:pPr>
              <w:pStyle w:val="Tables"/>
              <w:rPr>
                <w:sz w:val="20"/>
                <w:szCs w:val="20"/>
              </w:rPr>
            </w:pPr>
          </w:p>
        </w:tc>
        <w:tc>
          <w:tcPr>
            <w:tcW w:w="2250" w:type="dxa"/>
            <w:shd w:val="clear" w:color="auto" w:fill="auto"/>
            <w:noWrap/>
            <w:vAlign w:val="bottom"/>
            <w:hideMark/>
          </w:tcPr>
          <w:p w14:paraId="0003460D" w14:textId="77777777" w:rsidR="0003486C" w:rsidRPr="0003486C" w:rsidRDefault="0003486C" w:rsidP="0003486C">
            <w:pPr>
              <w:pStyle w:val="Tables"/>
              <w:rPr>
                <w:sz w:val="20"/>
                <w:szCs w:val="20"/>
              </w:rPr>
            </w:pPr>
            <w:r w:rsidRPr="0003486C">
              <w:rPr>
                <w:sz w:val="20"/>
                <w:szCs w:val="20"/>
              </w:rPr>
              <w:t>PENT2</w:t>
            </w:r>
          </w:p>
        </w:tc>
        <w:tc>
          <w:tcPr>
            <w:tcW w:w="1620" w:type="dxa"/>
            <w:shd w:val="clear" w:color="auto" w:fill="auto"/>
            <w:noWrap/>
            <w:vAlign w:val="center"/>
            <w:hideMark/>
          </w:tcPr>
          <w:p w14:paraId="18A31A58" w14:textId="29F84CB8" w:rsidR="0003486C" w:rsidRPr="0003486C" w:rsidRDefault="0003486C" w:rsidP="0029350A">
            <w:pPr>
              <w:pStyle w:val="Tables"/>
              <w:jc w:val="right"/>
              <w:rPr>
                <w:sz w:val="20"/>
                <w:szCs w:val="20"/>
              </w:rPr>
            </w:pPr>
            <w:r w:rsidRPr="0003486C">
              <w:rPr>
                <w:color w:val="000000"/>
                <w:sz w:val="20"/>
                <w:szCs w:val="20"/>
              </w:rPr>
              <w:t>1.86E+05</w:t>
            </w:r>
          </w:p>
        </w:tc>
      </w:tr>
      <w:tr w:rsidR="007F0C12" w:rsidRPr="0003486C" w14:paraId="2C74C2D7" w14:textId="77777777" w:rsidTr="007F0C12">
        <w:trPr>
          <w:trHeight w:val="20"/>
        </w:trPr>
        <w:tc>
          <w:tcPr>
            <w:tcW w:w="1520" w:type="dxa"/>
            <w:shd w:val="clear" w:color="auto" w:fill="auto"/>
            <w:noWrap/>
            <w:vAlign w:val="bottom"/>
            <w:hideMark/>
          </w:tcPr>
          <w:p w14:paraId="776408C6" w14:textId="77777777" w:rsidR="0003486C" w:rsidRPr="0003486C" w:rsidRDefault="0003486C" w:rsidP="0003486C">
            <w:pPr>
              <w:pStyle w:val="Tables"/>
              <w:rPr>
                <w:sz w:val="20"/>
                <w:szCs w:val="20"/>
              </w:rPr>
            </w:pPr>
            <w:r w:rsidRPr="0003486C">
              <w:rPr>
                <w:sz w:val="20"/>
                <w:szCs w:val="20"/>
              </w:rPr>
              <w:t>Ash</w:t>
            </w:r>
          </w:p>
        </w:tc>
        <w:tc>
          <w:tcPr>
            <w:tcW w:w="1801" w:type="dxa"/>
            <w:shd w:val="clear" w:color="auto" w:fill="auto"/>
            <w:noWrap/>
            <w:vAlign w:val="center"/>
            <w:hideMark/>
          </w:tcPr>
          <w:p w14:paraId="53B18153" w14:textId="786088DF" w:rsidR="0003486C" w:rsidRPr="0003486C" w:rsidRDefault="0003486C" w:rsidP="0029350A">
            <w:pPr>
              <w:pStyle w:val="Tables"/>
              <w:jc w:val="right"/>
              <w:rPr>
                <w:sz w:val="20"/>
                <w:szCs w:val="20"/>
              </w:rPr>
            </w:pPr>
            <w:r w:rsidRPr="0003486C">
              <w:rPr>
                <w:color w:val="000000"/>
                <w:sz w:val="20"/>
                <w:szCs w:val="20"/>
              </w:rPr>
              <w:t>3.33E+05</w:t>
            </w:r>
          </w:p>
        </w:tc>
        <w:tc>
          <w:tcPr>
            <w:tcW w:w="360" w:type="dxa"/>
            <w:shd w:val="clear" w:color="auto" w:fill="auto"/>
            <w:noWrap/>
            <w:vAlign w:val="bottom"/>
            <w:hideMark/>
          </w:tcPr>
          <w:p w14:paraId="5BBB2E7C" w14:textId="77777777" w:rsidR="0003486C" w:rsidRPr="0003486C" w:rsidRDefault="0003486C" w:rsidP="0003486C">
            <w:pPr>
              <w:pStyle w:val="Tables"/>
              <w:rPr>
                <w:sz w:val="20"/>
                <w:szCs w:val="20"/>
              </w:rPr>
            </w:pPr>
          </w:p>
        </w:tc>
        <w:tc>
          <w:tcPr>
            <w:tcW w:w="2250" w:type="dxa"/>
            <w:shd w:val="clear" w:color="auto" w:fill="auto"/>
            <w:noWrap/>
            <w:vAlign w:val="bottom"/>
            <w:hideMark/>
          </w:tcPr>
          <w:p w14:paraId="36F32303" w14:textId="77777777" w:rsidR="0003486C" w:rsidRPr="0003486C" w:rsidRDefault="0003486C" w:rsidP="0003486C">
            <w:pPr>
              <w:pStyle w:val="Tables"/>
              <w:rPr>
                <w:sz w:val="20"/>
                <w:szCs w:val="20"/>
              </w:rPr>
            </w:pPr>
            <w:r w:rsidRPr="0003486C">
              <w:rPr>
                <w:sz w:val="20"/>
                <w:szCs w:val="20"/>
              </w:rPr>
              <w:t>glucose.nrel</w:t>
            </w:r>
          </w:p>
        </w:tc>
        <w:tc>
          <w:tcPr>
            <w:tcW w:w="1620" w:type="dxa"/>
            <w:shd w:val="clear" w:color="auto" w:fill="auto"/>
            <w:noWrap/>
            <w:vAlign w:val="center"/>
            <w:hideMark/>
          </w:tcPr>
          <w:p w14:paraId="28930D5F" w14:textId="6BC0CEDD" w:rsidR="0003486C" w:rsidRPr="0003486C" w:rsidRDefault="0003486C" w:rsidP="0029350A">
            <w:pPr>
              <w:pStyle w:val="Tables"/>
              <w:jc w:val="right"/>
              <w:rPr>
                <w:sz w:val="20"/>
                <w:szCs w:val="20"/>
              </w:rPr>
            </w:pPr>
            <w:r w:rsidRPr="0003486C">
              <w:rPr>
                <w:color w:val="000000"/>
                <w:sz w:val="20"/>
                <w:szCs w:val="20"/>
              </w:rPr>
              <w:t>1.82E+05</w:t>
            </w:r>
          </w:p>
        </w:tc>
      </w:tr>
      <w:tr w:rsidR="007F0C12" w:rsidRPr="0003486C" w14:paraId="14A7BA54" w14:textId="77777777" w:rsidTr="007F0C12">
        <w:trPr>
          <w:trHeight w:val="20"/>
        </w:trPr>
        <w:tc>
          <w:tcPr>
            <w:tcW w:w="1520" w:type="dxa"/>
            <w:shd w:val="clear" w:color="auto" w:fill="auto"/>
            <w:noWrap/>
            <w:vAlign w:val="bottom"/>
            <w:hideMark/>
          </w:tcPr>
          <w:p w14:paraId="166376F8" w14:textId="77777777" w:rsidR="0003486C" w:rsidRPr="0003486C" w:rsidRDefault="0003486C" w:rsidP="0003486C">
            <w:pPr>
              <w:pStyle w:val="Tables"/>
              <w:rPr>
                <w:b/>
                <w:bCs/>
                <w:sz w:val="20"/>
                <w:szCs w:val="20"/>
              </w:rPr>
            </w:pPr>
            <w:r w:rsidRPr="0003486C">
              <w:rPr>
                <w:b/>
                <w:bCs/>
                <w:sz w:val="20"/>
                <w:szCs w:val="20"/>
              </w:rPr>
              <w:t>SUC</w:t>
            </w:r>
          </w:p>
        </w:tc>
        <w:tc>
          <w:tcPr>
            <w:tcW w:w="1801" w:type="dxa"/>
            <w:shd w:val="clear" w:color="auto" w:fill="auto"/>
            <w:noWrap/>
            <w:vAlign w:val="center"/>
            <w:hideMark/>
          </w:tcPr>
          <w:p w14:paraId="00D7B8CD" w14:textId="1CD90FD2" w:rsidR="0003486C" w:rsidRPr="0003486C" w:rsidRDefault="0003486C" w:rsidP="0029350A">
            <w:pPr>
              <w:pStyle w:val="Tables"/>
              <w:jc w:val="right"/>
              <w:rPr>
                <w:sz w:val="20"/>
                <w:szCs w:val="20"/>
              </w:rPr>
            </w:pPr>
            <w:r w:rsidRPr="0003486C">
              <w:rPr>
                <w:color w:val="000000"/>
                <w:sz w:val="20"/>
                <w:szCs w:val="20"/>
              </w:rPr>
              <w:t>2.96E+05</w:t>
            </w:r>
          </w:p>
        </w:tc>
        <w:tc>
          <w:tcPr>
            <w:tcW w:w="360" w:type="dxa"/>
            <w:shd w:val="clear" w:color="auto" w:fill="auto"/>
            <w:noWrap/>
            <w:vAlign w:val="bottom"/>
            <w:hideMark/>
          </w:tcPr>
          <w:p w14:paraId="6ED9467E" w14:textId="77777777" w:rsidR="0003486C" w:rsidRPr="0003486C" w:rsidRDefault="0003486C" w:rsidP="0003486C">
            <w:pPr>
              <w:pStyle w:val="Tables"/>
              <w:rPr>
                <w:sz w:val="20"/>
                <w:szCs w:val="20"/>
              </w:rPr>
            </w:pPr>
          </w:p>
        </w:tc>
        <w:tc>
          <w:tcPr>
            <w:tcW w:w="2250" w:type="dxa"/>
            <w:shd w:val="clear" w:color="auto" w:fill="auto"/>
            <w:noWrap/>
            <w:vAlign w:val="bottom"/>
            <w:hideMark/>
          </w:tcPr>
          <w:p w14:paraId="20724E8E" w14:textId="77777777" w:rsidR="0003486C" w:rsidRPr="0003486C" w:rsidRDefault="0003486C" w:rsidP="0003486C">
            <w:pPr>
              <w:pStyle w:val="Tables"/>
              <w:rPr>
                <w:sz w:val="20"/>
                <w:szCs w:val="20"/>
              </w:rPr>
            </w:pPr>
            <w:r w:rsidRPr="0003486C">
              <w:rPr>
                <w:sz w:val="20"/>
                <w:szCs w:val="20"/>
              </w:rPr>
              <w:t>xylose.nrel</w:t>
            </w:r>
          </w:p>
        </w:tc>
        <w:tc>
          <w:tcPr>
            <w:tcW w:w="1620" w:type="dxa"/>
            <w:shd w:val="clear" w:color="auto" w:fill="auto"/>
            <w:noWrap/>
            <w:vAlign w:val="center"/>
            <w:hideMark/>
          </w:tcPr>
          <w:p w14:paraId="5C3C697D" w14:textId="74FAB18A" w:rsidR="0003486C" w:rsidRPr="0003486C" w:rsidRDefault="0003486C" w:rsidP="0029350A">
            <w:pPr>
              <w:pStyle w:val="Tables"/>
              <w:jc w:val="right"/>
              <w:rPr>
                <w:sz w:val="20"/>
                <w:szCs w:val="20"/>
              </w:rPr>
            </w:pPr>
            <w:r w:rsidRPr="0003486C">
              <w:rPr>
                <w:color w:val="000000"/>
                <w:sz w:val="20"/>
                <w:szCs w:val="20"/>
              </w:rPr>
              <w:t>6.08E+04</w:t>
            </w:r>
          </w:p>
        </w:tc>
      </w:tr>
      <w:tr w:rsidR="007F0C12" w:rsidRPr="0003486C" w14:paraId="4E31F635" w14:textId="77777777" w:rsidTr="007F0C12">
        <w:trPr>
          <w:trHeight w:val="20"/>
        </w:trPr>
        <w:tc>
          <w:tcPr>
            <w:tcW w:w="1520" w:type="dxa"/>
            <w:shd w:val="clear" w:color="auto" w:fill="auto"/>
            <w:noWrap/>
            <w:vAlign w:val="bottom"/>
            <w:hideMark/>
          </w:tcPr>
          <w:p w14:paraId="01A3DACC" w14:textId="77777777" w:rsidR="0003486C" w:rsidRPr="0003486C" w:rsidRDefault="0003486C" w:rsidP="0003486C">
            <w:pPr>
              <w:pStyle w:val="Tables"/>
              <w:rPr>
                <w:sz w:val="20"/>
                <w:szCs w:val="20"/>
              </w:rPr>
            </w:pPr>
          </w:p>
        </w:tc>
        <w:tc>
          <w:tcPr>
            <w:tcW w:w="1801" w:type="dxa"/>
            <w:shd w:val="clear" w:color="auto" w:fill="auto"/>
            <w:noWrap/>
            <w:vAlign w:val="bottom"/>
            <w:hideMark/>
          </w:tcPr>
          <w:p w14:paraId="060D7305" w14:textId="4E409F24" w:rsidR="0003486C" w:rsidRPr="0003486C" w:rsidRDefault="0003486C" w:rsidP="0029350A">
            <w:pPr>
              <w:pStyle w:val="Tables"/>
              <w:jc w:val="right"/>
              <w:rPr>
                <w:sz w:val="20"/>
                <w:szCs w:val="20"/>
              </w:rPr>
            </w:pPr>
            <w:r w:rsidRPr="0003486C">
              <w:rPr>
                <w:color w:val="000000"/>
                <w:sz w:val="20"/>
                <w:szCs w:val="20"/>
              </w:rPr>
              <w:t> </w:t>
            </w:r>
          </w:p>
        </w:tc>
        <w:tc>
          <w:tcPr>
            <w:tcW w:w="360" w:type="dxa"/>
            <w:shd w:val="clear" w:color="auto" w:fill="auto"/>
            <w:noWrap/>
            <w:vAlign w:val="bottom"/>
            <w:hideMark/>
          </w:tcPr>
          <w:p w14:paraId="4D022F0E" w14:textId="77777777" w:rsidR="0003486C" w:rsidRPr="0003486C" w:rsidRDefault="0003486C" w:rsidP="0003486C">
            <w:pPr>
              <w:pStyle w:val="Tables"/>
              <w:rPr>
                <w:sz w:val="20"/>
                <w:szCs w:val="20"/>
              </w:rPr>
            </w:pPr>
          </w:p>
        </w:tc>
        <w:tc>
          <w:tcPr>
            <w:tcW w:w="2250" w:type="dxa"/>
            <w:shd w:val="clear" w:color="auto" w:fill="auto"/>
            <w:noWrap/>
            <w:vAlign w:val="bottom"/>
            <w:hideMark/>
          </w:tcPr>
          <w:p w14:paraId="67D3FFD0" w14:textId="77777777" w:rsidR="0003486C" w:rsidRPr="0003486C" w:rsidRDefault="0003486C" w:rsidP="0003486C">
            <w:pPr>
              <w:pStyle w:val="Tables"/>
              <w:rPr>
                <w:sz w:val="20"/>
                <w:szCs w:val="20"/>
              </w:rPr>
            </w:pPr>
          </w:p>
        </w:tc>
        <w:tc>
          <w:tcPr>
            <w:tcW w:w="1620" w:type="dxa"/>
            <w:shd w:val="clear" w:color="auto" w:fill="auto"/>
            <w:noWrap/>
            <w:vAlign w:val="bottom"/>
            <w:hideMark/>
          </w:tcPr>
          <w:p w14:paraId="4B09B357" w14:textId="5079F976" w:rsidR="0003486C" w:rsidRPr="0003486C" w:rsidRDefault="0003486C" w:rsidP="0029350A">
            <w:pPr>
              <w:pStyle w:val="Tables"/>
              <w:jc w:val="right"/>
              <w:rPr>
                <w:sz w:val="20"/>
                <w:szCs w:val="20"/>
              </w:rPr>
            </w:pPr>
            <w:r w:rsidRPr="0003486C">
              <w:rPr>
                <w:color w:val="000000"/>
                <w:sz w:val="20"/>
                <w:szCs w:val="20"/>
              </w:rPr>
              <w:t> </w:t>
            </w:r>
          </w:p>
        </w:tc>
      </w:tr>
      <w:tr w:rsidR="007F0C12" w:rsidRPr="0003486C" w14:paraId="04C1C5C7" w14:textId="77777777" w:rsidTr="007F0C12">
        <w:trPr>
          <w:trHeight w:val="20"/>
        </w:trPr>
        <w:tc>
          <w:tcPr>
            <w:tcW w:w="1520" w:type="dxa"/>
            <w:shd w:val="clear" w:color="auto" w:fill="auto"/>
            <w:noWrap/>
            <w:vAlign w:val="bottom"/>
            <w:hideMark/>
          </w:tcPr>
          <w:p w14:paraId="6DBF34C7" w14:textId="77777777" w:rsidR="0003486C" w:rsidRPr="0029350A" w:rsidRDefault="0003486C" w:rsidP="0003486C">
            <w:pPr>
              <w:pStyle w:val="Tables"/>
              <w:rPr>
                <w:sz w:val="20"/>
                <w:szCs w:val="20"/>
                <w:u w:val="single"/>
              </w:rPr>
            </w:pPr>
            <w:r w:rsidRPr="0029350A">
              <w:rPr>
                <w:sz w:val="20"/>
                <w:szCs w:val="20"/>
                <w:u w:val="single"/>
              </w:rPr>
              <w:t>furfurals</w:t>
            </w:r>
          </w:p>
        </w:tc>
        <w:tc>
          <w:tcPr>
            <w:tcW w:w="1801" w:type="dxa"/>
            <w:shd w:val="clear" w:color="auto" w:fill="auto"/>
            <w:noWrap/>
            <w:vAlign w:val="center"/>
            <w:hideMark/>
          </w:tcPr>
          <w:p w14:paraId="5B58BB37" w14:textId="6B63FA37" w:rsidR="0003486C" w:rsidRPr="0029350A" w:rsidRDefault="0003486C" w:rsidP="0029350A">
            <w:pPr>
              <w:pStyle w:val="Tables"/>
              <w:jc w:val="right"/>
              <w:rPr>
                <w:sz w:val="20"/>
                <w:szCs w:val="20"/>
                <w:u w:val="single"/>
              </w:rPr>
            </w:pPr>
            <w:r w:rsidRPr="0029350A">
              <w:rPr>
                <w:color w:val="000000"/>
                <w:sz w:val="20"/>
                <w:szCs w:val="20"/>
                <w:u w:val="single"/>
              </w:rPr>
              <w:t>% Increase MSE</w:t>
            </w:r>
          </w:p>
        </w:tc>
        <w:tc>
          <w:tcPr>
            <w:tcW w:w="360" w:type="dxa"/>
            <w:shd w:val="clear" w:color="auto" w:fill="auto"/>
            <w:noWrap/>
            <w:vAlign w:val="bottom"/>
            <w:hideMark/>
          </w:tcPr>
          <w:p w14:paraId="76130FCF" w14:textId="77777777" w:rsidR="0003486C" w:rsidRPr="0029350A" w:rsidRDefault="0003486C" w:rsidP="0003486C">
            <w:pPr>
              <w:pStyle w:val="Tables"/>
              <w:rPr>
                <w:sz w:val="20"/>
                <w:szCs w:val="20"/>
                <w:u w:val="single"/>
              </w:rPr>
            </w:pPr>
          </w:p>
        </w:tc>
        <w:tc>
          <w:tcPr>
            <w:tcW w:w="2250" w:type="dxa"/>
            <w:shd w:val="clear" w:color="auto" w:fill="auto"/>
            <w:noWrap/>
            <w:vAlign w:val="bottom"/>
            <w:hideMark/>
          </w:tcPr>
          <w:p w14:paraId="54526871" w14:textId="77777777" w:rsidR="0003486C" w:rsidRPr="0029350A" w:rsidRDefault="0003486C" w:rsidP="0003486C">
            <w:pPr>
              <w:pStyle w:val="Tables"/>
              <w:rPr>
                <w:sz w:val="20"/>
                <w:szCs w:val="20"/>
                <w:u w:val="single"/>
              </w:rPr>
            </w:pPr>
            <w:r w:rsidRPr="0029350A">
              <w:rPr>
                <w:sz w:val="20"/>
                <w:szCs w:val="20"/>
                <w:u w:val="single"/>
              </w:rPr>
              <w:t>pyran derivatives</w:t>
            </w:r>
          </w:p>
        </w:tc>
        <w:tc>
          <w:tcPr>
            <w:tcW w:w="1620" w:type="dxa"/>
            <w:shd w:val="clear" w:color="auto" w:fill="auto"/>
            <w:noWrap/>
            <w:vAlign w:val="center"/>
            <w:hideMark/>
          </w:tcPr>
          <w:p w14:paraId="787D94C8" w14:textId="0278C9E0" w:rsidR="0003486C" w:rsidRPr="0029350A" w:rsidRDefault="0003486C" w:rsidP="0029350A">
            <w:pPr>
              <w:pStyle w:val="Tables"/>
              <w:jc w:val="right"/>
              <w:rPr>
                <w:sz w:val="20"/>
                <w:szCs w:val="20"/>
                <w:u w:val="single"/>
              </w:rPr>
            </w:pPr>
            <w:r w:rsidRPr="0029350A">
              <w:rPr>
                <w:color w:val="000000"/>
                <w:sz w:val="20"/>
                <w:szCs w:val="20"/>
                <w:u w:val="single"/>
              </w:rPr>
              <w:t>% Increase MSE</w:t>
            </w:r>
          </w:p>
        </w:tc>
      </w:tr>
      <w:tr w:rsidR="007F0C12" w:rsidRPr="0003486C" w14:paraId="41EF11EC" w14:textId="77777777" w:rsidTr="007F0C12">
        <w:trPr>
          <w:trHeight w:val="20"/>
        </w:trPr>
        <w:tc>
          <w:tcPr>
            <w:tcW w:w="1520" w:type="dxa"/>
            <w:shd w:val="clear" w:color="auto" w:fill="auto"/>
            <w:noWrap/>
            <w:vAlign w:val="bottom"/>
            <w:hideMark/>
          </w:tcPr>
          <w:p w14:paraId="18CD265B" w14:textId="77777777" w:rsidR="0003486C" w:rsidRPr="0003486C" w:rsidRDefault="0003486C" w:rsidP="0003486C">
            <w:pPr>
              <w:pStyle w:val="Tables"/>
              <w:rPr>
                <w:b/>
                <w:bCs/>
                <w:sz w:val="20"/>
                <w:szCs w:val="20"/>
              </w:rPr>
            </w:pPr>
            <w:r w:rsidRPr="0003486C">
              <w:rPr>
                <w:b/>
                <w:bCs/>
                <w:sz w:val="20"/>
                <w:szCs w:val="20"/>
              </w:rPr>
              <w:t>K</w:t>
            </w:r>
          </w:p>
        </w:tc>
        <w:tc>
          <w:tcPr>
            <w:tcW w:w="1801" w:type="dxa"/>
            <w:shd w:val="clear" w:color="auto" w:fill="auto"/>
            <w:noWrap/>
            <w:vAlign w:val="center"/>
            <w:hideMark/>
          </w:tcPr>
          <w:p w14:paraId="11453A57" w14:textId="3E9AFDA2" w:rsidR="0003486C" w:rsidRPr="0003486C" w:rsidRDefault="0003486C" w:rsidP="0029350A">
            <w:pPr>
              <w:pStyle w:val="Tables"/>
              <w:jc w:val="right"/>
              <w:rPr>
                <w:sz w:val="20"/>
                <w:szCs w:val="20"/>
              </w:rPr>
            </w:pPr>
            <w:r w:rsidRPr="0003486C">
              <w:rPr>
                <w:color w:val="000000"/>
                <w:sz w:val="20"/>
                <w:szCs w:val="20"/>
              </w:rPr>
              <w:t>4.59E+05</w:t>
            </w:r>
          </w:p>
        </w:tc>
        <w:tc>
          <w:tcPr>
            <w:tcW w:w="360" w:type="dxa"/>
            <w:shd w:val="clear" w:color="auto" w:fill="auto"/>
            <w:noWrap/>
            <w:vAlign w:val="bottom"/>
            <w:hideMark/>
          </w:tcPr>
          <w:p w14:paraId="27DBE7CF" w14:textId="77777777" w:rsidR="0003486C" w:rsidRPr="0003486C" w:rsidRDefault="0003486C" w:rsidP="0003486C">
            <w:pPr>
              <w:pStyle w:val="Tables"/>
              <w:rPr>
                <w:sz w:val="20"/>
                <w:szCs w:val="20"/>
              </w:rPr>
            </w:pPr>
          </w:p>
        </w:tc>
        <w:tc>
          <w:tcPr>
            <w:tcW w:w="2250" w:type="dxa"/>
            <w:shd w:val="clear" w:color="auto" w:fill="auto"/>
            <w:noWrap/>
            <w:vAlign w:val="bottom"/>
            <w:hideMark/>
          </w:tcPr>
          <w:p w14:paraId="3A58BFA0" w14:textId="77777777" w:rsidR="0003486C" w:rsidRPr="0003486C" w:rsidRDefault="0003486C" w:rsidP="0003486C">
            <w:pPr>
              <w:pStyle w:val="Tables"/>
              <w:rPr>
                <w:sz w:val="20"/>
                <w:szCs w:val="20"/>
              </w:rPr>
            </w:pPr>
            <w:r w:rsidRPr="0003486C">
              <w:rPr>
                <w:sz w:val="20"/>
                <w:szCs w:val="20"/>
              </w:rPr>
              <w:t>PENT2</w:t>
            </w:r>
          </w:p>
        </w:tc>
        <w:tc>
          <w:tcPr>
            <w:tcW w:w="1620" w:type="dxa"/>
            <w:shd w:val="clear" w:color="auto" w:fill="auto"/>
            <w:noWrap/>
            <w:vAlign w:val="center"/>
            <w:hideMark/>
          </w:tcPr>
          <w:p w14:paraId="79BC2547" w14:textId="6EB371D5" w:rsidR="0003486C" w:rsidRPr="0003486C" w:rsidRDefault="0003486C" w:rsidP="0029350A">
            <w:pPr>
              <w:pStyle w:val="Tables"/>
              <w:jc w:val="right"/>
              <w:rPr>
                <w:sz w:val="20"/>
                <w:szCs w:val="20"/>
              </w:rPr>
            </w:pPr>
            <w:r w:rsidRPr="0003486C">
              <w:rPr>
                <w:color w:val="000000"/>
                <w:sz w:val="20"/>
                <w:szCs w:val="20"/>
              </w:rPr>
              <w:t>3.59E+06</w:t>
            </w:r>
          </w:p>
        </w:tc>
      </w:tr>
      <w:tr w:rsidR="007F0C12" w:rsidRPr="0003486C" w14:paraId="543004A1" w14:textId="77777777" w:rsidTr="003F24CB">
        <w:trPr>
          <w:trHeight w:val="279"/>
        </w:trPr>
        <w:tc>
          <w:tcPr>
            <w:tcW w:w="1520" w:type="dxa"/>
            <w:shd w:val="clear" w:color="auto" w:fill="auto"/>
            <w:noWrap/>
            <w:vAlign w:val="bottom"/>
            <w:hideMark/>
          </w:tcPr>
          <w:p w14:paraId="0B8F71C4" w14:textId="77777777" w:rsidR="0003486C" w:rsidRPr="0003486C" w:rsidRDefault="0003486C" w:rsidP="0003486C">
            <w:pPr>
              <w:pStyle w:val="Tables"/>
              <w:rPr>
                <w:sz w:val="20"/>
                <w:szCs w:val="20"/>
              </w:rPr>
            </w:pPr>
            <w:r w:rsidRPr="0003486C">
              <w:rPr>
                <w:sz w:val="20"/>
                <w:szCs w:val="20"/>
              </w:rPr>
              <w:t>Crude.Protein</w:t>
            </w:r>
          </w:p>
        </w:tc>
        <w:tc>
          <w:tcPr>
            <w:tcW w:w="1801" w:type="dxa"/>
            <w:shd w:val="clear" w:color="auto" w:fill="auto"/>
            <w:noWrap/>
            <w:vAlign w:val="center"/>
            <w:hideMark/>
          </w:tcPr>
          <w:p w14:paraId="190C1651" w14:textId="52A6D3EB" w:rsidR="0003486C" w:rsidRPr="0003486C" w:rsidRDefault="0003486C" w:rsidP="0029350A">
            <w:pPr>
              <w:pStyle w:val="Tables"/>
              <w:jc w:val="right"/>
              <w:rPr>
                <w:sz w:val="20"/>
                <w:szCs w:val="20"/>
              </w:rPr>
            </w:pPr>
            <w:r w:rsidRPr="0003486C">
              <w:rPr>
                <w:color w:val="000000"/>
                <w:sz w:val="20"/>
                <w:szCs w:val="20"/>
              </w:rPr>
              <w:t>1.19E+05</w:t>
            </w:r>
          </w:p>
        </w:tc>
        <w:tc>
          <w:tcPr>
            <w:tcW w:w="360" w:type="dxa"/>
            <w:shd w:val="clear" w:color="auto" w:fill="auto"/>
            <w:noWrap/>
            <w:vAlign w:val="bottom"/>
            <w:hideMark/>
          </w:tcPr>
          <w:p w14:paraId="7FC0D80C" w14:textId="77777777" w:rsidR="0003486C" w:rsidRPr="0003486C" w:rsidRDefault="0003486C" w:rsidP="0003486C">
            <w:pPr>
              <w:pStyle w:val="Tables"/>
              <w:rPr>
                <w:sz w:val="20"/>
                <w:szCs w:val="20"/>
              </w:rPr>
            </w:pPr>
          </w:p>
        </w:tc>
        <w:tc>
          <w:tcPr>
            <w:tcW w:w="2250" w:type="dxa"/>
            <w:shd w:val="clear" w:color="auto" w:fill="auto"/>
            <w:noWrap/>
            <w:vAlign w:val="bottom"/>
            <w:hideMark/>
          </w:tcPr>
          <w:p w14:paraId="242D2E29" w14:textId="77777777" w:rsidR="0003486C" w:rsidRPr="0003486C" w:rsidRDefault="0003486C" w:rsidP="0003486C">
            <w:pPr>
              <w:pStyle w:val="Tables"/>
              <w:rPr>
                <w:sz w:val="20"/>
                <w:szCs w:val="20"/>
              </w:rPr>
            </w:pPr>
            <w:r w:rsidRPr="0003486C">
              <w:rPr>
                <w:sz w:val="20"/>
                <w:szCs w:val="20"/>
              </w:rPr>
              <w:t>K</w:t>
            </w:r>
          </w:p>
        </w:tc>
        <w:tc>
          <w:tcPr>
            <w:tcW w:w="1620" w:type="dxa"/>
            <w:shd w:val="clear" w:color="auto" w:fill="auto"/>
            <w:noWrap/>
            <w:vAlign w:val="center"/>
            <w:hideMark/>
          </w:tcPr>
          <w:p w14:paraId="7450A0A6" w14:textId="55742E3E" w:rsidR="0003486C" w:rsidRPr="0003486C" w:rsidRDefault="0003486C" w:rsidP="0029350A">
            <w:pPr>
              <w:pStyle w:val="Tables"/>
              <w:jc w:val="right"/>
              <w:rPr>
                <w:sz w:val="20"/>
                <w:szCs w:val="20"/>
              </w:rPr>
            </w:pPr>
            <w:r w:rsidRPr="0003486C">
              <w:rPr>
                <w:color w:val="000000"/>
                <w:sz w:val="20"/>
                <w:szCs w:val="20"/>
              </w:rPr>
              <w:t>3.11E+06</w:t>
            </w:r>
          </w:p>
        </w:tc>
      </w:tr>
      <w:tr w:rsidR="007F0C12" w:rsidRPr="0003486C" w14:paraId="30FEED24" w14:textId="77777777" w:rsidTr="007F0C12">
        <w:trPr>
          <w:trHeight w:val="20"/>
        </w:trPr>
        <w:tc>
          <w:tcPr>
            <w:tcW w:w="1520" w:type="dxa"/>
            <w:shd w:val="clear" w:color="auto" w:fill="auto"/>
            <w:noWrap/>
            <w:vAlign w:val="bottom"/>
            <w:hideMark/>
          </w:tcPr>
          <w:p w14:paraId="512E65EF" w14:textId="77777777" w:rsidR="0003486C" w:rsidRPr="0003486C" w:rsidRDefault="0003486C" w:rsidP="0003486C">
            <w:pPr>
              <w:pStyle w:val="Tables"/>
              <w:rPr>
                <w:sz w:val="20"/>
                <w:szCs w:val="20"/>
              </w:rPr>
            </w:pPr>
            <w:r w:rsidRPr="0003486C">
              <w:rPr>
                <w:sz w:val="20"/>
                <w:szCs w:val="20"/>
              </w:rPr>
              <w:t>PCA</w:t>
            </w:r>
          </w:p>
        </w:tc>
        <w:tc>
          <w:tcPr>
            <w:tcW w:w="1801" w:type="dxa"/>
            <w:shd w:val="clear" w:color="auto" w:fill="auto"/>
            <w:noWrap/>
            <w:vAlign w:val="center"/>
            <w:hideMark/>
          </w:tcPr>
          <w:p w14:paraId="7C096CAB" w14:textId="1C85A241" w:rsidR="0003486C" w:rsidRPr="0003486C" w:rsidRDefault="0003486C" w:rsidP="0029350A">
            <w:pPr>
              <w:pStyle w:val="Tables"/>
              <w:jc w:val="right"/>
              <w:rPr>
                <w:sz w:val="20"/>
                <w:szCs w:val="20"/>
              </w:rPr>
            </w:pPr>
            <w:r w:rsidRPr="0003486C">
              <w:rPr>
                <w:color w:val="000000"/>
                <w:sz w:val="20"/>
                <w:szCs w:val="20"/>
              </w:rPr>
              <w:t>6.74E+04</w:t>
            </w:r>
          </w:p>
        </w:tc>
        <w:tc>
          <w:tcPr>
            <w:tcW w:w="360" w:type="dxa"/>
            <w:shd w:val="clear" w:color="auto" w:fill="auto"/>
            <w:noWrap/>
            <w:vAlign w:val="bottom"/>
            <w:hideMark/>
          </w:tcPr>
          <w:p w14:paraId="109ADD13" w14:textId="77777777" w:rsidR="0003486C" w:rsidRPr="0003486C" w:rsidRDefault="0003486C" w:rsidP="0003486C">
            <w:pPr>
              <w:pStyle w:val="Tables"/>
              <w:rPr>
                <w:sz w:val="20"/>
                <w:szCs w:val="20"/>
              </w:rPr>
            </w:pPr>
          </w:p>
        </w:tc>
        <w:tc>
          <w:tcPr>
            <w:tcW w:w="2250" w:type="dxa"/>
            <w:shd w:val="clear" w:color="auto" w:fill="auto"/>
            <w:noWrap/>
            <w:vAlign w:val="bottom"/>
            <w:hideMark/>
          </w:tcPr>
          <w:p w14:paraId="201FEC9C" w14:textId="77777777" w:rsidR="0003486C" w:rsidRPr="0003486C" w:rsidRDefault="0003486C" w:rsidP="0003486C">
            <w:pPr>
              <w:pStyle w:val="Tables"/>
              <w:rPr>
                <w:sz w:val="20"/>
                <w:szCs w:val="20"/>
              </w:rPr>
            </w:pPr>
            <w:r w:rsidRPr="0003486C">
              <w:rPr>
                <w:sz w:val="20"/>
                <w:szCs w:val="20"/>
              </w:rPr>
              <w:t>XYL</w:t>
            </w:r>
          </w:p>
        </w:tc>
        <w:tc>
          <w:tcPr>
            <w:tcW w:w="1620" w:type="dxa"/>
            <w:shd w:val="clear" w:color="auto" w:fill="auto"/>
            <w:noWrap/>
            <w:vAlign w:val="center"/>
            <w:hideMark/>
          </w:tcPr>
          <w:p w14:paraId="03C4D3D3" w14:textId="6DAB9C6F" w:rsidR="0003486C" w:rsidRPr="0003486C" w:rsidRDefault="0003486C" w:rsidP="0029350A">
            <w:pPr>
              <w:pStyle w:val="Tables"/>
              <w:jc w:val="right"/>
              <w:rPr>
                <w:sz w:val="20"/>
                <w:szCs w:val="20"/>
              </w:rPr>
            </w:pPr>
            <w:r w:rsidRPr="0003486C">
              <w:rPr>
                <w:color w:val="000000"/>
                <w:sz w:val="20"/>
                <w:szCs w:val="20"/>
              </w:rPr>
              <w:t>2.58E+06</w:t>
            </w:r>
          </w:p>
        </w:tc>
      </w:tr>
      <w:tr w:rsidR="007F0C12" w:rsidRPr="0003486C" w14:paraId="6C5113C1" w14:textId="77777777" w:rsidTr="007F0C12">
        <w:trPr>
          <w:trHeight w:val="20"/>
        </w:trPr>
        <w:tc>
          <w:tcPr>
            <w:tcW w:w="1520" w:type="dxa"/>
            <w:shd w:val="clear" w:color="auto" w:fill="auto"/>
            <w:noWrap/>
            <w:vAlign w:val="bottom"/>
            <w:hideMark/>
          </w:tcPr>
          <w:p w14:paraId="3EDC4D5A" w14:textId="77777777" w:rsidR="0003486C" w:rsidRPr="0003486C" w:rsidRDefault="0003486C" w:rsidP="0003486C">
            <w:pPr>
              <w:pStyle w:val="Tables"/>
              <w:rPr>
                <w:b/>
                <w:bCs/>
                <w:sz w:val="20"/>
                <w:szCs w:val="20"/>
              </w:rPr>
            </w:pPr>
            <w:r w:rsidRPr="0003486C">
              <w:rPr>
                <w:b/>
                <w:bCs/>
                <w:sz w:val="20"/>
                <w:szCs w:val="20"/>
              </w:rPr>
              <w:t>GLC</w:t>
            </w:r>
          </w:p>
        </w:tc>
        <w:tc>
          <w:tcPr>
            <w:tcW w:w="1801" w:type="dxa"/>
            <w:shd w:val="clear" w:color="auto" w:fill="auto"/>
            <w:noWrap/>
            <w:vAlign w:val="center"/>
            <w:hideMark/>
          </w:tcPr>
          <w:p w14:paraId="24905648" w14:textId="33B43552" w:rsidR="0003486C" w:rsidRPr="0003486C" w:rsidRDefault="0003486C" w:rsidP="0029350A">
            <w:pPr>
              <w:pStyle w:val="Tables"/>
              <w:jc w:val="right"/>
              <w:rPr>
                <w:sz w:val="20"/>
                <w:szCs w:val="20"/>
              </w:rPr>
            </w:pPr>
            <w:r w:rsidRPr="0003486C">
              <w:rPr>
                <w:color w:val="000000"/>
                <w:sz w:val="20"/>
                <w:szCs w:val="20"/>
              </w:rPr>
              <w:t>2.29E+03</w:t>
            </w:r>
          </w:p>
        </w:tc>
        <w:tc>
          <w:tcPr>
            <w:tcW w:w="360" w:type="dxa"/>
            <w:shd w:val="clear" w:color="auto" w:fill="auto"/>
            <w:noWrap/>
            <w:vAlign w:val="bottom"/>
            <w:hideMark/>
          </w:tcPr>
          <w:p w14:paraId="504AC0CD" w14:textId="77777777" w:rsidR="0003486C" w:rsidRPr="0003486C" w:rsidRDefault="0003486C" w:rsidP="0003486C">
            <w:pPr>
              <w:pStyle w:val="Tables"/>
              <w:rPr>
                <w:sz w:val="20"/>
                <w:szCs w:val="20"/>
              </w:rPr>
            </w:pPr>
          </w:p>
        </w:tc>
        <w:tc>
          <w:tcPr>
            <w:tcW w:w="2250" w:type="dxa"/>
            <w:shd w:val="clear" w:color="auto" w:fill="auto"/>
            <w:noWrap/>
            <w:vAlign w:val="bottom"/>
            <w:hideMark/>
          </w:tcPr>
          <w:p w14:paraId="5ED35E99" w14:textId="77777777" w:rsidR="0003486C" w:rsidRPr="0003486C" w:rsidRDefault="0003486C" w:rsidP="0003486C">
            <w:pPr>
              <w:pStyle w:val="Tables"/>
              <w:rPr>
                <w:b/>
                <w:bCs/>
                <w:sz w:val="20"/>
                <w:szCs w:val="20"/>
              </w:rPr>
            </w:pPr>
            <w:r w:rsidRPr="0003486C">
              <w:rPr>
                <w:b/>
                <w:bCs/>
                <w:sz w:val="20"/>
                <w:szCs w:val="20"/>
              </w:rPr>
              <w:t>GLCS</w:t>
            </w:r>
          </w:p>
        </w:tc>
        <w:tc>
          <w:tcPr>
            <w:tcW w:w="1620" w:type="dxa"/>
            <w:shd w:val="clear" w:color="auto" w:fill="auto"/>
            <w:noWrap/>
            <w:vAlign w:val="center"/>
            <w:hideMark/>
          </w:tcPr>
          <w:p w14:paraId="6DE10386" w14:textId="0C16EB96" w:rsidR="0003486C" w:rsidRPr="0003486C" w:rsidRDefault="0003486C" w:rsidP="0029350A">
            <w:pPr>
              <w:pStyle w:val="Tables"/>
              <w:jc w:val="right"/>
              <w:rPr>
                <w:sz w:val="20"/>
                <w:szCs w:val="20"/>
              </w:rPr>
            </w:pPr>
            <w:r w:rsidRPr="0003486C">
              <w:rPr>
                <w:color w:val="000000"/>
                <w:sz w:val="20"/>
                <w:szCs w:val="20"/>
              </w:rPr>
              <w:t>2.24E+06</w:t>
            </w:r>
          </w:p>
        </w:tc>
      </w:tr>
      <w:tr w:rsidR="007F0C12" w:rsidRPr="0003486C" w14:paraId="1A0BAA23" w14:textId="77777777" w:rsidTr="007F0C12">
        <w:trPr>
          <w:trHeight w:val="20"/>
        </w:trPr>
        <w:tc>
          <w:tcPr>
            <w:tcW w:w="1520" w:type="dxa"/>
            <w:shd w:val="clear" w:color="auto" w:fill="auto"/>
            <w:noWrap/>
            <w:vAlign w:val="bottom"/>
            <w:hideMark/>
          </w:tcPr>
          <w:p w14:paraId="7D6FB87D" w14:textId="77777777" w:rsidR="0003486C" w:rsidRPr="0003486C" w:rsidRDefault="0003486C" w:rsidP="0003486C">
            <w:pPr>
              <w:pStyle w:val="Tables"/>
              <w:rPr>
                <w:sz w:val="20"/>
                <w:szCs w:val="20"/>
              </w:rPr>
            </w:pPr>
            <w:r w:rsidRPr="0003486C">
              <w:rPr>
                <w:sz w:val="20"/>
                <w:szCs w:val="20"/>
              </w:rPr>
              <w:t>RHA</w:t>
            </w:r>
          </w:p>
        </w:tc>
        <w:tc>
          <w:tcPr>
            <w:tcW w:w="1801" w:type="dxa"/>
            <w:shd w:val="clear" w:color="auto" w:fill="auto"/>
            <w:noWrap/>
            <w:vAlign w:val="center"/>
            <w:hideMark/>
          </w:tcPr>
          <w:p w14:paraId="42058A79" w14:textId="5ACCE08B" w:rsidR="0003486C" w:rsidRPr="0003486C" w:rsidRDefault="0003486C" w:rsidP="0029350A">
            <w:pPr>
              <w:pStyle w:val="Tables"/>
              <w:jc w:val="right"/>
              <w:rPr>
                <w:sz w:val="20"/>
                <w:szCs w:val="20"/>
              </w:rPr>
            </w:pPr>
            <w:r w:rsidRPr="0003486C">
              <w:rPr>
                <w:color w:val="000000"/>
                <w:sz w:val="20"/>
                <w:szCs w:val="20"/>
              </w:rPr>
              <w:t>-1.68E+03</w:t>
            </w:r>
          </w:p>
        </w:tc>
        <w:tc>
          <w:tcPr>
            <w:tcW w:w="360" w:type="dxa"/>
            <w:shd w:val="clear" w:color="auto" w:fill="auto"/>
            <w:noWrap/>
            <w:vAlign w:val="bottom"/>
            <w:hideMark/>
          </w:tcPr>
          <w:p w14:paraId="699E0F8F" w14:textId="77777777" w:rsidR="0003486C" w:rsidRPr="0003486C" w:rsidRDefault="0003486C" w:rsidP="0003486C">
            <w:pPr>
              <w:pStyle w:val="Tables"/>
              <w:rPr>
                <w:sz w:val="20"/>
                <w:szCs w:val="20"/>
              </w:rPr>
            </w:pPr>
          </w:p>
        </w:tc>
        <w:tc>
          <w:tcPr>
            <w:tcW w:w="2250" w:type="dxa"/>
            <w:shd w:val="clear" w:color="auto" w:fill="auto"/>
            <w:noWrap/>
            <w:vAlign w:val="bottom"/>
            <w:hideMark/>
          </w:tcPr>
          <w:p w14:paraId="6FC7C55A" w14:textId="77777777" w:rsidR="0003486C" w:rsidRPr="0003486C" w:rsidRDefault="0003486C" w:rsidP="0003486C">
            <w:pPr>
              <w:pStyle w:val="Tables"/>
              <w:rPr>
                <w:sz w:val="20"/>
                <w:szCs w:val="20"/>
              </w:rPr>
            </w:pPr>
            <w:r w:rsidRPr="0003486C">
              <w:rPr>
                <w:sz w:val="20"/>
                <w:szCs w:val="20"/>
              </w:rPr>
              <w:t>ASH</w:t>
            </w:r>
          </w:p>
        </w:tc>
        <w:tc>
          <w:tcPr>
            <w:tcW w:w="1620" w:type="dxa"/>
            <w:shd w:val="clear" w:color="auto" w:fill="auto"/>
            <w:noWrap/>
            <w:vAlign w:val="center"/>
            <w:hideMark/>
          </w:tcPr>
          <w:p w14:paraId="5DEAF6D1" w14:textId="70E23835" w:rsidR="0003486C" w:rsidRPr="0003486C" w:rsidRDefault="0003486C" w:rsidP="0029350A">
            <w:pPr>
              <w:pStyle w:val="Tables"/>
              <w:jc w:val="right"/>
              <w:rPr>
                <w:sz w:val="20"/>
                <w:szCs w:val="20"/>
              </w:rPr>
            </w:pPr>
            <w:r w:rsidRPr="0003486C">
              <w:rPr>
                <w:color w:val="000000"/>
                <w:sz w:val="20"/>
                <w:szCs w:val="20"/>
              </w:rPr>
              <w:t>2.14E+06</w:t>
            </w:r>
          </w:p>
        </w:tc>
      </w:tr>
      <w:tr w:rsidR="007F0C12" w:rsidRPr="0003486C" w14:paraId="0E743B43" w14:textId="77777777" w:rsidTr="007F0C12">
        <w:trPr>
          <w:trHeight w:val="20"/>
        </w:trPr>
        <w:tc>
          <w:tcPr>
            <w:tcW w:w="1520" w:type="dxa"/>
            <w:shd w:val="clear" w:color="auto" w:fill="auto"/>
            <w:noWrap/>
            <w:vAlign w:val="bottom"/>
            <w:hideMark/>
          </w:tcPr>
          <w:p w14:paraId="4C8ABE01" w14:textId="77777777" w:rsidR="0003486C" w:rsidRPr="0003486C" w:rsidRDefault="0003486C" w:rsidP="0003486C">
            <w:pPr>
              <w:pStyle w:val="Tables"/>
              <w:rPr>
                <w:sz w:val="20"/>
                <w:szCs w:val="20"/>
              </w:rPr>
            </w:pPr>
            <w:r w:rsidRPr="0003486C">
              <w:rPr>
                <w:sz w:val="20"/>
                <w:szCs w:val="20"/>
              </w:rPr>
              <w:t>PENT2</w:t>
            </w:r>
          </w:p>
        </w:tc>
        <w:tc>
          <w:tcPr>
            <w:tcW w:w="1801" w:type="dxa"/>
            <w:shd w:val="clear" w:color="auto" w:fill="auto"/>
            <w:noWrap/>
            <w:vAlign w:val="center"/>
            <w:hideMark/>
          </w:tcPr>
          <w:p w14:paraId="01A81C89" w14:textId="21D61162" w:rsidR="0003486C" w:rsidRPr="0003486C" w:rsidRDefault="0003486C" w:rsidP="0029350A">
            <w:pPr>
              <w:pStyle w:val="Tables"/>
              <w:jc w:val="right"/>
              <w:rPr>
                <w:sz w:val="20"/>
                <w:szCs w:val="20"/>
              </w:rPr>
            </w:pPr>
            <w:r w:rsidRPr="0003486C">
              <w:rPr>
                <w:color w:val="000000"/>
                <w:sz w:val="20"/>
                <w:szCs w:val="20"/>
              </w:rPr>
              <w:t>-3.01E+03</w:t>
            </w:r>
          </w:p>
        </w:tc>
        <w:tc>
          <w:tcPr>
            <w:tcW w:w="360" w:type="dxa"/>
            <w:shd w:val="clear" w:color="auto" w:fill="auto"/>
            <w:noWrap/>
            <w:vAlign w:val="bottom"/>
            <w:hideMark/>
          </w:tcPr>
          <w:p w14:paraId="295B6406" w14:textId="77777777" w:rsidR="0003486C" w:rsidRPr="0003486C" w:rsidRDefault="0003486C" w:rsidP="0003486C">
            <w:pPr>
              <w:pStyle w:val="Tables"/>
              <w:rPr>
                <w:sz w:val="20"/>
                <w:szCs w:val="20"/>
              </w:rPr>
            </w:pPr>
          </w:p>
        </w:tc>
        <w:tc>
          <w:tcPr>
            <w:tcW w:w="2250" w:type="dxa"/>
            <w:shd w:val="clear" w:color="auto" w:fill="auto"/>
            <w:noWrap/>
            <w:vAlign w:val="bottom"/>
            <w:hideMark/>
          </w:tcPr>
          <w:p w14:paraId="3219131F" w14:textId="77777777" w:rsidR="0003486C" w:rsidRPr="0003486C" w:rsidRDefault="0003486C" w:rsidP="0003486C">
            <w:pPr>
              <w:pStyle w:val="Tables"/>
              <w:rPr>
                <w:sz w:val="20"/>
                <w:szCs w:val="20"/>
              </w:rPr>
            </w:pPr>
            <w:r w:rsidRPr="0003486C">
              <w:rPr>
                <w:sz w:val="20"/>
                <w:szCs w:val="20"/>
              </w:rPr>
              <w:t>CAL</w:t>
            </w:r>
          </w:p>
        </w:tc>
        <w:tc>
          <w:tcPr>
            <w:tcW w:w="1620" w:type="dxa"/>
            <w:shd w:val="clear" w:color="auto" w:fill="auto"/>
            <w:noWrap/>
            <w:vAlign w:val="center"/>
            <w:hideMark/>
          </w:tcPr>
          <w:p w14:paraId="06FF628C" w14:textId="792E2DFE" w:rsidR="0003486C" w:rsidRPr="0003486C" w:rsidRDefault="0003486C" w:rsidP="0029350A">
            <w:pPr>
              <w:pStyle w:val="Tables"/>
              <w:jc w:val="right"/>
              <w:rPr>
                <w:sz w:val="20"/>
                <w:szCs w:val="20"/>
              </w:rPr>
            </w:pPr>
            <w:r w:rsidRPr="0003486C">
              <w:rPr>
                <w:color w:val="000000"/>
                <w:sz w:val="20"/>
                <w:szCs w:val="20"/>
              </w:rPr>
              <w:t>1.34E+06</w:t>
            </w:r>
          </w:p>
        </w:tc>
      </w:tr>
      <w:tr w:rsidR="007F0C12" w:rsidRPr="0003486C" w14:paraId="46FCFDBB" w14:textId="77777777" w:rsidTr="007F0C12">
        <w:trPr>
          <w:trHeight w:val="20"/>
        </w:trPr>
        <w:tc>
          <w:tcPr>
            <w:tcW w:w="1520" w:type="dxa"/>
            <w:shd w:val="clear" w:color="auto" w:fill="auto"/>
            <w:noWrap/>
            <w:vAlign w:val="bottom"/>
            <w:hideMark/>
          </w:tcPr>
          <w:p w14:paraId="1C12437C" w14:textId="77777777" w:rsidR="0003486C" w:rsidRPr="0003486C" w:rsidRDefault="0003486C" w:rsidP="0003486C">
            <w:pPr>
              <w:pStyle w:val="Tables"/>
              <w:rPr>
                <w:sz w:val="20"/>
                <w:szCs w:val="20"/>
              </w:rPr>
            </w:pPr>
            <w:r w:rsidRPr="0003486C">
              <w:rPr>
                <w:sz w:val="20"/>
                <w:szCs w:val="20"/>
              </w:rPr>
              <w:t>Mg</w:t>
            </w:r>
          </w:p>
        </w:tc>
        <w:tc>
          <w:tcPr>
            <w:tcW w:w="1801" w:type="dxa"/>
            <w:shd w:val="clear" w:color="auto" w:fill="auto"/>
            <w:noWrap/>
            <w:vAlign w:val="center"/>
            <w:hideMark/>
          </w:tcPr>
          <w:p w14:paraId="03B3A87B" w14:textId="516614A4" w:rsidR="0003486C" w:rsidRPr="0003486C" w:rsidRDefault="0003486C" w:rsidP="0029350A">
            <w:pPr>
              <w:pStyle w:val="Tables"/>
              <w:jc w:val="right"/>
              <w:rPr>
                <w:sz w:val="20"/>
                <w:szCs w:val="20"/>
              </w:rPr>
            </w:pPr>
            <w:r w:rsidRPr="0003486C">
              <w:rPr>
                <w:color w:val="000000"/>
                <w:sz w:val="20"/>
                <w:szCs w:val="20"/>
              </w:rPr>
              <w:t>-8.76E+03</w:t>
            </w:r>
          </w:p>
        </w:tc>
        <w:tc>
          <w:tcPr>
            <w:tcW w:w="360" w:type="dxa"/>
            <w:shd w:val="clear" w:color="auto" w:fill="auto"/>
            <w:noWrap/>
            <w:vAlign w:val="bottom"/>
            <w:hideMark/>
          </w:tcPr>
          <w:p w14:paraId="1E5329E6" w14:textId="77777777" w:rsidR="0003486C" w:rsidRPr="0003486C" w:rsidRDefault="0003486C" w:rsidP="0003486C">
            <w:pPr>
              <w:pStyle w:val="Tables"/>
              <w:rPr>
                <w:sz w:val="20"/>
                <w:szCs w:val="20"/>
              </w:rPr>
            </w:pPr>
          </w:p>
        </w:tc>
        <w:tc>
          <w:tcPr>
            <w:tcW w:w="2250" w:type="dxa"/>
            <w:shd w:val="clear" w:color="auto" w:fill="auto"/>
            <w:noWrap/>
            <w:vAlign w:val="bottom"/>
            <w:hideMark/>
          </w:tcPr>
          <w:p w14:paraId="777B2904" w14:textId="77777777" w:rsidR="0003486C" w:rsidRPr="0003486C" w:rsidRDefault="0003486C" w:rsidP="0003486C">
            <w:pPr>
              <w:pStyle w:val="Tables"/>
              <w:rPr>
                <w:sz w:val="20"/>
                <w:szCs w:val="20"/>
              </w:rPr>
            </w:pPr>
            <w:r w:rsidRPr="0003486C">
              <w:rPr>
                <w:sz w:val="20"/>
                <w:szCs w:val="20"/>
              </w:rPr>
              <w:t>PENT</w:t>
            </w:r>
          </w:p>
        </w:tc>
        <w:tc>
          <w:tcPr>
            <w:tcW w:w="1620" w:type="dxa"/>
            <w:shd w:val="clear" w:color="auto" w:fill="auto"/>
            <w:noWrap/>
            <w:vAlign w:val="center"/>
            <w:hideMark/>
          </w:tcPr>
          <w:p w14:paraId="4AE17973" w14:textId="5D2AC5A9" w:rsidR="0003486C" w:rsidRPr="0003486C" w:rsidRDefault="0003486C" w:rsidP="0029350A">
            <w:pPr>
              <w:pStyle w:val="Tables"/>
              <w:jc w:val="right"/>
              <w:rPr>
                <w:sz w:val="20"/>
                <w:szCs w:val="20"/>
              </w:rPr>
            </w:pPr>
            <w:r w:rsidRPr="0003486C">
              <w:rPr>
                <w:color w:val="000000"/>
                <w:sz w:val="20"/>
                <w:szCs w:val="20"/>
              </w:rPr>
              <w:t>1.09E+06</w:t>
            </w:r>
          </w:p>
        </w:tc>
      </w:tr>
      <w:tr w:rsidR="007F0C12" w:rsidRPr="0003486C" w14:paraId="709AA74F" w14:textId="77777777" w:rsidTr="007F0C12">
        <w:trPr>
          <w:trHeight w:val="20"/>
        </w:trPr>
        <w:tc>
          <w:tcPr>
            <w:tcW w:w="1520" w:type="dxa"/>
            <w:shd w:val="clear" w:color="auto" w:fill="auto"/>
            <w:noWrap/>
            <w:vAlign w:val="bottom"/>
            <w:hideMark/>
          </w:tcPr>
          <w:p w14:paraId="729EB750" w14:textId="77777777" w:rsidR="0003486C" w:rsidRPr="0003486C" w:rsidRDefault="0003486C" w:rsidP="0003486C">
            <w:pPr>
              <w:pStyle w:val="Tables"/>
              <w:rPr>
                <w:sz w:val="20"/>
                <w:szCs w:val="20"/>
              </w:rPr>
            </w:pPr>
          </w:p>
        </w:tc>
        <w:tc>
          <w:tcPr>
            <w:tcW w:w="1801" w:type="dxa"/>
            <w:shd w:val="clear" w:color="auto" w:fill="auto"/>
            <w:noWrap/>
            <w:vAlign w:val="bottom"/>
            <w:hideMark/>
          </w:tcPr>
          <w:p w14:paraId="4DEB63BC" w14:textId="5432C89B" w:rsidR="0003486C" w:rsidRPr="0003486C" w:rsidRDefault="0003486C" w:rsidP="0029350A">
            <w:pPr>
              <w:pStyle w:val="Tables"/>
              <w:jc w:val="right"/>
              <w:rPr>
                <w:sz w:val="20"/>
                <w:szCs w:val="20"/>
              </w:rPr>
            </w:pPr>
            <w:r w:rsidRPr="0003486C">
              <w:rPr>
                <w:color w:val="000000"/>
                <w:sz w:val="20"/>
                <w:szCs w:val="20"/>
              </w:rPr>
              <w:t> </w:t>
            </w:r>
          </w:p>
        </w:tc>
        <w:tc>
          <w:tcPr>
            <w:tcW w:w="360" w:type="dxa"/>
            <w:shd w:val="clear" w:color="auto" w:fill="auto"/>
            <w:noWrap/>
            <w:vAlign w:val="bottom"/>
            <w:hideMark/>
          </w:tcPr>
          <w:p w14:paraId="5A5DFDE2" w14:textId="77777777" w:rsidR="0003486C" w:rsidRPr="0003486C" w:rsidRDefault="0003486C" w:rsidP="0003486C">
            <w:pPr>
              <w:pStyle w:val="Tables"/>
              <w:rPr>
                <w:sz w:val="20"/>
                <w:szCs w:val="20"/>
              </w:rPr>
            </w:pPr>
          </w:p>
        </w:tc>
        <w:tc>
          <w:tcPr>
            <w:tcW w:w="2250" w:type="dxa"/>
            <w:shd w:val="clear" w:color="auto" w:fill="auto"/>
            <w:noWrap/>
            <w:vAlign w:val="bottom"/>
            <w:hideMark/>
          </w:tcPr>
          <w:p w14:paraId="62E1B817" w14:textId="77777777" w:rsidR="0003486C" w:rsidRPr="0003486C" w:rsidRDefault="0003486C" w:rsidP="0003486C">
            <w:pPr>
              <w:pStyle w:val="Tables"/>
              <w:rPr>
                <w:sz w:val="20"/>
                <w:szCs w:val="20"/>
              </w:rPr>
            </w:pPr>
          </w:p>
        </w:tc>
        <w:tc>
          <w:tcPr>
            <w:tcW w:w="1620" w:type="dxa"/>
            <w:shd w:val="clear" w:color="auto" w:fill="auto"/>
            <w:noWrap/>
            <w:vAlign w:val="bottom"/>
            <w:hideMark/>
          </w:tcPr>
          <w:p w14:paraId="08604744" w14:textId="4CEDC26E" w:rsidR="0003486C" w:rsidRPr="0003486C" w:rsidRDefault="0003486C" w:rsidP="0029350A">
            <w:pPr>
              <w:pStyle w:val="Tables"/>
              <w:jc w:val="right"/>
              <w:rPr>
                <w:sz w:val="20"/>
                <w:szCs w:val="20"/>
              </w:rPr>
            </w:pPr>
            <w:r w:rsidRPr="0003486C">
              <w:rPr>
                <w:color w:val="000000"/>
                <w:sz w:val="20"/>
                <w:szCs w:val="20"/>
              </w:rPr>
              <w:t> </w:t>
            </w:r>
          </w:p>
        </w:tc>
      </w:tr>
      <w:tr w:rsidR="007F0C12" w:rsidRPr="0003486C" w14:paraId="1293DB18" w14:textId="77777777" w:rsidTr="007F0C12">
        <w:trPr>
          <w:trHeight w:val="20"/>
        </w:trPr>
        <w:tc>
          <w:tcPr>
            <w:tcW w:w="1520" w:type="dxa"/>
            <w:shd w:val="clear" w:color="auto" w:fill="auto"/>
            <w:noWrap/>
            <w:vAlign w:val="bottom"/>
            <w:hideMark/>
          </w:tcPr>
          <w:p w14:paraId="781176F5" w14:textId="77777777" w:rsidR="0003486C" w:rsidRPr="0029350A" w:rsidRDefault="0003486C" w:rsidP="0003486C">
            <w:pPr>
              <w:pStyle w:val="Tables"/>
              <w:rPr>
                <w:sz w:val="20"/>
                <w:szCs w:val="20"/>
                <w:u w:val="single"/>
              </w:rPr>
            </w:pPr>
            <w:r w:rsidRPr="0029350A">
              <w:rPr>
                <w:sz w:val="20"/>
                <w:szCs w:val="20"/>
                <w:u w:val="single"/>
              </w:rPr>
              <w:t>levoglucosan</w:t>
            </w:r>
          </w:p>
        </w:tc>
        <w:tc>
          <w:tcPr>
            <w:tcW w:w="1801" w:type="dxa"/>
            <w:shd w:val="clear" w:color="auto" w:fill="auto"/>
            <w:noWrap/>
            <w:vAlign w:val="center"/>
            <w:hideMark/>
          </w:tcPr>
          <w:p w14:paraId="510D9F8C" w14:textId="26954DFC" w:rsidR="0003486C" w:rsidRPr="0029350A" w:rsidRDefault="0003486C" w:rsidP="0029350A">
            <w:pPr>
              <w:pStyle w:val="Tables"/>
              <w:jc w:val="right"/>
              <w:rPr>
                <w:sz w:val="20"/>
                <w:szCs w:val="20"/>
                <w:u w:val="single"/>
              </w:rPr>
            </w:pPr>
            <w:r w:rsidRPr="0029350A">
              <w:rPr>
                <w:color w:val="000000"/>
                <w:sz w:val="20"/>
                <w:szCs w:val="20"/>
                <w:u w:val="single"/>
              </w:rPr>
              <w:t>% Increase MSE</w:t>
            </w:r>
          </w:p>
        </w:tc>
        <w:tc>
          <w:tcPr>
            <w:tcW w:w="360" w:type="dxa"/>
            <w:shd w:val="clear" w:color="auto" w:fill="auto"/>
            <w:noWrap/>
            <w:vAlign w:val="bottom"/>
            <w:hideMark/>
          </w:tcPr>
          <w:p w14:paraId="12AE9228" w14:textId="77777777" w:rsidR="0003486C" w:rsidRPr="0029350A" w:rsidRDefault="0003486C" w:rsidP="0003486C">
            <w:pPr>
              <w:pStyle w:val="Tables"/>
              <w:rPr>
                <w:sz w:val="20"/>
                <w:szCs w:val="20"/>
                <w:u w:val="single"/>
              </w:rPr>
            </w:pPr>
          </w:p>
        </w:tc>
        <w:tc>
          <w:tcPr>
            <w:tcW w:w="2250" w:type="dxa"/>
            <w:shd w:val="clear" w:color="auto" w:fill="auto"/>
            <w:noWrap/>
            <w:vAlign w:val="bottom"/>
            <w:hideMark/>
          </w:tcPr>
          <w:p w14:paraId="4E29C945" w14:textId="77777777" w:rsidR="0003486C" w:rsidRPr="0029350A" w:rsidRDefault="0003486C" w:rsidP="0003486C">
            <w:pPr>
              <w:pStyle w:val="Tables"/>
              <w:rPr>
                <w:sz w:val="20"/>
                <w:szCs w:val="20"/>
                <w:u w:val="single"/>
              </w:rPr>
            </w:pPr>
            <w:r w:rsidRPr="0029350A">
              <w:rPr>
                <w:sz w:val="20"/>
                <w:szCs w:val="20"/>
                <w:u w:val="single"/>
              </w:rPr>
              <w:t>non-levoglucosan sugars</w:t>
            </w:r>
          </w:p>
        </w:tc>
        <w:tc>
          <w:tcPr>
            <w:tcW w:w="1620" w:type="dxa"/>
            <w:shd w:val="clear" w:color="auto" w:fill="auto"/>
            <w:noWrap/>
            <w:vAlign w:val="center"/>
            <w:hideMark/>
          </w:tcPr>
          <w:p w14:paraId="341B3382" w14:textId="7C1C5FDB" w:rsidR="0003486C" w:rsidRPr="0029350A" w:rsidRDefault="0003486C" w:rsidP="0029350A">
            <w:pPr>
              <w:pStyle w:val="Tables"/>
              <w:jc w:val="right"/>
              <w:rPr>
                <w:sz w:val="20"/>
                <w:szCs w:val="20"/>
                <w:u w:val="single"/>
              </w:rPr>
            </w:pPr>
            <w:r w:rsidRPr="0029350A">
              <w:rPr>
                <w:color w:val="000000"/>
                <w:sz w:val="20"/>
                <w:szCs w:val="20"/>
                <w:u w:val="single"/>
              </w:rPr>
              <w:t>% Increase MSE</w:t>
            </w:r>
          </w:p>
        </w:tc>
      </w:tr>
      <w:tr w:rsidR="007F0C12" w:rsidRPr="0003486C" w14:paraId="4190601C" w14:textId="77777777" w:rsidTr="007F0C12">
        <w:trPr>
          <w:trHeight w:val="20"/>
        </w:trPr>
        <w:tc>
          <w:tcPr>
            <w:tcW w:w="1520" w:type="dxa"/>
            <w:shd w:val="clear" w:color="auto" w:fill="auto"/>
            <w:noWrap/>
            <w:vAlign w:val="bottom"/>
            <w:hideMark/>
          </w:tcPr>
          <w:p w14:paraId="4D48EB87" w14:textId="77777777" w:rsidR="0003486C" w:rsidRPr="0003486C" w:rsidRDefault="0003486C" w:rsidP="0003486C">
            <w:pPr>
              <w:pStyle w:val="Tables"/>
              <w:rPr>
                <w:b/>
                <w:bCs/>
                <w:sz w:val="20"/>
                <w:szCs w:val="20"/>
              </w:rPr>
            </w:pPr>
            <w:r w:rsidRPr="0003486C">
              <w:rPr>
                <w:b/>
                <w:bCs/>
                <w:sz w:val="20"/>
                <w:szCs w:val="20"/>
              </w:rPr>
              <w:t>P</w:t>
            </w:r>
          </w:p>
        </w:tc>
        <w:tc>
          <w:tcPr>
            <w:tcW w:w="1801" w:type="dxa"/>
            <w:shd w:val="clear" w:color="auto" w:fill="auto"/>
            <w:noWrap/>
            <w:vAlign w:val="center"/>
            <w:hideMark/>
          </w:tcPr>
          <w:p w14:paraId="018082A6" w14:textId="7313BCDB" w:rsidR="0003486C" w:rsidRPr="0003486C" w:rsidRDefault="0003486C" w:rsidP="0029350A">
            <w:pPr>
              <w:pStyle w:val="Tables"/>
              <w:jc w:val="right"/>
              <w:rPr>
                <w:sz w:val="20"/>
                <w:szCs w:val="20"/>
              </w:rPr>
            </w:pPr>
            <w:r w:rsidRPr="0003486C">
              <w:rPr>
                <w:color w:val="000000"/>
                <w:sz w:val="20"/>
                <w:szCs w:val="20"/>
              </w:rPr>
              <w:t>2.45E+07</w:t>
            </w:r>
          </w:p>
        </w:tc>
        <w:tc>
          <w:tcPr>
            <w:tcW w:w="360" w:type="dxa"/>
            <w:shd w:val="clear" w:color="auto" w:fill="auto"/>
            <w:noWrap/>
            <w:vAlign w:val="bottom"/>
            <w:hideMark/>
          </w:tcPr>
          <w:p w14:paraId="3A20BD4C" w14:textId="77777777" w:rsidR="0003486C" w:rsidRPr="0003486C" w:rsidRDefault="0003486C" w:rsidP="0003486C">
            <w:pPr>
              <w:pStyle w:val="Tables"/>
              <w:rPr>
                <w:sz w:val="20"/>
                <w:szCs w:val="20"/>
              </w:rPr>
            </w:pPr>
          </w:p>
        </w:tc>
        <w:tc>
          <w:tcPr>
            <w:tcW w:w="2250" w:type="dxa"/>
            <w:shd w:val="clear" w:color="auto" w:fill="auto"/>
            <w:noWrap/>
            <w:vAlign w:val="bottom"/>
            <w:hideMark/>
          </w:tcPr>
          <w:p w14:paraId="150ADFC9" w14:textId="77777777" w:rsidR="0003486C" w:rsidRPr="0003486C" w:rsidRDefault="0003486C" w:rsidP="0003486C">
            <w:pPr>
              <w:pStyle w:val="Tables"/>
              <w:rPr>
                <w:b/>
                <w:bCs/>
                <w:sz w:val="20"/>
                <w:szCs w:val="20"/>
              </w:rPr>
            </w:pPr>
            <w:r w:rsidRPr="0003486C">
              <w:rPr>
                <w:b/>
                <w:bCs/>
                <w:sz w:val="20"/>
                <w:szCs w:val="20"/>
              </w:rPr>
              <w:t>K</w:t>
            </w:r>
          </w:p>
        </w:tc>
        <w:tc>
          <w:tcPr>
            <w:tcW w:w="1620" w:type="dxa"/>
            <w:shd w:val="clear" w:color="auto" w:fill="auto"/>
            <w:noWrap/>
            <w:vAlign w:val="center"/>
            <w:hideMark/>
          </w:tcPr>
          <w:p w14:paraId="5D37D26C" w14:textId="0EA5DE59" w:rsidR="0003486C" w:rsidRPr="0003486C" w:rsidRDefault="0003486C" w:rsidP="0029350A">
            <w:pPr>
              <w:pStyle w:val="Tables"/>
              <w:jc w:val="right"/>
              <w:rPr>
                <w:sz w:val="20"/>
                <w:szCs w:val="20"/>
              </w:rPr>
            </w:pPr>
            <w:r w:rsidRPr="0003486C">
              <w:rPr>
                <w:color w:val="000000"/>
                <w:sz w:val="20"/>
                <w:szCs w:val="20"/>
              </w:rPr>
              <w:t>2.76E+05</w:t>
            </w:r>
          </w:p>
        </w:tc>
      </w:tr>
      <w:tr w:rsidR="007F0C12" w:rsidRPr="0003486C" w14:paraId="4B670FEC" w14:textId="77777777" w:rsidTr="007F0C12">
        <w:trPr>
          <w:trHeight w:val="20"/>
        </w:trPr>
        <w:tc>
          <w:tcPr>
            <w:tcW w:w="1520" w:type="dxa"/>
            <w:shd w:val="clear" w:color="auto" w:fill="auto"/>
            <w:noWrap/>
            <w:vAlign w:val="bottom"/>
            <w:hideMark/>
          </w:tcPr>
          <w:p w14:paraId="5AC3FB12" w14:textId="77777777" w:rsidR="0003486C" w:rsidRPr="0003486C" w:rsidRDefault="0003486C" w:rsidP="0003486C">
            <w:pPr>
              <w:pStyle w:val="Tables"/>
              <w:rPr>
                <w:b/>
                <w:bCs/>
                <w:sz w:val="20"/>
                <w:szCs w:val="20"/>
              </w:rPr>
            </w:pPr>
            <w:r w:rsidRPr="0003486C">
              <w:rPr>
                <w:b/>
                <w:bCs/>
                <w:sz w:val="20"/>
                <w:szCs w:val="20"/>
              </w:rPr>
              <w:t>K</w:t>
            </w:r>
          </w:p>
        </w:tc>
        <w:tc>
          <w:tcPr>
            <w:tcW w:w="1801" w:type="dxa"/>
            <w:shd w:val="clear" w:color="auto" w:fill="auto"/>
            <w:noWrap/>
            <w:vAlign w:val="center"/>
            <w:hideMark/>
          </w:tcPr>
          <w:p w14:paraId="2B83C6C5" w14:textId="774DBD19" w:rsidR="0003486C" w:rsidRPr="0003486C" w:rsidRDefault="0003486C" w:rsidP="0029350A">
            <w:pPr>
              <w:pStyle w:val="Tables"/>
              <w:jc w:val="right"/>
              <w:rPr>
                <w:sz w:val="20"/>
                <w:szCs w:val="20"/>
              </w:rPr>
            </w:pPr>
            <w:r w:rsidRPr="0003486C">
              <w:rPr>
                <w:color w:val="000000"/>
                <w:sz w:val="20"/>
                <w:szCs w:val="20"/>
              </w:rPr>
              <w:t>1.61E+07</w:t>
            </w:r>
          </w:p>
        </w:tc>
        <w:tc>
          <w:tcPr>
            <w:tcW w:w="360" w:type="dxa"/>
            <w:shd w:val="clear" w:color="auto" w:fill="auto"/>
            <w:noWrap/>
            <w:vAlign w:val="bottom"/>
            <w:hideMark/>
          </w:tcPr>
          <w:p w14:paraId="796D3640" w14:textId="77777777" w:rsidR="0003486C" w:rsidRPr="0003486C" w:rsidRDefault="0003486C" w:rsidP="0003486C">
            <w:pPr>
              <w:pStyle w:val="Tables"/>
              <w:rPr>
                <w:sz w:val="20"/>
                <w:szCs w:val="20"/>
              </w:rPr>
            </w:pPr>
          </w:p>
        </w:tc>
        <w:tc>
          <w:tcPr>
            <w:tcW w:w="2250" w:type="dxa"/>
            <w:shd w:val="clear" w:color="auto" w:fill="auto"/>
            <w:noWrap/>
            <w:vAlign w:val="bottom"/>
            <w:hideMark/>
          </w:tcPr>
          <w:p w14:paraId="6DC7286A" w14:textId="77777777" w:rsidR="0003486C" w:rsidRPr="0003486C" w:rsidRDefault="0003486C" w:rsidP="0003486C">
            <w:pPr>
              <w:pStyle w:val="Tables"/>
              <w:rPr>
                <w:b/>
                <w:bCs/>
                <w:sz w:val="20"/>
                <w:szCs w:val="20"/>
              </w:rPr>
            </w:pPr>
            <w:r w:rsidRPr="0003486C">
              <w:rPr>
                <w:b/>
                <w:bCs/>
                <w:sz w:val="20"/>
                <w:szCs w:val="20"/>
              </w:rPr>
              <w:t>FRU</w:t>
            </w:r>
          </w:p>
        </w:tc>
        <w:tc>
          <w:tcPr>
            <w:tcW w:w="1620" w:type="dxa"/>
            <w:shd w:val="clear" w:color="auto" w:fill="auto"/>
            <w:noWrap/>
            <w:vAlign w:val="center"/>
            <w:hideMark/>
          </w:tcPr>
          <w:p w14:paraId="0C664B65" w14:textId="6B5164C1" w:rsidR="0003486C" w:rsidRPr="0003486C" w:rsidRDefault="0003486C" w:rsidP="0029350A">
            <w:pPr>
              <w:pStyle w:val="Tables"/>
              <w:jc w:val="right"/>
              <w:rPr>
                <w:sz w:val="20"/>
                <w:szCs w:val="20"/>
              </w:rPr>
            </w:pPr>
            <w:r w:rsidRPr="0003486C">
              <w:rPr>
                <w:color w:val="000000"/>
                <w:sz w:val="20"/>
                <w:szCs w:val="20"/>
              </w:rPr>
              <w:t>1.17E+05</w:t>
            </w:r>
          </w:p>
        </w:tc>
      </w:tr>
      <w:tr w:rsidR="007F0C12" w:rsidRPr="0003486C" w14:paraId="65C17EA1" w14:textId="77777777" w:rsidTr="007F0C12">
        <w:trPr>
          <w:trHeight w:val="20"/>
        </w:trPr>
        <w:tc>
          <w:tcPr>
            <w:tcW w:w="1520" w:type="dxa"/>
            <w:shd w:val="clear" w:color="auto" w:fill="auto"/>
            <w:noWrap/>
            <w:vAlign w:val="bottom"/>
            <w:hideMark/>
          </w:tcPr>
          <w:p w14:paraId="4BDAAD58" w14:textId="77777777" w:rsidR="0003486C" w:rsidRPr="0003486C" w:rsidRDefault="0003486C" w:rsidP="0003486C">
            <w:pPr>
              <w:pStyle w:val="Tables"/>
              <w:rPr>
                <w:b/>
                <w:bCs/>
                <w:sz w:val="20"/>
                <w:szCs w:val="20"/>
              </w:rPr>
            </w:pPr>
            <w:r w:rsidRPr="0003486C">
              <w:rPr>
                <w:b/>
                <w:bCs/>
                <w:sz w:val="20"/>
                <w:szCs w:val="20"/>
              </w:rPr>
              <w:t>xylose.nrel</w:t>
            </w:r>
          </w:p>
        </w:tc>
        <w:tc>
          <w:tcPr>
            <w:tcW w:w="1801" w:type="dxa"/>
            <w:shd w:val="clear" w:color="auto" w:fill="auto"/>
            <w:noWrap/>
            <w:vAlign w:val="center"/>
            <w:hideMark/>
          </w:tcPr>
          <w:p w14:paraId="1F38F64B" w14:textId="01361D8B" w:rsidR="0003486C" w:rsidRPr="0003486C" w:rsidRDefault="0003486C" w:rsidP="0029350A">
            <w:pPr>
              <w:pStyle w:val="Tables"/>
              <w:jc w:val="right"/>
              <w:rPr>
                <w:sz w:val="20"/>
                <w:szCs w:val="20"/>
              </w:rPr>
            </w:pPr>
            <w:r w:rsidRPr="0003486C">
              <w:rPr>
                <w:color w:val="000000"/>
                <w:sz w:val="20"/>
                <w:szCs w:val="20"/>
              </w:rPr>
              <w:t>1.36E+07</w:t>
            </w:r>
          </w:p>
        </w:tc>
        <w:tc>
          <w:tcPr>
            <w:tcW w:w="360" w:type="dxa"/>
            <w:shd w:val="clear" w:color="auto" w:fill="auto"/>
            <w:noWrap/>
            <w:vAlign w:val="bottom"/>
            <w:hideMark/>
          </w:tcPr>
          <w:p w14:paraId="674D4F3F" w14:textId="77777777" w:rsidR="0003486C" w:rsidRPr="0003486C" w:rsidRDefault="0003486C" w:rsidP="0003486C">
            <w:pPr>
              <w:pStyle w:val="Tables"/>
              <w:rPr>
                <w:sz w:val="20"/>
                <w:szCs w:val="20"/>
              </w:rPr>
            </w:pPr>
          </w:p>
        </w:tc>
        <w:tc>
          <w:tcPr>
            <w:tcW w:w="2250" w:type="dxa"/>
            <w:shd w:val="clear" w:color="auto" w:fill="auto"/>
            <w:noWrap/>
            <w:vAlign w:val="bottom"/>
            <w:hideMark/>
          </w:tcPr>
          <w:p w14:paraId="1BE5FFFA" w14:textId="77777777" w:rsidR="0003486C" w:rsidRPr="0003486C" w:rsidRDefault="0003486C" w:rsidP="0003486C">
            <w:pPr>
              <w:pStyle w:val="Tables"/>
              <w:rPr>
                <w:sz w:val="20"/>
                <w:szCs w:val="20"/>
              </w:rPr>
            </w:pPr>
            <w:r w:rsidRPr="0003486C">
              <w:rPr>
                <w:sz w:val="20"/>
                <w:szCs w:val="20"/>
              </w:rPr>
              <w:t>xylose.nrel</w:t>
            </w:r>
          </w:p>
        </w:tc>
        <w:tc>
          <w:tcPr>
            <w:tcW w:w="1620" w:type="dxa"/>
            <w:shd w:val="clear" w:color="auto" w:fill="auto"/>
            <w:noWrap/>
            <w:vAlign w:val="center"/>
            <w:hideMark/>
          </w:tcPr>
          <w:p w14:paraId="6199D65C" w14:textId="23404CD7" w:rsidR="0003486C" w:rsidRPr="0003486C" w:rsidRDefault="0003486C" w:rsidP="0029350A">
            <w:pPr>
              <w:pStyle w:val="Tables"/>
              <w:jc w:val="right"/>
              <w:rPr>
                <w:sz w:val="20"/>
                <w:szCs w:val="20"/>
              </w:rPr>
            </w:pPr>
            <w:r w:rsidRPr="0003486C">
              <w:rPr>
                <w:color w:val="000000"/>
                <w:sz w:val="20"/>
                <w:szCs w:val="20"/>
              </w:rPr>
              <w:t>3.86E+04</w:t>
            </w:r>
          </w:p>
        </w:tc>
      </w:tr>
      <w:tr w:rsidR="007F0C12" w:rsidRPr="0003486C" w14:paraId="1E513457" w14:textId="77777777" w:rsidTr="007F0C12">
        <w:trPr>
          <w:trHeight w:val="20"/>
        </w:trPr>
        <w:tc>
          <w:tcPr>
            <w:tcW w:w="1520" w:type="dxa"/>
            <w:shd w:val="clear" w:color="auto" w:fill="auto"/>
            <w:noWrap/>
            <w:vAlign w:val="bottom"/>
            <w:hideMark/>
          </w:tcPr>
          <w:p w14:paraId="4B23E651" w14:textId="77777777" w:rsidR="0003486C" w:rsidRPr="0003486C" w:rsidRDefault="0003486C" w:rsidP="0003486C">
            <w:pPr>
              <w:pStyle w:val="Tables"/>
              <w:rPr>
                <w:b/>
                <w:bCs/>
                <w:sz w:val="20"/>
                <w:szCs w:val="20"/>
              </w:rPr>
            </w:pPr>
            <w:r w:rsidRPr="0003486C">
              <w:rPr>
                <w:b/>
                <w:bCs/>
                <w:sz w:val="20"/>
                <w:szCs w:val="20"/>
              </w:rPr>
              <w:t>ADL</w:t>
            </w:r>
          </w:p>
        </w:tc>
        <w:tc>
          <w:tcPr>
            <w:tcW w:w="1801" w:type="dxa"/>
            <w:shd w:val="clear" w:color="auto" w:fill="auto"/>
            <w:noWrap/>
            <w:vAlign w:val="center"/>
            <w:hideMark/>
          </w:tcPr>
          <w:p w14:paraId="3B47869F" w14:textId="78B204C0" w:rsidR="0003486C" w:rsidRPr="0003486C" w:rsidRDefault="0003486C" w:rsidP="0029350A">
            <w:pPr>
              <w:pStyle w:val="Tables"/>
              <w:jc w:val="right"/>
              <w:rPr>
                <w:sz w:val="20"/>
                <w:szCs w:val="20"/>
              </w:rPr>
            </w:pPr>
            <w:r w:rsidRPr="0003486C">
              <w:rPr>
                <w:color w:val="000000"/>
                <w:sz w:val="20"/>
                <w:szCs w:val="20"/>
              </w:rPr>
              <w:t>9.72E+06</w:t>
            </w:r>
          </w:p>
        </w:tc>
        <w:tc>
          <w:tcPr>
            <w:tcW w:w="360" w:type="dxa"/>
            <w:shd w:val="clear" w:color="auto" w:fill="auto"/>
            <w:noWrap/>
            <w:vAlign w:val="bottom"/>
            <w:hideMark/>
          </w:tcPr>
          <w:p w14:paraId="42044965" w14:textId="77777777" w:rsidR="0003486C" w:rsidRPr="0003486C" w:rsidRDefault="0003486C" w:rsidP="0003486C">
            <w:pPr>
              <w:pStyle w:val="Tables"/>
              <w:rPr>
                <w:sz w:val="20"/>
                <w:szCs w:val="20"/>
              </w:rPr>
            </w:pPr>
          </w:p>
        </w:tc>
        <w:tc>
          <w:tcPr>
            <w:tcW w:w="2250" w:type="dxa"/>
            <w:shd w:val="clear" w:color="auto" w:fill="auto"/>
            <w:noWrap/>
            <w:vAlign w:val="bottom"/>
            <w:hideMark/>
          </w:tcPr>
          <w:p w14:paraId="3980740B" w14:textId="77777777" w:rsidR="0003486C" w:rsidRPr="0003486C" w:rsidRDefault="0003486C" w:rsidP="0003486C">
            <w:pPr>
              <w:pStyle w:val="Tables"/>
              <w:rPr>
                <w:sz w:val="20"/>
                <w:szCs w:val="20"/>
              </w:rPr>
            </w:pPr>
            <w:r w:rsidRPr="0003486C">
              <w:rPr>
                <w:sz w:val="20"/>
                <w:szCs w:val="20"/>
              </w:rPr>
              <w:t>HCA</w:t>
            </w:r>
          </w:p>
        </w:tc>
        <w:tc>
          <w:tcPr>
            <w:tcW w:w="1620" w:type="dxa"/>
            <w:shd w:val="clear" w:color="auto" w:fill="auto"/>
            <w:noWrap/>
            <w:vAlign w:val="center"/>
            <w:hideMark/>
          </w:tcPr>
          <w:p w14:paraId="0FF0A75C" w14:textId="0094BDCB" w:rsidR="0003486C" w:rsidRPr="0003486C" w:rsidRDefault="0003486C" w:rsidP="0029350A">
            <w:pPr>
              <w:pStyle w:val="Tables"/>
              <w:jc w:val="right"/>
              <w:rPr>
                <w:sz w:val="20"/>
                <w:szCs w:val="20"/>
              </w:rPr>
            </w:pPr>
            <w:r w:rsidRPr="0003486C">
              <w:rPr>
                <w:color w:val="000000"/>
                <w:sz w:val="20"/>
                <w:szCs w:val="20"/>
              </w:rPr>
              <w:t>3.82E+04</w:t>
            </w:r>
          </w:p>
        </w:tc>
      </w:tr>
      <w:tr w:rsidR="007F0C12" w:rsidRPr="0003486C" w14:paraId="641D6758" w14:textId="77777777" w:rsidTr="007F0C12">
        <w:trPr>
          <w:trHeight w:val="20"/>
        </w:trPr>
        <w:tc>
          <w:tcPr>
            <w:tcW w:w="1520" w:type="dxa"/>
            <w:shd w:val="clear" w:color="auto" w:fill="auto"/>
            <w:noWrap/>
            <w:vAlign w:val="bottom"/>
            <w:hideMark/>
          </w:tcPr>
          <w:p w14:paraId="2C519EC3" w14:textId="77777777" w:rsidR="0003486C" w:rsidRPr="0003486C" w:rsidRDefault="0003486C" w:rsidP="0003486C">
            <w:pPr>
              <w:pStyle w:val="Tables"/>
              <w:rPr>
                <w:sz w:val="20"/>
                <w:szCs w:val="20"/>
              </w:rPr>
            </w:pPr>
            <w:r w:rsidRPr="0003486C">
              <w:rPr>
                <w:sz w:val="20"/>
                <w:szCs w:val="20"/>
              </w:rPr>
              <w:t>KL</w:t>
            </w:r>
          </w:p>
        </w:tc>
        <w:tc>
          <w:tcPr>
            <w:tcW w:w="1801" w:type="dxa"/>
            <w:shd w:val="clear" w:color="auto" w:fill="auto"/>
            <w:noWrap/>
            <w:vAlign w:val="center"/>
            <w:hideMark/>
          </w:tcPr>
          <w:p w14:paraId="5244584F" w14:textId="57EF3786" w:rsidR="0003486C" w:rsidRPr="0003486C" w:rsidRDefault="0003486C" w:rsidP="0029350A">
            <w:pPr>
              <w:pStyle w:val="Tables"/>
              <w:jc w:val="right"/>
              <w:rPr>
                <w:sz w:val="20"/>
                <w:szCs w:val="20"/>
              </w:rPr>
            </w:pPr>
            <w:r w:rsidRPr="0003486C">
              <w:rPr>
                <w:color w:val="000000"/>
                <w:sz w:val="20"/>
                <w:szCs w:val="20"/>
              </w:rPr>
              <w:t>4.57E+06</w:t>
            </w:r>
          </w:p>
        </w:tc>
        <w:tc>
          <w:tcPr>
            <w:tcW w:w="360" w:type="dxa"/>
            <w:shd w:val="clear" w:color="auto" w:fill="auto"/>
            <w:noWrap/>
            <w:vAlign w:val="bottom"/>
            <w:hideMark/>
          </w:tcPr>
          <w:p w14:paraId="22FCB4C1" w14:textId="77777777" w:rsidR="0003486C" w:rsidRPr="0003486C" w:rsidRDefault="0003486C" w:rsidP="0003486C">
            <w:pPr>
              <w:pStyle w:val="Tables"/>
              <w:rPr>
                <w:sz w:val="20"/>
                <w:szCs w:val="20"/>
              </w:rPr>
            </w:pPr>
          </w:p>
        </w:tc>
        <w:tc>
          <w:tcPr>
            <w:tcW w:w="2250" w:type="dxa"/>
            <w:shd w:val="clear" w:color="auto" w:fill="auto"/>
            <w:noWrap/>
            <w:vAlign w:val="bottom"/>
            <w:hideMark/>
          </w:tcPr>
          <w:p w14:paraId="53AF12B9" w14:textId="77777777" w:rsidR="0003486C" w:rsidRPr="0003486C" w:rsidRDefault="0003486C" w:rsidP="0003486C">
            <w:pPr>
              <w:pStyle w:val="Tables"/>
              <w:rPr>
                <w:b/>
                <w:bCs/>
                <w:sz w:val="20"/>
                <w:szCs w:val="20"/>
              </w:rPr>
            </w:pPr>
            <w:r w:rsidRPr="0003486C">
              <w:rPr>
                <w:b/>
                <w:bCs/>
                <w:sz w:val="20"/>
                <w:szCs w:val="20"/>
              </w:rPr>
              <w:t>GAL</w:t>
            </w:r>
          </w:p>
        </w:tc>
        <w:tc>
          <w:tcPr>
            <w:tcW w:w="1620" w:type="dxa"/>
            <w:shd w:val="clear" w:color="auto" w:fill="auto"/>
            <w:noWrap/>
            <w:vAlign w:val="center"/>
            <w:hideMark/>
          </w:tcPr>
          <w:p w14:paraId="7E6E2F66" w14:textId="28D03731" w:rsidR="0003486C" w:rsidRPr="0003486C" w:rsidRDefault="0003486C" w:rsidP="0029350A">
            <w:pPr>
              <w:pStyle w:val="Tables"/>
              <w:jc w:val="right"/>
              <w:rPr>
                <w:sz w:val="20"/>
                <w:szCs w:val="20"/>
              </w:rPr>
            </w:pPr>
            <w:r w:rsidRPr="0003486C">
              <w:rPr>
                <w:color w:val="000000"/>
                <w:sz w:val="20"/>
                <w:szCs w:val="20"/>
              </w:rPr>
              <w:t>3.81E+04</w:t>
            </w:r>
          </w:p>
        </w:tc>
      </w:tr>
      <w:tr w:rsidR="007F0C12" w:rsidRPr="0003486C" w14:paraId="329C6E59" w14:textId="77777777" w:rsidTr="007F0C12">
        <w:trPr>
          <w:trHeight w:val="20"/>
        </w:trPr>
        <w:tc>
          <w:tcPr>
            <w:tcW w:w="1520" w:type="dxa"/>
            <w:shd w:val="clear" w:color="auto" w:fill="auto"/>
            <w:noWrap/>
            <w:vAlign w:val="bottom"/>
            <w:hideMark/>
          </w:tcPr>
          <w:p w14:paraId="57128E95" w14:textId="77777777" w:rsidR="0003486C" w:rsidRPr="0003486C" w:rsidRDefault="0003486C" w:rsidP="0003486C">
            <w:pPr>
              <w:pStyle w:val="Tables"/>
              <w:rPr>
                <w:sz w:val="20"/>
                <w:szCs w:val="20"/>
              </w:rPr>
            </w:pPr>
            <w:r w:rsidRPr="0003486C">
              <w:rPr>
                <w:sz w:val="20"/>
                <w:szCs w:val="20"/>
              </w:rPr>
              <w:t>FEST</w:t>
            </w:r>
          </w:p>
        </w:tc>
        <w:tc>
          <w:tcPr>
            <w:tcW w:w="1801" w:type="dxa"/>
            <w:shd w:val="clear" w:color="auto" w:fill="auto"/>
            <w:noWrap/>
            <w:vAlign w:val="center"/>
            <w:hideMark/>
          </w:tcPr>
          <w:p w14:paraId="7DF4CE61" w14:textId="0C7E9AF6" w:rsidR="0003486C" w:rsidRPr="0003486C" w:rsidRDefault="0003486C" w:rsidP="0029350A">
            <w:pPr>
              <w:pStyle w:val="Tables"/>
              <w:jc w:val="right"/>
              <w:rPr>
                <w:sz w:val="20"/>
                <w:szCs w:val="20"/>
              </w:rPr>
            </w:pPr>
            <w:r w:rsidRPr="0003486C">
              <w:rPr>
                <w:color w:val="000000"/>
                <w:sz w:val="20"/>
                <w:szCs w:val="20"/>
              </w:rPr>
              <w:t>3.67E+06</w:t>
            </w:r>
          </w:p>
        </w:tc>
        <w:tc>
          <w:tcPr>
            <w:tcW w:w="360" w:type="dxa"/>
            <w:shd w:val="clear" w:color="auto" w:fill="auto"/>
            <w:noWrap/>
            <w:vAlign w:val="bottom"/>
            <w:hideMark/>
          </w:tcPr>
          <w:p w14:paraId="339E60CA" w14:textId="77777777" w:rsidR="0003486C" w:rsidRPr="0003486C" w:rsidRDefault="0003486C" w:rsidP="0003486C">
            <w:pPr>
              <w:pStyle w:val="Tables"/>
              <w:rPr>
                <w:sz w:val="20"/>
                <w:szCs w:val="20"/>
              </w:rPr>
            </w:pPr>
          </w:p>
        </w:tc>
        <w:tc>
          <w:tcPr>
            <w:tcW w:w="2250" w:type="dxa"/>
            <w:shd w:val="clear" w:color="auto" w:fill="auto"/>
            <w:noWrap/>
            <w:vAlign w:val="bottom"/>
            <w:hideMark/>
          </w:tcPr>
          <w:p w14:paraId="5DF40178" w14:textId="77777777" w:rsidR="0003486C" w:rsidRPr="0003486C" w:rsidRDefault="0003486C" w:rsidP="0003486C">
            <w:pPr>
              <w:pStyle w:val="Tables"/>
              <w:rPr>
                <w:sz w:val="20"/>
                <w:szCs w:val="20"/>
              </w:rPr>
            </w:pPr>
            <w:r w:rsidRPr="0003486C">
              <w:rPr>
                <w:sz w:val="20"/>
                <w:szCs w:val="20"/>
              </w:rPr>
              <w:t>GLC</w:t>
            </w:r>
          </w:p>
        </w:tc>
        <w:tc>
          <w:tcPr>
            <w:tcW w:w="1620" w:type="dxa"/>
            <w:shd w:val="clear" w:color="auto" w:fill="auto"/>
            <w:noWrap/>
            <w:vAlign w:val="center"/>
            <w:hideMark/>
          </w:tcPr>
          <w:p w14:paraId="74E93B7F" w14:textId="39FD6D9C" w:rsidR="0003486C" w:rsidRPr="0003486C" w:rsidRDefault="0003486C" w:rsidP="0029350A">
            <w:pPr>
              <w:pStyle w:val="Tables"/>
              <w:jc w:val="right"/>
              <w:rPr>
                <w:sz w:val="20"/>
                <w:szCs w:val="20"/>
              </w:rPr>
            </w:pPr>
            <w:r w:rsidRPr="0003486C">
              <w:rPr>
                <w:color w:val="000000"/>
                <w:sz w:val="20"/>
                <w:szCs w:val="20"/>
              </w:rPr>
              <w:t>1.84E+04</w:t>
            </w:r>
          </w:p>
        </w:tc>
      </w:tr>
      <w:tr w:rsidR="007F0C12" w:rsidRPr="0003486C" w14:paraId="28F0901D" w14:textId="77777777" w:rsidTr="007F0C12">
        <w:trPr>
          <w:trHeight w:val="20"/>
        </w:trPr>
        <w:tc>
          <w:tcPr>
            <w:tcW w:w="1520" w:type="dxa"/>
            <w:shd w:val="clear" w:color="auto" w:fill="auto"/>
            <w:noWrap/>
            <w:vAlign w:val="bottom"/>
            <w:hideMark/>
          </w:tcPr>
          <w:p w14:paraId="364225DF" w14:textId="77777777" w:rsidR="0003486C" w:rsidRPr="0003486C" w:rsidRDefault="0003486C" w:rsidP="0003486C">
            <w:pPr>
              <w:pStyle w:val="Tables"/>
              <w:rPr>
                <w:sz w:val="20"/>
                <w:szCs w:val="20"/>
              </w:rPr>
            </w:pPr>
            <w:r w:rsidRPr="0003486C">
              <w:rPr>
                <w:sz w:val="20"/>
                <w:szCs w:val="20"/>
              </w:rPr>
              <w:t>XYL</w:t>
            </w:r>
          </w:p>
        </w:tc>
        <w:tc>
          <w:tcPr>
            <w:tcW w:w="1801" w:type="dxa"/>
            <w:shd w:val="clear" w:color="auto" w:fill="auto"/>
            <w:noWrap/>
            <w:vAlign w:val="center"/>
            <w:hideMark/>
          </w:tcPr>
          <w:p w14:paraId="22B3B82D" w14:textId="0517851A" w:rsidR="0003486C" w:rsidRPr="0003486C" w:rsidRDefault="0003486C" w:rsidP="0029350A">
            <w:pPr>
              <w:pStyle w:val="Tables"/>
              <w:jc w:val="right"/>
              <w:rPr>
                <w:sz w:val="20"/>
                <w:szCs w:val="20"/>
              </w:rPr>
            </w:pPr>
            <w:r w:rsidRPr="0003486C">
              <w:rPr>
                <w:color w:val="000000"/>
                <w:sz w:val="20"/>
                <w:szCs w:val="20"/>
              </w:rPr>
              <w:t>3.65E+06</w:t>
            </w:r>
          </w:p>
        </w:tc>
        <w:tc>
          <w:tcPr>
            <w:tcW w:w="360" w:type="dxa"/>
            <w:shd w:val="clear" w:color="auto" w:fill="auto"/>
            <w:noWrap/>
            <w:vAlign w:val="bottom"/>
            <w:hideMark/>
          </w:tcPr>
          <w:p w14:paraId="63AD59DB" w14:textId="77777777" w:rsidR="0003486C" w:rsidRPr="0003486C" w:rsidRDefault="0003486C" w:rsidP="0003486C">
            <w:pPr>
              <w:pStyle w:val="Tables"/>
              <w:rPr>
                <w:sz w:val="20"/>
                <w:szCs w:val="20"/>
              </w:rPr>
            </w:pPr>
          </w:p>
        </w:tc>
        <w:tc>
          <w:tcPr>
            <w:tcW w:w="2250" w:type="dxa"/>
            <w:shd w:val="clear" w:color="auto" w:fill="auto"/>
            <w:noWrap/>
            <w:vAlign w:val="bottom"/>
            <w:hideMark/>
          </w:tcPr>
          <w:p w14:paraId="0C5D19A7" w14:textId="77777777" w:rsidR="0003486C" w:rsidRPr="0003486C" w:rsidRDefault="0003486C" w:rsidP="0003486C">
            <w:pPr>
              <w:pStyle w:val="Tables"/>
              <w:rPr>
                <w:b/>
                <w:bCs/>
                <w:sz w:val="20"/>
                <w:szCs w:val="20"/>
              </w:rPr>
            </w:pPr>
            <w:r w:rsidRPr="0003486C">
              <w:rPr>
                <w:b/>
                <w:bCs/>
                <w:sz w:val="20"/>
                <w:szCs w:val="20"/>
              </w:rPr>
              <w:t>XYL</w:t>
            </w:r>
          </w:p>
        </w:tc>
        <w:tc>
          <w:tcPr>
            <w:tcW w:w="1620" w:type="dxa"/>
            <w:shd w:val="clear" w:color="auto" w:fill="auto"/>
            <w:noWrap/>
            <w:vAlign w:val="center"/>
            <w:hideMark/>
          </w:tcPr>
          <w:p w14:paraId="6AADCF24" w14:textId="4B64C541" w:rsidR="0003486C" w:rsidRPr="0003486C" w:rsidRDefault="0003486C" w:rsidP="0029350A">
            <w:pPr>
              <w:pStyle w:val="Tables"/>
              <w:jc w:val="right"/>
              <w:rPr>
                <w:sz w:val="20"/>
                <w:szCs w:val="20"/>
              </w:rPr>
            </w:pPr>
            <w:r w:rsidRPr="0003486C">
              <w:rPr>
                <w:color w:val="000000"/>
                <w:sz w:val="20"/>
                <w:szCs w:val="20"/>
              </w:rPr>
              <w:t>1.41E+04</w:t>
            </w:r>
          </w:p>
        </w:tc>
      </w:tr>
      <w:tr w:rsidR="007F0C12" w:rsidRPr="0003486C" w14:paraId="3C9E9684" w14:textId="77777777" w:rsidTr="007F0C12">
        <w:trPr>
          <w:trHeight w:val="20"/>
        </w:trPr>
        <w:tc>
          <w:tcPr>
            <w:tcW w:w="1520" w:type="dxa"/>
            <w:shd w:val="clear" w:color="auto" w:fill="auto"/>
            <w:noWrap/>
            <w:vAlign w:val="bottom"/>
            <w:hideMark/>
          </w:tcPr>
          <w:p w14:paraId="2FD581ED" w14:textId="77777777" w:rsidR="0003486C" w:rsidRPr="0003486C" w:rsidRDefault="0003486C" w:rsidP="0003486C">
            <w:pPr>
              <w:pStyle w:val="Tables"/>
              <w:rPr>
                <w:sz w:val="20"/>
                <w:szCs w:val="20"/>
              </w:rPr>
            </w:pPr>
          </w:p>
        </w:tc>
        <w:tc>
          <w:tcPr>
            <w:tcW w:w="1801" w:type="dxa"/>
            <w:shd w:val="clear" w:color="auto" w:fill="auto"/>
            <w:noWrap/>
            <w:vAlign w:val="bottom"/>
            <w:hideMark/>
          </w:tcPr>
          <w:p w14:paraId="2CE62F53" w14:textId="7259E247" w:rsidR="0003486C" w:rsidRPr="0003486C" w:rsidRDefault="0003486C" w:rsidP="0029350A">
            <w:pPr>
              <w:pStyle w:val="Tables"/>
              <w:jc w:val="right"/>
              <w:rPr>
                <w:sz w:val="20"/>
                <w:szCs w:val="20"/>
              </w:rPr>
            </w:pPr>
            <w:r w:rsidRPr="0003486C">
              <w:rPr>
                <w:color w:val="000000"/>
                <w:sz w:val="20"/>
                <w:szCs w:val="20"/>
              </w:rPr>
              <w:t> </w:t>
            </w:r>
          </w:p>
        </w:tc>
        <w:tc>
          <w:tcPr>
            <w:tcW w:w="360" w:type="dxa"/>
            <w:shd w:val="clear" w:color="auto" w:fill="auto"/>
            <w:noWrap/>
            <w:vAlign w:val="bottom"/>
            <w:hideMark/>
          </w:tcPr>
          <w:p w14:paraId="15B24EE8" w14:textId="77777777" w:rsidR="0003486C" w:rsidRPr="0003486C" w:rsidRDefault="0003486C" w:rsidP="0003486C">
            <w:pPr>
              <w:pStyle w:val="Tables"/>
              <w:rPr>
                <w:sz w:val="20"/>
                <w:szCs w:val="20"/>
              </w:rPr>
            </w:pPr>
          </w:p>
        </w:tc>
        <w:tc>
          <w:tcPr>
            <w:tcW w:w="2250" w:type="dxa"/>
            <w:shd w:val="clear" w:color="auto" w:fill="auto"/>
            <w:noWrap/>
            <w:vAlign w:val="bottom"/>
            <w:hideMark/>
          </w:tcPr>
          <w:p w14:paraId="7489E641" w14:textId="77777777" w:rsidR="0003486C" w:rsidRPr="0003486C" w:rsidRDefault="0003486C" w:rsidP="0003486C">
            <w:pPr>
              <w:pStyle w:val="Tables"/>
              <w:rPr>
                <w:sz w:val="20"/>
                <w:szCs w:val="20"/>
              </w:rPr>
            </w:pPr>
          </w:p>
        </w:tc>
        <w:tc>
          <w:tcPr>
            <w:tcW w:w="1620" w:type="dxa"/>
            <w:shd w:val="clear" w:color="auto" w:fill="auto"/>
            <w:noWrap/>
            <w:vAlign w:val="bottom"/>
            <w:hideMark/>
          </w:tcPr>
          <w:p w14:paraId="695352DB" w14:textId="77777777" w:rsidR="0003486C" w:rsidRPr="0003486C" w:rsidRDefault="0003486C" w:rsidP="0003486C">
            <w:pPr>
              <w:pStyle w:val="Tables"/>
              <w:rPr>
                <w:sz w:val="20"/>
                <w:szCs w:val="20"/>
              </w:rPr>
            </w:pPr>
          </w:p>
        </w:tc>
      </w:tr>
      <w:tr w:rsidR="007F0C12" w:rsidRPr="0003486C" w14:paraId="1E81237B" w14:textId="77777777" w:rsidTr="007F0C12">
        <w:trPr>
          <w:trHeight w:val="20"/>
        </w:trPr>
        <w:tc>
          <w:tcPr>
            <w:tcW w:w="1520" w:type="dxa"/>
            <w:shd w:val="clear" w:color="auto" w:fill="auto"/>
            <w:noWrap/>
            <w:vAlign w:val="bottom"/>
            <w:hideMark/>
          </w:tcPr>
          <w:p w14:paraId="2B012291" w14:textId="77777777" w:rsidR="0003486C" w:rsidRPr="0029350A" w:rsidRDefault="0003486C" w:rsidP="0003486C">
            <w:pPr>
              <w:pStyle w:val="Tables"/>
              <w:rPr>
                <w:sz w:val="20"/>
                <w:szCs w:val="20"/>
                <w:u w:val="single"/>
              </w:rPr>
            </w:pPr>
            <w:r w:rsidRPr="0029350A">
              <w:rPr>
                <w:sz w:val="20"/>
                <w:szCs w:val="20"/>
                <w:u w:val="single"/>
              </w:rPr>
              <w:t>light gases</w:t>
            </w:r>
          </w:p>
        </w:tc>
        <w:tc>
          <w:tcPr>
            <w:tcW w:w="1801" w:type="dxa"/>
            <w:shd w:val="clear" w:color="auto" w:fill="auto"/>
            <w:noWrap/>
            <w:vAlign w:val="center"/>
            <w:hideMark/>
          </w:tcPr>
          <w:p w14:paraId="6597DBA2" w14:textId="33264253" w:rsidR="0003486C" w:rsidRPr="0029350A" w:rsidRDefault="0003486C" w:rsidP="0029350A">
            <w:pPr>
              <w:pStyle w:val="Tables"/>
              <w:jc w:val="right"/>
              <w:rPr>
                <w:sz w:val="20"/>
                <w:szCs w:val="20"/>
                <w:u w:val="single"/>
              </w:rPr>
            </w:pPr>
            <w:r w:rsidRPr="0029350A">
              <w:rPr>
                <w:color w:val="000000"/>
                <w:sz w:val="20"/>
                <w:szCs w:val="20"/>
                <w:u w:val="single"/>
              </w:rPr>
              <w:t>% Increase MSE</w:t>
            </w:r>
          </w:p>
        </w:tc>
        <w:tc>
          <w:tcPr>
            <w:tcW w:w="360" w:type="dxa"/>
            <w:shd w:val="clear" w:color="auto" w:fill="auto"/>
            <w:noWrap/>
            <w:vAlign w:val="bottom"/>
            <w:hideMark/>
          </w:tcPr>
          <w:p w14:paraId="0DD1B038" w14:textId="77777777" w:rsidR="0003486C" w:rsidRPr="0003486C" w:rsidRDefault="0003486C" w:rsidP="0003486C">
            <w:pPr>
              <w:pStyle w:val="Tables"/>
              <w:rPr>
                <w:sz w:val="20"/>
                <w:szCs w:val="20"/>
              </w:rPr>
            </w:pPr>
          </w:p>
        </w:tc>
        <w:tc>
          <w:tcPr>
            <w:tcW w:w="2250" w:type="dxa"/>
            <w:shd w:val="clear" w:color="auto" w:fill="auto"/>
            <w:noWrap/>
            <w:vAlign w:val="bottom"/>
            <w:hideMark/>
          </w:tcPr>
          <w:p w14:paraId="40620A11" w14:textId="77777777" w:rsidR="0003486C" w:rsidRPr="0003486C" w:rsidRDefault="0003486C" w:rsidP="0003486C">
            <w:pPr>
              <w:pStyle w:val="Tables"/>
              <w:rPr>
                <w:sz w:val="20"/>
                <w:szCs w:val="20"/>
              </w:rPr>
            </w:pPr>
          </w:p>
        </w:tc>
        <w:tc>
          <w:tcPr>
            <w:tcW w:w="1620" w:type="dxa"/>
            <w:shd w:val="clear" w:color="auto" w:fill="auto"/>
            <w:noWrap/>
            <w:vAlign w:val="bottom"/>
            <w:hideMark/>
          </w:tcPr>
          <w:p w14:paraId="0C291116" w14:textId="77777777" w:rsidR="0003486C" w:rsidRPr="0003486C" w:rsidRDefault="0003486C" w:rsidP="0003486C">
            <w:pPr>
              <w:pStyle w:val="Tables"/>
              <w:rPr>
                <w:sz w:val="20"/>
                <w:szCs w:val="20"/>
              </w:rPr>
            </w:pPr>
          </w:p>
        </w:tc>
      </w:tr>
      <w:tr w:rsidR="007F0C12" w:rsidRPr="0003486C" w14:paraId="232FCD95" w14:textId="77777777" w:rsidTr="007F0C12">
        <w:trPr>
          <w:trHeight w:val="20"/>
        </w:trPr>
        <w:tc>
          <w:tcPr>
            <w:tcW w:w="1520" w:type="dxa"/>
            <w:shd w:val="clear" w:color="auto" w:fill="auto"/>
            <w:noWrap/>
            <w:vAlign w:val="bottom"/>
            <w:hideMark/>
          </w:tcPr>
          <w:p w14:paraId="5B3AD8C9" w14:textId="77777777" w:rsidR="0003486C" w:rsidRPr="0003486C" w:rsidRDefault="0003486C" w:rsidP="0003486C">
            <w:pPr>
              <w:pStyle w:val="Tables"/>
              <w:rPr>
                <w:sz w:val="20"/>
                <w:szCs w:val="20"/>
              </w:rPr>
            </w:pPr>
            <w:r w:rsidRPr="0003486C">
              <w:rPr>
                <w:sz w:val="20"/>
                <w:szCs w:val="20"/>
              </w:rPr>
              <w:t>UA</w:t>
            </w:r>
          </w:p>
        </w:tc>
        <w:tc>
          <w:tcPr>
            <w:tcW w:w="1801" w:type="dxa"/>
            <w:shd w:val="clear" w:color="auto" w:fill="auto"/>
            <w:noWrap/>
            <w:vAlign w:val="center"/>
            <w:hideMark/>
          </w:tcPr>
          <w:p w14:paraId="7B9B6C36" w14:textId="58474C9A" w:rsidR="0003486C" w:rsidRPr="0003486C" w:rsidRDefault="0003486C" w:rsidP="0029350A">
            <w:pPr>
              <w:pStyle w:val="Tables"/>
              <w:jc w:val="right"/>
              <w:rPr>
                <w:sz w:val="20"/>
                <w:szCs w:val="20"/>
              </w:rPr>
            </w:pPr>
            <w:r w:rsidRPr="0003486C">
              <w:rPr>
                <w:color w:val="000000"/>
                <w:sz w:val="20"/>
                <w:szCs w:val="20"/>
              </w:rPr>
              <w:t>8.31E+07</w:t>
            </w:r>
          </w:p>
        </w:tc>
        <w:tc>
          <w:tcPr>
            <w:tcW w:w="360" w:type="dxa"/>
            <w:shd w:val="clear" w:color="auto" w:fill="auto"/>
            <w:noWrap/>
            <w:vAlign w:val="bottom"/>
            <w:hideMark/>
          </w:tcPr>
          <w:p w14:paraId="1493419D" w14:textId="77777777" w:rsidR="0003486C" w:rsidRPr="0003486C" w:rsidRDefault="0003486C" w:rsidP="0003486C">
            <w:pPr>
              <w:pStyle w:val="Tables"/>
              <w:rPr>
                <w:sz w:val="20"/>
                <w:szCs w:val="20"/>
              </w:rPr>
            </w:pPr>
          </w:p>
        </w:tc>
        <w:tc>
          <w:tcPr>
            <w:tcW w:w="2250" w:type="dxa"/>
            <w:shd w:val="clear" w:color="auto" w:fill="auto"/>
            <w:noWrap/>
            <w:vAlign w:val="bottom"/>
            <w:hideMark/>
          </w:tcPr>
          <w:p w14:paraId="7048F062" w14:textId="77777777" w:rsidR="0003486C" w:rsidRPr="0003486C" w:rsidRDefault="0003486C" w:rsidP="0003486C">
            <w:pPr>
              <w:pStyle w:val="Tables"/>
              <w:rPr>
                <w:sz w:val="20"/>
                <w:szCs w:val="20"/>
              </w:rPr>
            </w:pPr>
          </w:p>
        </w:tc>
        <w:tc>
          <w:tcPr>
            <w:tcW w:w="1620" w:type="dxa"/>
            <w:shd w:val="clear" w:color="auto" w:fill="auto"/>
            <w:noWrap/>
            <w:vAlign w:val="bottom"/>
            <w:hideMark/>
          </w:tcPr>
          <w:p w14:paraId="393AE354" w14:textId="77777777" w:rsidR="0003486C" w:rsidRPr="0003486C" w:rsidRDefault="0003486C" w:rsidP="0003486C">
            <w:pPr>
              <w:pStyle w:val="Tables"/>
              <w:rPr>
                <w:sz w:val="20"/>
                <w:szCs w:val="20"/>
              </w:rPr>
            </w:pPr>
          </w:p>
        </w:tc>
      </w:tr>
      <w:tr w:rsidR="007F0C12" w:rsidRPr="0003486C" w14:paraId="5D2BAB33" w14:textId="77777777" w:rsidTr="007F0C12">
        <w:trPr>
          <w:trHeight w:val="20"/>
        </w:trPr>
        <w:tc>
          <w:tcPr>
            <w:tcW w:w="1520" w:type="dxa"/>
            <w:shd w:val="clear" w:color="auto" w:fill="auto"/>
            <w:noWrap/>
            <w:vAlign w:val="bottom"/>
            <w:hideMark/>
          </w:tcPr>
          <w:p w14:paraId="7BEE8C37" w14:textId="77777777" w:rsidR="0003486C" w:rsidRPr="0003486C" w:rsidRDefault="0003486C" w:rsidP="0003486C">
            <w:pPr>
              <w:pStyle w:val="Tables"/>
              <w:rPr>
                <w:b/>
                <w:bCs/>
                <w:sz w:val="20"/>
                <w:szCs w:val="20"/>
              </w:rPr>
            </w:pPr>
            <w:r w:rsidRPr="0003486C">
              <w:rPr>
                <w:b/>
                <w:bCs/>
                <w:sz w:val="20"/>
                <w:szCs w:val="20"/>
              </w:rPr>
              <w:t>C</w:t>
            </w:r>
          </w:p>
        </w:tc>
        <w:tc>
          <w:tcPr>
            <w:tcW w:w="1801" w:type="dxa"/>
            <w:shd w:val="clear" w:color="auto" w:fill="auto"/>
            <w:noWrap/>
            <w:vAlign w:val="center"/>
            <w:hideMark/>
          </w:tcPr>
          <w:p w14:paraId="098617F0" w14:textId="754E60BD" w:rsidR="0003486C" w:rsidRPr="0003486C" w:rsidRDefault="0003486C" w:rsidP="0029350A">
            <w:pPr>
              <w:pStyle w:val="Tables"/>
              <w:jc w:val="right"/>
              <w:rPr>
                <w:sz w:val="20"/>
                <w:szCs w:val="20"/>
              </w:rPr>
            </w:pPr>
            <w:r w:rsidRPr="0003486C">
              <w:rPr>
                <w:color w:val="000000"/>
                <w:sz w:val="20"/>
                <w:szCs w:val="20"/>
              </w:rPr>
              <w:t>7.74E+07</w:t>
            </w:r>
          </w:p>
        </w:tc>
        <w:tc>
          <w:tcPr>
            <w:tcW w:w="360" w:type="dxa"/>
            <w:shd w:val="clear" w:color="auto" w:fill="auto"/>
            <w:noWrap/>
            <w:vAlign w:val="bottom"/>
            <w:hideMark/>
          </w:tcPr>
          <w:p w14:paraId="785112B3" w14:textId="77777777" w:rsidR="0003486C" w:rsidRPr="0003486C" w:rsidRDefault="0003486C" w:rsidP="0003486C">
            <w:pPr>
              <w:pStyle w:val="Tables"/>
              <w:rPr>
                <w:sz w:val="20"/>
                <w:szCs w:val="20"/>
              </w:rPr>
            </w:pPr>
          </w:p>
        </w:tc>
        <w:tc>
          <w:tcPr>
            <w:tcW w:w="2250" w:type="dxa"/>
            <w:shd w:val="clear" w:color="auto" w:fill="auto"/>
            <w:noWrap/>
            <w:vAlign w:val="bottom"/>
            <w:hideMark/>
          </w:tcPr>
          <w:p w14:paraId="594745ED" w14:textId="77777777" w:rsidR="0003486C" w:rsidRPr="0003486C" w:rsidRDefault="0003486C" w:rsidP="0003486C">
            <w:pPr>
              <w:pStyle w:val="Tables"/>
              <w:rPr>
                <w:sz w:val="20"/>
                <w:szCs w:val="20"/>
              </w:rPr>
            </w:pPr>
          </w:p>
        </w:tc>
        <w:tc>
          <w:tcPr>
            <w:tcW w:w="1620" w:type="dxa"/>
            <w:shd w:val="clear" w:color="auto" w:fill="auto"/>
            <w:noWrap/>
            <w:vAlign w:val="bottom"/>
            <w:hideMark/>
          </w:tcPr>
          <w:p w14:paraId="1E527A54" w14:textId="77777777" w:rsidR="0003486C" w:rsidRPr="0003486C" w:rsidRDefault="0003486C" w:rsidP="0003486C">
            <w:pPr>
              <w:pStyle w:val="Tables"/>
              <w:rPr>
                <w:sz w:val="20"/>
                <w:szCs w:val="20"/>
              </w:rPr>
            </w:pPr>
          </w:p>
        </w:tc>
      </w:tr>
      <w:tr w:rsidR="007F0C12" w:rsidRPr="0003486C" w14:paraId="2E846D4C" w14:textId="77777777" w:rsidTr="007F0C12">
        <w:trPr>
          <w:trHeight w:val="20"/>
        </w:trPr>
        <w:tc>
          <w:tcPr>
            <w:tcW w:w="1520" w:type="dxa"/>
            <w:shd w:val="clear" w:color="auto" w:fill="auto"/>
            <w:noWrap/>
            <w:vAlign w:val="bottom"/>
            <w:hideMark/>
          </w:tcPr>
          <w:p w14:paraId="6F53B6B1" w14:textId="77777777" w:rsidR="0003486C" w:rsidRPr="0003486C" w:rsidRDefault="0003486C" w:rsidP="0003486C">
            <w:pPr>
              <w:pStyle w:val="Tables"/>
              <w:rPr>
                <w:sz w:val="20"/>
                <w:szCs w:val="20"/>
              </w:rPr>
            </w:pPr>
            <w:r w:rsidRPr="0003486C">
              <w:rPr>
                <w:sz w:val="20"/>
                <w:szCs w:val="20"/>
              </w:rPr>
              <w:t>KL</w:t>
            </w:r>
          </w:p>
        </w:tc>
        <w:tc>
          <w:tcPr>
            <w:tcW w:w="1801" w:type="dxa"/>
            <w:shd w:val="clear" w:color="auto" w:fill="auto"/>
            <w:noWrap/>
            <w:vAlign w:val="center"/>
            <w:hideMark/>
          </w:tcPr>
          <w:p w14:paraId="7994851B" w14:textId="3064B573" w:rsidR="0003486C" w:rsidRPr="0003486C" w:rsidRDefault="0003486C" w:rsidP="0029350A">
            <w:pPr>
              <w:pStyle w:val="Tables"/>
              <w:jc w:val="right"/>
              <w:rPr>
                <w:sz w:val="20"/>
                <w:szCs w:val="20"/>
              </w:rPr>
            </w:pPr>
            <w:r w:rsidRPr="0003486C">
              <w:rPr>
                <w:color w:val="000000"/>
                <w:sz w:val="20"/>
                <w:szCs w:val="20"/>
              </w:rPr>
              <w:t>7.72E+07</w:t>
            </w:r>
          </w:p>
        </w:tc>
        <w:tc>
          <w:tcPr>
            <w:tcW w:w="360" w:type="dxa"/>
            <w:shd w:val="clear" w:color="auto" w:fill="auto"/>
            <w:noWrap/>
            <w:vAlign w:val="bottom"/>
            <w:hideMark/>
          </w:tcPr>
          <w:p w14:paraId="51C350B9" w14:textId="77777777" w:rsidR="0003486C" w:rsidRPr="0003486C" w:rsidRDefault="0003486C" w:rsidP="0003486C">
            <w:pPr>
              <w:pStyle w:val="Tables"/>
              <w:rPr>
                <w:sz w:val="20"/>
                <w:szCs w:val="20"/>
              </w:rPr>
            </w:pPr>
          </w:p>
        </w:tc>
        <w:tc>
          <w:tcPr>
            <w:tcW w:w="2250" w:type="dxa"/>
            <w:shd w:val="clear" w:color="auto" w:fill="auto"/>
            <w:noWrap/>
            <w:vAlign w:val="bottom"/>
            <w:hideMark/>
          </w:tcPr>
          <w:p w14:paraId="4CFCA30C" w14:textId="77777777" w:rsidR="0003486C" w:rsidRPr="0003486C" w:rsidRDefault="0003486C" w:rsidP="0003486C">
            <w:pPr>
              <w:pStyle w:val="Tables"/>
              <w:rPr>
                <w:sz w:val="20"/>
                <w:szCs w:val="20"/>
              </w:rPr>
            </w:pPr>
          </w:p>
        </w:tc>
        <w:tc>
          <w:tcPr>
            <w:tcW w:w="1620" w:type="dxa"/>
            <w:shd w:val="clear" w:color="auto" w:fill="auto"/>
            <w:noWrap/>
            <w:vAlign w:val="bottom"/>
            <w:hideMark/>
          </w:tcPr>
          <w:p w14:paraId="1307D509" w14:textId="77777777" w:rsidR="0003486C" w:rsidRPr="0003486C" w:rsidRDefault="0003486C" w:rsidP="0003486C">
            <w:pPr>
              <w:pStyle w:val="Tables"/>
              <w:rPr>
                <w:sz w:val="20"/>
                <w:szCs w:val="20"/>
              </w:rPr>
            </w:pPr>
          </w:p>
        </w:tc>
      </w:tr>
      <w:tr w:rsidR="007F0C12" w:rsidRPr="0003486C" w14:paraId="25AB6EF9" w14:textId="77777777" w:rsidTr="007F0C12">
        <w:trPr>
          <w:trHeight w:val="20"/>
        </w:trPr>
        <w:tc>
          <w:tcPr>
            <w:tcW w:w="1520" w:type="dxa"/>
            <w:shd w:val="clear" w:color="auto" w:fill="auto"/>
            <w:noWrap/>
            <w:vAlign w:val="bottom"/>
            <w:hideMark/>
          </w:tcPr>
          <w:p w14:paraId="2961CAD6" w14:textId="77777777" w:rsidR="0003486C" w:rsidRPr="0003486C" w:rsidRDefault="0003486C" w:rsidP="0003486C">
            <w:pPr>
              <w:pStyle w:val="Tables"/>
              <w:rPr>
                <w:b/>
                <w:bCs/>
                <w:sz w:val="20"/>
                <w:szCs w:val="20"/>
              </w:rPr>
            </w:pPr>
            <w:r w:rsidRPr="0003486C">
              <w:rPr>
                <w:b/>
                <w:bCs/>
                <w:sz w:val="20"/>
                <w:szCs w:val="20"/>
              </w:rPr>
              <w:t>Ca</w:t>
            </w:r>
          </w:p>
        </w:tc>
        <w:tc>
          <w:tcPr>
            <w:tcW w:w="1801" w:type="dxa"/>
            <w:shd w:val="clear" w:color="auto" w:fill="auto"/>
            <w:noWrap/>
            <w:vAlign w:val="center"/>
            <w:hideMark/>
          </w:tcPr>
          <w:p w14:paraId="27AF3F7F" w14:textId="4F8FE0D2" w:rsidR="0003486C" w:rsidRPr="0003486C" w:rsidRDefault="0003486C" w:rsidP="0029350A">
            <w:pPr>
              <w:pStyle w:val="Tables"/>
              <w:jc w:val="right"/>
              <w:rPr>
                <w:sz w:val="20"/>
                <w:szCs w:val="20"/>
              </w:rPr>
            </w:pPr>
            <w:r w:rsidRPr="0003486C">
              <w:rPr>
                <w:color w:val="000000"/>
                <w:sz w:val="20"/>
                <w:szCs w:val="20"/>
              </w:rPr>
              <w:t>5.21E+07</w:t>
            </w:r>
          </w:p>
        </w:tc>
        <w:tc>
          <w:tcPr>
            <w:tcW w:w="360" w:type="dxa"/>
            <w:shd w:val="clear" w:color="auto" w:fill="auto"/>
            <w:noWrap/>
            <w:vAlign w:val="bottom"/>
            <w:hideMark/>
          </w:tcPr>
          <w:p w14:paraId="0923B71E" w14:textId="77777777" w:rsidR="0003486C" w:rsidRPr="0003486C" w:rsidRDefault="0003486C" w:rsidP="0003486C">
            <w:pPr>
              <w:pStyle w:val="Tables"/>
              <w:rPr>
                <w:sz w:val="20"/>
                <w:szCs w:val="20"/>
              </w:rPr>
            </w:pPr>
          </w:p>
        </w:tc>
        <w:tc>
          <w:tcPr>
            <w:tcW w:w="2250" w:type="dxa"/>
            <w:shd w:val="clear" w:color="auto" w:fill="auto"/>
            <w:noWrap/>
            <w:vAlign w:val="bottom"/>
            <w:hideMark/>
          </w:tcPr>
          <w:p w14:paraId="3A34B46B" w14:textId="77777777" w:rsidR="0003486C" w:rsidRPr="0003486C" w:rsidRDefault="0003486C" w:rsidP="0003486C">
            <w:pPr>
              <w:pStyle w:val="Tables"/>
              <w:rPr>
                <w:sz w:val="20"/>
                <w:szCs w:val="20"/>
              </w:rPr>
            </w:pPr>
          </w:p>
        </w:tc>
        <w:tc>
          <w:tcPr>
            <w:tcW w:w="1620" w:type="dxa"/>
            <w:shd w:val="clear" w:color="auto" w:fill="auto"/>
            <w:noWrap/>
            <w:vAlign w:val="bottom"/>
            <w:hideMark/>
          </w:tcPr>
          <w:p w14:paraId="12FA4165" w14:textId="77777777" w:rsidR="0003486C" w:rsidRPr="0003486C" w:rsidRDefault="0003486C" w:rsidP="0003486C">
            <w:pPr>
              <w:pStyle w:val="Tables"/>
              <w:rPr>
                <w:sz w:val="20"/>
                <w:szCs w:val="20"/>
              </w:rPr>
            </w:pPr>
          </w:p>
        </w:tc>
      </w:tr>
      <w:tr w:rsidR="007F0C12" w:rsidRPr="0003486C" w14:paraId="53F12EF2" w14:textId="77777777" w:rsidTr="007F0C12">
        <w:trPr>
          <w:trHeight w:val="20"/>
        </w:trPr>
        <w:tc>
          <w:tcPr>
            <w:tcW w:w="1520" w:type="dxa"/>
            <w:shd w:val="clear" w:color="auto" w:fill="auto"/>
            <w:noWrap/>
            <w:vAlign w:val="bottom"/>
            <w:hideMark/>
          </w:tcPr>
          <w:p w14:paraId="3CCD1189" w14:textId="77777777" w:rsidR="0003486C" w:rsidRPr="0003486C" w:rsidRDefault="0003486C" w:rsidP="0003486C">
            <w:pPr>
              <w:pStyle w:val="Tables"/>
              <w:rPr>
                <w:b/>
                <w:bCs/>
                <w:sz w:val="20"/>
                <w:szCs w:val="20"/>
              </w:rPr>
            </w:pPr>
            <w:r w:rsidRPr="0003486C">
              <w:rPr>
                <w:b/>
                <w:bCs/>
                <w:sz w:val="20"/>
                <w:szCs w:val="20"/>
              </w:rPr>
              <w:t>glucose.nrel</w:t>
            </w:r>
          </w:p>
        </w:tc>
        <w:tc>
          <w:tcPr>
            <w:tcW w:w="1801" w:type="dxa"/>
            <w:shd w:val="clear" w:color="auto" w:fill="auto"/>
            <w:noWrap/>
            <w:vAlign w:val="center"/>
            <w:hideMark/>
          </w:tcPr>
          <w:p w14:paraId="22268EC3" w14:textId="5F46C6CE" w:rsidR="0003486C" w:rsidRPr="0003486C" w:rsidRDefault="0003486C" w:rsidP="0029350A">
            <w:pPr>
              <w:pStyle w:val="Tables"/>
              <w:jc w:val="right"/>
              <w:rPr>
                <w:sz w:val="20"/>
                <w:szCs w:val="20"/>
              </w:rPr>
            </w:pPr>
            <w:r w:rsidRPr="0003486C">
              <w:rPr>
                <w:color w:val="000000"/>
                <w:sz w:val="20"/>
                <w:szCs w:val="20"/>
              </w:rPr>
              <w:t>2.96E+07</w:t>
            </w:r>
          </w:p>
        </w:tc>
        <w:tc>
          <w:tcPr>
            <w:tcW w:w="360" w:type="dxa"/>
            <w:shd w:val="clear" w:color="auto" w:fill="auto"/>
            <w:noWrap/>
            <w:vAlign w:val="bottom"/>
            <w:hideMark/>
          </w:tcPr>
          <w:p w14:paraId="3C3F8816" w14:textId="77777777" w:rsidR="0003486C" w:rsidRPr="0003486C" w:rsidRDefault="0003486C" w:rsidP="0003486C">
            <w:pPr>
              <w:pStyle w:val="Tables"/>
              <w:rPr>
                <w:sz w:val="20"/>
                <w:szCs w:val="20"/>
              </w:rPr>
            </w:pPr>
          </w:p>
        </w:tc>
        <w:tc>
          <w:tcPr>
            <w:tcW w:w="2250" w:type="dxa"/>
            <w:shd w:val="clear" w:color="auto" w:fill="auto"/>
            <w:noWrap/>
            <w:vAlign w:val="bottom"/>
            <w:hideMark/>
          </w:tcPr>
          <w:p w14:paraId="6C548523" w14:textId="77777777" w:rsidR="0003486C" w:rsidRPr="0003486C" w:rsidRDefault="0003486C" w:rsidP="0003486C">
            <w:pPr>
              <w:pStyle w:val="Tables"/>
              <w:rPr>
                <w:sz w:val="20"/>
                <w:szCs w:val="20"/>
              </w:rPr>
            </w:pPr>
          </w:p>
        </w:tc>
        <w:tc>
          <w:tcPr>
            <w:tcW w:w="1620" w:type="dxa"/>
            <w:shd w:val="clear" w:color="auto" w:fill="auto"/>
            <w:noWrap/>
            <w:vAlign w:val="bottom"/>
            <w:hideMark/>
          </w:tcPr>
          <w:p w14:paraId="0184850F" w14:textId="77777777" w:rsidR="0003486C" w:rsidRPr="0003486C" w:rsidRDefault="0003486C" w:rsidP="0003486C">
            <w:pPr>
              <w:pStyle w:val="Tables"/>
              <w:rPr>
                <w:sz w:val="20"/>
                <w:szCs w:val="20"/>
              </w:rPr>
            </w:pPr>
          </w:p>
        </w:tc>
      </w:tr>
      <w:tr w:rsidR="007F0C12" w:rsidRPr="0003486C" w14:paraId="6322C699" w14:textId="77777777" w:rsidTr="007F0C12">
        <w:trPr>
          <w:trHeight w:val="20"/>
        </w:trPr>
        <w:tc>
          <w:tcPr>
            <w:tcW w:w="1520" w:type="dxa"/>
            <w:shd w:val="clear" w:color="auto" w:fill="auto"/>
            <w:noWrap/>
            <w:vAlign w:val="bottom"/>
            <w:hideMark/>
          </w:tcPr>
          <w:p w14:paraId="66A2D0FB" w14:textId="77777777" w:rsidR="0003486C" w:rsidRPr="0003486C" w:rsidRDefault="0003486C" w:rsidP="0003486C">
            <w:pPr>
              <w:pStyle w:val="Tables"/>
              <w:rPr>
                <w:b/>
                <w:bCs/>
                <w:sz w:val="20"/>
                <w:szCs w:val="20"/>
              </w:rPr>
            </w:pPr>
            <w:r w:rsidRPr="0003486C">
              <w:rPr>
                <w:b/>
                <w:bCs/>
                <w:sz w:val="20"/>
                <w:szCs w:val="20"/>
              </w:rPr>
              <w:t>FA</w:t>
            </w:r>
          </w:p>
        </w:tc>
        <w:tc>
          <w:tcPr>
            <w:tcW w:w="1801" w:type="dxa"/>
            <w:shd w:val="clear" w:color="auto" w:fill="auto"/>
            <w:noWrap/>
            <w:vAlign w:val="center"/>
            <w:hideMark/>
          </w:tcPr>
          <w:p w14:paraId="0F38150A" w14:textId="41CA18FE" w:rsidR="0003486C" w:rsidRPr="0003486C" w:rsidRDefault="0003486C" w:rsidP="0029350A">
            <w:pPr>
              <w:pStyle w:val="Tables"/>
              <w:jc w:val="right"/>
              <w:rPr>
                <w:sz w:val="20"/>
                <w:szCs w:val="20"/>
              </w:rPr>
            </w:pPr>
            <w:r w:rsidRPr="0003486C">
              <w:rPr>
                <w:color w:val="000000"/>
                <w:sz w:val="20"/>
                <w:szCs w:val="20"/>
              </w:rPr>
              <w:t>2.63E+07</w:t>
            </w:r>
          </w:p>
        </w:tc>
        <w:tc>
          <w:tcPr>
            <w:tcW w:w="360" w:type="dxa"/>
            <w:shd w:val="clear" w:color="auto" w:fill="auto"/>
            <w:noWrap/>
            <w:vAlign w:val="bottom"/>
            <w:hideMark/>
          </w:tcPr>
          <w:p w14:paraId="758BCAAA" w14:textId="77777777" w:rsidR="0003486C" w:rsidRPr="0003486C" w:rsidRDefault="0003486C" w:rsidP="0003486C">
            <w:pPr>
              <w:pStyle w:val="Tables"/>
              <w:rPr>
                <w:sz w:val="20"/>
                <w:szCs w:val="20"/>
              </w:rPr>
            </w:pPr>
          </w:p>
        </w:tc>
        <w:tc>
          <w:tcPr>
            <w:tcW w:w="2250" w:type="dxa"/>
            <w:shd w:val="clear" w:color="auto" w:fill="auto"/>
            <w:noWrap/>
            <w:vAlign w:val="bottom"/>
            <w:hideMark/>
          </w:tcPr>
          <w:p w14:paraId="0EEAD824" w14:textId="77777777" w:rsidR="0003486C" w:rsidRPr="0003486C" w:rsidRDefault="0003486C" w:rsidP="0003486C">
            <w:pPr>
              <w:pStyle w:val="Tables"/>
              <w:rPr>
                <w:sz w:val="20"/>
                <w:szCs w:val="20"/>
              </w:rPr>
            </w:pPr>
          </w:p>
        </w:tc>
        <w:tc>
          <w:tcPr>
            <w:tcW w:w="1620" w:type="dxa"/>
            <w:shd w:val="clear" w:color="auto" w:fill="auto"/>
            <w:noWrap/>
            <w:vAlign w:val="bottom"/>
            <w:hideMark/>
          </w:tcPr>
          <w:p w14:paraId="6272A4A2" w14:textId="77777777" w:rsidR="0003486C" w:rsidRPr="0003486C" w:rsidRDefault="0003486C" w:rsidP="0003486C">
            <w:pPr>
              <w:pStyle w:val="Tables"/>
              <w:rPr>
                <w:sz w:val="20"/>
                <w:szCs w:val="20"/>
              </w:rPr>
            </w:pPr>
          </w:p>
        </w:tc>
      </w:tr>
      <w:tr w:rsidR="007F0C12" w:rsidRPr="0003486C" w14:paraId="615AE272" w14:textId="77777777" w:rsidTr="007F0C12">
        <w:trPr>
          <w:trHeight w:val="20"/>
        </w:trPr>
        <w:tc>
          <w:tcPr>
            <w:tcW w:w="1520" w:type="dxa"/>
            <w:shd w:val="clear" w:color="auto" w:fill="auto"/>
            <w:noWrap/>
            <w:vAlign w:val="bottom"/>
            <w:hideMark/>
          </w:tcPr>
          <w:p w14:paraId="4829BD10" w14:textId="77777777" w:rsidR="0003486C" w:rsidRPr="0003486C" w:rsidRDefault="0003486C" w:rsidP="0003486C">
            <w:pPr>
              <w:pStyle w:val="Tables"/>
              <w:rPr>
                <w:b/>
                <w:bCs/>
                <w:sz w:val="20"/>
                <w:szCs w:val="20"/>
              </w:rPr>
            </w:pPr>
            <w:r w:rsidRPr="0003486C">
              <w:rPr>
                <w:b/>
                <w:bCs/>
                <w:sz w:val="20"/>
                <w:szCs w:val="20"/>
              </w:rPr>
              <w:t>K</w:t>
            </w:r>
          </w:p>
        </w:tc>
        <w:tc>
          <w:tcPr>
            <w:tcW w:w="1801" w:type="dxa"/>
            <w:shd w:val="clear" w:color="auto" w:fill="auto"/>
            <w:noWrap/>
            <w:vAlign w:val="center"/>
            <w:hideMark/>
          </w:tcPr>
          <w:p w14:paraId="0446F4B8" w14:textId="4D5AF399" w:rsidR="0003486C" w:rsidRPr="0003486C" w:rsidRDefault="0003486C" w:rsidP="0029350A">
            <w:pPr>
              <w:pStyle w:val="Tables"/>
              <w:jc w:val="right"/>
              <w:rPr>
                <w:sz w:val="20"/>
                <w:szCs w:val="20"/>
              </w:rPr>
            </w:pPr>
            <w:r w:rsidRPr="0003486C">
              <w:rPr>
                <w:color w:val="000000"/>
                <w:sz w:val="20"/>
                <w:szCs w:val="20"/>
              </w:rPr>
              <w:t>2.55E+07</w:t>
            </w:r>
          </w:p>
        </w:tc>
        <w:tc>
          <w:tcPr>
            <w:tcW w:w="360" w:type="dxa"/>
            <w:shd w:val="clear" w:color="auto" w:fill="auto"/>
            <w:noWrap/>
            <w:vAlign w:val="bottom"/>
            <w:hideMark/>
          </w:tcPr>
          <w:p w14:paraId="3126EB85" w14:textId="77777777" w:rsidR="0003486C" w:rsidRPr="0003486C" w:rsidRDefault="0003486C" w:rsidP="0003486C">
            <w:pPr>
              <w:pStyle w:val="Tables"/>
              <w:rPr>
                <w:sz w:val="20"/>
                <w:szCs w:val="20"/>
              </w:rPr>
            </w:pPr>
          </w:p>
        </w:tc>
        <w:tc>
          <w:tcPr>
            <w:tcW w:w="2250" w:type="dxa"/>
            <w:shd w:val="clear" w:color="auto" w:fill="auto"/>
            <w:noWrap/>
            <w:vAlign w:val="bottom"/>
            <w:hideMark/>
          </w:tcPr>
          <w:p w14:paraId="3D261B64" w14:textId="77777777" w:rsidR="0003486C" w:rsidRPr="0003486C" w:rsidRDefault="0003486C" w:rsidP="0003486C">
            <w:pPr>
              <w:pStyle w:val="Tables"/>
              <w:rPr>
                <w:sz w:val="20"/>
                <w:szCs w:val="20"/>
              </w:rPr>
            </w:pPr>
          </w:p>
        </w:tc>
        <w:tc>
          <w:tcPr>
            <w:tcW w:w="1620" w:type="dxa"/>
            <w:shd w:val="clear" w:color="auto" w:fill="auto"/>
            <w:noWrap/>
            <w:vAlign w:val="bottom"/>
            <w:hideMark/>
          </w:tcPr>
          <w:p w14:paraId="79F5AF81" w14:textId="77777777" w:rsidR="0003486C" w:rsidRPr="0003486C" w:rsidRDefault="0003486C" w:rsidP="0003486C">
            <w:pPr>
              <w:pStyle w:val="Tables"/>
              <w:rPr>
                <w:sz w:val="20"/>
                <w:szCs w:val="20"/>
              </w:rPr>
            </w:pPr>
          </w:p>
        </w:tc>
      </w:tr>
    </w:tbl>
    <w:p w14:paraId="1D4F473A" w14:textId="77777777" w:rsidR="004B12F3" w:rsidRDefault="005141A0" w:rsidP="005141A0">
      <w:pPr>
        <w:pStyle w:val="Caption"/>
        <w:rPr>
          <w:b w:val="0"/>
        </w:rPr>
      </w:pPr>
      <w:bookmarkStart w:id="149" w:name="_Toc449964938"/>
      <w:r>
        <w:t xml:space="preserve">Table </w:t>
      </w:r>
      <w:fldSimple w:instr=" STYLEREF &quot;Chapter&quot; \s ">
        <w:r w:rsidR="00463F52">
          <w:rPr>
            <w:noProof/>
          </w:rPr>
          <w:t>6</w:t>
        </w:r>
      </w:fldSimple>
      <w:r>
        <w:t>.</w:t>
      </w:r>
      <w:fldSimple w:instr=" SEQ Table \* ARABIC \s 1 ">
        <w:r w:rsidR="00463F52">
          <w:rPr>
            <w:noProof/>
          </w:rPr>
          <w:t>4</w:t>
        </w:r>
      </w:fldSimple>
      <w:r>
        <w:t>.</w:t>
      </w:r>
      <w:r w:rsidRPr="008E2374">
        <w:t xml:space="preserve"> </w:t>
      </w:r>
      <w:r>
        <w:rPr>
          <w:b w:val="0"/>
        </w:rPr>
        <w:t>Model variable importance scores for</w:t>
      </w:r>
      <w:r w:rsidR="0029350A" w:rsidRPr="0029350A">
        <w:rPr>
          <w:b w:val="0"/>
        </w:rPr>
        <w:t xml:space="preserve"> </w:t>
      </w:r>
      <w:r w:rsidR="0029350A">
        <w:rPr>
          <w:b w:val="0"/>
        </w:rPr>
        <w:t>top seven</w:t>
      </w:r>
      <w:r>
        <w:rPr>
          <w:b w:val="0"/>
        </w:rPr>
        <w:t xml:space="preserve"> pyr</w:t>
      </w:r>
      <w:r w:rsidR="004B12F3">
        <w:rPr>
          <w:b w:val="0"/>
        </w:rPr>
        <w:t>olysis random forest variables.</w:t>
      </w:r>
      <w:bookmarkEnd w:id="149"/>
    </w:p>
    <w:p w14:paraId="4B20D74C" w14:textId="056C4F78" w:rsidR="003F24CB" w:rsidRDefault="005141A0" w:rsidP="005141A0">
      <w:pPr>
        <w:pStyle w:val="Caption"/>
        <w:rPr>
          <w:b w:val="0"/>
        </w:rPr>
      </w:pPr>
      <w:r>
        <w:rPr>
          <w:b w:val="0"/>
        </w:rPr>
        <w:t>Variables in bold were eventually used in the final models.</w:t>
      </w:r>
    </w:p>
    <w:p w14:paraId="0B627E99" w14:textId="77777777" w:rsidR="003F24CB" w:rsidRDefault="003F24CB">
      <w:pPr>
        <w:rPr>
          <w:bCs/>
          <w:szCs w:val="18"/>
        </w:rPr>
      </w:pPr>
      <w:r>
        <w:rPr>
          <w:b/>
        </w:rPr>
        <w:br w:type="page"/>
      </w:r>
    </w:p>
    <w:p w14:paraId="6D2B394D" w14:textId="160ED7CD" w:rsidR="00062B5A" w:rsidRDefault="00062B5A" w:rsidP="00062B5A">
      <w:pPr>
        <w:rPr>
          <w:bCs/>
          <w:szCs w:val="18"/>
        </w:rPr>
      </w:pPr>
      <w:r w:rsidRPr="00062B5A">
        <w:rPr>
          <w:bCs/>
          <w:szCs w:val="18"/>
        </w:rPr>
        <w:lastRenderedPageBreak/>
        <w:t xml:space="preserve">Following this automatic feature selection step, ordinary least squares linear regression models were built using the selected features using the </w:t>
      </w:r>
      <w:r w:rsidRPr="00062B5A">
        <w:rPr>
          <w:rFonts w:ascii="Courier New" w:hAnsi="Courier New" w:cs="Courier New"/>
          <w:bCs/>
          <w:szCs w:val="18"/>
        </w:rPr>
        <w:t>lm</w:t>
      </w:r>
      <w:r w:rsidRPr="00062B5A">
        <w:rPr>
          <w:bCs/>
          <w:szCs w:val="18"/>
        </w:rPr>
        <w:t xml:space="preserve"> function from the </w:t>
      </w:r>
      <w:r w:rsidRPr="0017424E">
        <w:rPr>
          <w:rFonts w:ascii="Courier New" w:hAnsi="Courier New" w:cs="Courier New"/>
          <w:bCs/>
          <w:szCs w:val="18"/>
        </w:rPr>
        <w:t>stats</w:t>
      </w:r>
      <w:r w:rsidRPr="00062B5A">
        <w:rPr>
          <w:bCs/>
          <w:szCs w:val="18"/>
        </w:rPr>
        <w:t xml:space="preserve"> package in R</w:t>
      </w:r>
      <w:r w:rsidR="0017424E">
        <w:rPr>
          <w:bCs/>
          <w:szCs w:val="18"/>
        </w:rPr>
        <w:t xml:space="preserve"> </w:t>
      </w:r>
      <w:r w:rsidR="0017424E">
        <w:rPr>
          <w:bCs/>
          <w:szCs w:val="18"/>
        </w:rPr>
        <w:fldChar w:fldCharType="begin"/>
      </w:r>
      <w:r w:rsidR="00807999">
        <w:rPr>
          <w:bCs/>
          <w:szCs w:val="18"/>
        </w:rPr>
        <w:instrText xml:space="preserve"> ADDIN PAPERS2_CITATIONS &lt;citation&gt;&lt;uuid&gt;2F92C63F-34CB-43AC-8679-AAB2D879BF1E&lt;/uuid&gt;&lt;priority&gt;0&lt;/priority&gt;&lt;publications&gt;&lt;publication&gt;&lt;institution&gt;R Foundation for Statistical Computing&lt;/institution&gt;&lt;accepted_date&gt;99201508141200000000222000&lt;/accepted_date&gt;&lt;title&gt;R: A language and environment for statistical computing&lt;/title&gt;&lt;uuid&gt;013A1E70-606A-45EA-A431-8E890E9E8275&lt;/uuid&gt;&lt;subtype&gt;341&lt;/subtype&gt;&lt;version&gt;version 3.2.2&lt;/version&gt;&lt;type&gt;300&lt;/type&gt;&lt;place&gt;Vienna, Austria&lt;/place&gt;&lt;url&gt;https://www.R-project.org/&lt;/url&gt;&lt;authors&gt;&lt;author&gt;&lt;lastName&gt;R Core Team&lt;/lastName&gt;&lt;/author&gt;&lt;/authors&gt;&lt;/publication&gt;&lt;/publications&gt;&lt;cites&gt;&lt;/cites&gt;&lt;/citation&gt;</w:instrText>
      </w:r>
      <w:r w:rsidR="0017424E">
        <w:rPr>
          <w:bCs/>
          <w:szCs w:val="18"/>
        </w:rPr>
        <w:fldChar w:fldCharType="separate"/>
      </w:r>
      <w:r w:rsidR="001C1AAC">
        <w:t>(</w:t>
      </w:r>
      <w:r w:rsidR="001C1AAC">
        <w:rPr>
          <w:i/>
          <w:iCs/>
        </w:rPr>
        <w:t>178</w:t>
      </w:r>
      <w:r w:rsidR="001C1AAC">
        <w:t>)</w:t>
      </w:r>
      <w:r w:rsidR="0017424E">
        <w:rPr>
          <w:bCs/>
          <w:szCs w:val="18"/>
        </w:rPr>
        <w:fldChar w:fldCharType="end"/>
      </w:r>
      <w:r w:rsidRPr="00062B5A">
        <w:rPr>
          <w:bCs/>
          <w:szCs w:val="18"/>
        </w:rPr>
        <w:t xml:space="preserve">. To further reduce model over-fitting, stepwise feature selection minimizing the Akike information criteria statistic (AIC) </w:t>
      </w:r>
      <w:r w:rsidR="0017424E">
        <w:rPr>
          <w:bCs/>
          <w:szCs w:val="18"/>
        </w:rPr>
        <w:fldChar w:fldCharType="begin"/>
      </w:r>
      <w:r w:rsidR="00807999">
        <w:rPr>
          <w:bCs/>
          <w:szCs w:val="18"/>
        </w:rPr>
        <w:instrText xml:space="preserve"> ADDIN PAPERS2_CITATIONS &lt;citation&gt;&lt;uuid&gt;F9AFA561-B4A0-4FF4-A941-C10361834CC0&lt;/uuid&gt;&lt;priority&gt;0&lt;/priority&gt;&lt;publications&gt;&lt;publication&gt;&lt;publication_date&gt;99199003001200000000220000&lt;/publication_date&gt;&lt;title&gt;Shrinking trees&lt;/title&gt;&lt;uuid&gt;8852FF84-401D-4259-A22E-5FDDC77DFE19&lt;/uuid&gt;&lt;subtype&gt;701&lt;/subtype&gt;&lt;publisher&gt;AT&amp;amp;T Bell Laboratories&lt;/publisher&gt;&lt;type&gt;700&lt;/type&gt;&lt;url&gt;http://scholar.google.com/scholar?q=related:nLqliP3LoZEJ:scholar.google.com/&amp;amp;hl=en&amp;amp;num=20&amp;amp;as_sdt=0,5&amp;amp;as_ylo=1990&amp;amp;as_yhi=1990&lt;/url&gt;&lt;authors&gt;&lt;author&gt;&lt;firstName&gt;T&lt;/firstName&gt;&lt;lastName&gt;Hastie&lt;/lastName&gt;&lt;/author&gt;&lt;author&gt;&lt;firstName&gt;D&lt;/firstName&gt;&lt;lastName&gt;Pregibon&lt;/lastName&gt;&lt;/author&gt;&lt;/authors&gt;&lt;/publication&gt;&lt;/publications&gt;&lt;cites&gt;&lt;/cites&gt;&lt;/citation&gt;</w:instrText>
      </w:r>
      <w:r w:rsidR="0017424E">
        <w:rPr>
          <w:bCs/>
          <w:szCs w:val="18"/>
        </w:rPr>
        <w:fldChar w:fldCharType="separate"/>
      </w:r>
      <w:r w:rsidR="001C1AAC">
        <w:t>(</w:t>
      </w:r>
      <w:r w:rsidR="001C1AAC">
        <w:rPr>
          <w:i/>
          <w:iCs/>
        </w:rPr>
        <w:t>182</w:t>
      </w:r>
      <w:r w:rsidR="001C1AAC">
        <w:t>)</w:t>
      </w:r>
      <w:r w:rsidR="0017424E">
        <w:rPr>
          <w:bCs/>
          <w:szCs w:val="18"/>
        </w:rPr>
        <w:fldChar w:fldCharType="end"/>
      </w:r>
      <w:r w:rsidRPr="00062B5A">
        <w:rPr>
          <w:bCs/>
          <w:szCs w:val="18"/>
        </w:rPr>
        <w:t xml:space="preserve"> was used. Both forward &amp; backward approaches were employed. Finally, the </w:t>
      </w:r>
      <w:r w:rsidRPr="00062B5A">
        <w:rPr>
          <w:rFonts w:ascii="Courier New" w:hAnsi="Courier New" w:cs="Courier New"/>
          <w:bCs/>
          <w:szCs w:val="18"/>
        </w:rPr>
        <w:t>vif</w:t>
      </w:r>
      <w:r w:rsidRPr="00062B5A">
        <w:rPr>
          <w:bCs/>
          <w:szCs w:val="18"/>
        </w:rPr>
        <w:t xml:space="preserve"> (variance inflation factors) function from the car package in R </w:t>
      </w:r>
      <w:r w:rsidR="00FE5BF5">
        <w:rPr>
          <w:bCs/>
          <w:szCs w:val="18"/>
        </w:rPr>
        <w:fldChar w:fldCharType="begin"/>
      </w:r>
      <w:r w:rsidR="00807999">
        <w:rPr>
          <w:bCs/>
          <w:szCs w:val="18"/>
        </w:rPr>
        <w:instrText xml:space="preserve"> ADDIN PAPERS2_CITATIONS &lt;citation&gt;&lt;uuid&gt;F2BC513D-98AF-4676-A7CF-0E49BE30C507&lt;/uuid&gt;&lt;priority&gt;0&lt;/priority&gt;&lt;publications&gt;&lt;publication&gt;&lt;publication_date&gt;99201100001200000000200000&lt;/publication_date&gt;&lt;title&gt;An R Companion to Applied Regression&lt;/title&gt;&lt;uuid&gt;C5C0313C-6E0B-420A-8E0A-2A940F9341D4&lt;/uuid&gt;&lt;subtype&gt;0&lt;/subtype&gt;&lt;publisher&gt;Sage&lt;/publisher&gt;&lt;type&gt;0&lt;/type&gt;&lt;place&gt;Thousand Oaks, CA&lt;/place&gt;&lt;url&gt;http://socserv.socsci.mcmaster.ca/jfox/Books/Companion&lt;/url&gt;&lt;authors&gt;&lt;author&gt;&lt;firstName&gt;John&lt;/firstName&gt;&lt;lastName&gt;Fox&lt;/lastName&gt;&lt;/author&gt;&lt;author&gt;&lt;firstName&gt;Sanford&lt;/firstName&gt;&lt;lastName&gt;Weisberg&lt;/lastName&gt;&lt;/author&gt;&lt;/authors&gt;&lt;/publication&gt;&lt;/publications&gt;&lt;cites&gt;&lt;/cites&gt;&lt;/citation&gt;</w:instrText>
      </w:r>
      <w:r w:rsidR="00FE5BF5">
        <w:rPr>
          <w:bCs/>
          <w:szCs w:val="18"/>
        </w:rPr>
        <w:fldChar w:fldCharType="separate"/>
      </w:r>
      <w:r w:rsidR="001C1AAC">
        <w:t>(</w:t>
      </w:r>
      <w:r w:rsidR="001C1AAC">
        <w:rPr>
          <w:i/>
          <w:iCs/>
        </w:rPr>
        <w:t>183</w:t>
      </w:r>
      <w:r w:rsidR="001C1AAC">
        <w:t>)</w:t>
      </w:r>
      <w:r w:rsidR="00FE5BF5">
        <w:rPr>
          <w:bCs/>
          <w:szCs w:val="18"/>
        </w:rPr>
        <w:fldChar w:fldCharType="end"/>
      </w:r>
      <w:r w:rsidR="00FE5BF5">
        <w:rPr>
          <w:bCs/>
          <w:szCs w:val="18"/>
        </w:rPr>
        <w:t xml:space="preserve"> </w:t>
      </w:r>
      <w:r w:rsidRPr="00062B5A">
        <w:rPr>
          <w:bCs/>
          <w:szCs w:val="18"/>
        </w:rPr>
        <w:t xml:space="preserve">was applied to the stepwise models to test for multicollinearity. Variables having an inflation factor greater than 10 were removed from the initial ordinary least squares model and the stepwise selection was re-run. The final model coefficients and their values are presented in </w:t>
      </w:r>
      <w:r w:rsidRPr="00673C36">
        <w:rPr>
          <w:bCs/>
          <w:szCs w:val="18"/>
        </w:rPr>
        <w:t>table</w:t>
      </w:r>
      <w:r w:rsidR="00673C36" w:rsidRPr="00673C36">
        <w:rPr>
          <w:bCs/>
          <w:szCs w:val="18"/>
        </w:rPr>
        <w:t>s 6.5 and 6.6</w:t>
      </w:r>
      <w:r w:rsidRPr="00062B5A">
        <w:rPr>
          <w:bCs/>
          <w:szCs w:val="18"/>
        </w:rPr>
        <w:t>.</w:t>
      </w:r>
    </w:p>
    <w:tbl>
      <w:tblPr>
        <w:tblW w:w="8496"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788"/>
        <w:gridCol w:w="1440"/>
        <w:gridCol w:w="1530"/>
        <w:gridCol w:w="1350"/>
        <w:gridCol w:w="1260"/>
        <w:gridCol w:w="1128"/>
      </w:tblGrid>
      <w:tr w:rsidR="00785D09" w:rsidRPr="00785D09" w14:paraId="3BCB3A4F" w14:textId="77777777" w:rsidTr="0069742D">
        <w:trPr>
          <w:trHeight w:val="20"/>
        </w:trPr>
        <w:tc>
          <w:tcPr>
            <w:tcW w:w="1788" w:type="dxa"/>
            <w:vMerge w:val="restart"/>
            <w:shd w:val="clear" w:color="auto" w:fill="auto"/>
            <w:noWrap/>
            <w:vAlign w:val="center"/>
            <w:hideMark/>
          </w:tcPr>
          <w:p w14:paraId="0F4F10F4" w14:textId="77777777" w:rsidR="00C57D08" w:rsidRPr="00785D09" w:rsidRDefault="00C57D08" w:rsidP="0069742D">
            <w:pPr>
              <w:pStyle w:val="Tables"/>
              <w:rPr>
                <w:sz w:val="20"/>
                <w:szCs w:val="20"/>
              </w:rPr>
            </w:pPr>
            <w:r w:rsidRPr="00785D09">
              <w:rPr>
                <w:sz w:val="20"/>
                <w:szCs w:val="20"/>
              </w:rPr>
              <w:t>acetic acid</w:t>
            </w:r>
          </w:p>
        </w:tc>
        <w:tc>
          <w:tcPr>
            <w:tcW w:w="1440" w:type="dxa"/>
            <w:shd w:val="clear" w:color="auto" w:fill="auto"/>
            <w:noWrap/>
            <w:vAlign w:val="bottom"/>
            <w:hideMark/>
          </w:tcPr>
          <w:p w14:paraId="674A07AD" w14:textId="77777777" w:rsidR="00C57D08" w:rsidRPr="00785D09" w:rsidRDefault="00C57D08" w:rsidP="00CF08AC">
            <w:pPr>
              <w:pStyle w:val="Tables"/>
              <w:rPr>
                <w:i/>
                <w:iCs/>
                <w:sz w:val="20"/>
                <w:szCs w:val="20"/>
                <w:u w:val="single"/>
              </w:rPr>
            </w:pPr>
            <w:r w:rsidRPr="00785D09">
              <w:rPr>
                <w:i/>
                <w:iCs/>
                <w:sz w:val="20"/>
                <w:szCs w:val="20"/>
                <w:u w:val="single"/>
              </w:rPr>
              <w:t>(Intercept)</w:t>
            </w:r>
          </w:p>
        </w:tc>
        <w:tc>
          <w:tcPr>
            <w:tcW w:w="1530" w:type="dxa"/>
            <w:shd w:val="clear" w:color="auto" w:fill="auto"/>
            <w:noWrap/>
            <w:vAlign w:val="bottom"/>
            <w:hideMark/>
          </w:tcPr>
          <w:p w14:paraId="1E156A0A" w14:textId="77777777" w:rsidR="00C57D08" w:rsidRPr="00785D09" w:rsidRDefault="00C57D08" w:rsidP="00CF08AC">
            <w:pPr>
              <w:pStyle w:val="Tables"/>
              <w:rPr>
                <w:b/>
                <w:bCs/>
                <w:sz w:val="20"/>
                <w:szCs w:val="20"/>
                <w:u w:val="single"/>
              </w:rPr>
            </w:pPr>
            <w:r w:rsidRPr="00785D09">
              <w:rPr>
                <w:b/>
                <w:bCs/>
                <w:sz w:val="20"/>
                <w:szCs w:val="20"/>
                <w:u w:val="single"/>
              </w:rPr>
              <w:t>FEST</w:t>
            </w:r>
          </w:p>
        </w:tc>
        <w:tc>
          <w:tcPr>
            <w:tcW w:w="1350" w:type="dxa"/>
            <w:shd w:val="clear" w:color="auto" w:fill="auto"/>
            <w:noWrap/>
            <w:vAlign w:val="bottom"/>
            <w:hideMark/>
          </w:tcPr>
          <w:p w14:paraId="3691D494" w14:textId="77777777" w:rsidR="00C57D08" w:rsidRPr="00785D09" w:rsidRDefault="00C57D08" w:rsidP="00CF08AC">
            <w:pPr>
              <w:pStyle w:val="Tables"/>
              <w:rPr>
                <w:b/>
                <w:bCs/>
                <w:sz w:val="20"/>
                <w:szCs w:val="20"/>
                <w:u w:val="single"/>
              </w:rPr>
            </w:pPr>
            <w:r w:rsidRPr="00785D09">
              <w:rPr>
                <w:b/>
                <w:bCs/>
                <w:sz w:val="20"/>
                <w:szCs w:val="20"/>
                <w:u w:val="single"/>
              </w:rPr>
              <w:t>Ca</w:t>
            </w:r>
          </w:p>
        </w:tc>
        <w:tc>
          <w:tcPr>
            <w:tcW w:w="1260" w:type="dxa"/>
            <w:shd w:val="clear" w:color="auto" w:fill="auto"/>
            <w:noWrap/>
            <w:vAlign w:val="bottom"/>
            <w:hideMark/>
          </w:tcPr>
          <w:p w14:paraId="13950E88" w14:textId="77777777" w:rsidR="00C57D08" w:rsidRPr="00785D09" w:rsidRDefault="00C57D08" w:rsidP="00CF08AC">
            <w:pPr>
              <w:pStyle w:val="Tables"/>
              <w:rPr>
                <w:b/>
                <w:bCs/>
                <w:sz w:val="20"/>
                <w:szCs w:val="20"/>
                <w:u w:val="single"/>
              </w:rPr>
            </w:pPr>
            <w:r w:rsidRPr="00785D09">
              <w:rPr>
                <w:b/>
                <w:bCs/>
                <w:sz w:val="20"/>
                <w:szCs w:val="20"/>
                <w:u w:val="single"/>
              </w:rPr>
              <w:t>lignin.nrel</w:t>
            </w:r>
          </w:p>
        </w:tc>
        <w:tc>
          <w:tcPr>
            <w:tcW w:w="1128" w:type="dxa"/>
            <w:shd w:val="clear" w:color="auto" w:fill="auto"/>
            <w:noWrap/>
            <w:vAlign w:val="bottom"/>
            <w:hideMark/>
          </w:tcPr>
          <w:p w14:paraId="585B25F0" w14:textId="77777777" w:rsidR="00C57D08" w:rsidRPr="00785D09" w:rsidRDefault="00C57D08" w:rsidP="00CF08AC">
            <w:pPr>
              <w:pStyle w:val="Tables"/>
              <w:rPr>
                <w:b/>
                <w:bCs/>
                <w:sz w:val="20"/>
                <w:szCs w:val="20"/>
                <w:u w:val="single"/>
              </w:rPr>
            </w:pPr>
          </w:p>
        </w:tc>
      </w:tr>
      <w:tr w:rsidR="00785D09" w:rsidRPr="00785D09" w14:paraId="7772BC82" w14:textId="77777777" w:rsidTr="0069742D">
        <w:trPr>
          <w:trHeight w:val="20"/>
        </w:trPr>
        <w:tc>
          <w:tcPr>
            <w:tcW w:w="1788" w:type="dxa"/>
            <w:vMerge/>
            <w:shd w:val="clear" w:color="auto" w:fill="auto"/>
            <w:noWrap/>
            <w:vAlign w:val="center"/>
            <w:hideMark/>
          </w:tcPr>
          <w:p w14:paraId="7E88C588" w14:textId="77777777" w:rsidR="00C57D08" w:rsidRPr="00785D09" w:rsidRDefault="00C57D08" w:rsidP="0069742D">
            <w:pPr>
              <w:pStyle w:val="Tables"/>
              <w:rPr>
                <w:sz w:val="20"/>
                <w:szCs w:val="20"/>
              </w:rPr>
            </w:pPr>
          </w:p>
        </w:tc>
        <w:tc>
          <w:tcPr>
            <w:tcW w:w="1440" w:type="dxa"/>
            <w:shd w:val="clear" w:color="auto" w:fill="auto"/>
            <w:noWrap/>
            <w:vAlign w:val="bottom"/>
            <w:hideMark/>
          </w:tcPr>
          <w:p w14:paraId="600EF4A1" w14:textId="77777777" w:rsidR="00C57D08" w:rsidRPr="00785D09" w:rsidRDefault="00C57D08" w:rsidP="00CF08AC">
            <w:pPr>
              <w:pStyle w:val="Tables"/>
              <w:rPr>
                <w:sz w:val="20"/>
                <w:szCs w:val="20"/>
              </w:rPr>
            </w:pPr>
            <w:r w:rsidRPr="00785D09">
              <w:rPr>
                <w:sz w:val="20"/>
                <w:szCs w:val="20"/>
              </w:rPr>
              <w:t>720300.34</w:t>
            </w:r>
          </w:p>
        </w:tc>
        <w:tc>
          <w:tcPr>
            <w:tcW w:w="1530" w:type="dxa"/>
            <w:shd w:val="clear" w:color="auto" w:fill="auto"/>
            <w:noWrap/>
            <w:vAlign w:val="bottom"/>
            <w:hideMark/>
          </w:tcPr>
          <w:p w14:paraId="38CBB901" w14:textId="77777777" w:rsidR="00C57D08" w:rsidRPr="00785D09" w:rsidRDefault="00C57D08" w:rsidP="00CF08AC">
            <w:pPr>
              <w:pStyle w:val="Tables"/>
              <w:rPr>
                <w:sz w:val="20"/>
                <w:szCs w:val="20"/>
              </w:rPr>
            </w:pPr>
            <w:r w:rsidRPr="00785D09">
              <w:rPr>
                <w:sz w:val="20"/>
                <w:szCs w:val="20"/>
              </w:rPr>
              <w:t>33219.44</w:t>
            </w:r>
          </w:p>
        </w:tc>
        <w:tc>
          <w:tcPr>
            <w:tcW w:w="1350" w:type="dxa"/>
            <w:shd w:val="clear" w:color="auto" w:fill="auto"/>
            <w:noWrap/>
            <w:vAlign w:val="bottom"/>
            <w:hideMark/>
          </w:tcPr>
          <w:p w14:paraId="7A852025" w14:textId="77777777" w:rsidR="00C57D08" w:rsidRPr="00785D09" w:rsidRDefault="00C57D08" w:rsidP="00CF08AC">
            <w:pPr>
              <w:pStyle w:val="Tables"/>
              <w:rPr>
                <w:sz w:val="20"/>
                <w:szCs w:val="20"/>
              </w:rPr>
            </w:pPr>
            <w:r w:rsidRPr="00785D09">
              <w:rPr>
                <w:sz w:val="20"/>
                <w:szCs w:val="20"/>
              </w:rPr>
              <w:t>-305260.1</w:t>
            </w:r>
          </w:p>
        </w:tc>
        <w:tc>
          <w:tcPr>
            <w:tcW w:w="1260" w:type="dxa"/>
            <w:shd w:val="clear" w:color="auto" w:fill="auto"/>
            <w:noWrap/>
            <w:vAlign w:val="bottom"/>
            <w:hideMark/>
          </w:tcPr>
          <w:p w14:paraId="602F21E7" w14:textId="77777777" w:rsidR="00C57D08" w:rsidRPr="00785D09" w:rsidRDefault="00C57D08" w:rsidP="00CF08AC">
            <w:pPr>
              <w:pStyle w:val="Tables"/>
              <w:rPr>
                <w:sz w:val="20"/>
                <w:szCs w:val="20"/>
              </w:rPr>
            </w:pPr>
            <w:r w:rsidRPr="00785D09">
              <w:rPr>
                <w:sz w:val="20"/>
                <w:szCs w:val="20"/>
              </w:rPr>
              <w:t>-10292.75</w:t>
            </w:r>
          </w:p>
        </w:tc>
        <w:tc>
          <w:tcPr>
            <w:tcW w:w="1128" w:type="dxa"/>
            <w:shd w:val="clear" w:color="auto" w:fill="auto"/>
            <w:noWrap/>
            <w:vAlign w:val="bottom"/>
            <w:hideMark/>
          </w:tcPr>
          <w:p w14:paraId="0B347B81" w14:textId="77777777" w:rsidR="00C57D08" w:rsidRPr="00785D09" w:rsidRDefault="00C57D08" w:rsidP="00CF08AC">
            <w:pPr>
              <w:pStyle w:val="Tables"/>
              <w:rPr>
                <w:sz w:val="20"/>
                <w:szCs w:val="20"/>
              </w:rPr>
            </w:pPr>
          </w:p>
        </w:tc>
      </w:tr>
      <w:tr w:rsidR="00785D09" w:rsidRPr="00785D09" w14:paraId="2B0CEF38" w14:textId="77777777" w:rsidTr="0069742D">
        <w:trPr>
          <w:trHeight w:val="20"/>
        </w:trPr>
        <w:tc>
          <w:tcPr>
            <w:tcW w:w="1788" w:type="dxa"/>
            <w:shd w:val="clear" w:color="auto" w:fill="auto"/>
            <w:noWrap/>
            <w:vAlign w:val="center"/>
            <w:hideMark/>
          </w:tcPr>
          <w:p w14:paraId="07B6AD5C" w14:textId="77777777" w:rsidR="00CF08AC" w:rsidRPr="00785D09" w:rsidRDefault="00CF08AC" w:rsidP="0069742D">
            <w:pPr>
              <w:pStyle w:val="Tables"/>
              <w:rPr>
                <w:sz w:val="20"/>
                <w:szCs w:val="20"/>
              </w:rPr>
            </w:pPr>
          </w:p>
        </w:tc>
        <w:tc>
          <w:tcPr>
            <w:tcW w:w="1440" w:type="dxa"/>
            <w:shd w:val="clear" w:color="auto" w:fill="auto"/>
            <w:noWrap/>
            <w:vAlign w:val="bottom"/>
            <w:hideMark/>
          </w:tcPr>
          <w:p w14:paraId="062545B8" w14:textId="77777777" w:rsidR="00CF08AC" w:rsidRPr="00785D09" w:rsidRDefault="00CF08AC" w:rsidP="00CF08AC">
            <w:pPr>
              <w:pStyle w:val="Tables"/>
              <w:rPr>
                <w:sz w:val="20"/>
                <w:szCs w:val="20"/>
              </w:rPr>
            </w:pPr>
          </w:p>
        </w:tc>
        <w:tc>
          <w:tcPr>
            <w:tcW w:w="1530" w:type="dxa"/>
            <w:shd w:val="clear" w:color="auto" w:fill="auto"/>
            <w:noWrap/>
            <w:vAlign w:val="bottom"/>
            <w:hideMark/>
          </w:tcPr>
          <w:p w14:paraId="5EF04629" w14:textId="77777777" w:rsidR="00CF08AC" w:rsidRPr="00785D09" w:rsidRDefault="00CF08AC" w:rsidP="00CF08AC">
            <w:pPr>
              <w:pStyle w:val="Tables"/>
              <w:rPr>
                <w:sz w:val="20"/>
                <w:szCs w:val="20"/>
              </w:rPr>
            </w:pPr>
          </w:p>
        </w:tc>
        <w:tc>
          <w:tcPr>
            <w:tcW w:w="1350" w:type="dxa"/>
            <w:shd w:val="clear" w:color="auto" w:fill="auto"/>
            <w:noWrap/>
            <w:vAlign w:val="bottom"/>
            <w:hideMark/>
          </w:tcPr>
          <w:p w14:paraId="42C07414" w14:textId="77777777" w:rsidR="00CF08AC" w:rsidRPr="00785D09" w:rsidRDefault="00CF08AC" w:rsidP="00CF08AC">
            <w:pPr>
              <w:pStyle w:val="Tables"/>
              <w:rPr>
                <w:sz w:val="20"/>
                <w:szCs w:val="20"/>
              </w:rPr>
            </w:pPr>
          </w:p>
        </w:tc>
        <w:tc>
          <w:tcPr>
            <w:tcW w:w="1260" w:type="dxa"/>
            <w:shd w:val="clear" w:color="auto" w:fill="auto"/>
            <w:noWrap/>
            <w:vAlign w:val="bottom"/>
            <w:hideMark/>
          </w:tcPr>
          <w:p w14:paraId="6C31ED4B" w14:textId="77777777" w:rsidR="00CF08AC" w:rsidRPr="00785D09" w:rsidRDefault="00CF08AC" w:rsidP="00CF08AC">
            <w:pPr>
              <w:pStyle w:val="Tables"/>
              <w:rPr>
                <w:sz w:val="20"/>
                <w:szCs w:val="20"/>
              </w:rPr>
            </w:pPr>
          </w:p>
        </w:tc>
        <w:tc>
          <w:tcPr>
            <w:tcW w:w="1128" w:type="dxa"/>
            <w:shd w:val="clear" w:color="auto" w:fill="auto"/>
            <w:noWrap/>
            <w:vAlign w:val="bottom"/>
            <w:hideMark/>
          </w:tcPr>
          <w:p w14:paraId="526941C4" w14:textId="77777777" w:rsidR="00CF08AC" w:rsidRPr="00785D09" w:rsidRDefault="00CF08AC" w:rsidP="00CF08AC">
            <w:pPr>
              <w:pStyle w:val="Tables"/>
              <w:rPr>
                <w:sz w:val="20"/>
                <w:szCs w:val="20"/>
              </w:rPr>
            </w:pPr>
          </w:p>
        </w:tc>
      </w:tr>
      <w:tr w:rsidR="00785D09" w:rsidRPr="00785D09" w14:paraId="1367614F" w14:textId="77777777" w:rsidTr="0069742D">
        <w:trPr>
          <w:trHeight w:val="20"/>
        </w:trPr>
        <w:tc>
          <w:tcPr>
            <w:tcW w:w="1788" w:type="dxa"/>
            <w:vMerge w:val="restart"/>
            <w:shd w:val="clear" w:color="auto" w:fill="auto"/>
            <w:noWrap/>
            <w:vAlign w:val="center"/>
            <w:hideMark/>
          </w:tcPr>
          <w:p w14:paraId="2A420A37" w14:textId="77777777" w:rsidR="00C57D08" w:rsidRPr="00785D09" w:rsidRDefault="00C57D08" w:rsidP="0069742D">
            <w:pPr>
              <w:pStyle w:val="Tables"/>
              <w:rPr>
                <w:sz w:val="20"/>
                <w:szCs w:val="20"/>
              </w:rPr>
            </w:pPr>
            <w:r w:rsidRPr="00785D09">
              <w:rPr>
                <w:sz w:val="20"/>
                <w:szCs w:val="20"/>
              </w:rPr>
              <w:t>alkyl phenols</w:t>
            </w:r>
          </w:p>
        </w:tc>
        <w:tc>
          <w:tcPr>
            <w:tcW w:w="1440" w:type="dxa"/>
            <w:shd w:val="clear" w:color="auto" w:fill="auto"/>
            <w:noWrap/>
            <w:vAlign w:val="bottom"/>
            <w:hideMark/>
          </w:tcPr>
          <w:p w14:paraId="428EB5C6" w14:textId="77777777" w:rsidR="00C57D08" w:rsidRPr="00785D09" w:rsidRDefault="00C57D08" w:rsidP="00CF08AC">
            <w:pPr>
              <w:pStyle w:val="Tables"/>
              <w:rPr>
                <w:i/>
                <w:iCs/>
                <w:sz w:val="20"/>
                <w:szCs w:val="20"/>
                <w:u w:val="single"/>
              </w:rPr>
            </w:pPr>
            <w:r w:rsidRPr="00785D09">
              <w:rPr>
                <w:i/>
                <w:iCs/>
                <w:sz w:val="20"/>
                <w:szCs w:val="20"/>
                <w:u w:val="single"/>
              </w:rPr>
              <w:t>(Intercept)</w:t>
            </w:r>
          </w:p>
        </w:tc>
        <w:tc>
          <w:tcPr>
            <w:tcW w:w="1530" w:type="dxa"/>
            <w:shd w:val="clear" w:color="auto" w:fill="auto"/>
            <w:noWrap/>
            <w:vAlign w:val="bottom"/>
            <w:hideMark/>
          </w:tcPr>
          <w:p w14:paraId="77E045F1" w14:textId="77777777" w:rsidR="00C57D08" w:rsidRPr="00785D09" w:rsidRDefault="00C57D08" w:rsidP="00CF08AC">
            <w:pPr>
              <w:pStyle w:val="Tables"/>
              <w:rPr>
                <w:b/>
                <w:bCs/>
                <w:sz w:val="20"/>
                <w:szCs w:val="20"/>
                <w:u w:val="single"/>
              </w:rPr>
            </w:pPr>
            <w:r w:rsidRPr="00785D09">
              <w:rPr>
                <w:b/>
                <w:bCs/>
                <w:sz w:val="20"/>
                <w:szCs w:val="20"/>
                <w:u w:val="single"/>
              </w:rPr>
              <w:t>pCA</w:t>
            </w:r>
          </w:p>
        </w:tc>
        <w:tc>
          <w:tcPr>
            <w:tcW w:w="1350" w:type="dxa"/>
            <w:shd w:val="clear" w:color="auto" w:fill="auto"/>
            <w:noWrap/>
            <w:vAlign w:val="bottom"/>
            <w:hideMark/>
          </w:tcPr>
          <w:p w14:paraId="71E826A8" w14:textId="77777777" w:rsidR="00C57D08" w:rsidRPr="00785D09" w:rsidRDefault="00C57D08" w:rsidP="00CF08AC">
            <w:pPr>
              <w:pStyle w:val="Tables"/>
              <w:rPr>
                <w:b/>
                <w:bCs/>
                <w:sz w:val="20"/>
                <w:szCs w:val="20"/>
                <w:u w:val="single"/>
              </w:rPr>
            </w:pPr>
            <w:r w:rsidRPr="00785D09">
              <w:rPr>
                <w:b/>
                <w:bCs/>
                <w:sz w:val="20"/>
                <w:szCs w:val="20"/>
                <w:u w:val="single"/>
              </w:rPr>
              <w:t>Ash.forage</w:t>
            </w:r>
          </w:p>
        </w:tc>
        <w:tc>
          <w:tcPr>
            <w:tcW w:w="1260" w:type="dxa"/>
            <w:shd w:val="clear" w:color="auto" w:fill="auto"/>
            <w:noWrap/>
            <w:vAlign w:val="bottom"/>
            <w:hideMark/>
          </w:tcPr>
          <w:p w14:paraId="722001D3" w14:textId="77777777" w:rsidR="00C57D08" w:rsidRPr="00785D09" w:rsidRDefault="00C57D08" w:rsidP="00CF08AC">
            <w:pPr>
              <w:pStyle w:val="Tables"/>
              <w:rPr>
                <w:b/>
                <w:bCs/>
                <w:sz w:val="20"/>
                <w:szCs w:val="20"/>
                <w:u w:val="single"/>
              </w:rPr>
            </w:pPr>
            <w:r w:rsidRPr="00785D09">
              <w:rPr>
                <w:b/>
                <w:bCs/>
                <w:sz w:val="20"/>
                <w:szCs w:val="20"/>
                <w:u w:val="single"/>
              </w:rPr>
              <w:t>FEST</w:t>
            </w:r>
          </w:p>
        </w:tc>
        <w:tc>
          <w:tcPr>
            <w:tcW w:w="1128" w:type="dxa"/>
            <w:shd w:val="clear" w:color="auto" w:fill="auto"/>
            <w:noWrap/>
            <w:vAlign w:val="bottom"/>
            <w:hideMark/>
          </w:tcPr>
          <w:p w14:paraId="50F2F32A" w14:textId="77777777" w:rsidR="00C57D08" w:rsidRPr="00785D09" w:rsidRDefault="00C57D08" w:rsidP="00CF08AC">
            <w:pPr>
              <w:pStyle w:val="Tables"/>
              <w:rPr>
                <w:b/>
                <w:bCs/>
                <w:sz w:val="20"/>
                <w:szCs w:val="20"/>
                <w:u w:val="single"/>
              </w:rPr>
            </w:pPr>
            <w:r w:rsidRPr="00785D09">
              <w:rPr>
                <w:b/>
                <w:bCs/>
                <w:sz w:val="20"/>
                <w:szCs w:val="20"/>
                <w:u w:val="single"/>
              </w:rPr>
              <w:t>UA</w:t>
            </w:r>
          </w:p>
        </w:tc>
      </w:tr>
      <w:tr w:rsidR="00785D09" w:rsidRPr="00785D09" w14:paraId="6A85CFCA" w14:textId="77777777" w:rsidTr="0069742D">
        <w:trPr>
          <w:trHeight w:val="20"/>
        </w:trPr>
        <w:tc>
          <w:tcPr>
            <w:tcW w:w="1788" w:type="dxa"/>
            <w:vMerge/>
            <w:shd w:val="clear" w:color="auto" w:fill="auto"/>
            <w:noWrap/>
            <w:vAlign w:val="center"/>
            <w:hideMark/>
          </w:tcPr>
          <w:p w14:paraId="000CDF62" w14:textId="77777777" w:rsidR="00C57D08" w:rsidRPr="00785D09" w:rsidRDefault="00C57D08" w:rsidP="0069742D">
            <w:pPr>
              <w:pStyle w:val="Tables"/>
              <w:rPr>
                <w:b/>
                <w:bCs/>
                <w:sz w:val="20"/>
                <w:szCs w:val="20"/>
                <w:u w:val="single"/>
              </w:rPr>
            </w:pPr>
          </w:p>
        </w:tc>
        <w:tc>
          <w:tcPr>
            <w:tcW w:w="1440" w:type="dxa"/>
            <w:shd w:val="clear" w:color="auto" w:fill="auto"/>
            <w:noWrap/>
            <w:vAlign w:val="bottom"/>
            <w:hideMark/>
          </w:tcPr>
          <w:p w14:paraId="08E25140" w14:textId="77777777" w:rsidR="00C57D08" w:rsidRPr="00785D09" w:rsidRDefault="00C57D08" w:rsidP="00CF08AC">
            <w:pPr>
              <w:pStyle w:val="Tables"/>
              <w:rPr>
                <w:sz w:val="20"/>
                <w:szCs w:val="20"/>
              </w:rPr>
            </w:pPr>
            <w:r w:rsidRPr="00785D09">
              <w:rPr>
                <w:sz w:val="20"/>
                <w:szCs w:val="20"/>
              </w:rPr>
              <w:t>198885.89</w:t>
            </w:r>
          </w:p>
        </w:tc>
        <w:tc>
          <w:tcPr>
            <w:tcW w:w="1530" w:type="dxa"/>
            <w:shd w:val="clear" w:color="auto" w:fill="auto"/>
            <w:noWrap/>
            <w:vAlign w:val="bottom"/>
            <w:hideMark/>
          </w:tcPr>
          <w:p w14:paraId="6D53C2E4" w14:textId="77777777" w:rsidR="00C57D08" w:rsidRPr="00785D09" w:rsidRDefault="00C57D08" w:rsidP="00CF08AC">
            <w:pPr>
              <w:pStyle w:val="Tables"/>
              <w:rPr>
                <w:sz w:val="20"/>
                <w:szCs w:val="20"/>
              </w:rPr>
            </w:pPr>
            <w:r w:rsidRPr="00785D09">
              <w:rPr>
                <w:sz w:val="20"/>
                <w:szCs w:val="20"/>
              </w:rPr>
              <w:t>7785.6</w:t>
            </w:r>
          </w:p>
        </w:tc>
        <w:tc>
          <w:tcPr>
            <w:tcW w:w="1350" w:type="dxa"/>
            <w:shd w:val="clear" w:color="auto" w:fill="auto"/>
            <w:noWrap/>
            <w:vAlign w:val="bottom"/>
            <w:hideMark/>
          </w:tcPr>
          <w:p w14:paraId="416886A1" w14:textId="77777777" w:rsidR="00C57D08" w:rsidRPr="00785D09" w:rsidRDefault="00C57D08" w:rsidP="00CF08AC">
            <w:pPr>
              <w:pStyle w:val="Tables"/>
              <w:rPr>
                <w:sz w:val="20"/>
                <w:szCs w:val="20"/>
              </w:rPr>
            </w:pPr>
            <w:r w:rsidRPr="00785D09">
              <w:rPr>
                <w:sz w:val="20"/>
                <w:szCs w:val="20"/>
              </w:rPr>
              <w:t>17377.44</w:t>
            </w:r>
          </w:p>
        </w:tc>
        <w:tc>
          <w:tcPr>
            <w:tcW w:w="1260" w:type="dxa"/>
            <w:shd w:val="clear" w:color="auto" w:fill="auto"/>
            <w:noWrap/>
            <w:vAlign w:val="bottom"/>
            <w:hideMark/>
          </w:tcPr>
          <w:p w14:paraId="6201A22E" w14:textId="77777777" w:rsidR="00C57D08" w:rsidRPr="00785D09" w:rsidRDefault="00C57D08" w:rsidP="00CF08AC">
            <w:pPr>
              <w:pStyle w:val="Tables"/>
              <w:rPr>
                <w:sz w:val="20"/>
                <w:szCs w:val="20"/>
              </w:rPr>
            </w:pPr>
            <w:r w:rsidRPr="00785D09">
              <w:rPr>
                <w:sz w:val="20"/>
                <w:szCs w:val="20"/>
              </w:rPr>
              <w:t>22921.93</w:t>
            </w:r>
          </w:p>
        </w:tc>
        <w:tc>
          <w:tcPr>
            <w:tcW w:w="1128" w:type="dxa"/>
            <w:shd w:val="clear" w:color="auto" w:fill="auto"/>
            <w:noWrap/>
            <w:vAlign w:val="bottom"/>
            <w:hideMark/>
          </w:tcPr>
          <w:p w14:paraId="73B7BACA" w14:textId="77777777" w:rsidR="00C57D08" w:rsidRPr="00785D09" w:rsidRDefault="00C57D08" w:rsidP="00CF08AC">
            <w:pPr>
              <w:pStyle w:val="Tables"/>
              <w:rPr>
                <w:sz w:val="20"/>
                <w:szCs w:val="20"/>
              </w:rPr>
            </w:pPr>
            <w:r w:rsidRPr="00785D09">
              <w:rPr>
                <w:sz w:val="20"/>
                <w:szCs w:val="20"/>
              </w:rPr>
              <w:t>-11980.6</w:t>
            </w:r>
          </w:p>
        </w:tc>
      </w:tr>
      <w:tr w:rsidR="00785D09" w:rsidRPr="00785D09" w14:paraId="3228A6DD" w14:textId="77777777" w:rsidTr="0069742D">
        <w:trPr>
          <w:trHeight w:val="20"/>
        </w:trPr>
        <w:tc>
          <w:tcPr>
            <w:tcW w:w="1788" w:type="dxa"/>
            <w:shd w:val="clear" w:color="auto" w:fill="auto"/>
            <w:noWrap/>
            <w:vAlign w:val="center"/>
            <w:hideMark/>
          </w:tcPr>
          <w:p w14:paraId="2A8174B1" w14:textId="77777777" w:rsidR="00CF08AC" w:rsidRPr="00785D09" w:rsidRDefault="00CF08AC" w:rsidP="0069742D">
            <w:pPr>
              <w:pStyle w:val="Tables"/>
              <w:rPr>
                <w:sz w:val="20"/>
                <w:szCs w:val="20"/>
              </w:rPr>
            </w:pPr>
          </w:p>
        </w:tc>
        <w:tc>
          <w:tcPr>
            <w:tcW w:w="1440" w:type="dxa"/>
            <w:shd w:val="clear" w:color="auto" w:fill="auto"/>
            <w:noWrap/>
            <w:vAlign w:val="bottom"/>
            <w:hideMark/>
          </w:tcPr>
          <w:p w14:paraId="43666AE4" w14:textId="77777777" w:rsidR="00CF08AC" w:rsidRPr="00785D09" w:rsidRDefault="00CF08AC" w:rsidP="00CF08AC">
            <w:pPr>
              <w:pStyle w:val="Tables"/>
              <w:rPr>
                <w:sz w:val="20"/>
                <w:szCs w:val="20"/>
              </w:rPr>
            </w:pPr>
          </w:p>
        </w:tc>
        <w:tc>
          <w:tcPr>
            <w:tcW w:w="1530" w:type="dxa"/>
            <w:shd w:val="clear" w:color="auto" w:fill="auto"/>
            <w:noWrap/>
            <w:vAlign w:val="bottom"/>
            <w:hideMark/>
          </w:tcPr>
          <w:p w14:paraId="4B1F7655" w14:textId="77777777" w:rsidR="00CF08AC" w:rsidRPr="00785D09" w:rsidRDefault="00CF08AC" w:rsidP="00CF08AC">
            <w:pPr>
              <w:pStyle w:val="Tables"/>
              <w:rPr>
                <w:sz w:val="20"/>
                <w:szCs w:val="20"/>
              </w:rPr>
            </w:pPr>
          </w:p>
        </w:tc>
        <w:tc>
          <w:tcPr>
            <w:tcW w:w="1350" w:type="dxa"/>
            <w:shd w:val="clear" w:color="auto" w:fill="auto"/>
            <w:noWrap/>
            <w:vAlign w:val="bottom"/>
            <w:hideMark/>
          </w:tcPr>
          <w:p w14:paraId="110B7BFD" w14:textId="77777777" w:rsidR="00CF08AC" w:rsidRPr="00785D09" w:rsidRDefault="00CF08AC" w:rsidP="00CF08AC">
            <w:pPr>
              <w:pStyle w:val="Tables"/>
              <w:rPr>
                <w:sz w:val="20"/>
                <w:szCs w:val="20"/>
              </w:rPr>
            </w:pPr>
          </w:p>
        </w:tc>
        <w:tc>
          <w:tcPr>
            <w:tcW w:w="1260" w:type="dxa"/>
            <w:shd w:val="clear" w:color="auto" w:fill="auto"/>
            <w:noWrap/>
            <w:vAlign w:val="bottom"/>
            <w:hideMark/>
          </w:tcPr>
          <w:p w14:paraId="00A05BFA" w14:textId="77777777" w:rsidR="00CF08AC" w:rsidRPr="00785D09" w:rsidRDefault="00CF08AC" w:rsidP="00CF08AC">
            <w:pPr>
              <w:pStyle w:val="Tables"/>
              <w:rPr>
                <w:sz w:val="20"/>
                <w:szCs w:val="20"/>
              </w:rPr>
            </w:pPr>
          </w:p>
        </w:tc>
        <w:tc>
          <w:tcPr>
            <w:tcW w:w="1128" w:type="dxa"/>
            <w:shd w:val="clear" w:color="auto" w:fill="auto"/>
            <w:noWrap/>
            <w:vAlign w:val="bottom"/>
            <w:hideMark/>
          </w:tcPr>
          <w:p w14:paraId="22F528BD" w14:textId="77777777" w:rsidR="00CF08AC" w:rsidRPr="00785D09" w:rsidRDefault="00CF08AC" w:rsidP="00CF08AC">
            <w:pPr>
              <w:pStyle w:val="Tables"/>
              <w:rPr>
                <w:sz w:val="20"/>
                <w:szCs w:val="20"/>
              </w:rPr>
            </w:pPr>
          </w:p>
        </w:tc>
      </w:tr>
      <w:tr w:rsidR="00785D09" w:rsidRPr="00785D09" w14:paraId="3A172F4C" w14:textId="77777777" w:rsidTr="0069742D">
        <w:trPr>
          <w:trHeight w:val="20"/>
        </w:trPr>
        <w:tc>
          <w:tcPr>
            <w:tcW w:w="1788" w:type="dxa"/>
            <w:vMerge w:val="restart"/>
            <w:shd w:val="clear" w:color="auto" w:fill="auto"/>
            <w:noWrap/>
            <w:vAlign w:val="center"/>
            <w:hideMark/>
          </w:tcPr>
          <w:p w14:paraId="5C964736" w14:textId="77777777" w:rsidR="00C57D08" w:rsidRPr="00785D09" w:rsidRDefault="00C57D08" w:rsidP="0069742D">
            <w:pPr>
              <w:pStyle w:val="Tables"/>
              <w:rPr>
                <w:sz w:val="20"/>
                <w:szCs w:val="20"/>
              </w:rPr>
            </w:pPr>
            <w:r w:rsidRPr="00785D09">
              <w:rPr>
                <w:sz w:val="20"/>
                <w:szCs w:val="20"/>
              </w:rPr>
              <w:t>furfurals</w:t>
            </w:r>
          </w:p>
        </w:tc>
        <w:tc>
          <w:tcPr>
            <w:tcW w:w="1440" w:type="dxa"/>
            <w:shd w:val="clear" w:color="auto" w:fill="auto"/>
            <w:noWrap/>
            <w:vAlign w:val="bottom"/>
            <w:hideMark/>
          </w:tcPr>
          <w:p w14:paraId="0C36B96D" w14:textId="77777777" w:rsidR="00C57D08" w:rsidRPr="00785D09" w:rsidRDefault="00C57D08" w:rsidP="00CF08AC">
            <w:pPr>
              <w:pStyle w:val="Tables"/>
              <w:rPr>
                <w:i/>
                <w:iCs/>
                <w:sz w:val="20"/>
                <w:szCs w:val="20"/>
                <w:u w:val="single"/>
              </w:rPr>
            </w:pPr>
            <w:r w:rsidRPr="00785D09">
              <w:rPr>
                <w:i/>
                <w:iCs/>
                <w:sz w:val="20"/>
                <w:szCs w:val="20"/>
                <w:u w:val="single"/>
              </w:rPr>
              <w:t>(Intercept)</w:t>
            </w:r>
          </w:p>
        </w:tc>
        <w:tc>
          <w:tcPr>
            <w:tcW w:w="1530" w:type="dxa"/>
            <w:shd w:val="clear" w:color="auto" w:fill="auto"/>
            <w:noWrap/>
            <w:vAlign w:val="bottom"/>
            <w:hideMark/>
          </w:tcPr>
          <w:p w14:paraId="2A743B74" w14:textId="77777777" w:rsidR="00C57D08" w:rsidRPr="00785D09" w:rsidRDefault="00C57D08" w:rsidP="00CF08AC">
            <w:pPr>
              <w:pStyle w:val="Tables"/>
              <w:rPr>
                <w:b/>
                <w:bCs/>
                <w:sz w:val="20"/>
                <w:szCs w:val="20"/>
                <w:u w:val="single"/>
              </w:rPr>
            </w:pPr>
            <w:r w:rsidRPr="00785D09">
              <w:rPr>
                <w:b/>
                <w:bCs/>
                <w:sz w:val="20"/>
                <w:szCs w:val="20"/>
                <w:u w:val="single"/>
              </w:rPr>
              <w:t>GLCS</w:t>
            </w:r>
          </w:p>
        </w:tc>
        <w:tc>
          <w:tcPr>
            <w:tcW w:w="1350" w:type="dxa"/>
            <w:shd w:val="clear" w:color="auto" w:fill="auto"/>
            <w:noWrap/>
            <w:vAlign w:val="bottom"/>
            <w:hideMark/>
          </w:tcPr>
          <w:p w14:paraId="4819951A" w14:textId="77777777" w:rsidR="00C57D08" w:rsidRPr="00785D09" w:rsidRDefault="00C57D08" w:rsidP="00CF08AC">
            <w:pPr>
              <w:pStyle w:val="Tables"/>
              <w:rPr>
                <w:b/>
                <w:bCs/>
                <w:sz w:val="20"/>
                <w:szCs w:val="20"/>
                <w:u w:val="single"/>
              </w:rPr>
            </w:pPr>
            <w:r w:rsidRPr="00785D09">
              <w:rPr>
                <w:b/>
                <w:bCs/>
                <w:sz w:val="20"/>
                <w:szCs w:val="20"/>
                <w:u w:val="single"/>
              </w:rPr>
              <w:t>ARA</w:t>
            </w:r>
          </w:p>
        </w:tc>
        <w:tc>
          <w:tcPr>
            <w:tcW w:w="1260" w:type="dxa"/>
            <w:shd w:val="clear" w:color="auto" w:fill="auto"/>
            <w:noWrap/>
            <w:vAlign w:val="bottom"/>
            <w:hideMark/>
          </w:tcPr>
          <w:p w14:paraId="1879D69F" w14:textId="77777777" w:rsidR="00C57D08" w:rsidRPr="00785D09" w:rsidRDefault="00C57D08" w:rsidP="00CF08AC">
            <w:pPr>
              <w:pStyle w:val="Tables"/>
              <w:rPr>
                <w:b/>
                <w:bCs/>
                <w:sz w:val="20"/>
                <w:szCs w:val="20"/>
                <w:u w:val="single"/>
              </w:rPr>
            </w:pPr>
          </w:p>
        </w:tc>
        <w:tc>
          <w:tcPr>
            <w:tcW w:w="1128" w:type="dxa"/>
            <w:shd w:val="clear" w:color="auto" w:fill="auto"/>
            <w:noWrap/>
            <w:vAlign w:val="bottom"/>
            <w:hideMark/>
          </w:tcPr>
          <w:p w14:paraId="152B52E1" w14:textId="77777777" w:rsidR="00C57D08" w:rsidRPr="00785D09" w:rsidRDefault="00C57D08" w:rsidP="00CF08AC">
            <w:pPr>
              <w:pStyle w:val="Tables"/>
              <w:rPr>
                <w:sz w:val="20"/>
                <w:szCs w:val="20"/>
              </w:rPr>
            </w:pPr>
          </w:p>
        </w:tc>
      </w:tr>
      <w:tr w:rsidR="00785D09" w:rsidRPr="00785D09" w14:paraId="07ED2725" w14:textId="77777777" w:rsidTr="0069742D">
        <w:trPr>
          <w:trHeight w:val="20"/>
        </w:trPr>
        <w:tc>
          <w:tcPr>
            <w:tcW w:w="1788" w:type="dxa"/>
            <w:vMerge/>
            <w:shd w:val="clear" w:color="auto" w:fill="auto"/>
            <w:noWrap/>
            <w:vAlign w:val="center"/>
            <w:hideMark/>
          </w:tcPr>
          <w:p w14:paraId="267E3ADF" w14:textId="77777777" w:rsidR="00C57D08" w:rsidRPr="00785D09" w:rsidRDefault="00C57D08" w:rsidP="0069742D">
            <w:pPr>
              <w:pStyle w:val="Tables"/>
              <w:rPr>
                <w:sz w:val="20"/>
                <w:szCs w:val="20"/>
              </w:rPr>
            </w:pPr>
          </w:p>
        </w:tc>
        <w:tc>
          <w:tcPr>
            <w:tcW w:w="1440" w:type="dxa"/>
            <w:shd w:val="clear" w:color="auto" w:fill="auto"/>
            <w:noWrap/>
            <w:vAlign w:val="bottom"/>
            <w:hideMark/>
          </w:tcPr>
          <w:p w14:paraId="53A542B2" w14:textId="77777777" w:rsidR="00C57D08" w:rsidRPr="00785D09" w:rsidRDefault="00C57D08" w:rsidP="00CF08AC">
            <w:pPr>
              <w:pStyle w:val="Tables"/>
              <w:rPr>
                <w:sz w:val="20"/>
                <w:szCs w:val="20"/>
              </w:rPr>
            </w:pPr>
            <w:r w:rsidRPr="00785D09">
              <w:rPr>
                <w:sz w:val="20"/>
                <w:szCs w:val="20"/>
              </w:rPr>
              <w:t>-4698.984</w:t>
            </w:r>
          </w:p>
        </w:tc>
        <w:tc>
          <w:tcPr>
            <w:tcW w:w="1530" w:type="dxa"/>
            <w:shd w:val="clear" w:color="auto" w:fill="auto"/>
            <w:noWrap/>
            <w:vAlign w:val="bottom"/>
            <w:hideMark/>
          </w:tcPr>
          <w:p w14:paraId="05FC7DA9" w14:textId="77777777" w:rsidR="00C57D08" w:rsidRPr="00785D09" w:rsidRDefault="00C57D08" w:rsidP="00CF08AC">
            <w:pPr>
              <w:pStyle w:val="Tables"/>
              <w:rPr>
                <w:sz w:val="20"/>
                <w:szCs w:val="20"/>
              </w:rPr>
            </w:pPr>
            <w:r w:rsidRPr="00785D09">
              <w:rPr>
                <w:sz w:val="20"/>
                <w:szCs w:val="20"/>
              </w:rPr>
              <w:t>1898.821</w:t>
            </w:r>
          </w:p>
        </w:tc>
        <w:tc>
          <w:tcPr>
            <w:tcW w:w="1350" w:type="dxa"/>
            <w:shd w:val="clear" w:color="auto" w:fill="auto"/>
            <w:noWrap/>
            <w:vAlign w:val="bottom"/>
            <w:hideMark/>
          </w:tcPr>
          <w:p w14:paraId="426D6B73" w14:textId="77777777" w:rsidR="00C57D08" w:rsidRPr="00785D09" w:rsidRDefault="00C57D08" w:rsidP="00CF08AC">
            <w:pPr>
              <w:pStyle w:val="Tables"/>
              <w:rPr>
                <w:sz w:val="20"/>
                <w:szCs w:val="20"/>
              </w:rPr>
            </w:pPr>
            <w:r w:rsidRPr="00785D09">
              <w:rPr>
                <w:sz w:val="20"/>
                <w:szCs w:val="20"/>
              </w:rPr>
              <w:t>1850.343</w:t>
            </w:r>
          </w:p>
        </w:tc>
        <w:tc>
          <w:tcPr>
            <w:tcW w:w="1260" w:type="dxa"/>
            <w:shd w:val="clear" w:color="auto" w:fill="auto"/>
            <w:noWrap/>
            <w:vAlign w:val="bottom"/>
            <w:hideMark/>
          </w:tcPr>
          <w:p w14:paraId="7ABFF74F" w14:textId="77777777" w:rsidR="00C57D08" w:rsidRPr="00785D09" w:rsidRDefault="00C57D08" w:rsidP="00CF08AC">
            <w:pPr>
              <w:pStyle w:val="Tables"/>
              <w:rPr>
                <w:sz w:val="20"/>
                <w:szCs w:val="20"/>
              </w:rPr>
            </w:pPr>
          </w:p>
        </w:tc>
        <w:tc>
          <w:tcPr>
            <w:tcW w:w="1128" w:type="dxa"/>
            <w:shd w:val="clear" w:color="auto" w:fill="auto"/>
            <w:noWrap/>
            <w:vAlign w:val="bottom"/>
            <w:hideMark/>
          </w:tcPr>
          <w:p w14:paraId="317F9E6A" w14:textId="77777777" w:rsidR="00C57D08" w:rsidRPr="00785D09" w:rsidRDefault="00C57D08" w:rsidP="00CF08AC">
            <w:pPr>
              <w:pStyle w:val="Tables"/>
              <w:rPr>
                <w:sz w:val="20"/>
                <w:szCs w:val="20"/>
              </w:rPr>
            </w:pPr>
          </w:p>
        </w:tc>
      </w:tr>
      <w:tr w:rsidR="00785D09" w:rsidRPr="00785D09" w14:paraId="5F6E7086" w14:textId="77777777" w:rsidTr="0069742D">
        <w:trPr>
          <w:trHeight w:val="20"/>
        </w:trPr>
        <w:tc>
          <w:tcPr>
            <w:tcW w:w="1788" w:type="dxa"/>
            <w:shd w:val="clear" w:color="auto" w:fill="auto"/>
            <w:noWrap/>
            <w:vAlign w:val="center"/>
            <w:hideMark/>
          </w:tcPr>
          <w:p w14:paraId="300379BA" w14:textId="77777777" w:rsidR="00CF08AC" w:rsidRPr="00785D09" w:rsidRDefault="00CF08AC" w:rsidP="0069742D">
            <w:pPr>
              <w:pStyle w:val="Tables"/>
              <w:rPr>
                <w:sz w:val="20"/>
                <w:szCs w:val="20"/>
              </w:rPr>
            </w:pPr>
          </w:p>
        </w:tc>
        <w:tc>
          <w:tcPr>
            <w:tcW w:w="1440" w:type="dxa"/>
            <w:shd w:val="clear" w:color="auto" w:fill="auto"/>
            <w:noWrap/>
            <w:vAlign w:val="bottom"/>
            <w:hideMark/>
          </w:tcPr>
          <w:p w14:paraId="1061B2C2" w14:textId="77777777" w:rsidR="00CF08AC" w:rsidRPr="00785D09" w:rsidRDefault="00CF08AC" w:rsidP="00CF08AC">
            <w:pPr>
              <w:pStyle w:val="Tables"/>
              <w:rPr>
                <w:sz w:val="20"/>
                <w:szCs w:val="20"/>
              </w:rPr>
            </w:pPr>
          </w:p>
        </w:tc>
        <w:tc>
          <w:tcPr>
            <w:tcW w:w="1530" w:type="dxa"/>
            <w:shd w:val="clear" w:color="auto" w:fill="auto"/>
            <w:noWrap/>
            <w:vAlign w:val="bottom"/>
            <w:hideMark/>
          </w:tcPr>
          <w:p w14:paraId="0F137C52" w14:textId="77777777" w:rsidR="00CF08AC" w:rsidRPr="00785D09" w:rsidRDefault="00CF08AC" w:rsidP="00CF08AC">
            <w:pPr>
              <w:pStyle w:val="Tables"/>
              <w:rPr>
                <w:sz w:val="20"/>
                <w:szCs w:val="20"/>
              </w:rPr>
            </w:pPr>
          </w:p>
        </w:tc>
        <w:tc>
          <w:tcPr>
            <w:tcW w:w="1350" w:type="dxa"/>
            <w:shd w:val="clear" w:color="auto" w:fill="auto"/>
            <w:noWrap/>
            <w:vAlign w:val="bottom"/>
            <w:hideMark/>
          </w:tcPr>
          <w:p w14:paraId="7994FFF8" w14:textId="77777777" w:rsidR="00CF08AC" w:rsidRPr="00785D09" w:rsidRDefault="00CF08AC" w:rsidP="00CF08AC">
            <w:pPr>
              <w:pStyle w:val="Tables"/>
              <w:rPr>
                <w:sz w:val="20"/>
                <w:szCs w:val="20"/>
              </w:rPr>
            </w:pPr>
          </w:p>
        </w:tc>
        <w:tc>
          <w:tcPr>
            <w:tcW w:w="1260" w:type="dxa"/>
            <w:shd w:val="clear" w:color="auto" w:fill="auto"/>
            <w:noWrap/>
            <w:vAlign w:val="bottom"/>
            <w:hideMark/>
          </w:tcPr>
          <w:p w14:paraId="642CD769" w14:textId="77777777" w:rsidR="00CF08AC" w:rsidRPr="00785D09" w:rsidRDefault="00CF08AC" w:rsidP="00CF08AC">
            <w:pPr>
              <w:pStyle w:val="Tables"/>
              <w:rPr>
                <w:sz w:val="20"/>
                <w:szCs w:val="20"/>
              </w:rPr>
            </w:pPr>
          </w:p>
        </w:tc>
        <w:tc>
          <w:tcPr>
            <w:tcW w:w="1128" w:type="dxa"/>
            <w:shd w:val="clear" w:color="auto" w:fill="auto"/>
            <w:noWrap/>
            <w:vAlign w:val="bottom"/>
            <w:hideMark/>
          </w:tcPr>
          <w:p w14:paraId="2750BCF9" w14:textId="77777777" w:rsidR="00CF08AC" w:rsidRPr="00785D09" w:rsidRDefault="00CF08AC" w:rsidP="00CF08AC">
            <w:pPr>
              <w:pStyle w:val="Tables"/>
              <w:rPr>
                <w:sz w:val="20"/>
                <w:szCs w:val="20"/>
              </w:rPr>
            </w:pPr>
          </w:p>
        </w:tc>
      </w:tr>
      <w:tr w:rsidR="00785D09" w:rsidRPr="00785D09" w14:paraId="02CA5291" w14:textId="77777777" w:rsidTr="0069742D">
        <w:trPr>
          <w:trHeight w:val="20"/>
        </w:trPr>
        <w:tc>
          <w:tcPr>
            <w:tcW w:w="1788" w:type="dxa"/>
            <w:vMerge w:val="restart"/>
            <w:shd w:val="clear" w:color="auto" w:fill="auto"/>
            <w:noWrap/>
            <w:vAlign w:val="center"/>
            <w:hideMark/>
          </w:tcPr>
          <w:p w14:paraId="2ADFBD3E" w14:textId="77777777" w:rsidR="00C57D08" w:rsidRPr="00785D09" w:rsidRDefault="00C57D08" w:rsidP="0069742D">
            <w:pPr>
              <w:pStyle w:val="Tables"/>
              <w:rPr>
                <w:sz w:val="20"/>
                <w:szCs w:val="20"/>
              </w:rPr>
            </w:pPr>
            <w:r w:rsidRPr="00785D09">
              <w:rPr>
                <w:sz w:val="20"/>
                <w:szCs w:val="20"/>
              </w:rPr>
              <w:t>light gases</w:t>
            </w:r>
          </w:p>
        </w:tc>
        <w:tc>
          <w:tcPr>
            <w:tcW w:w="1440" w:type="dxa"/>
            <w:shd w:val="clear" w:color="auto" w:fill="auto"/>
            <w:noWrap/>
            <w:vAlign w:val="bottom"/>
            <w:hideMark/>
          </w:tcPr>
          <w:p w14:paraId="646BB0F6" w14:textId="77777777" w:rsidR="00C57D08" w:rsidRPr="00785D09" w:rsidRDefault="00C57D08" w:rsidP="00CF08AC">
            <w:pPr>
              <w:pStyle w:val="Tables"/>
              <w:rPr>
                <w:i/>
                <w:iCs/>
                <w:sz w:val="20"/>
                <w:szCs w:val="20"/>
                <w:u w:val="single"/>
              </w:rPr>
            </w:pPr>
            <w:r w:rsidRPr="00785D09">
              <w:rPr>
                <w:i/>
                <w:iCs/>
                <w:sz w:val="20"/>
                <w:szCs w:val="20"/>
                <w:u w:val="single"/>
              </w:rPr>
              <w:t>(Intercept)</w:t>
            </w:r>
          </w:p>
        </w:tc>
        <w:tc>
          <w:tcPr>
            <w:tcW w:w="1530" w:type="dxa"/>
            <w:shd w:val="clear" w:color="auto" w:fill="auto"/>
            <w:noWrap/>
            <w:vAlign w:val="bottom"/>
            <w:hideMark/>
          </w:tcPr>
          <w:p w14:paraId="1270CB79" w14:textId="77777777" w:rsidR="00C57D08" w:rsidRPr="00785D09" w:rsidRDefault="00C57D08" w:rsidP="00CF08AC">
            <w:pPr>
              <w:pStyle w:val="Tables"/>
              <w:rPr>
                <w:b/>
                <w:bCs/>
                <w:sz w:val="20"/>
                <w:szCs w:val="20"/>
                <w:u w:val="single"/>
              </w:rPr>
            </w:pPr>
            <w:r w:rsidRPr="00785D09">
              <w:rPr>
                <w:b/>
                <w:bCs/>
                <w:sz w:val="20"/>
                <w:szCs w:val="20"/>
                <w:u w:val="single"/>
              </w:rPr>
              <w:t>Crude.Protein</w:t>
            </w:r>
          </w:p>
        </w:tc>
        <w:tc>
          <w:tcPr>
            <w:tcW w:w="1350" w:type="dxa"/>
            <w:shd w:val="clear" w:color="auto" w:fill="auto"/>
            <w:noWrap/>
            <w:vAlign w:val="bottom"/>
            <w:hideMark/>
          </w:tcPr>
          <w:p w14:paraId="0C3AAF56" w14:textId="77777777" w:rsidR="00C57D08" w:rsidRPr="00785D09" w:rsidRDefault="00C57D08" w:rsidP="00CF08AC">
            <w:pPr>
              <w:pStyle w:val="Tables"/>
              <w:rPr>
                <w:b/>
                <w:bCs/>
                <w:sz w:val="20"/>
                <w:szCs w:val="20"/>
                <w:u w:val="single"/>
              </w:rPr>
            </w:pPr>
            <w:r w:rsidRPr="00785D09">
              <w:rPr>
                <w:b/>
                <w:bCs/>
                <w:sz w:val="20"/>
                <w:szCs w:val="20"/>
                <w:u w:val="single"/>
              </w:rPr>
              <w:t>XYL</w:t>
            </w:r>
          </w:p>
        </w:tc>
        <w:tc>
          <w:tcPr>
            <w:tcW w:w="1260" w:type="dxa"/>
            <w:shd w:val="clear" w:color="auto" w:fill="auto"/>
            <w:noWrap/>
            <w:vAlign w:val="bottom"/>
            <w:hideMark/>
          </w:tcPr>
          <w:p w14:paraId="42652991" w14:textId="77777777" w:rsidR="00C57D08" w:rsidRPr="00785D09" w:rsidRDefault="00C57D08" w:rsidP="00CF08AC">
            <w:pPr>
              <w:pStyle w:val="Tables"/>
              <w:rPr>
                <w:b/>
                <w:bCs/>
                <w:sz w:val="20"/>
                <w:szCs w:val="20"/>
                <w:u w:val="single"/>
              </w:rPr>
            </w:pPr>
          </w:p>
        </w:tc>
        <w:tc>
          <w:tcPr>
            <w:tcW w:w="1128" w:type="dxa"/>
            <w:shd w:val="clear" w:color="auto" w:fill="auto"/>
            <w:noWrap/>
            <w:vAlign w:val="bottom"/>
            <w:hideMark/>
          </w:tcPr>
          <w:p w14:paraId="3DF889C6" w14:textId="77777777" w:rsidR="00C57D08" w:rsidRPr="00785D09" w:rsidRDefault="00C57D08" w:rsidP="00CF08AC">
            <w:pPr>
              <w:pStyle w:val="Tables"/>
              <w:rPr>
                <w:sz w:val="20"/>
                <w:szCs w:val="20"/>
              </w:rPr>
            </w:pPr>
          </w:p>
        </w:tc>
      </w:tr>
      <w:tr w:rsidR="00785D09" w:rsidRPr="00785D09" w14:paraId="625BA0DA" w14:textId="77777777" w:rsidTr="0069742D">
        <w:trPr>
          <w:trHeight w:val="20"/>
        </w:trPr>
        <w:tc>
          <w:tcPr>
            <w:tcW w:w="1788" w:type="dxa"/>
            <w:vMerge/>
            <w:shd w:val="clear" w:color="auto" w:fill="auto"/>
            <w:noWrap/>
            <w:vAlign w:val="center"/>
            <w:hideMark/>
          </w:tcPr>
          <w:p w14:paraId="26CE2BCA" w14:textId="77777777" w:rsidR="00C57D08" w:rsidRPr="00785D09" w:rsidRDefault="00C57D08" w:rsidP="0069742D">
            <w:pPr>
              <w:pStyle w:val="Tables"/>
              <w:rPr>
                <w:sz w:val="20"/>
                <w:szCs w:val="20"/>
              </w:rPr>
            </w:pPr>
          </w:p>
        </w:tc>
        <w:tc>
          <w:tcPr>
            <w:tcW w:w="1440" w:type="dxa"/>
            <w:shd w:val="clear" w:color="auto" w:fill="auto"/>
            <w:noWrap/>
            <w:vAlign w:val="bottom"/>
            <w:hideMark/>
          </w:tcPr>
          <w:p w14:paraId="4E72B72E" w14:textId="77777777" w:rsidR="00C57D08" w:rsidRPr="00785D09" w:rsidRDefault="00C57D08" w:rsidP="00CF08AC">
            <w:pPr>
              <w:pStyle w:val="Tables"/>
              <w:rPr>
                <w:sz w:val="20"/>
                <w:szCs w:val="20"/>
              </w:rPr>
            </w:pPr>
            <w:r w:rsidRPr="00785D09">
              <w:rPr>
                <w:sz w:val="20"/>
                <w:szCs w:val="20"/>
              </w:rPr>
              <w:t>69998.6703</w:t>
            </w:r>
          </w:p>
        </w:tc>
        <w:tc>
          <w:tcPr>
            <w:tcW w:w="1530" w:type="dxa"/>
            <w:shd w:val="clear" w:color="auto" w:fill="auto"/>
            <w:noWrap/>
            <w:vAlign w:val="bottom"/>
            <w:hideMark/>
          </w:tcPr>
          <w:p w14:paraId="21EA458A" w14:textId="77777777" w:rsidR="00C57D08" w:rsidRPr="00785D09" w:rsidRDefault="00C57D08" w:rsidP="00CF08AC">
            <w:pPr>
              <w:pStyle w:val="Tables"/>
              <w:rPr>
                <w:sz w:val="20"/>
                <w:szCs w:val="20"/>
              </w:rPr>
            </w:pPr>
            <w:r w:rsidRPr="00785D09">
              <w:rPr>
                <w:sz w:val="20"/>
                <w:szCs w:val="20"/>
              </w:rPr>
              <w:t>3133.2839</w:t>
            </w:r>
          </w:p>
        </w:tc>
        <w:tc>
          <w:tcPr>
            <w:tcW w:w="1350" w:type="dxa"/>
            <w:shd w:val="clear" w:color="auto" w:fill="auto"/>
            <w:noWrap/>
            <w:vAlign w:val="bottom"/>
            <w:hideMark/>
          </w:tcPr>
          <w:p w14:paraId="337A9334" w14:textId="77777777" w:rsidR="00C57D08" w:rsidRPr="00785D09" w:rsidRDefault="00C57D08" w:rsidP="00CF08AC">
            <w:pPr>
              <w:pStyle w:val="Tables"/>
              <w:rPr>
                <w:sz w:val="20"/>
                <w:szCs w:val="20"/>
              </w:rPr>
            </w:pPr>
            <w:r w:rsidRPr="00785D09">
              <w:rPr>
                <w:sz w:val="20"/>
                <w:szCs w:val="20"/>
              </w:rPr>
              <w:t>-227.4472</w:t>
            </w:r>
          </w:p>
        </w:tc>
        <w:tc>
          <w:tcPr>
            <w:tcW w:w="1260" w:type="dxa"/>
            <w:shd w:val="clear" w:color="auto" w:fill="auto"/>
            <w:noWrap/>
            <w:vAlign w:val="bottom"/>
            <w:hideMark/>
          </w:tcPr>
          <w:p w14:paraId="006E0417" w14:textId="77777777" w:rsidR="00C57D08" w:rsidRPr="00785D09" w:rsidRDefault="00C57D08" w:rsidP="00CF08AC">
            <w:pPr>
              <w:pStyle w:val="Tables"/>
              <w:rPr>
                <w:sz w:val="20"/>
                <w:szCs w:val="20"/>
              </w:rPr>
            </w:pPr>
          </w:p>
        </w:tc>
        <w:tc>
          <w:tcPr>
            <w:tcW w:w="1128" w:type="dxa"/>
            <w:shd w:val="clear" w:color="auto" w:fill="auto"/>
            <w:noWrap/>
            <w:vAlign w:val="bottom"/>
            <w:hideMark/>
          </w:tcPr>
          <w:p w14:paraId="179FA3CD" w14:textId="77777777" w:rsidR="00C57D08" w:rsidRPr="00785D09" w:rsidRDefault="00C57D08" w:rsidP="00CF08AC">
            <w:pPr>
              <w:pStyle w:val="Tables"/>
              <w:rPr>
                <w:sz w:val="20"/>
                <w:szCs w:val="20"/>
              </w:rPr>
            </w:pPr>
          </w:p>
        </w:tc>
      </w:tr>
      <w:tr w:rsidR="00785D09" w:rsidRPr="00785D09" w14:paraId="0D910508" w14:textId="77777777" w:rsidTr="0069742D">
        <w:trPr>
          <w:trHeight w:val="20"/>
        </w:trPr>
        <w:tc>
          <w:tcPr>
            <w:tcW w:w="1788" w:type="dxa"/>
            <w:shd w:val="clear" w:color="auto" w:fill="auto"/>
            <w:noWrap/>
            <w:vAlign w:val="center"/>
            <w:hideMark/>
          </w:tcPr>
          <w:p w14:paraId="7036A512" w14:textId="77777777" w:rsidR="00CF08AC" w:rsidRPr="00785D09" w:rsidRDefault="00CF08AC" w:rsidP="0069742D">
            <w:pPr>
              <w:pStyle w:val="Tables"/>
              <w:rPr>
                <w:sz w:val="20"/>
                <w:szCs w:val="20"/>
              </w:rPr>
            </w:pPr>
          </w:p>
        </w:tc>
        <w:tc>
          <w:tcPr>
            <w:tcW w:w="1440" w:type="dxa"/>
            <w:shd w:val="clear" w:color="auto" w:fill="auto"/>
            <w:noWrap/>
            <w:vAlign w:val="bottom"/>
            <w:hideMark/>
          </w:tcPr>
          <w:p w14:paraId="7B678BD6" w14:textId="77777777" w:rsidR="00CF08AC" w:rsidRPr="00785D09" w:rsidRDefault="00CF08AC" w:rsidP="00CF08AC">
            <w:pPr>
              <w:pStyle w:val="Tables"/>
              <w:rPr>
                <w:sz w:val="20"/>
                <w:szCs w:val="20"/>
              </w:rPr>
            </w:pPr>
          </w:p>
        </w:tc>
        <w:tc>
          <w:tcPr>
            <w:tcW w:w="1530" w:type="dxa"/>
            <w:shd w:val="clear" w:color="auto" w:fill="auto"/>
            <w:noWrap/>
            <w:vAlign w:val="bottom"/>
            <w:hideMark/>
          </w:tcPr>
          <w:p w14:paraId="4E6C8AF3" w14:textId="77777777" w:rsidR="00CF08AC" w:rsidRPr="00785D09" w:rsidRDefault="00CF08AC" w:rsidP="00CF08AC">
            <w:pPr>
              <w:pStyle w:val="Tables"/>
              <w:rPr>
                <w:sz w:val="20"/>
                <w:szCs w:val="20"/>
              </w:rPr>
            </w:pPr>
          </w:p>
        </w:tc>
        <w:tc>
          <w:tcPr>
            <w:tcW w:w="1350" w:type="dxa"/>
            <w:shd w:val="clear" w:color="auto" w:fill="auto"/>
            <w:noWrap/>
            <w:vAlign w:val="bottom"/>
            <w:hideMark/>
          </w:tcPr>
          <w:p w14:paraId="351B7002" w14:textId="77777777" w:rsidR="00CF08AC" w:rsidRPr="00785D09" w:rsidRDefault="00CF08AC" w:rsidP="00CF08AC">
            <w:pPr>
              <w:pStyle w:val="Tables"/>
              <w:rPr>
                <w:sz w:val="20"/>
                <w:szCs w:val="20"/>
              </w:rPr>
            </w:pPr>
          </w:p>
        </w:tc>
        <w:tc>
          <w:tcPr>
            <w:tcW w:w="1260" w:type="dxa"/>
            <w:shd w:val="clear" w:color="auto" w:fill="auto"/>
            <w:noWrap/>
            <w:vAlign w:val="bottom"/>
            <w:hideMark/>
          </w:tcPr>
          <w:p w14:paraId="78A4CD7F" w14:textId="77777777" w:rsidR="00CF08AC" w:rsidRPr="00785D09" w:rsidRDefault="00CF08AC" w:rsidP="00CF08AC">
            <w:pPr>
              <w:pStyle w:val="Tables"/>
              <w:rPr>
                <w:sz w:val="20"/>
                <w:szCs w:val="20"/>
              </w:rPr>
            </w:pPr>
          </w:p>
        </w:tc>
        <w:tc>
          <w:tcPr>
            <w:tcW w:w="1128" w:type="dxa"/>
            <w:shd w:val="clear" w:color="auto" w:fill="auto"/>
            <w:noWrap/>
            <w:vAlign w:val="bottom"/>
            <w:hideMark/>
          </w:tcPr>
          <w:p w14:paraId="656C79FE" w14:textId="77777777" w:rsidR="00CF08AC" w:rsidRPr="00785D09" w:rsidRDefault="00CF08AC" w:rsidP="00CF08AC">
            <w:pPr>
              <w:pStyle w:val="Tables"/>
              <w:rPr>
                <w:sz w:val="20"/>
                <w:szCs w:val="20"/>
              </w:rPr>
            </w:pPr>
          </w:p>
        </w:tc>
      </w:tr>
      <w:tr w:rsidR="00785D09" w:rsidRPr="00785D09" w14:paraId="42C0D95B" w14:textId="77777777" w:rsidTr="0069742D">
        <w:trPr>
          <w:trHeight w:val="20"/>
        </w:trPr>
        <w:tc>
          <w:tcPr>
            <w:tcW w:w="1788" w:type="dxa"/>
            <w:vMerge w:val="restart"/>
            <w:shd w:val="clear" w:color="auto" w:fill="auto"/>
            <w:noWrap/>
            <w:vAlign w:val="center"/>
            <w:hideMark/>
          </w:tcPr>
          <w:p w14:paraId="0F7AABC5" w14:textId="77777777" w:rsidR="00C57D08" w:rsidRPr="00785D09" w:rsidRDefault="00C57D08" w:rsidP="0069742D">
            <w:pPr>
              <w:pStyle w:val="Tables"/>
              <w:rPr>
                <w:sz w:val="20"/>
                <w:szCs w:val="20"/>
              </w:rPr>
            </w:pPr>
            <w:r w:rsidRPr="00785D09">
              <w:rPr>
                <w:sz w:val="20"/>
                <w:szCs w:val="20"/>
              </w:rPr>
              <w:t>light oxygenates</w:t>
            </w:r>
          </w:p>
        </w:tc>
        <w:tc>
          <w:tcPr>
            <w:tcW w:w="1440" w:type="dxa"/>
            <w:shd w:val="clear" w:color="auto" w:fill="auto"/>
            <w:noWrap/>
            <w:vAlign w:val="bottom"/>
            <w:hideMark/>
          </w:tcPr>
          <w:p w14:paraId="701C7051" w14:textId="77777777" w:rsidR="00C57D08" w:rsidRPr="00785D09" w:rsidRDefault="00C57D08" w:rsidP="00CF08AC">
            <w:pPr>
              <w:pStyle w:val="Tables"/>
              <w:rPr>
                <w:i/>
                <w:iCs/>
                <w:sz w:val="20"/>
                <w:szCs w:val="20"/>
                <w:u w:val="single"/>
              </w:rPr>
            </w:pPr>
            <w:r w:rsidRPr="00785D09">
              <w:rPr>
                <w:i/>
                <w:iCs/>
                <w:sz w:val="20"/>
                <w:szCs w:val="20"/>
                <w:u w:val="single"/>
              </w:rPr>
              <w:t>(Intercept)</w:t>
            </w:r>
          </w:p>
        </w:tc>
        <w:tc>
          <w:tcPr>
            <w:tcW w:w="1530" w:type="dxa"/>
            <w:shd w:val="clear" w:color="auto" w:fill="auto"/>
            <w:noWrap/>
            <w:vAlign w:val="bottom"/>
            <w:hideMark/>
          </w:tcPr>
          <w:p w14:paraId="0E0DC5C5" w14:textId="77777777" w:rsidR="00C57D08" w:rsidRPr="00785D09" w:rsidRDefault="00C57D08" w:rsidP="00CF08AC">
            <w:pPr>
              <w:pStyle w:val="Tables"/>
              <w:rPr>
                <w:b/>
                <w:bCs/>
                <w:sz w:val="20"/>
                <w:szCs w:val="20"/>
                <w:u w:val="single"/>
              </w:rPr>
            </w:pPr>
            <w:r w:rsidRPr="00785D09">
              <w:rPr>
                <w:b/>
                <w:bCs/>
                <w:sz w:val="20"/>
                <w:szCs w:val="20"/>
                <w:u w:val="single"/>
              </w:rPr>
              <w:t>RHA</w:t>
            </w:r>
          </w:p>
        </w:tc>
        <w:tc>
          <w:tcPr>
            <w:tcW w:w="1350" w:type="dxa"/>
            <w:shd w:val="clear" w:color="auto" w:fill="auto"/>
            <w:noWrap/>
            <w:vAlign w:val="bottom"/>
            <w:hideMark/>
          </w:tcPr>
          <w:p w14:paraId="4168D13C" w14:textId="77777777" w:rsidR="00C57D08" w:rsidRPr="00785D09" w:rsidRDefault="00C57D08" w:rsidP="00CF08AC">
            <w:pPr>
              <w:pStyle w:val="Tables"/>
              <w:rPr>
                <w:b/>
                <w:bCs/>
                <w:sz w:val="20"/>
                <w:szCs w:val="20"/>
                <w:u w:val="single"/>
              </w:rPr>
            </w:pPr>
          </w:p>
        </w:tc>
        <w:tc>
          <w:tcPr>
            <w:tcW w:w="1260" w:type="dxa"/>
            <w:shd w:val="clear" w:color="auto" w:fill="auto"/>
            <w:noWrap/>
            <w:vAlign w:val="bottom"/>
            <w:hideMark/>
          </w:tcPr>
          <w:p w14:paraId="6D2FCD40" w14:textId="77777777" w:rsidR="00C57D08" w:rsidRPr="00785D09" w:rsidRDefault="00C57D08" w:rsidP="00CF08AC">
            <w:pPr>
              <w:pStyle w:val="Tables"/>
              <w:rPr>
                <w:sz w:val="20"/>
                <w:szCs w:val="20"/>
              </w:rPr>
            </w:pPr>
          </w:p>
        </w:tc>
        <w:tc>
          <w:tcPr>
            <w:tcW w:w="1128" w:type="dxa"/>
            <w:shd w:val="clear" w:color="auto" w:fill="auto"/>
            <w:noWrap/>
            <w:vAlign w:val="bottom"/>
            <w:hideMark/>
          </w:tcPr>
          <w:p w14:paraId="5DE20403" w14:textId="77777777" w:rsidR="00C57D08" w:rsidRPr="00785D09" w:rsidRDefault="00C57D08" w:rsidP="00CF08AC">
            <w:pPr>
              <w:pStyle w:val="Tables"/>
              <w:rPr>
                <w:sz w:val="20"/>
                <w:szCs w:val="20"/>
              </w:rPr>
            </w:pPr>
          </w:p>
        </w:tc>
      </w:tr>
      <w:tr w:rsidR="00785D09" w:rsidRPr="00785D09" w14:paraId="00E0963D" w14:textId="77777777" w:rsidTr="0069742D">
        <w:trPr>
          <w:trHeight w:val="20"/>
        </w:trPr>
        <w:tc>
          <w:tcPr>
            <w:tcW w:w="1788" w:type="dxa"/>
            <w:vMerge/>
            <w:shd w:val="clear" w:color="auto" w:fill="auto"/>
            <w:noWrap/>
            <w:vAlign w:val="center"/>
            <w:hideMark/>
          </w:tcPr>
          <w:p w14:paraId="7B5F51F8" w14:textId="77777777" w:rsidR="00C57D08" w:rsidRPr="00785D09" w:rsidRDefault="00C57D08" w:rsidP="0069742D">
            <w:pPr>
              <w:pStyle w:val="Tables"/>
              <w:rPr>
                <w:sz w:val="20"/>
                <w:szCs w:val="20"/>
              </w:rPr>
            </w:pPr>
          </w:p>
        </w:tc>
        <w:tc>
          <w:tcPr>
            <w:tcW w:w="1440" w:type="dxa"/>
            <w:shd w:val="clear" w:color="auto" w:fill="auto"/>
            <w:noWrap/>
            <w:vAlign w:val="bottom"/>
            <w:hideMark/>
          </w:tcPr>
          <w:p w14:paraId="12D8961A" w14:textId="77777777" w:rsidR="00C57D08" w:rsidRPr="00785D09" w:rsidRDefault="00C57D08" w:rsidP="00CF08AC">
            <w:pPr>
              <w:pStyle w:val="Tables"/>
              <w:rPr>
                <w:sz w:val="20"/>
                <w:szCs w:val="20"/>
              </w:rPr>
            </w:pPr>
            <w:r w:rsidRPr="00785D09">
              <w:rPr>
                <w:sz w:val="20"/>
                <w:szCs w:val="20"/>
              </w:rPr>
              <w:t>42916.211</w:t>
            </w:r>
          </w:p>
        </w:tc>
        <w:tc>
          <w:tcPr>
            <w:tcW w:w="1530" w:type="dxa"/>
            <w:shd w:val="clear" w:color="auto" w:fill="auto"/>
            <w:noWrap/>
            <w:vAlign w:val="bottom"/>
            <w:hideMark/>
          </w:tcPr>
          <w:p w14:paraId="1A03126E" w14:textId="77777777" w:rsidR="00C57D08" w:rsidRPr="00785D09" w:rsidRDefault="00C57D08" w:rsidP="00CF08AC">
            <w:pPr>
              <w:pStyle w:val="Tables"/>
              <w:rPr>
                <w:sz w:val="20"/>
                <w:szCs w:val="20"/>
              </w:rPr>
            </w:pPr>
            <w:r w:rsidRPr="00785D09">
              <w:rPr>
                <w:sz w:val="20"/>
                <w:szCs w:val="20"/>
              </w:rPr>
              <w:t>4948.003</w:t>
            </w:r>
          </w:p>
        </w:tc>
        <w:tc>
          <w:tcPr>
            <w:tcW w:w="1350" w:type="dxa"/>
            <w:shd w:val="clear" w:color="auto" w:fill="auto"/>
            <w:noWrap/>
            <w:vAlign w:val="bottom"/>
            <w:hideMark/>
          </w:tcPr>
          <w:p w14:paraId="02E6B52B" w14:textId="77777777" w:rsidR="00C57D08" w:rsidRPr="00785D09" w:rsidRDefault="00C57D08" w:rsidP="00CF08AC">
            <w:pPr>
              <w:pStyle w:val="Tables"/>
              <w:rPr>
                <w:sz w:val="20"/>
                <w:szCs w:val="20"/>
              </w:rPr>
            </w:pPr>
          </w:p>
        </w:tc>
        <w:tc>
          <w:tcPr>
            <w:tcW w:w="1260" w:type="dxa"/>
            <w:shd w:val="clear" w:color="auto" w:fill="auto"/>
            <w:noWrap/>
            <w:vAlign w:val="bottom"/>
            <w:hideMark/>
          </w:tcPr>
          <w:p w14:paraId="67C0F6BB" w14:textId="77777777" w:rsidR="00C57D08" w:rsidRPr="00785D09" w:rsidRDefault="00C57D08" w:rsidP="00CF08AC">
            <w:pPr>
              <w:pStyle w:val="Tables"/>
              <w:rPr>
                <w:sz w:val="20"/>
                <w:szCs w:val="20"/>
              </w:rPr>
            </w:pPr>
          </w:p>
        </w:tc>
        <w:tc>
          <w:tcPr>
            <w:tcW w:w="1128" w:type="dxa"/>
            <w:shd w:val="clear" w:color="auto" w:fill="auto"/>
            <w:noWrap/>
            <w:vAlign w:val="bottom"/>
            <w:hideMark/>
          </w:tcPr>
          <w:p w14:paraId="70C6420B" w14:textId="77777777" w:rsidR="00C57D08" w:rsidRPr="00785D09" w:rsidRDefault="00C57D08" w:rsidP="00CF08AC">
            <w:pPr>
              <w:pStyle w:val="Tables"/>
              <w:rPr>
                <w:sz w:val="20"/>
                <w:szCs w:val="20"/>
              </w:rPr>
            </w:pPr>
          </w:p>
        </w:tc>
      </w:tr>
      <w:tr w:rsidR="00785D09" w:rsidRPr="00785D09" w14:paraId="5DB8D979" w14:textId="77777777" w:rsidTr="0069742D">
        <w:trPr>
          <w:trHeight w:val="20"/>
        </w:trPr>
        <w:tc>
          <w:tcPr>
            <w:tcW w:w="1788" w:type="dxa"/>
            <w:shd w:val="clear" w:color="auto" w:fill="auto"/>
            <w:noWrap/>
            <w:vAlign w:val="center"/>
            <w:hideMark/>
          </w:tcPr>
          <w:p w14:paraId="42F0478D" w14:textId="77777777" w:rsidR="00CF08AC" w:rsidRPr="00785D09" w:rsidRDefault="00CF08AC" w:rsidP="0069742D">
            <w:pPr>
              <w:pStyle w:val="Tables"/>
              <w:rPr>
                <w:sz w:val="20"/>
                <w:szCs w:val="20"/>
              </w:rPr>
            </w:pPr>
          </w:p>
        </w:tc>
        <w:tc>
          <w:tcPr>
            <w:tcW w:w="1440" w:type="dxa"/>
            <w:shd w:val="clear" w:color="auto" w:fill="auto"/>
            <w:noWrap/>
            <w:vAlign w:val="bottom"/>
            <w:hideMark/>
          </w:tcPr>
          <w:p w14:paraId="16F5B834" w14:textId="77777777" w:rsidR="00CF08AC" w:rsidRPr="00785D09" w:rsidRDefault="00CF08AC" w:rsidP="00CF08AC">
            <w:pPr>
              <w:pStyle w:val="Tables"/>
              <w:rPr>
                <w:sz w:val="20"/>
                <w:szCs w:val="20"/>
              </w:rPr>
            </w:pPr>
          </w:p>
        </w:tc>
        <w:tc>
          <w:tcPr>
            <w:tcW w:w="1530" w:type="dxa"/>
            <w:shd w:val="clear" w:color="auto" w:fill="auto"/>
            <w:noWrap/>
            <w:vAlign w:val="bottom"/>
            <w:hideMark/>
          </w:tcPr>
          <w:p w14:paraId="6BA868DF" w14:textId="77777777" w:rsidR="00CF08AC" w:rsidRPr="00785D09" w:rsidRDefault="00CF08AC" w:rsidP="00CF08AC">
            <w:pPr>
              <w:pStyle w:val="Tables"/>
              <w:rPr>
                <w:sz w:val="20"/>
                <w:szCs w:val="20"/>
              </w:rPr>
            </w:pPr>
          </w:p>
        </w:tc>
        <w:tc>
          <w:tcPr>
            <w:tcW w:w="1350" w:type="dxa"/>
            <w:shd w:val="clear" w:color="auto" w:fill="auto"/>
            <w:noWrap/>
            <w:vAlign w:val="bottom"/>
            <w:hideMark/>
          </w:tcPr>
          <w:p w14:paraId="36CC25E1" w14:textId="77777777" w:rsidR="00CF08AC" w:rsidRPr="00785D09" w:rsidRDefault="00CF08AC" w:rsidP="00CF08AC">
            <w:pPr>
              <w:pStyle w:val="Tables"/>
              <w:rPr>
                <w:sz w:val="20"/>
                <w:szCs w:val="20"/>
              </w:rPr>
            </w:pPr>
          </w:p>
        </w:tc>
        <w:tc>
          <w:tcPr>
            <w:tcW w:w="1260" w:type="dxa"/>
            <w:shd w:val="clear" w:color="auto" w:fill="auto"/>
            <w:noWrap/>
            <w:vAlign w:val="bottom"/>
            <w:hideMark/>
          </w:tcPr>
          <w:p w14:paraId="50D5EDBF" w14:textId="77777777" w:rsidR="00CF08AC" w:rsidRPr="00785D09" w:rsidRDefault="00CF08AC" w:rsidP="00CF08AC">
            <w:pPr>
              <w:pStyle w:val="Tables"/>
              <w:rPr>
                <w:sz w:val="20"/>
                <w:szCs w:val="20"/>
              </w:rPr>
            </w:pPr>
          </w:p>
        </w:tc>
        <w:tc>
          <w:tcPr>
            <w:tcW w:w="1128" w:type="dxa"/>
            <w:shd w:val="clear" w:color="auto" w:fill="auto"/>
            <w:noWrap/>
            <w:vAlign w:val="bottom"/>
            <w:hideMark/>
          </w:tcPr>
          <w:p w14:paraId="3A0E9D64" w14:textId="77777777" w:rsidR="00CF08AC" w:rsidRPr="00785D09" w:rsidRDefault="00CF08AC" w:rsidP="00CF08AC">
            <w:pPr>
              <w:pStyle w:val="Tables"/>
              <w:rPr>
                <w:sz w:val="20"/>
                <w:szCs w:val="20"/>
              </w:rPr>
            </w:pPr>
          </w:p>
        </w:tc>
      </w:tr>
      <w:tr w:rsidR="00785D09" w:rsidRPr="00785D09" w14:paraId="46D16AC7" w14:textId="77777777" w:rsidTr="0069742D">
        <w:trPr>
          <w:trHeight w:val="20"/>
        </w:trPr>
        <w:tc>
          <w:tcPr>
            <w:tcW w:w="1788" w:type="dxa"/>
            <w:vMerge w:val="restart"/>
            <w:shd w:val="clear" w:color="auto" w:fill="auto"/>
            <w:noWrap/>
            <w:vAlign w:val="center"/>
            <w:hideMark/>
          </w:tcPr>
          <w:p w14:paraId="177BD020" w14:textId="2BCA4D54" w:rsidR="00C57D08" w:rsidRPr="00785D09" w:rsidRDefault="00F41528" w:rsidP="0069742D">
            <w:pPr>
              <w:pStyle w:val="Tables"/>
              <w:rPr>
                <w:sz w:val="20"/>
                <w:szCs w:val="20"/>
              </w:rPr>
            </w:pPr>
            <w:r w:rsidRPr="00785D09">
              <w:rPr>
                <w:sz w:val="20"/>
                <w:szCs w:val="20"/>
              </w:rPr>
              <w:t>m</w:t>
            </w:r>
            <w:r w:rsidR="00C57D08" w:rsidRPr="00785D09">
              <w:rPr>
                <w:sz w:val="20"/>
                <w:szCs w:val="20"/>
              </w:rPr>
              <w:t>ethoxyphenols</w:t>
            </w:r>
          </w:p>
        </w:tc>
        <w:tc>
          <w:tcPr>
            <w:tcW w:w="1440" w:type="dxa"/>
            <w:shd w:val="clear" w:color="auto" w:fill="auto"/>
            <w:noWrap/>
            <w:vAlign w:val="bottom"/>
            <w:hideMark/>
          </w:tcPr>
          <w:p w14:paraId="03EC14F3" w14:textId="77777777" w:rsidR="00C57D08" w:rsidRPr="00785D09" w:rsidRDefault="00C57D08" w:rsidP="00CF08AC">
            <w:pPr>
              <w:pStyle w:val="Tables"/>
              <w:rPr>
                <w:i/>
                <w:iCs/>
                <w:sz w:val="20"/>
                <w:szCs w:val="20"/>
                <w:u w:val="single"/>
              </w:rPr>
            </w:pPr>
            <w:r w:rsidRPr="00785D09">
              <w:rPr>
                <w:i/>
                <w:iCs/>
                <w:sz w:val="20"/>
                <w:szCs w:val="20"/>
                <w:u w:val="single"/>
              </w:rPr>
              <w:t>(Intercept)</w:t>
            </w:r>
          </w:p>
        </w:tc>
        <w:tc>
          <w:tcPr>
            <w:tcW w:w="1530" w:type="dxa"/>
            <w:shd w:val="clear" w:color="auto" w:fill="auto"/>
            <w:noWrap/>
            <w:vAlign w:val="bottom"/>
            <w:hideMark/>
          </w:tcPr>
          <w:p w14:paraId="12EC6008" w14:textId="77777777" w:rsidR="00C57D08" w:rsidRPr="00785D09" w:rsidRDefault="00C57D08" w:rsidP="00CF08AC">
            <w:pPr>
              <w:pStyle w:val="Tables"/>
              <w:rPr>
                <w:b/>
                <w:bCs/>
                <w:sz w:val="20"/>
                <w:szCs w:val="20"/>
                <w:u w:val="single"/>
              </w:rPr>
            </w:pPr>
            <w:r w:rsidRPr="00785D09">
              <w:rPr>
                <w:b/>
                <w:bCs/>
                <w:sz w:val="20"/>
                <w:szCs w:val="20"/>
                <w:u w:val="single"/>
              </w:rPr>
              <w:t>UA</w:t>
            </w:r>
          </w:p>
        </w:tc>
        <w:tc>
          <w:tcPr>
            <w:tcW w:w="1350" w:type="dxa"/>
            <w:shd w:val="clear" w:color="auto" w:fill="auto"/>
            <w:noWrap/>
            <w:vAlign w:val="bottom"/>
            <w:hideMark/>
          </w:tcPr>
          <w:p w14:paraId="112CDDC3" w14:textId="77777777" w:rsidR="00C57D08" w:rsidRPr="00785D09" w:rsidRDefault="00C57D08" w:rsidP="00CF08AC">
            <w:pPr>
              <w:pStyle w:val="Tables"/>
              <w:rPr>
                <w:b/>
                <w:bCs/>
                <w:sz w:val="20"/>
                <w:szCs w:val="20"/>
                <w:u w:val="single"/>
              </w:rPr>
            </w:pPr>
          </w:p>
        </w:tc>
        <w:tc>
          <w:tcPr>
            <w:tcW w:w="1260" w:type="dxa"/>
            <w:shd w:val="clear" w:color="auto" w:fill="auto"/>
            <w:noWrap/>
            <w:vAlign w:val="bottom"/>
            <w:hideMark/>
          </w:tcPr>
          <w:p w14:paraId="014446EE" w14:textId="77777777" w:rsidR="00C57D08" w:rsidRPr="00785D09" w:rsidRDefault="00C57D08" w:rsidP="00CF08AC">
            <w:pPr>
              <w:pStyle w:val="Tables"/>
              <w:rPr>
                <w:sz w:val="20"/>
                <w:szCs w:val="20"/>
              </w:rPr>
            </w:pPr>
          </w:p>
        </w:tc>
        <w:tc>
          <w:tcPr>
            <w:tcW w:w="1128" w:type="dxa"/>
            <w:shd w:val="clear" w:color="auto" w:fill="auto"/>
            <w:noWrap/>
            <w:vAlign w:val="bottom"/>
            <w:hideMark/>
          </w:tcPr>
          <w:p w14:paraId="3361B7B5" w14:textId="77777777" w:rsidR="00C57D08" w:rsidRPr="00785D09" w:rsidRDefault="00C57D08" w:rsidP="00CF08AC">
            <w:pPr>
              <w:pStyle w:val="Tables"/>
              <w:rPr>
                <w:sz w:val="20"/>
                <w:szCs w:val="20"/>
              </w:rPr>
            </w:pPr>
          </w:p>
        </w:tc>
      </w:tr>
      <w:tr w:rsidR="00785D09" w:rsidRPr="00785D09" w14:paraId="057A30DA" w14:textId="77777777" w:rsidTr="0069742D">
        <w:trPr>
          <w:trHeight w:val="20"/>
        </w:trPr>
        <w:tc>
          <w:tcPr>
            <w:tcW w:w="1788" w:type="dxa"/>
            <w:vMerge/>
            <w:shd w:val="clear" w:color="auto" w:fill="auto"/>
            <w:noWrap/>
            <w:vAlign w:val="center"/>
            <w:hideMark/>
          </w:tcPr>
          <w:p w14:paraId="6AFA3955" w14:textId="77777777" w:rsidR="00C57D08" w:rsidRPr="00785D09" w:rsidRDefault="00C57D08" w:rsidP="0069742D">
            <w:pPr>
              <w:pStyle w:val="Tables"/>
              <w:rPr>
                <w:sz w:val="20"/>
                <w:szCs w:val="20"/>
              </w:rPr>
            </w:pPr>
          </w:p>
        </w:tc>
        <w:tc>
          <w:tcPr>
            <w:tcW w:w="1440" w:type="dxa"/>
            <w:shd w:val="clear" w:color="auto" w:fill="auto"/>
            <w:noWrap/>
            <w:vAlign w:val="bottom"/>
            <w:hideMark/>
          </w:tcPr>
          <w:p w14:paraId="1C765CBB" w14:textId="77777777" w:rsidR="00C57D08" w:rsidRPr="00785D09" w:rsidRDefault="00C57D08" w:rsidP="00CF08AC">
            <w:pPr>
              <w:pStyle w:val="Tables"/>
              <w:rPr>
                <w:sz w:val="20"/>
                <w:szCs w:val="20"/>
              </w:rPr>
            </w:pPr>
            <w:r w:rsidRPr="00785D09">
              <w:rPr>
                <w:sz w:val="20"/>
                <w:szCs w:val="20"/>
              </w:rPr>
              <w:t>66015.173</w:t>
            </w:r>
          </w:p>
        </w:tc>
        <w:tc>
          <w:tcPr>
            <w:tcW w:w="1530" w:type="dxa"/>
            <w:shd w:val="clear" w:color="auto" w:fill="auto"/>
            <w:noWrap/>
            <w:vAlign w:val="bottom"/>
            <w:hideMark/>
          </w:tcPr>
          <w:p w14:paraId="03D02650" w14:textId="77777777" w:rsidR="00C57D08" w:rsidRPr="00785D09" w:rsidRDefault="00C57D08" w:rsidP="00CF08AC">
            <w:pPr>
              <w:pStyle w:val="Tables"/>
              <w:rPr>
                <w:sz w:val="20"/>
                <w:szCs w:val="20"/>
              </w:rPr>
            </w:pPr>
            <w:r w:rsidRPr="00785D09">
              <w:rPr>
                <w:sz w:val="20"/>
                <w:szCs w:val="20"/>
              </w:rPr>
              <w:t>-1241.789</w:t>
            </w:r>
          </w:p>
        </w:tc>
        <w:tc>
          <w:tcPr>
            <w:tcW w:w="1350" w:type="dxa"/>
            <w:shd w:val="clear" w:color="auto" w:fill="auto"/>
            <w:noWrap/>
            <w:vAlign w:val="bottom"/>
            <w:hideMark/>
          </w:tcPr>
          <w:p w14:paraId="635A7D43" w14:textId="77777777" w:rsidR="00C57D08" w:rsidRPr="00785D09" w:rsidRDefault="00C57D08" w:rsidP="00CF08AC">
            <w:pPr>
              <w:pStyle w:val="Tables"/>
              <w:rPr>
                <w:sz w:val="20"/>
                <w:szCs w:val="20"/>
              </w:rPr>
            </w:pPr>
          </w:p>
        </w:tc>
        <w:tc>
          <w:tcPr>
            <w:tcW w:w="1260" w:type="dxa"/>
            <w:shd w:val="clear" w:color="auto" w:fill="auto"/>
            <w:noWrap/>
            <w:vAlign w:val="bottom"/>
            <w:hideMark/>
          </w:tcPr>
          <w:p w14:paraId="21846801" w14:textId="77777777" w:rsidR="00C57D08" w:rsidRPr="00785D09" w:rsidRDefault="00C57D08" w:rsidP="00CF08AC">
            <w:pPr>
              <w:pStyle w:val="Tables"/>
              <w:rPr>
                <w:sz w:val="20"/>
                <w:szCs w:val="20"/>
              </w:rPr>
            </w:pPr>
          </w:p>
        </w:tc>
        <w:tc>
          <w:tcPr>
            <w:tcW w:w="1128" w:type="dxa"/>
            <w:shd w:val="clear" w:color="auto" w:fill="auto"/>
            <w:noWrap/>
            <w:vAlign w:val="bottom"/>
            <w:hideMark/>
          </w:tcPr>
          <w:p w14:paraId="6F96C115" w14:textId="77777777" w:rsidR="00C57D08" w:rsidRPr="00785D09" w:rsidRDefault="00C57D08" w:rsidP="00CF08AC">
            <w:pPr>
              <w:pStyle w:val="Tables"/>
              <w:rPr>
                <w:sz w:val="20"/>
                <w:szCs w:val="20"/>
              </w:rPr>
            </w:pPr>
          </w:p>
        </w:tc>
      </w:tr>
      <w:tr w:rsidR="00785D09" w:rsidRPr="00785D09" w14:paraId="2B7A067D" w14:textId="77777777" w:rsidTr="0069742D">
        <w:trPr>
          <w:trHeight w:val="20"/>
        </w:trPr>
        <w:tc>
          <w:tcPr>
            <w:tcW w:w="1788" w:type="dxa"/>
            <w:shd w:val="clear" w:color="auto" w:fill="auto"/>
            <w:noWrap/>
            <w:vAlign w:val="center"/>
            <w:hideMark/>
          </w:tcPr>
          <w:p w14:paraId="3BB0D62A" w14:textId="77777777" w:rsidR="00CF08AC" w:rsidRPr="00785D09" w:rsidRDefault="00CF08AC" w:rsidP="0069742D">
            <w:pPr>
              <w:pStyle w:val="Tables"/>
              <w:rPr>
                <w:sz w:val="20"/>
                <w:szCs w:val="20"/>
              </w:rPr>
            </w:pPr>
          </w:p>
        </w:tc>
        <w:tc>
          <w:tcPr>
            <w:tcW w:w="1440" w:type="dxa"/>
            <w:shd w:val="clear" w:color="auto" w:fill="auto"/>
            <w:noWrap/>
            <w:vAlign w:val="bottom"/>
            <w:hideMark/>
          </w:tcPr>
          <w:p w14:paraId="0A14E13A" w14:textId="77777777" w:rsidR="00CF08AC" w:rsidRPr="00785D09" w:rsidRDefault="00CF08AC" w:rsidP="00CF08AC">
            <w:pPr>
              <w:pStyle w:val="Tables"/>
              <w:rPr>
                <w:sz w:val="20"/>
                <w:szCs w:val="20"/>
              </w:rPr>
            </w:pPr>
          </w:p>
        </w:tc>
        <w:tc>
          <w:tcPr>
            <w:tcW w:w="1530" w:type="dxa"/>
            <w:shd w:val="clear" w:color="auto" w:fill="auto"/>
            <w:noWrap/>
            <w:vAlign w:val="bottom"/>
            <w:hideMark/>
          </w:tcPr>
          <w:p w14:paraId="5E112AFC" w14:textId="77777777" w:rsidR="00CF08AC" w:rsidRPr="00785D09" w:rsidRDefault="00CF08AC" w:rsidP="00CF08AC">
            <w:pPr>
              <w:pStyle w:val="Tables"/>
              <w:rPr>
                <w:sz w:val="20"/>
                <w:szCs w:val="20"/>
              </w:rPr>
            </w:pPr>
          </w:p>
        </w:tc>
        <w:tc>
          <w:tcPr>
            <w:tcW w:w="1350" w:type="dxa"/>
            <w:shd w:val="clear" w:color="auto" w:fill="auto"/>
            <w:noWrap/>
            <w:vAlign w:val="bottom"/>
            <w:hideMark/>
          </w:tcPr>
          <w:p w14:paraId="53AAF93C" w14:textId="77777777" w:rsidR="00CF08AC" w:rsidRPr="00785D09" w:rsidRDefault="00CF08AC" w:rsidP="00CF08AC">
            <w:pPr>
              <w:pStyle w:val="Tables"/>
              <w:rPr>
                <w:sz w:val="20"/>
                <w:szCs w:val="20"/>
              </w:rPr>
            </w:pPr>
          </w:p>
        </w:tc>
        <w:tc>
          <w:tcPr>
            <w:tcW w:w="1260" w:type="dxa"/>
            <w:shd w:val="clear" w:color="auto" w:fill="auto"/>
            <w:noWrap/>
            <w:vAlign w:val="bottom"/>
            <w:hideMark/>
          </w:tcPr>
          <w:p w14:paraId="61285E04" w14:textId="77777777" w:rsidR="00CF08AC" w:rsidRPr="00785D09" w:rsidRDefault="00CF08AC" w:rsidP="00CF08AC">
            <w:pPr>
              <w:pStyle w:val="Tables"/>
              <w:rPr>
                <w:sz w:val="20"/>
                <w:szCs w:val="20"/>
              </w:rPr>
            </w:pPr>
          </w:p>
        </w:tc>
        <w:tc>
          <w:tcPr>
            <w:tcW w:w="1128" w:type="dxa"/>
            <w:shd w:val="clear" w:color="auto" w:fill="auto"/>
            <w:noWrap/>
            <w:vAlign w:val="bottom"/>
            <w:hideMark/>
          </w:tcPr>
          <w:p w14:paraId="64ABBCE2" w14:textId="77777777" w:rsidR="00CF08AC" w:rsidRPr="00785D09" w:rsidRDefault="00CF08AC" w:rsidP="00CF08AC">
            <w:pPr>
              <w:pStyle w:val="Tables"/>
              <w:rPr>
                <w:sz w:val="20"/>
                <w:szCs w:val="20"/>
              </w:rPr>
            </w:pPr>
          </w:p>
        </w:tc>
      </w:tr>
      <w:tr w:rsidR="00785D09" w:rsidRPr="00785D09" w14:paraId="0A054075" w14:textId="77777777" w:rsidTr="0069742D">
        <w:trPr>
          <w:trHeight w:val="20"/>
        </w:trPr>
        <w:tc>
          <w:tcPr>
            <w:tcW w:w="1788" w:type="dxa"/>
            <w:vMerge w:val="restart"/>
            <w:shd w:val="clear" w:color="auto" w:fill="auto"/>
            <w:noWrap/>
            <w:vAlign w:val="center"/>
            <w:hideMark/>
          </w:tcPr>
          <w:p w14:paraId="0357C1D4" w14:textId="77777777" w:rsidR="00C57D08" w:rsidRPr="00785D09" w:rsidRDefault="00C57D08" w:rsidP="0069742D">
            <w:pPr>
              <w:pStyle w:val="Tables"/>
              <w:rPr>
                <w:sz w:val="20"/>
                <w:szCs w:val="20"/>
              </w:rPr>
            </w:pPr>
            <w:r w:rsidRPr="00785D09">
              <w:rPr>
                <w:sz w:val="20"/>
                <w:szCs w:val="20"/>
              </w:rPr>
              <w:t>pyran derivatives</w:t>
            </w:r>
          </w:p>
        </w:tc>
        <w:tc>
          <w:tcPr>
            <w:tcW w:w="1440" w:type="dxa"/>
            <w:shd w:val="clear" w:color="auto" w:fill="auto"/>
            <w:noWrap/>
            <w:vAlign w:val="bottom"/>
            <w:hideMark/>
          </w:tcPr>
          <w:p w14:paraId="58B3A261" w14:textId="77777777" w:rsidR="00C57D08" w:rsidRPr="00785D09" w:rsidRDefault="00C57D08" w:rsidP="00CF08AC">
            <w:pPr>
              <w:pStyle w:val="Tables"/>
              <w:rPr>
                <w:i/>
                <w:iCs/>
                <w:sz w:val="20"/>
                <w:szCs w:val="20"/>
                <w:u w:val="single"/>
              </w:rPr>
            </w:pPr>
            <w:r w:rsidRPr="00785D09">
              <w:rPr>
                <w:i/>
                <w:iCs/>
                <w:sz w:val="20"/>
                <w:szCs w:val="20"/>
                <w:u w:val="single"/>
              </w:rPr>
              <w:t>(Intercept)</w:t>
            </w:r>
          </w:p>
        </w:tc>
        <w:tc>
          <w:tcPr>
            <w:tcW w:w="1530" w:type="dxa"/>
            <w:shd w:val="clear" w:color="auto" w:fill="auto"/>
            <w:noWrap/>
            <w:vAlign w:val="bottom"/>
            <w:hideMark/>
          </w:tcPr>
          <w:p w14:paraId="7E693E33" w14:textId="77777777" w:rsidR="00C57D08" w:rsidRPr="00785D09" w:rsidRDefault="00C57D08" w:rsidP="00CF08AC">
            <w:pPr>
              <w:pStyle w:val="Tables"/>
              <w:rPr>
                <w:b/>
                <w:bCs/>
                <w:sz w:val="20"/>
                <w:szCs w:val="20"/>
                <w:u w:val="single"/>
              </w:rPr>
            </w:pPr>
            <w:r w:rsidRPr="00785D09">
              <w:rPr>
                <w:b/>
                <w:bCs/>
                <w:sz w:val="20"/>
                <w:szCs w:val="20"/>
                <w:u w:val="single"/>
              </w:rPr>
              <w:t>PENT</w:t>
            </w:r>
          </w:p>
        </w:tc>
        <w:tc>
          <w:tcPr>
            <w:tcW w:w="1350" w:type="dxa"/>
            <w:shd w:val="clear" w:color="auto" w:fill="auto"/>
            <w:noWrap/>
            <w:vAlign w:val="bottom"/>
            <w:hideMark/>
          </w:tcPr>
          <w:p w14:paraId="26841800" w14:textId="77777777" w:rsidR="00C57D08" w:rsidRPr="00785D09" w:rsidRDefault="00C57D08" w:rsidP="00CF08AC">
            <w:pPr>
              <w:pStyle w:val="Tables"/>
              <w:rPr>
                <w:b/>
                <w:bCs/>
                <w:sz w:val="20"/>
                <w:szCs w:val="20"/>
                <w:u w:val="single"/>
              </w:rPr>
            </w:pPr>
            <w:r w:rsidRPr="00785D09">
              <w:rPr>
                <w:b/>
                <w:bCs/>
                <w:sz w:val="20"/>
                <w:szCs w:val="20"/>
                <w:u w:val="single"/>
              </w:rPr>
              <w:t>GLCS</w:t>
            </w:r>
          </w:p>
        </w:tc>
        <w:tc>
          <w:tcPr>
            <w:tcW w:w="1260" w:type="dxa"/>
            <w:shd w:val="clear" w:color="auto" w:fill="auto"/>
            <w:noWrap/>
            <w:vAlign w:val="bottom"/>
            <w:hideMark/>
          </w:tcPr>
          <w:p w14:paraId="34997A03" w14:textId="77777777" w:rsidR="00C57D08" w:rsidRPr="00785D09" w:rsidRDefault="00C57D08" w:rsidP="00CF08AC">
            <w:pPr>
              <w:pStyle w:val="Tables"/>
              <w:rPr>
                <w:b/>
                <w:bCs/>
                <w:sz w:val="20"/>
                <w:szCs w:val="20"/>
                <w:u w:val="single"/>
              </w:rPr>
            </w:pPr>
          </w:p>
        </w:tc>
        <w:tc>
          <w:tcPr>
            <w:tcW w:w="1128" w:type="dxa"/>
            <w:shd w:val="clear" w:color="auto" w:fill="auto"/>
            <w:noWrap/>
            <w:vAlign w:val="bottom"/>
            <w:hideMark/>
          </w:tcPr>
          <w:p w14:paraId="7EEA9FE6" w14:textId="77777777" w:rsidR="00C57D08" w:rsidRPr="00785D09" w:rsidRDefault="00C57D08" w:rsidP="00CF08AC">
            <w:pPr>
              <w:pStyle w:val="Tables"/>
              <w:rPr>
                <w:sz w:val="20"/>
                <w:szCs w:val="20"/>
              </w:rPr>
            </w:pPr>
          </w:p>
        </w:tc>
      </w:tr>
      <w:tr w:rsidR="00785D09" w:rsidRPr="00785D09" w14:paraId="038843D6" w14:textId="77777777" w:rsidTr="0069742D">
        <w:trPr>
          <w:trHeight w:val="20"/>
        </w:trPr>
        <w:tc>
          <w:tcPr>
            <w:tcW w:w="1788" w:type="dxa"/>
            <w:vMerge/>
            <w:shd w:val="clear" w:color="auto" w:fill="auto"/>
            <w:noWrap/>
            <w:vAlign w:val="center"/>
            <w:hideMark/>
          </w:tcPr>
          <w:p w14:paraId="06866C66" w14:textId="77777777" w:rsidR="00C57D08" w:rsidRPr="00785D09" w:rsidRDefault="00C57D08" w:rsidP="0069742D">
            <w:pPr>
              <w:pStyle w:val="Tables"/>
              <w:rPr>
                <w:sz w:val="20"/>
                <w:szCs w:val="20"/>
              </w:rPr>
            </w:pPr>
          </w:p>
        </w:tc>
        <w:tc>
          <w:tcPr>
            <w:tcW w:w="1440" w:type="dxa"/>
            <w:shd w:val="clear" w:color="auto" w:fill="auto"/>
            <w:noWrap/>
            <w:vAlign w:val="bottom"/>
            <w:hideMark/>
          </w:tcPr>
          <w:p w14:paraId="6DF938C1" w14:textId="77777777" w:rsidR="00C57D08" w:rsidRPr="00785D09" w:rsidRDefault="00C57D08" w:rsidP="00CF08AC">
            <w:pPr>
              <w:pStyle w:val="Tables"/>
              <w:rPr>
                <w:sz w:val="20"/>
                <w:szCs w:val="20"/>
              </w:rPr>
            </w:pPr>
            <w:r w:rsidRPr="00785D09">
              <w:rPr>
                <w:sz w:val="20"/>
                <w:szCs w:val="20"/>
              </w:rPr>
              <w:t>-31770.8978</w:t>
            </w:r>
          </w:p>
        </w:tc>
        <w:tc>
          <w:tcPr>
            <w:tcW w:w="1530" w:type="dxa"/>
            <w:shd w:val="clear" w:color="auto" w:fill="auto"/>
            <w:noWrap/>
            <w:vAlign w:val="bottom"/>
            <w:hideMark/>
          </w:tcPr>
          <w:p w14:paraId="0D032AB2" w14:textId="77777777" w:rsidR="00C57D08" w:rsidRPr="00785D09" w:rsidRDefault="00C57D08" w:rsidP="00CF08AC">
            <w:pPr>
              <w:pStyle w:val="Tables"/>
              <w:rPr>
                <w:sz w:val="20"/>
                <w:szCs w:val="20"/>
              </w:rPr>
            </w:pPr>
            <w:r w:rsidRPr="00785D09">
              <w:rPr>
                <w:sz w:val="20"/>
                <w:szCs w:val="20"/>
              </w:rPr>
              <w:t>950.7257</w:t>
            </w:r>
          </w:p>
        </w:tc>
        <w:tc>
          <w:tcPr>
            <w:tcW w:w="1350" w:type="dxa"/>
            <w:shd w:val="clear" w:color="auto" w:fill="auto"/>
            <w:noWrap/>
            <w:vAlign w:val="bottom"/>
            <w:hideMark/>
          </w:tcPr>
          <w:p w14:paraId="4D899567" w14:textId="77777777" w:rsidR="00C57D08" w:rsidRPr="00785D09" w:rsidRDefault="00C57D08" w:rsidP="00CF08AC">
            <w:pPr>
              <w:pStyle w:val="Tables"/>
              <w:rPr>
                <w:sz w:val="20"/>
                <w:szCs w:val="20"/>
              </w:rPr>
            </w:pPr>
            <w:r w:rsidRPr="00785D09">
              <w:rPr>
                <w:sz w:val="20"/>
                <w:szCs w:val="20"/>
              </w:rPr>
              <w:t>9845.1746</w:t>
            </w:r>
          </w:p>
        </w:tc>
        <w:tc>
          <w:tcPr>
            <w:tcW w:w="1260" w:type="dxa"/>
            <w:shd w:val="clear" w:color="auto" w:fill="auto"/>
            <w:noWrap/>
            <w:vAlign w:val="bottom"/>
            <w:hideMark/>
          </w:tcPr>
          <w:p w14:paraId="323566BD" w14:textId="77777777" w:rsidR="00C57D08" w:rsidRPr="00785D09" w:rsidRDefault="00C57D08" w:rsidP="00CF08AC">
            <w:pPr>
              <w:pStyle w:val="Tables"/>
              <w:rPr>
                <w:sz w:val="20"/>
                <w:szCs w:val="20"/>
              </w:rPr>
            </w:pPr>
          </w:p>
        </w:tc>
        <w:tc>
          <w:tcPr>
            <w:tcW w:w="1128" w:type="dxa"/>
            <w:shd w:val="clear" w:color="auto" w:fill="auto"/>
            <w:noWrap/>
            <w:vAlign w:val="bottom"/>
            <w:hideMark/>
          </w:tcPr>
          <w:p w14:paraId="45B31DBA" w14:textId="77777777" w:rsidR="00C57D08" w:rsidRPr="00785D09" w:rsidRDefault="00C57D08" w:rsidP="00CF08AC">
            <w:pPr>
              <w:pStyle w:val="Tables"/>
              <w:rPr>
                <w:sz w:val="20"/>
                <w:szCs w:val="20"/>
              </w:rPr>
            </w:pPr>
          </w:p>
        </w:tc>
      </w:tr>
      <w:tr w:rsidR="00785D09" w:rsidRPr="00785D09" w14:paraId="4B922CC3" w14:textId="77777777" w:rsidTr="0069742D">
        <w:trPr>
          <w:trHeight w:val="20"/>
        </w:trPr>
        <w:tc>
          <w:tcPr>
            <w:tcW w:w="1788" w:type="dxa"/>
            <w:shd w:val="clear" w:color="auto" w:fill="auto"/>
            <w:noWrap/>
            <w:vAlign w:val="center"/>
            <w:hideMark/>
          </w:tcPr>
          <w:p w14:paraId="1D9F255D" w14:textId="77777777" w:rsidR="00CF08AC" w:rsidRPr="00785D09" w:rsidRDefault="00CF08AC" w:rsidP="0069742D">
            <w:pPr>
              <w:pStyle w:val="Tables"/>
              <w:rPr>
                <w:sz w:val="20"/>
                <w:szCs w:val="20"/>
              </w:rPr>
            </w:pPr>
          </w:p>
        </w:tc>
        <w:tc>
          <w:tcPr>
            <w:tcW w:w="1440" w:type="dxa"/>
            <w:shd w:val="clear" w:color="auto" w:fill="auto"/>
            <w:noWrap/>
            <w:vAlign w:val="bottom"/>
            <w:hideMark/>
          </w:tcPr>
          <w:p w14:paraId="7D69123C" w14:textId="77777777" w:rsidR="00CF08AC" w:rsidRPr="00785D09" w:rsidRDefault="00CF08AC" w:rsidP="00CF08AC">
            <w:pPr>
              <w:pStyle w:val="Tables"/>
              <w:rPr>
                <w:sz w:val="20"/>
                <w:szCs w:val="20"/>
              </w:rPr>
            </w:pPr>
          </w:p>
        </w:tc>
        <w:tc>
          <w:tcPr>
            <w:tcW w:w="1530" w:type="dxa"/>
            <w:shd w:val="clear" w:color="auto" w:fill="auto"/>
            <w:noWrap/>
            <w:vAlign w:val="bottom"/>
            <w:hideMark/>
          </w:tcPr>
          <w:p w14:paraId="42ED8381" w14:textId="77777777" w:rsidR="00CF08AC" w:rsidRPr="00785D09" w:rsidRDefault="00CF08AC" w:rsidP="00CF08AC">
            <w:pPr>
              <w:pStyle w:val="Tables"/>
              <w:rPr>
                <w:sz w:val="20"/>
                <w:szCs w:val="20"/>
              </w:rPr>
            </w:pPr>
          </w:p>
        </w:tc>
        <w:tc>
          <w:tcPr>
            <w:tcW w:w="1350" w:type="dxa"/>
            <w:shd w:val="clear" w:color="auto" w:fill="auto"/>
            <w:noWrap/>
            <w:vAlign w:val="bottom"/>
            <w:hideMark/>
          </w:tcPr>
          <w:p w14:paraId="2CDAC182" w14:textId="77777777" w:rsidR="00CF08AC" w:rsidRPr="00785D09" w:rsidRDefault="00CF08AC" w:rsidP="00CF08AC">
            <w:pPr>
              <w:pStyle w:val="Tables"/>
              <w:rPr>
                <w:sz w:val="20"/>
                <w:szCs w:val="20"/>
              </w:rPr>
            </w:pPr>
          </w:p>
        </w:tc>
        <w:tc>
          <w:tcPr>
            <w:tcW w:w="1260" w:type="dxa"/>
            <w:shd w:val="clear" w:color="auto" w:fill="auto"/>
            <w:noWrap/>
            <w:vAlign w:val="bottom"/>
            <w:hideMark/>
          </w:tcPr>
          <w:p w14:paraId="5F3E634E" w14:textId="77777777" w:rsidR="00CF08AC" w:rsidRPr="00785D09" w:rsidRDefault="00CF08AC" w:rsidP="00CF08AC">
            <w:pPr>
              <w:pStyle w:val="Tables"/>
              <w:rPr>
                <w:sz w:val="20"/>
                <w:szCs w:val="20"/>
              </w:rPr>
            </w:pPr>
          </w:p>
        </w:tc>
        <w:tc>
          <w:tcPr>
            <w:tcW w:w="1128" w:type="dxa"/>
            <w:shd w:val="clear" w:color="auto" w:fill="auto"/>
            <w:noWrap/>
            <w:vAlign w:val="bottom"/>
            <w:hideMark/>
          </w:tcPr>
          <w:p w14:paraId="77748152" w14:textId="77777777" w:rsidR="00CF08AC" w:rsidRPr="00785D09" w:rsidRDefault="00CF08AC" w:rsidP="00CF08AC">
            <w:pPr>
              <w:pStyle w:val="Tables"/>
              <w:rPr>
                <w:sz w:val="20"/>
                <w:szCs w:val="20"/>
              </w:rPr>
            </w:pPr>
          </w:p>
        </w:tc>
      </w:tr>
      <w:tr w:rsidR="00785D09" w:rsidRPr="00785D09" w14:paraId="67ACC578" w14:textId="77777777" w:rsidTr="0069742D">
        <w:trPr>
          <w:trHeight w:val="20"/>
        </w:trPr>
        <w:tc>
          <w:tcPr>
            <w:tcW w:w="1788" w:type="dxa"/>
            <w:vMerge w:val="restart"/>
            <w:shd w:val="clear" w:color="auto" w:fill="auto"/>
            <w:noWrap/>
            <w:vAlign w:val="center"/>
            <w:hideMark/>
          </w:tcPr>
          <w:p w14:paraId="41CC05FD" w14:textId="77777777" w:rsidR="00C57D08" w:rsidRPr="00785D09" w:rsidRDefault="00C57D08" w:rsidP="0069742D">
            <w:pPr>
              <w:pStyle w:val="Tables"/>
              <w:rPr>
                <w:sz w:val="20"/>
                <w:szCs w:val="20"/>
              </w:rPr>
            </w:pPr>
            <w:r w:rsidRPr="00785D09">
              <w:rPr>
                <w:sz w:val="20"/>
                <w:szCs w:val="20"/>
              </w:rPr>
              <w:t>non-levoglucosan sugars</w:t>
            </w:r>
          </w:p>
        </w:tc>
        <w:tc>
          <w:tcPr>
            <w:tcW w:w="1440" w:type="dxa"/>
            <w:shd w:val="clear" w:color="auto" w:fill="auto"/>
            <w:noWrap/>
            <w:vAlign w:val="bottom"/>
            <w:hideMark/>
          </w:tcPr>
          <w:p w14:paraId="4B0E89E2" w14:textId="77777777" w:rsidR="00C57D08" w:rsidRPr="00785D09" w:rsidRDefault="00C57D08" w:rsidP="00CF08AC">
            <w:pPr>
              <w:pStyle w:val="Tables"/>
              <w:rPr>
                <w:i/>
                <w:iCs/>
                <w:sz w:val="20"/>
                <w:szCs w:val="20"/>
                <w:u w:val="single"/>
              </w:rPr>
            </w:pPr>
            <w:r w:rsidRPr="00785D09">
              <w:rPr>
                <w:i/>
                <w:iCs/>
                <w:sz w:val="20"/>
                <w:szCs w:val="20"/>
                <w:u w:val="single"/>
              </w:rPr>
              <w:t>(Intercept)</w:t>
            </w:r>
          </w:p>
        </w:tc>
        <w:tc>
          <w:tcPr>
            <w:tcW w:w="1530" w:type="dxa"/>
            <w:shd w:val="clear" w:color="auto" w:fill="auto"/>
            <w:noWrap/>
            <w:vAlign w:val="bottom"/>
            <w:hideMark/>
          </w:tcPr>
          <w:p w14:paraId="07CC8E2E" w14:textId="77777777" w:rsidR="00C57D08" w:rsidRPr="00785D09" w:rsidRDefault="00C57D08" w:rsidP="00CF08AC">
            <w:pPr>
              <w:pStyle w:val="Tables"/>
              <w:rPr>
                <w:b/>
                <w:bCs/>
                <w:sz w:val="20"/>
                <w:szCs w:val="20"/>
                <w:u w:val="single"/>
              </w:rPr>
            </w:pPr>
            <w:r w:rsidRPr="00785D09">
              <w:rPr>
                <w:b/>
                <w:bCs/>
                <w:sz w:val="20"/>
                <w:szCs w:val="20"/>
                <w:u w:val="single"/>
              </w:rPr>
              <w:t>sgratio.nrel</w:t>
            </w:r>
          </w:p>
        </w:tc>
        <w:tc>
          <w:tcPr>
            <w:tcW w:w="1350" w:type="dxa"/>
            <w:shd w:val="clear" w:color="auto" w:fill="auto"/>
            <w:noWrap/>
            <w:vAlign w:val="bottom"/>
            <w:hideMark/>
          </w:tcPr>
          <w:p w14:paraId="4D771D7A" w14:textId="77777777" w:rsidR="00C57D08" w:rsidRPr="00785D09" w:rsidRDefault="00C57D08" w:rsidP="00CF08AC">
            <w:pPr>
              <w:pStyle w:val="Tables"/>
              <w:rPr>
                <w:b/>
                <w:bCs/>
                <w:sz w:val="20"/>
                <w:szCs w:val="20"/>
                <w:u w:val="single"/>
              </w:rPr>
            </w:pPr>
            <w:r w:rsidRPr="00785D09">
              <w:rPr>
                <w:b/>
                <w:bCs/>
                <w:sz w:val="20"/>
                <w:szCs w:val="20"/>
                <w:u w:val="single"/>
              </w:rPr>
              <w:t>EE</w:t>
            </w:r>
          </w:p>
        </w:tc>
        <w:tc>
          <w:tcPr>
            <w:tcW w:w="1260" w:type="dxa"/>
            <w:shd w:val="clear" w:color="auto" w:fill="auto"/>
            <w:noWrap/>
            <w:vAlign w:val="bottom"/>
            <w:hideMark/>
          </w:tcPr>
          <w:p w14:paraId="6DB2B5F2" w14:textId="77777777" w:rsidR="00C57D08" w:rsidRPr="00785D09" w:rsidRDefault="00C57D08" w:rsidP="00CF08AC">
            <w:pPr>
              <w:pStyle w:val="Tables"/>
              <w:rPr>
                <w:b/>
                <w:bCs/>
                <w:sz w:val="20"/>
                <w:szCs w:val="20"/>
                <w:u w:val="single"/>
              </w:rPr>
            </w:pPr>
          </w:p>
        </w:tc>
        <w:tc>
          <w:tcPr>
            <w:tcW w:w="1128" w:type="dxa"/>
            <w:shd w:val="clear" w:color="auto" w:fill="auto"/>
            <w:noWrap/>
            <w:vAlign w:val="bottom"/>
            <w:hideMark/>
          </w:tcPr>
          <w:p w14:paraId="7BFB02F1" w14:textId="77777777" w:rsidR="00C57D08" w:rsidRPr="00785D09" w:rsidRDefault="00C57D08" w:rsidP="00CF08AC">
            <w:pPr>
              <w:pStyle w:val="Tables"/>
              <w:rPr>
                <w:sz w:val="20"/>
                <w:szCs w:val="20"/>
              </w:rPr>
            </w:pPr>
          </w:p>
        </w:tc>
      </w:tr>
      <w:tr w:rsidR="00785D09" w:rsidRPr="00785D09" w14:paraId="6EA2AE6E" w14:textId="77777777" w:rsidTr="0069742D">
        <w:trPr>
          <w:trHeight w:val="20"/>
        </w:trPr>
        <w:tc>
          <w:tcPr>
            <w:tcW w:w="1788" w:type="dxa"/>
            <w:vMerge/>
            <w:shd w:val="clear" w:color="auto" w:fill="auto"/>
            <w:noWrap/>
            <w:vAlign w:val="bottom"/>
            <w:hideMark/>
          </w:tcPr>
          <w:p w14:paraId="6A20786A" w14:textId="77777777" w:rsidR="00C57D08" w:rsidRPr="00785D09" w:rsidRDefault="00C57D08" w:rsidP="00CF08AC">
            <w:pPr>
              <w:pStyle w:val="Tables"/>
              <w:rPr>
                <w:sz w:val="20"/>
                <w:szCs w:val="20"/>
              </w:rPr>
            </w:pPr>
          </w:p>
        </w:tc>
        <w:tc>
          <w:tcPr>
            <w:tcW w:w="1440" w:type="dxa"/>
            <w:shd w:val="clear" w:color="auto" w:fill="auto"/>
            <w:noWrap/>
            <w:vAlign w:val="bottom"/>
            <w:hideMark/>
          </w:tcPr>
          <w:p w14:paraId="7AB862F4" w14:textId="77777777" w:rsidR="00C57D08" w:rsidRPr="00785D09" w:rsidRDefault="00C57D08" w:rsidP="00CF08AC">
            <w:pPr>
              <w:pStyle w:val="Tables"/>
              <w:rPr>
                <w:sz w:val="20"/>
                <w:szCs w:val="20"/>
              </w:rPr>
            </w:pPr>
            <w:r w:rsidRPr="00785D09">
              <w:rPr>
                <w:sz w:val="20"/>
                <w:szCs w:val="20"/>
              </w:rPr>
              <w:t>-6225</w:t>
            </w:r>
          </w:p>
        </w:tc>
        <w:tc>
          <w:tcPr>
            <w:tcW w:w="1530" w:type="dxa"/>
            <w:shd w:val="clear" w:color="auto" w:fill="auto"/>
            <w:noWrap/>
            <w:vAlign w:val="bottom"/>
            <w:hideMark/>
          </w:tcPr>
          <w:p w14:paraId="0EB932CA" w14:textId="77777777" w:rsidR="00C57D08" w:rsidRPr="00785D09" w:rsidRDefault="00C57D08" w:rsidP="00CF08AC">
            <w:pPr>
              <w:pStyle w:val="Tables"/>
              <w:rPr>
                <w:sz w:val="20"/>
                <w:szCs w:val="20"/>
              </w:rPr>
            </w:pPr>
            <w:r w:rsidRPr="00785D09">
              <w:rPr>
                <w:sz w:val="20"/>
                <w:szCs w:val="20"/>
              </w:rPr>
              <w:t>45954</w:t>
            </w:r>
          </w:p>
        </w:tc>
        <w:tc>
          <w:tcPr>
            <w:tcW w:w="1350" w:type="dxa"/>
            <w:shd w:val="clear" w:color="auto" w:fill="auto"/>
            <w:noWrap/>
            <w:vAlign w:val="bottom"/>
            <w:hideMark/>
          </w:tcPr>
          <w:p w14:paraId="71DE2481" w14:textId="77777777" w:rsidR="00C57D08" w:rsidRPr="00785D09" w:rsidRDefault="00C57D08" w:rsidP="00CF08AC">
            <w:pPr>
              <w:pStyle w:val="Tables"/>
              <w:rPr>
                <w:sz w:val="20"/>
                <w:szCs w:val="20"/>
              </w:rPr>
            </w:pPr>
            <w:r w:rsidRPr="00785D09">
              <w:rPr>
                <w:sz w:val="20"/>
                <w:szCs w:val="20"/>
              </w:rPr>
              <w:t>1801</w:t>
            </w:r>
          </w:p>
        </w:tc>
        <w:tc>
          <w:tcPr>
            <w:tcW w:w="1260" w:type="dxa"/>
            <w:shd w:val="clear" w:color="auto" w:fill="auto"/>
            <w:noWrap/>
            <w:vAlign w:val="bottom"/>
            <w:hideMark/>
          </w:tcPr>
          <w:p w14:paraId="722B60BF" w14:textId="77777777" w:rsidR="00C57D08" w:rsidRPr="00785D09" w:rsidRDefault="00C57D08" w:rsidP="00CF08AC">
            <w:pPr>
              <w:pStyle w:val="Tables"/>
              <w:rPr>
                <w:sz w:val="20"/>
                <w:szCs w:val="20"/>
              </w:rPr>
            </w:pPr>
          </w:p>
        </w:tc>
        <w:tc>
          <w:tcPr>
            <w:tcW w:w="1128" w:type="dxa"/>
            <w:shd w:val="clear" w:color="auto" w:fill="auto"/>
            <w:noWrap/>
            <w:vAlign w:val="bottom"/>
            <w:hideMark/>
          </w:tcPr>
          <w:p w14:paraId="052B7135" w14:textId="77777777" w:rsidR="00C57D08" w:rsidRPr="00785D09" w:rsidRDefault="00C57D08" w:rsidP="00CF08AC">
            <w:pPr>
              <w:pStyle w:val="Tables"/>
              <w:rPr>
                <w:sz w:val="20"/>
                <w:szCs w:val="20"/>
              </w:rPr>
            </w:pPr>
          </w:p>
        </w:tc>
      </w:tr>
    </w:tbl>
    <w:p w14:paraId="2C18AC98" w14:textId="0C464882" w:rsidR="00C3442B" w:rsidRDefault="00710AF5" w:rsidP="00710AF5">
      <w:pPr>
        <w:pStyle w:val="Caption"/>
        <w:rPr>
          <w:b w:val="0"/>
        </w:rPr>
      </w:pPr>
      <w:bookmarkStart w:id="150" w:name="_Toc449964939"/>
      <w:r>
        <w:t xml:space="preserve">Table </w:t>
      </w:r>
      <w:fldSimple w:instr=" STYLEREF &quot;Chapter&quot; \s ">
        <w:r w:rsidR="00463F52">
          <w:rPr>
            <w:noProof/>
          </w:rPr>
          <w:t>6</w:t>
        </w:r>
      </w:fldSimple>
      <w:r>
        <w:t>.</w:t>
      </w:r>
      <w:fldSimple w:instr=" SEQ Table \* ARABIC \s 1 ">
        <w:r w:rsidR="00463F52">
          <w:rPr>
            <w:noProof/>
          </w:rPr>
          <w:t>5</w:t>
        </w:r>
      </w:fldSimple>
      <w:r>
        <w:t>.</w:t>
      </w:r>
      <w:r w:rsidRPr="008E2374">
        <w:t xml:space="preserve"> </w:t>
      </w:r>
      <w:r>
        <w:rPr>
          <w:b w:val="0"/>
        </w:rPr>
        <w:t>Final model coefficients developed for the torrefaction thermochemical lump indicated.</w:t>
      </w:r>
      <w:bookmarkEnd w:id="150"/>
    </w:p>
    <w:p w14:paraId="7F58513B" w14:textId="77777777" w:rsidR="00C3442B" w:rsidRDefault="00C3442B">
      <w:pPr>
        <w:rPr>
          <w:bCs/>
          <w:szCs w:val="18"/>
        </w:rPr>
      </w:pPr>
      <w:r>
        <w:rPr>
          <w:b/>
        </w:rPr>
        <w:br w:type="page"/>
      </w:r>
    </w:p>
    <w:tbl>
      <w:tblPr>
        <w:tblW w:w="8486"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708"/>
        <w:gridCol w:w="1170"/>
        <w:gridCol w:w="1170"/>
        <w:gridCol w:w="1170"/>
        <w:gridCol w:w="1260"/>
        <w:gridCol w:w="942"/>
        <w:gridCol w:w="1066"/>
      </w:tblGrid>
      <w:tr w:rsidR="0088682C" w:rsidRPr="00506A5A" w14:paraId="2699601C" w14:textId="77777777" w:rsidTr="003D6CB9">
        <w:trPr>
          <w:trHeight w:val="20"/>
        </w:trPr>
        <w:tc>
          <w:tcPr>
            <w:tcW w:w="1708" w:type="dxa"/>
            <w:vMerge w:val="restart"/>
            <w:shd w:val="clear" w:color="auto" w:fill="auto"/>
            <w:noWrap/>
            <w:vAlign w:val="center"/>
            <w:hideMark/>
          </w:tcPr>
          <w:p w14:paraId="1BC4D04D" w14:textId="77777777" w:rsidR="00AF20B6" w:rsidRPr="00506A5A" w:rsidRDefault="00AF20B6" w:rsidP="00373BB2">
            <w:pPr>
              <w:pStyle w:val="Tables"/>
              <w:rPr>
                <w:sz w:val="20"/>
                <w:szCs w:val="20"/>
              </w:rPr>
            </w:pPr>
            <w:r w:rsidRPr="00506A5A">
              <w:rPr>
                <w:sz w:val="20"/>
                <w:szCs w:val="20"/>
              </w:rPr>
              <w:lastRenderedPageBreak/>
              <w:t>acetic acid</w:t>
            </w:r>
          </w:p>
        </w:tc>
        <w:tc>
          <w:tcPr>
            <w:tcW w:w="1170" w:type="dxa"/>
            <w:shd w:val="clear" w:color="auto" w:fill="auto"/>
            <w:noWrap/>
            <w:vAlign w:val="bottom"/>
            <w:hideMark/>
          </w:tcPr>
          <w:p w14:paraId="6877D8E9" w14:textId="3583F5E6" w:rsidR="00AF20B6" w:rsidRPr="00193042" w:rsidRDefault="00AF20B6" w:rsidP="00AF20B6">
            <w:pPr>
              <w:pStyle w:val="Tables"/>
              <w:rPr>
                <w:i/>
                <w:sz w:val="20"/>
                <w:szCs w:val="20"/>
                <w:u w:val="single"/>
              </w:rPr>
            </w:pPr>
            <w:r w:rsidRPr="00193042">
              <w:rPr>
                <w:i/>
                <w:sz w:val="20"/>
                <w:szCs w:val="20"/>
                <w:u w:val="single"/>
              </w:rPr>
              <w:t>(Intercept)</w:t>
            </w:r>
          </w:p>
        </w:tc>
        <w:tc>
          <w:tcPr>
            <w:tcW w:w="1170" w:type="dxa"/>
            <w:shd w:val="clear" w:color="auto" w:fill="auto"/>
            <w:noWrap/>
            <w:vAlign w:val="bottom"/>
            <w:hideMark/>
          </w:tcPr>
          <w:p w14:paraId="58C952A9" w14:textId="3BC66144" w:rsidR="00AF20B6" w:rsidRPr="001217A6" w:rsidRDefault="00AF20B6" w:rsidP="00AF20B6">
            <w:pPr>
              <w:pStyle w:val="Tables"/>
              <w:rPr>
                <w:b/>
                <w:bCs/>
                <w:sz w:val="20"/>
                <w:szCs w:val="20"/>
                <w:u w:val="single"/>
              </w:rPr>
            </w:pPr>
            <w:r w:rsidRPr="001217A6">
              <w:rPr>
                <w:b/>
                <w:bCs/>
                <w:sz w:val="20"/>
                <w:szCs w:val="20"/>
                <w:u w:val="single"/>
              </w:rPr>
              <w:t>K</w:t>
            </w:r>
          </w:p>
        </w:tc>
        <w:tc>
          <w:tcPr>
            <w:tcW w:w="1170" w:type="dxa"/>
            <w:shd w:val="clear" w:color="auto" w:fill="auto"/>
            <w:noWrap/>
            <w:vAlign w:val="bottom"/>
            <w:hideMark/>
          </w:tcPr>
          <w:p w14:paraId="3E750C70" w14:textId="1F41E95B" w:rsidR="00AF20B6" w:rsidRPr="001217A6" w:rsidRDefault="00AF20B6" w:rsidP="00AF20B6">
            <w:pPr>
              <w:pStyle w:val="Tables"/>
              <w:rPr>
                <w:b/>
                <w:bCs/>
                <w:sz w:val="20"/>
                <w:szCs w:val="20"/>
                <w:u w:val="single"/>
              </w:rPr>
            </w:pPr>
            <w:r w:rsidRPr="001217A6">
              <w:rPr>
                <w:b/>
                <w:bCs/>
                <w:sz w:val="20"/>
                <w:szCs w:val="20"/>
                <w:u w:val="single"/>
              </w:rPr>
              <w:t>Ash</w:t>
            </w:r>
          </w:p>
        </w:tc>
        <w:tc>
          <w:tcPr>
            <w:tcW w:w="1260" w:type="dxa"/>
            <w:shd w:val="clear" w:color="auto" w:fill="auto"/>
            <w:noWrap/>
            <w:vAlign w:val="bottom"/>
            <w:hideMark/>
          </w:tcPr>
          <w:p w14:paraId="2B6B05DF" w14:textId="67ABA365" w:rsidR="00AF20B6" w:rsidRPr="001217A6" w:rsidRDefault="00AF20B6" w:rsidP="00AF20B6">
            <w:pPr>
              <w:pStyle w:val="Tables"/>
              <w:rPr>
                <w:b/>
                <w:bCs/>
                <w:sz w:val="20"/>
                <w:szCs w:val="20"/>
                <w:u w:val="single"/>
              </w:rPr>
            </w:pPr>
            <w:r w:rsidRPr="001217A6">
              <w:rPr>
                <w:b/>
                <w:bCs/>
                <w:sz w:val="20"/>
                <w:szCs w:val="20"/>
                <w:u w:val="single"/>
              </w:rPr>
              <w:t>PENT2</w:t>
            </w:r>
          </w:p>
        </w:tc>
        <w:tc>
          <w:tcPr>
            <w:tcW w:w="942" w:type="dxa"/>
            <w:shd w:val="clear" w:color="auto" w:fill="auto"/>
            <w:noWrap/>
            <w:vAlign w:val="bottom"/>
            <w:hideMark/>
          </w:tcPr>
          <w:p w14:paraId="43CD060A" w14:textId="77777777" w:rsidR="00AF20B6" w:rsidRPr="00AF20B6" w:rsidRDefault="00AF20B6" w:rsidP="00AF20B6">
            <w:pPr>
              <w:pStyle w:val="Tables"/>
              <w:rPr>
                <w:b/>
                <w:bCs/>
                <w:sz w:val="20"/>
                <w:szCs w:val="20"/>
              </w:rPr>
            </w:pPr>
          </w:p>
        </w:tc>
        <w:tc>
          <w:tcPr>
            <w:tcW w:w="1066" w:type="dxa"/>
            <w:shd w:val="clear" w:color="auto" w:fill="auto"/>
            <w:noWrap/>
            <w:vAlign w:val="bottom"/>
            <w:hideMark/>
          </w:tcPr>
          <w:p w14:paraId="2B6D9928" w14:textId="77777777" w:rsidR="00AF20B6" w:rsidRPr="00AF20B6" w:rsidRDefault="00AF20B6" w:rsidP="00AF20B6">
            <w:pPr>
              <w:pStyle w:val="Tables"/>
              <w:rPr>
                <w:sz w:val="20"/>
                <w:szCs w:val="20"/>
              </w:rPr>
            </w:pPr>
          </w:p>
        </w:tc>
      </w:tr>
      <w:tr w:rsidR="0088682C" w:rsidRPr="00506A5A" w14:paraId="579CD2F4" w14:textId="77777777" w:rsidTr="003D6CB9">
        <w:trPr>
          <w:trHeight w:val="20"/>
        </w:trPr>
        <w:tc>
          <w:tcPr>
            <w:tcW w:w="1708" w:type="dxa"/>
            <w:vMerge/>
            <w:shd w:val="clear" w:color="auto" w:fill="auto"/>
            <w:noWrap/>
            <w:vAlign w:val="center"/>
            <w:hideMark/>
          </w:tcPr>
          <w:p w14:paraId="6508DE13" w14:textId="77777777" w:rsidR="00AF20B6" w:rsidRPr="00506A5A" w:rsidRDefault="00AF20B6" w:rsidP="00373BB2">
            <w:pPr>
              <w:pStyle w:val="Tables"/>
              <w:rPr>
                <w:sz w:val="20"/>
                <w:szCs w:val="20"/>
              </w:rPr>
            </w:pPr>
          </w:p>
        </w:tc>
        <w:tc>
          <w:tcPr>
            <w:tcW w:w="1170" w:type="dxa"/>
            <w:shd w:val="clear" w:color="auto" w:fill="auto"/>
            <w:noWrap/>
            <w:vAlign w:val="bottom"/>
            <w:hideMark/>
          </w:tcPr>
          <w:p w14:paraId="203C58D2" w14:textId="5A65652F" w:rsidR="00AF20B6" w:rsidRPr="00193042" w:rsidRDefault="00AF20B6" w:rsidP="00AF20B6">
            <w:pPr>
              <w:pStyle w:val="Tables"/>
              <w:rPr>
                <w:sz w:val="20"/>
                <w:szCs w:val="20"/>
              </w:rPr>
            </w:pPr>
            <w:r w:rsidRPr="00193042">
              <w:rPr>
                <w:sz w:val="20"/>
                <w:szCs w:val="20"/>
              </w:rPr>
              <w:t>428149.75</w:t>
            </w:r>
          </w:p>
        </w:tc>
        <w:tc>
          <w:tcPr>
            <w:tcW w:w="1170" w:type="dxa"/>
            <w:shd w:val="clear" w:color="auto" w:fill="auto"/>
            <w:noWrap/>
            <w:vAlign w:val="bottom"/>
            <w:hideMark/>
          </w:tcPr>
          <w:p w14:paraId="46282291" w14:textId="15BCA031" w:rsidR="00AF20B6" w:rsidRPr="00AF20B6" w:rsidRDefault="00AF20B6" w:rsidP="00AF20B6">
            <w:pPr>
              <w:pStyle w:val="Tables"/>
              <w:rPr>
                <w:sz w:val="20"/>
                <w:szCs w:val="20"/>
              </w:rPr>
            </w:pPr>
            <w:r w:rsidRPr="00AF20B6">
              <w:rPr>
                <w:sz w:val="20"/>
                <w:szCs w:val="20"/>
              </w:rPr>
              <w:t>112052.83</w:t>
            </w:r>
          </w:p>
        </w:tc>
        <w:tc>
          <w:tcPr>
            <w:tcW w:w="1170" w:type="dxa"/>
            <w:shd w:val="clear" w:color="auto" w:fill="auto"/>
            <w:noWrap/>
            <w:vAlign w:val="bottom"/>
            <w:hideMark/>
          </w:tcPr>
          <w:p w14:paraId="0CC2E9F3" w14:textId="1EBF4E85" w:rsidR="00AF20B6" w:rsidRPr="00AF20B6" w:rsidRDefault="00AF20B6" w:rsidP="00AF20B6">
            <w:pPr>
              <w:pStyle w:val="Tables"/>
              <w:rPr>
                <w:sz w:val="20"/>
                <w:szCs w:val="20"/>
              </w:rPr>
            </w:pPr>
            <w:r w:rsidRPr="00AF20B6">
              <w:rPr>
                <w:sz w:val="20"/>
                <w:szCs w:val="20"/>
              </w:rPr>
              <w:t>-7003.11</w:t>
            </w:r>
          </w:p>
        </w:tc>
        <w:tc>
          <w:tcPr>
            <w:tcW w:w="1260" w:type="dxa"/>
            <w:shd w:val="clear" w:color="auto" w:fill="auto"/>
            <w:noWrap/>
            <w:vAlign w:val="bottom"/>
            <w:hideMark/>
          </w:tcPr>
          <w:p w14:paraId="2C95B784" w14:textId="60FB03B3" w:rsidR="00AF20B6" w:rsidRPr="00AF20B6" w:rsidRDefault="00AF20B6" w:rsidP="00AF20B6">
            <w:pPr>
              <w:pStyle w:val="Tables"/>
              <w:rPr>
                <w:sz w:val="20"/>
                <w:szCs w:val="20"/>
              </w:rPr>
            </w:pPr>
            <w:r w:rsidRPr="00AF20B6">
              <w:rPr>
                <w:sz w:val="20"/>
                <w:szCs w:val="20"/>
              </w:rPr>
              <w:t>-881.59</w:t>
            </w:r>
          </w:p>
        </w:tc>
        <w:tc>
          <w:tcPr>
            <w:tcW w:w="942" w:type="dxa"/>
            <w:shd w:val="clear" w:color="auto" w:fill="auto"/>
            <w:noWrap/>
            <w:vAlign w:val="bottom"/>
            <w:hideMark/>
          </w:tcPr>
          <w:p w14:paraId="06AE0B30" w14:textId="77777777" w:rsidR="00AF20B6" w:rsidRPr="00AF20B6" w:rsidRDefault="00AF20B6" w:rsidP="00AF20B6">
            <w:pPr>
              <w:pStyle w:val="Tables"/>
              <w:rPr>
                <w:sz w:val="20"/>
                <w:szCs w:val="20"/>
              </w:rPr>
            </w:pPr>
          </w:p>
        </w:tc>
        <w:tc>
          <w:tcPr>
            <w:tcW w:w="1066" w:type="dxa"/>
            <w:shd w:val="clear" w:color="auto" w:fill="auto"/>
            <w:noWrap/>
            <w:vAlign w:val="bottom"/>
            <w:hideMark/>
          </w:tcPr>
          <w:p w14:paraId="5DEFE7CF" w14:textId="77777777" w:rsidR="00AF20B6" w:rsidRPr="00AF20B6" w:rsidRDefault="00AF20B6" w:rsidP="00AF20B6">
            <w:pPr>
              <w:pStyle w:val="Tables"/>
              <w:rPr>
                <w:sz w:val="20"/>
                <w:szCs w:val="20"/>
              </w:rPr>
            </w:pPr>
          </w:p>
        </w:tc>
      </w:tr>
      <w:tr w:rsidR="003D6CB9" w:rsidRPr="00506A5A" w14:paraId="18C716A8" w14:textId="77777777" w:rsidTr="003D6CB9">
        <w:trPr>
          <w:trHeight w:val="20"/>
        </w:trPr>
        <w:tc>
          <w:tcPr>
            <w:tcW w:w="1708" w:type="dxa"/>
            <w:shd w:val="clear" w:color="auto" w:fill="auto"/>
            <w:noWrap/>
            <w:vAlign w:val="center"/>
            <w:hideMark/>
          </w:tcPr>
          <w:p w14:paraId="3655C3EA" w14:textId="77777777" w:rsidR="00AF20B6" w:rsidRPr="00506A5A" w:rsidRDefault="00AF20B6" w:rsidP="00373BB2">
            <w:pPr>
              <w:pStyle w:val="Tables"/>
              <w:rPr>
                <w:sz w:val="20"/>
                <w:szCs w:val="20"/>
              </w:rPr>
            </w:pPr>
          </w:p>
        </w:tc>
        <w:tc>
          <w:tcPr>
            <w:tcW w:w="1170" w:type="dxa"/>
            <w:shd w:val="clear" w:color="auto" w:fill="auto"/>
            <w:noWrap/>
            <w:vAlign w:val="bottom"/>
            <w:hideMark/>
          </w:tcPr>
          <w:p w14:paraId="1349C9B8" w14:textId="77777777" w:rsidR="00AF20B6" w:rsidRPr="00193042" w:rsidRDefault="00AF20B6" w:rsidP="00AF20B6">
            <w:pPr>
              <w:pStyle w:val="Tables"/>
              <w:rPr>
                <w:i/>
                <w:sz w:val="20"/>
                <w:szCs w:val="20"/>
                <w:u w:val="single"/>
              </w:rPr>
            </w:pPr>
          </w:p>
        </w:tc>
        <w:tc>
          <w:tcPr>
            <w:tcW w:w="1170" w:type="dxa"/>
            <w:shd w:val="clear" w:color="auto" w:fill="auto"/>
            <w:noWrap/>
            <w:vAlign w:val="bottom"/>
            <w:hideMark/>
          </w:tcPr>
          <w:p w14:paraId="10CC45EE" w14:textId="77777777" w:rsidR="00AF20B6" w:rsidRPr="00AF20B6" w:rsidRDefault="00AF20B6" w:rsidP="00AF20B6">
            <w:pPr>
              <w:pStyle w:val="Tables"/>
              <w:rPr>
                <w:sz w:val="20"/>
                <w:szCs w:val="20"/>
              </w:rPr>
            </w:pPr>
          </w:p>
        </w:tc>
        <w:tc>
          <w:tcPr>
            <w:tcW w:w="1170" w:type="dxa"/>
            <w:shd w:val="clear" w:color="auto" w:fill="auto"/>
            <w:noWrap/>
            <w:vAlign w:val="bottom"/>
            <w:hideMark/>
          </w:tcPr>
          <w:p w14:paraId="07A363C7" w14:textId="77777777" w:rsidR="00AF20B6" w:rsidRPr="00AF20B6" w:rsidRDefault="00AF20B6" w:rsidP="00AF20B6">
            <w:pPr>
              <w:pStyle w:val="Tables"/>
              <w:rPr>
                <w:sz w:val="20"/>
                <w:szCs w:val="20"/>
              </w:rPr>
            </w:pPr>
          </w:p>
        </w:tc>
        <w:tc>
          <w:tcPr>
            <w:tcW w:w="1260" w:type="dxa"/>
            <w:shd w:val="clear" w:color="auto" w:fill="auto"/>
            <w:noWrap/>
            <w:vAlign w:val="bottom"/>
            <w:hideMark/>
          </w:tcPr>
          <w:p w14:paraId="22377222" w14:textId="77777777" w:rsidR="00AF20B6" w:rsidRPr="00AF20B6" w:rsidRDefault="00AF20B6" w:rsidP="00AF20B6">
            <w:pPr>
              <w:pStyle w:val="Tables"/>
              <w:rPr>
                <w:sz w:val="20"/>
                <w:szCs w:val="20"/>
              </w:rPr>
            </w:pPr>
          </w:p>
        </w:tc>
        <w:tc>
          <w:tcPr>
            <w:tcW w:w="942" w:type="dxa"/>
            <w:shd w:val="clear" w:color="auto" w:fill="auto"/>
            <w:noWrap/>
            <w:vAlign w:val="bottom"/>
            <w:hideMark/>
          </w:tcPr>
          <w:p w14:paraId="4422359A" w14:textId="77777777" w:rsidR="00AF20B6" w:rsidRPr="00AF20B6" w:rsidRDefault="00AF20B6" w:rsidP="00AF20B6">
            <w:pPr>
              <w:pStyle w:val="Tables"/>
              <w:rPr>
                <w:sz w:val="20"/>
                <w:szCs w:val="20"/>
              </w:rPr>
            </w:pPr>
          </w:p>
        </w:tc>
        <w:tc>
          <w:tcPr>
            <w:tcW w:w="1066" w:type="dxa"/>
            <w:shd w:val="clear" w:color="auto" w:fill="auto"/>
            <w:noWrap/>
            <w:vAlign w:val="bottom"/>
            <w:hideMark/>
          </w:tcPr>
          <w:p w14:paraId="6F6F3813" w14:textId="77777777" w:rsidR="00AF20B6" w:rsidRPr="00AF20B6" w:rsidRDefault="00AF20B6" w:rsidP="00AF20B6">
            <w:pPr>
              <w:pStyle w:val="Tables"/>
              <w:rPr>
                <w:sz w:val="20"/>
                <w:szCs w:val="20"/>
              </w:rPr>
            </w:pPr>
          </w:p>
        </w:tc>
      </w:tr>
      <w:tr w:rsidR="003D6CB9" w:rsidRPr="00506A5A" w14:paraId="74161130" w14:textId="77777777" w:rsidTr="003D6CB9">
        <w:trPr>
          <w:trHeight w:val="20"/>
        </w:trPr>
        <w:tc>
          <w:tcPr>
            <w:tcW w:w="1708" w:type="dxa"/>
            <w:vMerge w:val="restart"/>
            <w:shd w:val="clear" w:color="auto" w:fill="auto"/>
            <w:noWrap/>
            <w:vAlign w:val="center"/>
            <w:hideMark/>
          </w:tcPr>
          <w:p w14:paraId="28BCF849" w14:textId="77777777" w:rsidR="00AF20B6" w:rsidRPr="00506A5A" w:rsidRDefault="00AF20B6" w:rsidP="00373BB2">
            <w:pPr>
              <w:pStyle w:val="Tables"/>
              <w:rPr>
                <w:sz w:val="20"/>
                <w:szCs w:val="20"/>
              </w:rPr>
            </w:pPr>
            <w:r w:rsidRPr="00506A5A">
              <w:rPr>
                <w:sz w:val="20"/>
                <w:szCs w:val="20"/>
              </w:rPr>
              <w:t>alkyl phenols</w:t>
            </w:r>
          </w:p>
        </w:tc>
        <w:tc>
          <w:tcPr>
            <w:tcW w:w="1170" w:type="dxa"/>
            <w:shd w:val="clear" w:color="auto" w:fill="auto"/>
            <w:noWrap/>
            <w:vAlign w:val="bottom"/>
            <w:hideMark/>
          </w:tcPr>
          <w:p w14:paraId="748DC668" w14:textId="110F9A71" w:rsidR="00AF20B6" w:rsidRPr="00193042" w:rsidRDefault="00AF20B6" w:rsidP="00AF20B6">
            <w:pPr>
              <w:pStyle w:val="Tables"/>
              <w:rPr>
                <w:i/>
                <w:sz w:val="20"/>
                <w:szCs w:val="20"/>
                <w:u w:val="single"/>
              </w:rPr>
            </w:pPr>
            <w:r w:rsidRPr="00193042">
              <w:rPr>
                <w:i/>
                <w:sz w:val="20"/>
                <w:szCs w:val="20"/>
                <w:u w:val="single"/>
              </w:rPr>
              <w:t>(Intercept)</w:t>
            </w:r>
          </w:p>
        </w:tc>
        <w:tc>
          <w:tcPr>
            <w:tcW w:w="1170" w:type="dxa"/>
            <w:shd w:val="clear" w:color="auto" w:fill="auto"/>
            <w:noWrap/>
            <w:vAlign w:val="bottom"/>
            <w:hideMark/>
          </w:tcPr>
          <w:p w14:paraId="7E018554" w14:textId="2CA33C8B" w:rsidR="00AF20B6" w:rsidRPr="001217A6" w:rsidRDefault="00AF20B6" w:rsidP="00AF20B6">
            <w:pPr>
              <w:pStyle w:val="Tables"/>
              <w:rPr>
                <w:b/>
                <w:bCs/>
                <w:sz w:val="20"/>
                <w:szCs w:val="20"/>
                <w:u w:val="single"/>
              </w:rPr>
            </w:pPr>
            <w:r w:rsidRPr="001217A6">
              <w:rPr>
                <w:b/>
                <w:bCs/>
                <w:sz w:val="20"/>
                <w:szCs w:val="20"/>
                <w:u w:val="single"/>
              </w:rPr>
              <w:t>pCA</w:t>
            </w:r>
          </w:p>
        </w:tc>
        <w:tc>
          <w:tcPr>
            <w:tcW w:w="1170" w:type="dxa"/>
            <w:shd w:val="clear" w:color="auto" w:fill="auto"/>
            <w:noWrap/>
            <w:vAlign w:val="bottom"/>
            <w:hideMark/>
          </w:tcPr>
          <w:p w14:paraId="1B64E9F8" w14:textId="453379DE" w:rsidR="00AF20B6" w:rsidRPr="001217A6" w:rsidRDefault="00AF20B6" w:rsidP="00AF20B6">
            <w:pPr>
              <w:pStyle w:val="Tables"/>
              <w:rPr>
                <w:b/>
                <w:bCs/>
                <w:sz w:val="20"/>
                <w:szCs w:val="20"/>
                <w:u w:val="single"/>
              </w:rPr>
            </w:pPr>
            <w:r w:rsidRPr="001217A6">
              <w:rPr>
                <w:b/>
                <w:bCs/>
                <w:sz w:val="20"/>
                <w:szCs w:val="20"/>
                <w:u w:val="single"/>
              </w:rPr>
              <w:t>K</w:t>
            </w:r>
          </w:p>
        </w:tc>
        <w:tc>
          <w:tcPr>
            <w:tcW w:w="1260" w:type="dxa"/>
            <w:shd w:val="clear" w:color="auto" w:fill="auto"/>
            <w:noWrap/>
            <w:vAlign w:val="bottom"/>
            <w:hideMark/>
          </w:tcPr>
          <w:p w14:paraId="09708BB7" w14:textId="71DF5F63" w:rsidR="00AF20B6" w:rsidRPr="001217A6" w:rsidRDefault="00AF20B6" w:rsidP="00AF20B6">
            <w:pPr>
              <w:pStyle w:val="Tables"/>
              <w:rPr>
                <w:b/>
                <w:bCs/>
                <w:sz w:val="20"/>
                <w:szCs w:val="20"/>
                <w:u w:val="single"/>
              </w:rPr>
            </w:pPr>
            <w:r w:rsidRPr="001217A6">
              <w:rPr>
                <w:b/>
                <w:bCs/>
                <w:sz w:val="20"/>
                <w:szCs w:val="20"/>
                <w:u w:val="single"/>
              </w:rPr>
              <w:t>SUC</w:t>
            </w:r>
          </w:p>
        </w:tc>
        <w:tc>
          <w:tcPr>
            <w:tcW w:w="942" w:type="dxa"/>
            <w:shd w:val="clear" w:color="auto" w:fill="auto"/>
            <w:noWrap/>
            <w:vAlign w:val="bottom"/>
            <w:hideMark/>
          </w:tcPr>
          <w:p w14:paraId="3DAC9CEF" w14:textId="77777777" w:rsidR="00AF20B6" w:rsidRPr="00AF20B6" w:rsidRDefault="00AF20B6" w:rsidP="00AF20B6">
            <w:pPr>
              <w:pStyle w:val="Tables"/>
              <w:rPr>
                <w:b/>
                <w:bCs/>
                <w:sz w:val="20"/>
                <w:szCs w:val="20"/>
              </w:rPr>
            </w:pPr>
          </w:p>
        </w:tc>
        <w:tc>
          <w:tcPr>
            <w:tcW w:w="1066" w:type="dxa"/>
            <w:shd w:val="clear" w:color="auto" w:fill="auto"/>
            <w:noWrap/>
            <w:vAlign w:val="bottom"/>
            <w:hideMark/>
          </w:tcPr>
          <w:p w14:paraId="220D522B" w14:textId="77777777" w:rsidR="00AF20B6" w:rsidRPr="00AF20B6" w:rsidRDefault="00AF20B6" w:rsidP="00AF20B6">
            <w:pPr>
              <w:pStyle w:val="Tables"/>
              <w:rPr>
                <w:sz w:val="20"/>
                <w:szCs w:val="20"/>
              </w:rPr>
            </w:pPr>
          </w:p>
        </w:tc>
      </w:tr>
      <w:tr w:rsidR="003D6CB9" w:rsidRPr="00506A5A" w14:paraId="6078492F" w14:textId="77777777" w:rsidTr="003D6CB9">
        <w:trPr>
          <w:trHeight w:val="20"/>
        </w:trPr>
        <w:tc>
          <w:tcPr>
            <w:tcW w:w="1708" w:type="dxa"/>
            <w:vMerge/>
            <w:shd w:val="clear" w:color="auto" w:fill="auto"/>
            <w:noWrap/>
            <w:vAlign w:val="center"/>
            <w:hideMark/>
          </w:tcPr>
          <w:p w14:paraId="0D9E48EA" w14:textId="77777777" w:rsidR="00AF20B6" w:rsidRPr="00506A5A" w:rsidRDefault="00AF20B6" w:rsidP="00373BB2">
            <w:pPr>
              <w:pStyle w:val="Tables"/>
              <w:rPr>
                <w:sz w:val="20"/>
                <w:szCs w:val="20"/>
              </w:rPr>
            </w:pPr>
          </w:p>
        </w:tc>
        <w:tc>
          <w:tcPr>
            <w:tcW w:w="1170" w:type="dxa"/>
            <w:shd w:val="clear" w:color="auto" w:fill="auto"/>
            <w:noWrap/>
            <w:vAlign w:val="bottom"/>
            <w:hideMark/>
          </w:tcPr>
          <w:p w14:paraId="0C5FF0D5" w14:textId="4753658F" w:rsidR="00AF20B6" w:rsidRPr="00193042" w:rsidRDefault="00AF20B6" w:rsidP="00AF20B6">
            <w:pPr>
              <w:pStyle w:val="Tables"/>
              <w:rPr>
                <w:sz w:val="20"/>
                <w:szCs w:val="20"/>
                <w:u w:val="single"/>
              </w:rPr>
            </w:pPr>
            <w:r w:rsidRPr="00193042">
              <w:rPr>
                <w:sz w:val="20"/>
                <w:szCs w:val="20"/>
                <w:u w:val="single"/>
              </w:rPr>
              <w:t>19390.61</w:t>
            </w:r>
          </w:p>
        </w:tc>
        <w:tc>
          <w:tcPr>
            <w:tcW w:w="1170" w:type="dxa"/>
            <w:shd w:val="clear" w:color="auto" w:fill="auto"/>
            <w:noWrap/>
            <w:vAlign w:val="bottom"/>
            <w:hideMark/>
          </w:tcPr>
          <w:p w14:paraId="57A6DB37" w14:textId="7AEF06A5" w:rsidR="00AF20B6" w:rsidRPr="00AF20B6" w:rsidRDefault="00AF20B6" w:rsidP="00AF20B6">
            <w:pPr>
              <w:pStyle w:val="Tables"/>
              <w:rPr>
                <w:sz w:val="20"/>
                <w:szCs w:val="20"/>
              </w:rPr>
            </w:pPr>
            <w:r w:rsidRPr="00AF20B6">
              <w:rPr>
                <w:sz w:val="20"/>
                <w:szCs w:val="20"/>
              </w:rPr>
              <w:t>1314.24</w:t>
            </w:r>
          </w:p>
        </w:tc>
        <w:tc>
          <w:tcPr>
            <w:tcW w:w="1170" w:type="dxa"/>
            <w:shd w:val="clear" w:color="auto" w:fill="auto"/>
            <w:noWrap/>
            <w:vAlign w:val="bottom"/>
            <w:hideMark/>
          </w:tcPr>
          <w:p w14:paraId="3734C3E4" w14:textId="088544E1" w:rsidR="00AF20B6" w:rsidRPr="00AF20B6" w:rsidRDefault="00AF20B6" w:rsidP="00AF20B6">
            <w:pPr>
              <w:pStyle w:val="Tables"/>
              <w:rPr>
                <w:sz w:val="20"/>
                <w:szCs w:val="20"/>
              </w:rPr>
            </w:pPr>
            <w:r w:rsidRPr="00AF20B6">
              <w:rPr>
                <w:sz w:val="20"/>
                <w:szCs w:val="20"/>
              </w:rPr>
              <w:t>24239.00</w:t>
            </w:r>
          </w:p>
        </w:tc>
        <w:tc>
          <w:tcPr>
            <w:tcW w:w="1260" w:type="dxa"/>
            <w:shd w:val="clear" w:color="auto" w:fill="auto"/>
            <w:noWrap/>
            <w:vAlign w:val="bottom"/>
            <w:hideMark/>
          </w:tcPr>
          <w:p w14:paraId="7E4BE5C7" w14:textId="2ED570B7" w:rsidR="00AF20B6" w:rsidRPr="00AF20B6" w:rsidRDefault="00AF20B6" w:rsidP="00AF20B6">
            <w:pPr>
              <w:pStyle w:val="Tables"/>
              <w:rPr>
                <w:sz w:val="20"/>
                <w:szCs w:val="20"/>
              </w:rPr>
            </w:pPr>
            <w:r w:rsidRPr="00AF20B6">
              <w:rPr>
                <w:sz w:val="20"/>
                <w:szCs w:val="20"/>
              </w:rPr>
              <w:t>-585.41</w:t>
            </w:r>
          </w:p>
        </w:tc>
        <w:tc>
          <w:tcPr>
            <w:tcW w:w="942" w:type="dxa"/>
            <w:shd w:val="clear" w:color="auto" w:fill="auto"/>
            <w:noWrap/>
            <w:vAlign w:val="bottom"/>
            <w:hideMark/>
          </w:tcPr>
          <w:p w14:paraId="40BB0F56" w14:textId="77777777" w:rsidR="00AF20B6" w:rsidRPr="00AF20B6" w:rsidRDefault="00AF20B6" w:rsidP="00AF20B6">
            <w:pPr>
              <w:pStyle w:val="Tables"/>
              <w:rPr>
                <w:sz w:val="20"/>
                <w:szCs w:val="20"/>
              </w:rPr>
            </w:pPr>
          </w:p>
        </w:tc>
        <w:tc>
          <w:tcPr>
            <w:tcW w:w="1066" w:type="dxa"/>
            <w:shd w:val="clear" w:color="auto" w:fill="auto"/>
            <w:noWrap/>
            <w:vAlign w:val="bottom"/>
            <w:hideMark/>
          </w:tcPr>
          <w:p w14:paraId="63481C73" w14:textId="77777777" w:rsidR="00AF20B6" w:rsidRPr="00AF20B6" w:rsidRDefault="00AF20B6" w:rsidP="00AF20B6">
            <w:pPr>
              <w:pStyle w:val="Tables"/>
              <w:rPr>
                <w:sz w:val="20"/>
                <w:szCs w:val="20"/>
              </w:rPr>
            </w:pPr>
          </w:p>
        </w:tc>
      </w:tr>
      <w:tr w:rsidR="003D6CB9" w:rsidRPr="00506A5A" w14:paraId="190B0A09" w14:textId="77777777" w:rsidTr="003D6CB9">
        <w:trPr>
          <w:trHeight w:val="20"/>
        </w:trPr>
        <w:tc>
          <w:tcPr>
            <w:tcW w:w="1708" w:type="dxa"/>
            <w:shd w:val="clear" w:color="auto" w:fill="auto"/>
            <w:noWrap/>
            <w:vAlign w:val="center"/>
            <w:hideMark/>
          </w:tcPr>
          <w:p w14:paraId="019C6F03" w14:textId="77777777" w:rsidR="00AF20B6" w:rsidRPr="00506A5A" w:rsidRDefault="00AF20B6" w:rsidP="00373BB2">
            <w:pPr>
              <w:pStyle w:val="Tables"/>
              <w:rPr>
                <w:sz w:val="20"/>
                <w:szCs w:val="20"/>
              </w:rPr>
            </w:pPr>
          </w:p>
        </w:tc>
        <w:tc>
          <w:tcPr>
            <w:tcW w:w="1170" w:type="dxa"/>
            <w:shd w:val="clear" w:color="auto" w:fill="auto"/>
            <w:noWrap/>
            <w:vAlign w:val="bottom"/>
            <w:hideMark/>
          </w:tcPr>
          <w:p w14:paraId="695B7EE2" w14:textId="77777777" w:rsidR="00AF20B6" w:rsidRPr="00193042" w:rsidRDefault="00AF20B6" w:rsidP="00AF20B6">
            <w:pPr>
              <w:pStyle w:val="Tables"/>
              <w:rPr>
                <w:i/>
                <w:sz w:val="20"/>
                <w:szCs w:val="20"/>
                <w:u w:val="single"/>
              </w:rPr>
            </w:pPr>
          </w:p>
        </w:tc>
        <w:tc>
          <w:tcPr>
            <w:tcW w:w="1170" w:type="dxa"/>
            <w:shd w:val="clear" w:color="auto" w:fill="auto"/>
            <w:noWrap/>
            <w:vAlign w:val="bottom"/>
            <w:hideMark/>
          </w:tcPr>
          <w:p w14:paraId="761F982A" w14:textId="77777777" w:rsidR="00AF20B6" w:rsidRPr="00AF20B6" w:rsidRDefault="00AF20B6" w:rsidP="00AF20B6">
            <w:pPr>
              <w:pStyle w:val="Tables"/>
              <w:rPr>
                <w:sz w:val="20"/>
                <w:szCs w:val="20"/>
              </w:rPr>
            </w:pPr>
          </w:p>
        </w:tc>
        <w:tc>
          <w:tcPr>
            <w:tcW w:w="1170" w:type="dxa"/>
            <w:shd w:val="clear" w:color="auto" w:fill="auto"/>
            <w:noWrap/>
            <w:vAlign w:val="bottom"/>
            <w:hideMark/>
          </w:tcPr>
          <w:p w14:paraId="351D766C" w14:textId="77777777" w:rsidR="00AF20B6" w:rsidRPr="00AF20B6" w:rsidRDefault="00AF20B6" w:rsidP="00AF20B6">
            <w:pPr>
              <w:pStyle w:val="Tables"/>
              <w:rPr>
                <w:sz w:val="20"/>
                <w:szCs w:val="20"/>
              </w:rPr>
            </w:pPr>
          </w:p>
        </w:tc>
        <w:tc>
          <w:tcPr>
            <w:tcW w:w="1260" w:type="dxa"/>
            <w:shd w:val="clear" w:color="auto" w:fill="auto"/>
            <w:noWrap/>
            <w:vAlign w:val="bottom"/>
            <w:hideMark/>
          </w:tcPr>
          <w:p w14:paraId="4654EE1E" w14:textId="77777777" w:rsidR="00AF20B6" w:rsidRPr="00AF20B6" w:rsidRDefault="00AF20B6" w:rsidP="00AF20B6">
            <w:pPr>
              <w:pStyle w:val="Tables"/>
              <w:rPr>
                <w:sz w:val="20"/>
                <w:szCs w:val="20"/>
              </w:rPr>
            </w:pPr>
          </w:p>
        </w:tc>
        <w:tc>
          <w:tcPr>
            <w:tcW w:w="942" w:type="dxa"/>
            <w:shd w:val="clear" w:color="auto" w:fill="auto"/>
            <w:noWrap/>
            <w:vAlign w:val="bottom"/>
            <w:hideMark/>
          </w:tcPr>
          <w:p w14:paraId="433FC96B" w14:textId="77777777" w:rsidR="00AF20B6" w:rsidRPr="00AF20B6" w:rsidRDefault="00AF20B6" w:rsidP="00AF20B6">
            <w:pPr>
              <w:pStyle w:val="Tables"/>
              <w:rPr>
                <w:sz w:val="20"/>
                <w:szCs w:val="20"/>
              </w:rPr>
            </w:pPr>
          </w:p>
        </w:tc>
        <w:tc>
          <w:tcPr>
            <w:tcW w:w="1066" w:type="dxa"/>
            <w:shd w:val="clear" w:color="auto" w:fill="auto"/>
            <w:noWrap/>
            <w:vAlign w:val="bottom"/>
            <w:hideMark/>
          </w:tcPr>
          <w:p w14:paraId="011EE385" w14:textId="77777777" w:rsidR="00AF20B6" w:rsidRPr="00AF20B6" w:rsidRDefault="00AF20B6" w:rsidP="00AF20B6">
            <w:pPr>
              <w:pStyle w:val="Tables"/>
              <w:rPr>
                <w:sz w:val="20"/>
                <w:szCs w:val="20"/>
              </w:rPr>
            </w:pPr>
          </w:p>
        </w:tc>
      </w:tr>
      <w:tr w:rsidR="003D6CB9" w:rsidRPr="00506A5A" w14:paraId="27C4E42E" w14:textId="77777777" w:rsidTr="003D6CB9">
        <w:trPr>
          <w:trHeight w:val="20"/>
        </w:trPr>
        <w:tc>
          <w:tcPr>
            <w:tcW w:w="1708" w:type="dxa"/>
            <w:vMerge w:val="restart"/>
            <w:shd w:val="clear" w:color="auto" w:fill="auto"/>
            <w:noWrap/>
            <w:vAlign w:val="center"/>
            <w:hideMark/>
          </w:tcPr>
          <w:p w14:paraId="578CAEE5" w14:textId="77777777" w:rsidR="00AF20B6" w:rsidRPr="00506A5A" w:rsidRDefault="00AF20B6" w:rsidP="00373BB2">
            <w:pPr>
              <w:pStyle w:val="Tables"/>
              <w:rPr>
                <w:sz w:val="20"/>
                <w:szCs w:val="20"/>
              </w:rPr>
            </w:pPr>
            <w:r w:rsidRPr="00506A5A">
              <w:rPr>
                <w:sz w:val="20"/>
                <w:szCs w:val="20"/>
              </w:rPr>
              <w:t>furfurals</w:t>
            </w:r>
          </w:p>
        </w:tc>
        <w:tc>
          <w:tcPr>
            <w:tcW w:w="1170" w:type="dxa"/>
            <w:shd w:val="clear" w:color="auto" w:fill="auto"/>
            <w:noWrap/>
            <w:vAlign w:val="bottom"/>
            <w:hideMark/>
          </w:tcPr>
          <w:p w14:paraId="4B1E724D" w14:textId="58D16296" w:rsidR="00AF20B6" w:rsidRPr="00193042" w:rsidRDefault="00AF20B6" w:rsidP="00AF20B6">
            <w:pPr>
              <w:pStyle w:val="Tables"/>
              <w:rPr>
                <w:i/>
                <w:sz w:val="20"/>
                <w:szCs w:val="20"/>
                <w:u w:val="single"/>
              </w:rPr>
            </w:pPr>
            <w:r w:rsidRPr="00193042">
              <w:rPr>
                <w:i/>
                <w:sz w:val="20"/>
                <w:szCs w:val="20"/>
                <w:u w:val="single"/>
              </w:rPr>
              <w:t>(Intercept)</w:t>
            </w:r>
          </w:p>
        </w:tc>
        <w:tc>
          <w:tcPr>
            <w:tcW w:w="1170" w:type="dxa"/>
            <w:shd w:val="clear" w:color="auto" w:fill="auto"/>
            <w:noWrap/>
            <w:vAlign w:val="bottom"/>
            <w:hideMark/>
          </w:tcPr>
          <w:p w14:paraId="6A13D3BB" w14:textId="26017AB9" w:rsidR="00AF20B6" w:rsidRPr="001217A6" w:rsidRDefault="00AF20B6" w:rsidP="00AF20B6">
            <w:pPr>
              <w:pStyle w:val="Tables"/>
              <w:rPr>
                <w:b/>
                <w:bCs/>
                <w:sz w:val="20"/>
                <w:szCs w:val="20"/>
                <w:u w:val="single"/>
              </w:rPr>
            </w:pPr>
            <w:r w:rsidRPr="001217A6">
              <w:rPr>
                <w:b/>
                <w:bCs/>
                <w:sz w:val="20"/>
                <w:szCs w:val="20"/>
                <w:u w:val="single"/>
              </w:rPr>
              <w:t>K</w:t>
            </w:r>
          </w:p>
        </w:tc>
        <w:tc>
          <w:tcPr>
            <w:tcW w:w="1170" w:type="dxa"/>
            <w:shd w:val="clear" w:color="auto" w:fill="auto"/>
            <w:noWrap/>
            <w:vAlign w:val="bottom"/>
            <w:hideMark/>
          </w:tcPr>
          <w:p w14:paraId="15AE8C05" w14:textId="71DBDA69" w:rsidR="00AF20B6" w:rsidRPr="001217A6" w:rsidRDefault="00AF20B6" w:rsidP="00AF20B6">
            <w:pPr>
              <w:pStyle w:val="Tables"/>
              <w:rPr>
                <w:b/>
                <w:bCs/>
                <w:sz w:val="20"/>
                <w:szCs w:val="20"/>
                <w:u w:val="single"/>
              </w:rPr>
            </w:pPr>
            <w:r w:rsidRPr="001217A6">
              <w:rPr>
                <w:b/>
                <w:bCs/>
                <w:sz w:val="20"/>
                <w:szCs w:val="20"/>
                <w:u w:val="single"/>
              </w:rPr>
              <w:t>GLC</w:t>
            </w:r>
          </w:p>
        </w:tc>
        <w:tc>
          <w:tcPr>
            <w:tcW w:w="1260" w:type="dxa"/>
            <w:shd w:val="clear" w:color="auto" w:fill="auto"/>
            <w:noWrap/>
            <w:vAlign w:val="bottom"/>
            <w:hideMark/>
          </w:tcPr>
          <w:p w14:paraId="643E628C" w14:textId="10CC8312" w:rsidR="00AF20B6" w:rsidRPr="001217A6" w:rsidRDefault="00AF20B6" w:rsidP="00AF20B6">
            <w:pPr>
              <w:pStyle w:val="Tables"/>
              <w:rPr>
                <w:b/>
                <w:bCs/>
                <w:sz w:val="20"/>
                <w:szCs w:val="20"/>
                <w:u w:val="single"/>
              </w:rPr>
            </w:pPr>
            <w:r w:rsidRPr="001217A6">
              <w:rPr>
                <w:b/>
                <w:bCs/>
                <w:sz w:val="20"/>
                <w:szCs w:val="20"/>
                <w:u w:val="single"/>
              </w:rPr>
              <w:t>SSE</w:t>
            </w:r>
          </w:p>
        </w:tc>
        <w:tc>
          <w:tcPr>
            <w:tcW w:w="942" w:type="dxa"/>
            <w:shd w:val="clear" w:color="auto" w:fill="auto"/>
            <w:noWrap/>
            <w:vAlign w:val="bottom"/>
            <w:hideMark/>
          </w:tcPr>
          <w:p w14:paraId="485780AE" w14:textId="77777777" w:rsidR="00AF20B6" w:rsidRPr="00AF20B6" w:rsidRDefault="00AF20B6" w:rsidP="00AF20B6">
            <w:pPr>
              <w:pStyle w:val="Tables"/>
              <w:rPr>
                <w:b/>
                <w:bCs/>
                <w:sz w:val="20"/>
                <w:szCs w:val="20"/>
              </w:rPr>
            </w:pPr>
          </w:p>
        </w:tc>
        <w:tc>
          <w:tcPr>
            <w:tcW w:w="1066" w:type="dxa"/>
            <w:shd w:val="clear" w:color="auto" w:fill="auto"/>
            <w:noWrap/>
            <w:vAlign w:val="bottom"/>
            <w:hideMark/>
          </w:tcPr>
          <w:p w14:paraId="5FF07BA9" w14:textId="77777777" w:rsidR="00AF20B6" w:rsidRPr="00AF20B6" w:rsidRDefault="00AF20B6" w:rsidP="00AF20B6">
            <w:pPr>
              <w:pStyle w:val="Tables"/>
              <w:rPr>
                <w:sz w:val="20"/>
                <w:szCs w:val="20"/>
              </w:rPr>
            </w:pPr>
          </w:p>
        </w:tc>
      </w:tr>
      <w:tr w:rsidR="003D6CB9" w:rsidRPr="00506A5A" w14:paraId="75FF0CBA" w14:textId="77777777" w:rsidTr="003D6CB9">
        <w:trPr>
          <w:trHeight w:val="20"/>
        </w:trPr>
        <w:tc>
          <w:tcPr>
            <w:tcW w:w="1708" w:type="dxa"/>
            <w:vMerge/>
            <w:shd w:val="clear" w:color="auto" w:fill="auto"/>
            <w:noWrap/>
            <w:vAlign w:val="center"/>
            <w:hideMark/>
          </w:tcPr>
          <w:p w14:paraId="47726DC3" w14:textId="77777777" w:rsidR="00AF20B6" w:rsidRPr="00506A5A" w:rsidRDefault="00AF20B6" w:rsidP="00373BB2">
            <w:pPr>
              <w:pStyle w:val="Tables"/>
              <w:rPr>
                <w:sz w:val="20"/>
                <w:szCs w:val="20"/>
              </w:rPr>
            </w:pPr>
          </w:p>
        </w:tc>
        <w:tc>
          <w:tcPr>
            <w:tcW w:w="1170" w:type="dxa"/>
            <w:shd w:val="clear" w:color="auto" w:fill="auto"/>
            <w:noWrap/>
            <w:vAlign w:val="bottom"/>
            <w:hideMark/>
          </w:tcPr>
          <w:p w14:paraId="0BE99C66" w14:textId="22753B3D" w:rsidR="00AF20B6" w:rsidRPr="00193042" w:rsidRDefault="00AF20B6" w:rsidP="00AF20B6">
            <w:pPr>
              <w:pStyle w:val="Tables"/>
              <w:rPr>
                <w:sz w:val="20"/>
                <w:szCs w:val="20"/>
              </w:rPr>
            </w:pPr>
            <w:r w:rsidRPr="00193042">
              <w:rPr>
                <w:sz w:val="20"/>
                <w:szCs w:val="20"/>
              </w:rPr>
              <w:t>-16555.59</w:t>
            </w:r>
          </w:p>
        </w:tc>
        <w:tc>
          <w:tcPr>
            <w:tcW w:w="1170" w:type="dxa"/>
            <w:shd w:val="clear" w:color="auto" w:fill="auto"/>
            <w:noWrap/>
            <w:vAlign w:val="bottom"/>
            <w:hideMark/>
          </w:tcPr>
          <w:p w14:paraId="1C219E45" w14:textId="54C01186" w:rsidR="00AF20B6" w:rsidRPr="00AF20B6" w:rsidRDefault="00AF20B6" w:rsidP="00AF20B6">
            <w:pPr>
              <w:pStyle w:val="Tables"/>
              <w:rPr>
                <w:sz w:val="20"/>
                <w:szCs w:val="20"/>
              </w:rPr>
            </w:pPr>
            <w:r w:rsidRPr="00AF20B6">
              <w:rPr>
                <w:sz w:val="20"/>
                <w:szCs w:val="20"/>
              </w:rPr>
              <w:t>7914.94</w:t>
            </w:r>
          </w:p>
        </w:tc>
        <w:tc>
          <w:tcPr>
            <w:tcW w:w="1170" w:type="dxa"/>
            <w:shd w:val="clear" w:color="auto" w:fill="auto"/>
            <w:noWrap/>
            <w:vAlign w:val="bottom"/>
            <w:hideMark/>
          </w:tcPr>
          <w:p w14:paraId="50C16CCC" w14:textId="63B0C1DA" w:rsidR="00AF20B6" w:rsidRPr="00AF20B6" w:rsidRDefault="00AF20B6" w:rsidP="00AF20B6">
            <w:pPr>
              <w:pStyle w:val="Tables"/>
              <w:rPr>
                <w:sz w:val="20"/>
                <w:szCs w:val="20"/>
              </w:rPr>
            </w:pPr>
            <w:r w:rsidRPr="00AF20B6">
              <w:rPr>
                <w:sz w:val="20"/>
                <w:szCs w:val="20"/>
              </w:rPr>
              <w:t>91.53</w:t>
            </w:r>
          </w:p>
        </w:tc>
        <w:tc>
          <w:tcPr>
            <w:tcW w:w="1260" w:type="dxa"/>
            <w:shd w:val="clear" w:color="auto" w:fill="auto"/>
            <w:noWrap/>
            <w:vAlign w:val="bottom"/>
            <w:hideMark/>
          </w:tcPr>
          <w:p w14:paraId="27779CA3" w14:textId="027703F8" w:rsidR="00AF20B6" w:rsidRPr="00AF20B6" w:rsidRDefault="00AF20B6" w:rsidP="00AF20B6">
            <w:pPr>
              <w:pStyle w:val="Tables"/>
              <w:rPr>
                <w:sz w:val="20"/>
                <w:szCs w:val="20"/>
              </w:rPr>
            </w:pPr>
            <w:r w:rsidRPr="00AF20B6">
              <w:rPr>
                <w:sz w:val="20"/>
                <w:szCs w:val="20"/>
              </w:rPr>
              <w:t>413.09</w:t>
            </w:r>
          </w:p>
        </w:tc>
        <w:tc>
          <w:tcPr>
            <w:tcW w:w="942" w:type="dxa"/>
            <w:shd w:val="clear" w:color="auto" w:fill="auto"/>
            <w:noWrap/>
            <w:vAlign w:val="bottom"/>
            <w:hideMark/>
          </w:tcPr>
          <w:p w14:paraId="32C0DA7B" w14:textId="77777777" w:rsidR="00AF20B6" w:rsidRPr="00AF20B6" w:rsidRDefault="00AF20B6" w:rsidP="00AF20B6">
            <w:pPr>
              <w:pStyle w:val="Tables"/>
              <w:rPr>
                <w:sz w:val="20"/>
                <w:szCs w:val="20"/>
              </w:rPr>
            </w:pPr>
          </w:p>
        </w:tc>
        <w:tc>
          <w:tcPr>
            <w:tcW w:w="1066" w:type="dxa"/>
            <w:shd w:val="clear" w:color="auto" w:fill="auto"/>
            <w:noWrap/>
            <w:vAlign w:val="bottom"/>
            <w:hideMark/>
          </w:tcPr>
          <w:p w14:paraId="2B8A5C2E" w14:textId="77777777" w:rsidR="00AF20B6" w:rsidRPr="00AF20B6" w:rsidRDefault="00AF20B6" w:rsidP="00AF20B6">
            <w:pPr>
              <w:pStyle w:val="Tables"/>
              <w:rPr>
                <w:sz w:val="20"/>
                <w:szCs w:val="20"/>
              </w:rPr>
            </w:pPr>
          </w:p>
        </w:tc>
      </w:tr>
      <w:tr w:rsidR="003D6CB9" w:rsidRPr="00506A5A" w14:paraId="7A44EA4D" w14:textId="77777777" w:rsidTr="003D6CB9">
        <w:trPr>
          <w:trHeight w:val="20"/>
        </w:trPr>
        <w:tc>
          <w:tcPr>
            <w:tcW w:w="1708" w:type="dxa"/>
            <w:shd w:val="clear" w:color="auto" w:fill="auto"/>
            <w:noWrap/>
            <w:vAlign w:val="center"/>
            <w:hideMark/>
          </w:tcPr>
          <w:p w14:paraId="5498285E" w14:textId="77777777" w:rsidR="00AF20B6" w:rsidRPr="00506A5A" w:rsidRDefault="00AF20B6" w:rsidP="00373BB2">
            <w:pPr>
              <w:pStyle w:val="Tables"/>
              <w:rPr>
                <w:sz w:val="20"/>
                <w:szCs w:val="20"/>
              </w:rPr>
            </w:pPr>
          </w:p>
        </w:tc>
        <w:tc>
          <w:tcPr>
            <w:tcW w:w="1170" w:type="dxa"/>
            <w:shd w:val="clear" w:color="auto" w:fill="auto"/>
            <w:noWrap/>
            <w:vAlign w:val="bottom"/>
            <w:hideMark/>
          </w:tcPr>
          <w:p w14:paraId="6C516E18" w14:textId="77777777" w:rsidR="00AF20B6" w:rsidRPr="00193042" w:rsidRDefault="00AF20B6" w:rsidP="00AF20B6">
            <w:pPr>
              <w:pStyle w:val="Tables"/>
              <w:rPr>
                <w:i/>
                <w:sz w:val="20"/>
                <w:szCs w:val="20"/>
                <w:u w:val="single"/>
              </w:rPr>
            </w:pPr>
          </w:p>
        </w:tc>
        <w:tc>
          <w:tcPr>
            <w:tcW w:w="1170" w:type="dxa"/>
            <w:shd w:val="clear" w:color="auto" w:fill="auto"/>
            <w:noWrap/>
            <w:vAlign w:val="bottom"/>
            <w:hideMark/>
          </w:tcPr>
          <w:p w14:paraId="0AF987A8" w14:textId="77777777" w:rsidR="00AF20B6" w:rsidRPr="00AF20B6" w:rsidRDefault="00AF20B6" w:rsidP="00AF20B6">
            <w:pPr>
              <w:pStyle w:val="Tables"/>
              <w:rPr>
                <w:sz w:val="20"/>
                <w:szCs w:val="20"/>
              </w:rPr>
            </w:pPr>
          </w:p>
        </w:tc>
        <w:tc>
          <w:tcPr>
            <w:tcW w:w="1170" w:type="dxa"/>
            <w:shd w:val="clear" w:color="auto" w:fill="auto"/>
            <w:noWrap/>
            <w:vAlign w:val="bottom"/>
            <w:hideMark/>
          </w:tcPr>
          <w:p w14:paraId="21D5F21A" w14:textId="77777777" w:rsidR="00AF20B6" w:rsidRPr="00AF20B6" w:rsidRDefault="00AF20B6" w:rsidP="00AF20B6">
            <w:pPr>
              <w:pStyle w:val="Tables"/>
              <w:rPr>
                <w:sz w:val="20"/>
                <w:szCs w:val="20"/>
              </w:rPr>
            </w:pPr>
          </w:p>
        </w:tc>
        <w:tc>
          <w:tcPr>
            <w:tcW w:w="1260" w:type="dxa"/>
            <w:shd w:val="clear" w:color="auto" w:fill="auto"/>
            <w:noWrap/>
            <w:vAlign w:val="bottom"/>
            <w:hideMark/>
          </w:tcPr>
          <w:p w14:paraId="27B5A085" w14:textId="77777777" w:rsidR="00AF20B6" w:rsidRPr="00AF20B6" w:rsidRDefault="00AF20B6" w:rsidP="00AF20B6">
            <w:pPr>
              <w:pStyle w:val="Tables"/>
              <w:rPr>
                <w:sz w:val="20"/>
                <w:szCs w:val="20"/>
              </w:rPr>
            </w:pPr>
          </w:p>
        </w:tc>
        <w:tc>
          <w:tcPr>
            <w:tcW w:w="942" w:type="dxa"/>
            <w:shd w:val="clear" w:color="auto" w:fill="auto"/>
            <w:noWrap/>
            <w:vAlign w:val="bottom"/>
            <w:hideMark/>
          </w:tcPr>
          <w:p w14:paraId="7DDBD652" w14:textId="77777777" w:rsidR="00AF20B6" w:rsidRPr="00AF20B6" w:rsidRDefault="00AF20B6" w:rsidP="00AF20B6">
            <w:pPr>
              <w:pStyle w:val="Tables"/>
              <w:rPr>
                <w:sz w:val="20"/>
                <w:szCs w:val="20"/>
              </w:rPr>
            </w:pPr>
          </w:p>
        </w:tc>
        <w:tc>
          <w:tcPr>
            <w:tcW w:w="1066" w:type="dxa"/>
            <w:shd w:val="clear" w:color="auto" w:fill="auto"/>
            <w:noWrap/>
            <w:vAlign w:val="bottom"/>
            <w:hideMark/>
          </w:tcPr>
          <w:p w14:paraId="75B9F6FB" w14:textId="77777777" w:rsidR="00AF20B6" w:rsidRPr="00AF20B6" w:rsidRDefault="00AF20B6" w:rsidP="00AF20B6">
            <w:pPr>
              <w:pStyle w:val="Tables"/>
              <w:rPr>
                <w:sz w:val="20"/>
                <w:szCs w:val="20"/>
              </w:rPr>
            </w:pPr>
          </w:p>
        </w:tc>
      </w:tr>
      <w:tr w:rsidR="003D6CB9" w:rsidRPr="00506A5A" w14:paraId="00A77911" w14:textId="77777777" w:rsidTr="003D6CB9">
        <w:trPr>
          <w:trHeight w:val="20"/>
        </w:trPr>
        <w:tc>
          <w:tcPr>
            <w:tcW w:w="1708" w:type="dxa"/>
            <w:vMerge w:val="restart"/>
            <w:shd w:val="clear" w:color="auto" w:fill="auto"/>
            <w:noWrap/>
            <w:vAlign w:val="center"/>
            <w:hideMark/>
          </w:tcPr>
          <w:p w14:paraId="40DD7433" w14:textId="77777777" w:rsidR="00AF20B6" w:rsidRPr="00506A5A" w:rsidRDefault="00AF20B6" w:rsidP="00373BB2">
            <w:pPr>
              <w:pStyle w:val="Tables"/>
              <w:rPr>
                <w:sz w:val="20"/>
                <w:szCs w:val="20"/>
              </w:rPr>
            </w:pPr>
            <w:r w:rsidRPr="00506A5A">
              <w:rPr>
                <w:sz w:val="20"/>
                <w:szCs w:val="20"/>
              </w:rPr>
              <w:t>levoglucosan</w:t>
            </w:r>
          </w:p>
        </w:tc>
        <w:tc>
          <w:tcPr>
            <w:tcW w:w="1170" w:type="dxa"/>
            <w:shd w:val="clear" w:color="auto" w:fill="auto"/>
            <w:noWrap/>
            <w:vAlign w:val="bottom"/>
            <w:hideMark/>
          </w:tcPr>
          <w:p w14:paraId="0ABF957B" w14:textId="6A63517B" w:rsidR="00AF20B6" w:rsidRPr="00193042" w:rsidRDefault="00AF20B6" w:rsidP="00AF20B6">
            <w:pPr>
              <w:pStyle w:val="Tables"/>
              <w:rPr>
                <w:i/>
                <w:sz w:val="20"/>
                <w:szCs w:val="20"/>
                <w:u w:val="single"/>
              </w:rPr>
            </w:pPr>
            <w:r w:rsidRPr="00193042">
              <w:rPr>
                <w:i/>
                <w:sz w:val="20"/>
                <w:szCs w:val="20"/>
                <w:u w:val="single"/>
              </w:rPr>
              <w:t>(Intercept)</w:t>
            </w:r>
          </w:p>
        </w:tc>
        <w:tc>
          <w:tcPr>
            <w:tcW w:w="1170" w:type="dxa"/>
            <w:shd w:val="clear" w:color="auto" w:fill="auto"/>
            <w:noWrap/>
            <w:vAlign w:val="bottom"/>
            <w:hideMark/>
          </w:tcPr>
          <w:p w14:paraId="72D65810" w14:textId="68B2B0C6" w:rsidR="00AF20B6" w:rsidRPr="001217A6" w:rsidRDefault="00AF20B6" w:rsidP="00AF20B6">
            <w:pPr>
              <w:pStyle w:val="Tables"/>
              <w:rPr>
                <w:b/>
                <w:bCs/>
                <w:sz w:val="20"/>
                <w:szCs w:val="20"/>
                <w:u w:val="single"/>
              </w:rPr>
            </w:pPr>
            <w:r w:rsidRPr="001217A6">
              <w:rPr>
                <w:b/>
                <w:bCs/>
                <w:sz w:val="20"/>
                <w:szCs w:val="20"/>
                <w:u w:val="single"/>
              </w:rPr>
              <w:t>P</w:t>
            </w:r>
          </w:p>
        </w:tc>
        <w:tc>
          <w:tcPr>
            <w:tcW w:w="1170" w:type="dxa"/>
            <w:shd w:val="clear" w:color="auto" w:fill="auto"/>
            <w:noWrap/>
            <w:vAlign w:val="bottom"/>
            <w:hideMark/>
          </w:tcPr>
          <w:p w14:paraId="23FD497D" w14:textId="3D5CACC9" w:rsidR="00AF20B6" w:rsidRPr="001217A6" w:rsidRDefault="00AF20B6" w:rsidP="00AF20B6">
            <w:pPr>
              <w:pStyle w:val="Tables"/>
              <w:rPr>
                <w:b/>
                <w:bCs/>
                <w:sz w:val="20"/>
                <w:szCs w:val="20"/>
                <w:u w:val="single"/>
              </w:rPr>
            </w:pPr>
            <w:r w:rsidRPr="001217A6">
              <w:rPr>
                <w:b/>
                <w:bCs/>
                <w:sz w:val="20"/>
                <w:szCs w:val="20"/>
                <w:u w:val="single"/>
              </w:rPr>
              <w:t>K</w:t>
            </w:r>
          </w:p>
        </w:tc>
        <w:tc>
          <w:tcPr>
            <w:tcW w:w="1260" w:type="dxa"/>
            <w:shd w:val="clear" w:color="auto" w:fill="auto"/>
            <w:noWrap/>
            <w:vAlign w:val="bottom"/>
            <w:hideMark/>
          </w:tcPr>
          <w:p w14:paraId="46F8F4A3" w14:textId="46BDB494" w:rsidR="00AF20B6" w:rsidRPr="001217A6" w:rsidRDefault="00AF20B6" w:rsidP="00AF20B6">
            <w:pPr>
              <w:pStyle w:val="Tables"/>
              <w:rPr>
                <w:b/>
                <w:bCs/>
                <w:sz w:val="20"/>
                <w:szCs w:val="20"/>
                <w:u w:val="single"/>
              </w:rPr>
            </w:pPr>
            <w:r w:rsidRPr="001217A6">
              <w:rPr>
                <w:b/>
                <w:bCs/>
                <w:sz w:val="20"/>
                <w:szCs w:val="20"/>
                <w:u w:val="single"/>
              </w:rPr>
              <w:t>xylose.nrel</w:t>
            </w:r>
          </w:p>
        </w:tc>
        <w:tc>
          <w:tcPr>
            <w:tcW w:w="942" w:type="dxa"/>
            <w:shd w:val="clear" w:color="auto" w:fill="auto"/>
            <w:noWrap/>
            <w:vAlign w:val="bottom"/>
            <w:hideMark/>
          </w:tcPr>
          <w:p w14:paraId="57CDDBD8" w14:textId="0D8778F3" w:rsidR="00AF20B6" w:rsidRPr="001217A6" w:rsidRDefault="00AF20B6" w:rsidP="00AF20B6">
            <w:pPr>
              <w:pStyle w:val="Tables"/>
              <w:rPr>
                <w:b/>
                <w:bCs/>
                <w:sz w:val="20"/>
                <w:szCs w:val="20"/>
                <w:u w:val="single"/>
              </w:rPr>
            </w:pPr>
            <w:r w:rsidRPr="001217A6">
              <w:rPr>
                <w:b/>
                <w:bCs/>
                <w:sz w:val="20"/>
                <w:szCs w:val="20"/>
                <w:u w:val="single"/>
              </w:rPr>
              <w:t>ADL</w:t>
            </w:r>
          </w:p>
        </w:tc>
        <w:tc>
          <w:tcPr>
            <w:tcW w:w="1066" w:type="dxa"/>
            <w:shd w:val="clear" w:color="auto" w:fill="auto"/>
            <w:noWrap/>
            <w:vAlign w:val="bottom"/>
            <w:hideMark/>
          </w:tcPr>
          <w:p w14:paraId="0F77C404" w14:textId="77777777" w:rsidR="00AF20B6" w:rsidRPr="00AF20B6" w:rsidRDefault="00AF20B6" w:rsidP="00AF20B6">
            <w:pPr>
              <w:pStyle w:val="Tables"/>
              <w:rPr>
                <w:b/>
                <w:bCs/>
                <w:sz w:val="20"/>
                <w:szCs w:val="20"/>
              </w:rPr>
            </w:pPr>
          </w:p>
        </w:tc>
      </w:tr>
      <w:tr w:rsidR="003D6CB9" w:rsidRPr="00506A5A" w14:paraId="7A7D3F3D" w14:textId="77777777" w:rsidTr="003D6CB9">
        <w:trPr>
          <w:trHeight w:val="20"/>
        </w:trPr>
        <w:tc>
          <w:tcPr>
            <w:tcW w:w="1708" w:type="dxa"/>
            <w:vMerge/>
            <w:shd w:val="clear" w:color="auto" w:fill="auto"/>
            <w:noWrap/>
            <w:vAlign w:val="center"/>
            <w:hideMark/>
          </w:tcPr>
          <w:p w14:paraId="33DC29B7" w14:textId="77777777" w:rsidR="00AF20B6" w:rsidRPr="00506A5A" w:rsidRDefault="00AF20B6" w:rsidP="00373BB2">
            <w:pPr>
              <w:pStyle w:val="Tables"/>
              <w:rPr>
                <w:sz w:val="20"/>
                <w:szCs w:val="20"/>
              </w:rPr>
            </w:pPr>
          </w:p>
        </w:tc>
        <w:tc>
          <w:tcPr>
            <w:tcW w:w="1170" w:type="dxa"/>
            <w:shd w:val="clear" w:color="auto" w:fill="auto"/>
            <w:noWrap/>
            <w:vAlign w:val="bottom"/>
            <w:hideMark/>
          </w:tcPr>
          <w:p w14:paraId="20390F3A" w14:textId="74AE5778" w:rsidR="00AF20B6" w:rsidRPr="00193042" w:rsidRDefault="00AF20B6" w:rsidP="00AF20B6">
            <w:pPr>
              <w:pStyle w:val="Tables"/>
              <w:rPr>
                <w:sz w:val="20"/>
                <w:szCs w:val="20"/>
              </w:rPr>
            </w:pPr>
            <w:r w:rsidRPr="00193042">
              <w:rPr>
                <w:sz w:val="20"/>
                <w:szCs w:val="20"/>
              </w:rPr>
              <w:t>51319.39</w:t>
            </w:r>
          </w:p>
        </w:tc>
        <w:tc>
          <w:tcPr>
            <w:tcW w:w="1170" w:type="dxa"/>
            <w:shd w:val="clear" w:color="auto" w:fill="auto"/>
            <w:noWrap/>
            <w:vAlign w:val="bottom"/>
            <w:hideMark/>
          </w:tcPr>
          <w:p w14:paraId="4809D676" w14:textId="46F4CE16" w:rsidR="00AF20B6" w:rsidRPr="00AF20B6" w:rsidRDefault="00AF20B6" w:rsidP="00AF20B6">
            <w:pPr>
              <w:pStyle w:val="Tables"/>
              <w:rPr>
                <w:sz w:val="20"/>
                <w:szCs w:val="20"/>
              </w:rPr>
            </w:pPr>
            <w:r w:rsidRPr="00AF20B6">
              <w:rPr>
                <w:sz w:val="20"/>
                <w:szCs w:val="20"/>
              </w:rPr>
              <w:t>-621733.33</w:t>
            </w:r>
          </w:p>
        </w:tc>
        <w:tc>
          <w:tcPr>
            <w:tcW w:w="1170" w:type="dxa"/>
            <w:shd w:val="clear" w:color="auto" w:fill="auto"/>
            <w:noWrap/>
            <w:vAlign w:val="bottom"/>
            <w:hideMark/>
          </w:tcPr>
          <w:p w14:paraId="3C753968" w14:textId="794CD220" w:rsidR="00AF20B6" w:rsidRPr="00AF20B6" w:rsidRDefault="00AF20B6" w:rsidP="00AF20B6">
            <w:pPr>
              <w:pStyle w:val="Tables"/>
              <w:rPr>
                <w:sz w:val="20"/>
                <w:szCs w:val="20"/>
              </w:rPr>
            </w:pPr>
            <w:r w:rsidRPr="00AF20B6">
              <w:rPr>
                <w:sz w:val="20"/>
                <w:szCs w:val="20"/>
              </w:rPr>
              <w:t>-45507.10</w:t>
            </w:r>
          </w:p>
        </w:tc>
        <w:tc>
          <w:tcPr>
            <w:tcW w:w="1260" w:type="dxa"/>
            <w:shd w:val="clear" w:color="auto" w:fill="auto"/>
            <w:noWrap/>
            <w:vAlign w:val="bottom"/>
            <w:hideMark/>
          </w:tcPr>
          <w:p w14:paraId="78282657" w14:textId="3756D562" w:rsidR="00AF20B6" w:rsidRPr="00AF20B6" w:rsidRDefault="00AF20B6" w:rsidP="00AF20B6">
            <w:pPr>
              <w:pStyle w:val="Tables"/>
              <w:rPr>
                <w:sz w:val="20"/>
                <w:szCs w:val="20"/>
              </w:rPr>
            </w:pPr>
            <w:r w:rsidRPr="00AF20B6">
              <w:rPr>
                <w:sz w:val="20"/>
                <w:szCs w:val="20"/>
              </w:rPr>
              <w:t>510989.78</w:t>
            </w:r>
          </w:p>
        </w:tc>
        <w:tc>
          <w:tcPr>
            <w:tcW w:w="942" w:type="dxa"/>
            <w:shd w:val="clear" w:color="auto" w:fill="auto"/>
            <w:noWrap/>
            <w:vAlign w:val="bottom"/>
            <w:hideMark/>
          </w:tcPr>
          <w:p w14:paraId="3753D676" w14:textId="7FEC105F" w:rsidR="00AF20B6" w:rsidRPr="00AF20B6" w:rsidRDefault="00AF20B6" w:rsidP="00AF20B6">
            <w:pPr>
              <w:pStyle w:val="Tables"/>
              <w:rPr>
                <w:sz w:val="20"/>
                <w:szCs w:val="20"/>
              </w:rPr>
            </w:pPr>
            <w:r w:rsidRPr="00AF20B6">
              <w:rPr>
                <w:sz w:val="20"/>
                <w:szCs w:val="20"/>
              </w:rPr>
              <w:t>1173.02</w:t>
            </w:r>
          </w:p>
        </w:tc>
        <w:tc>
          <w:tcPr>
            <w:tcW w:w="1066" w:type="dxa"/>
            <w:shd w:val="clear" w:color="auto" w:fill="auto"/>
            <w:noWrap/>
            <w:vAlign w:val="bottom"/>
            <w:hideMark/>
          </w:tcPr>
          <w:p w14:paraId="26573447" w14:textId="77777777" w:rsidR="00AF20B6" w:rsidRPr="00AF20B6" w:rsidRDefault="00AF20B6" w:rsidP="00AF20B6">
            <w:pPr>
              <w:pStyle w:val="Tables"/>
              <w:rPr>
                <w:sz w:val="20"/>
                <w:szCs w:val="20"/>
              </w:rPr>
            </w:pPr>
          </w:p>
        </w:tc>
      </w:tr>
      <w:tr w:rsidR="003D6CB9" w:rsidRPr="00506A5A" w14:paraId="1D1C9643" w14:textId="77777777" w:rsidTr="003D6CB9">
        <w:trPr>
          <w:trHeight w:val="20"/>
        </w:trPr>
        <w:tc>
          <w:tcPr>
            <w:tcW w:w="1708" w:type="dxa"/>
            <w:shd w:val="clear" w:color="auto" w:fill="auto"/>
            <w:noWrap/>
            <w:vAlign w:val="center"/>
            <w:hideMark/>
          </w:tcPr>
          <w:p w14:paraId="31EFF0E3" w14:textId="77777777" w:rsidR="00AF20B6" w:rsidRPr="00506A5A" w:rsidRDefault="00AF20B6" w:rsidP="00373BB2">
            <w:pPr>
              <w:pStyle w:val="Tables"/>
              <w:rPr>
                <w:sz w:val="20"/>
                <w:szCs w:val="20"/>
              </w:rPr>
            </w:pPr>
          </w:p>
        </w:tc>
        <w:tc>
          <w:tcPr>
            <w:tcW w:w="1170" w:type="dxa"/>
            <w:shd w:val="clear" w:color="auto" w:fill="auto"/>
            <w:noWrap/>
            <w:vAlign w:val="bottom"/>
            <w:hideMark/>
          </w:tcPr>
          <w:p w14:paraId="5CF8F354" w14:textId="77777777" w:rsidR="00AF20B6" w:rsidRPr="00193042" w:rsidRDefault="00AF20B6" w:rsidP="00AF20B6">
            <w:pPr>
              <w:pStyle w:val="Tables"/>
              <w:rPr>
                <w:i/>
                <w:sz w:val="20"/>
                <w:szCs w:val="20"/>
                <w:u w:val="single"/>
              </w:rPr>
            </w:pPr>
          </w:p>
        </w:tc>
        <w:tc>
          <w:tcPr>
            <w:tcW w:w="1170" w:type="dxa"/>
            <w:shd w:val="clear" w:color="auto" w:fill="auto"/>
            <w:noWrap/>
            <w:vAlign w:val="bottom"/>
            <w:hideMark/>
          </w:tcPr>
          <w:p w14:paraId="559BC690" w14:textId="77777777" w:rsidR="00AF20B6" w:rsidRPr="00AF20B6" w:rsidRDefault="00AF20B6" w:rsidP="00AF20B6">
            <w:pPr>
              <w:pStyle w:val="Tables"/>
              <w:rPr>
                <w:sz w:val="20"/>
                <w:szCs w:val="20"/>
              </w:rPr>
            </w:pPr>
          </w:p>
        </w:tc>
        <w:tc>
          <w:tcPr>
            <w:tcW w:w="1170" w:type="dxa"/>
            <w:shd w:val="clear" w:color="auto" w:fill="auto"/>
            <w:noWrap/>
            <w:vAlign w:val="bottom"/>
            <w:hideMark/>
          </w:tcPr>
          <w:p w14:paraId="541D757A" w14:textId="77777777" w:rsidR="00AF20B6" w:rsidRPr="00AF20B6" w:rsidRDefault="00AF20B6" w:rsidP="00AF20B6">
            <w:pPr>
              <w:pStyle w:val="Tables"/>
              <w:rPr>
                <w:sz w:val="20"/>
                <w:szCs w:val="20"/>
              </w:rPr>
            </w:pPr>
          </w:p>
        </w:tc>
        <w:tc>
          <w:tcPr>
            <w:tcW w:w="1260" w:type="dxa"/>
            <w:shd w:val="clear" w:color="auto" w:fill="auto"/>
            <w:noWrap/>
            <w:vAlign w:val="bottom"/>
            <w:hideMark/>
          </w:tcPr>
          <w:p w14:paraId="0930AA22" w14:textId="77777777" w:rsidR="00AF20B6" w:rsidRPr="00AF20B6" w:rsidRDefault="00AF20B6" w:rsidP="00AF20B6">
            <w:pPr>
              <w:pStyle w:val="Tables"/>
              <w:rPr>
                <w:sz w:val="20"/>
                <w:szCs w:val="20"/>
              </w:rPr>
            </w:pPr>
          </w:p>
        </w:tc>
        <w:tc>
          <w:tcPr>
            <w:tcW w:w="942" w:type="dxa"/>
            <w:shd w:val="clear" w:color="auto" w:fill="auto"/>
            <w:noWrap/>
            <w:vAlign w:val="bottom"/>
            <w:hideMark/>
          </w:tcPr>
          <w:p w14:paraId="2AFB818A" w14:textId="77777777" w:rsidR="00AF20B6" w:rsidRPr="00AF20B6" w:rsidRDefault="00AF20B6" w:rsidP="00AF20B6">
            <w:pPr>
              <w:pStyle w:val="Tables"/>
              <w:rPr>
                <w:sz w:val="20"/>
                <w:szCs w:val="20"/>
              </w:rPr>
            </w:pPr>
          </w:p>
        </w:tc>
        <w:tc>
          <w:tcPr>
            <w:tcW w:w="1066" w:type="dxa"/>
            <w:shd w:val="clear" w:color="auto" w:fill="auto"/>
            <w:noWrap/>
            <w:vAlign w:val="bottom"/>
            <w:hideMark/>
          </w:tcPr>
          <w:p w14:paraId="0DA564E6" w14:textId="77777777" w:rsidR="00AF20B6" w:rsidRPr="00AF20B6" w:rsidRDefault="00AF20B6" w:rsidP="00AF20B6">
            <w:pPr>
              <w:pStyle w:val="Tables"/>
              <w:rPr>
                <w:sz w:val="20"/>
                <w:szCs w:val="20"/>
              </w:rPr>
            </w:pPr>
          </w:p>
        </w:tc>
      </w:tr>
      <w:tr w:rsidR="003D6CB9" w:rsidRPr="00506A5A" w14:paraId="32D1F0B1" w14:textId="77777777" w:rsidTr="003D6CB9">
        <w:trPr>
          <w:trHeight w:val="20"/>
        </w:trPr>
        <w:tc>
          <w:tcPr>
            <w:tcW w:w="1708" w:type="dxa"/>
            <w:vMerge w:val="restart"/>
            <w:shd w:val="clear" w:color="auto" w:fill="auto"/>
            <w:noWrap/>
            <w:vAlign w:val="center"/>
            <w:hideMark/>
          </w:tcPr>
          <w:p w14:paraId="6CBD3F7C" w14:textId="77777777" w:rsidR="00AF20B6" w:rsidRPr="00506A5A" w:rsidRDefault="00AF20B6" w:rsidP="00373BB2">
            <w:pPr>
              <w:pStyle w:val="Tables"/>
              <w:rPr>
                <w:sz w:val="20"/>
                <w:szCs w:val="20"/>
              </w:rPr>
            </w:pPr>
            <w:r w:rsidRPr="00506A5A">
              <w:rPr>
                <w:sz w:val="20"/>
                <w:szCs w:val="20"/>
              </w:rPr>
              <w:t>light gases</w:t>
            </w:r>
          </w:p>
        </w:tc>
        <w:tc>
          <w:tcPr>
            <w:tcW w:w="1170" w:type="dxa"/>
            <w:shd w:val="clear" w:color="auto" w:fill="auto"/>
            <w:noWrap/>
            <w:vAlign w:val="bottom"/>
            <w:hideMark/>
          </w:tcPr>
          <w:p w14:paraId="33396C43" w14:textId="2696803C" w:rsidR="00AF20B6" w:rsidRPr="00193042" w:rsidRDefault="00AF20B6" w:rsidP="00AF20B6">
            <w:pPr>
              <w:pStyle w:val="Tables"/>
              <w:rPr>
                <w:i/>
                <w:sz w:val="20"/>
                <w:szCs w:val="20"/>
                <w:u w:val="single"/>
              </w:rPr>
            </w:pPr>
            <w:r w:rsidRPr="00193042">
              <w:rPr>
                <w:i/>
                <w:sz w:val="20"/>
                <w:szCs w:val="20"/>
                <w:u w:val="single"/>
              </w:rPr>
              <w:t>(Intercept)</w:t>
            </w:r>
          </w:p>
        </w:tc>
        <w:tc>
          <w:tcPr>
            <w:tcW w:w="1170" w:type="dxa"/>
            <w:shd w:val="clear" w:color="auto" w:fill="auto"/>
            <w:noWrap/>
            <w:vAlign w:val="bottom"/>
            <w:hideMark/>
          </w:tcPr>
          <w:p w14:paraId="3CFB15B0" w14:textId="131FB9A6" w:rsidR="00AF20B6" w:rsidRPr="001217A6" w:rsidRDefault="00AF20B6" w:rsidP="00AF20B6">
            <w:pPr>
              <w:pStyle w:val="Tables"/>
              <w:rPr>
                <w:b/>
                <w:bCs/>
                <w:sz w:val="20"/>
                <w:szCs w:val="20"/>
                <w:u w:val="single"/>
              </w:rPr>
            </w:pPr>
            <w:r w:rsidRPr="001217A6">
              <w:rPr>
                <w:b/>
                <w:bCs/>
                <w:sz w:val="20"/>
                <w:szCs w:val="20"/>
                <w:u w:val="single"/>
              </w:rPr>
              <w:t>C</w:t>
            </w:r>
          </w:p>
        </w:tc>
        <w:tc>
          <w:tcPr>
            <w:tcW w:w="1170" w:type="dxa"/>
            <w:shd w:val="clear" w:color="auto" w:fill="auto"/>
            <w:noWrap/>
            <w:vAlign w:val="bottom"/>
            <w:hideMark/>
          </w:tcPr>
          <w:p w14:paraId="077BE87E" w14:textId="01D5B5B2" w:rsidR="00AF20B6" w:rsidRPr="001217A6" w:rsidRDefault="00AF20B6" w:rsidP="00AF20B6">
            <w:pPr>
              <w:pStyle w:val="Tables"/>
              <w:rPr>
                <w:b/>
                <w:bCs/>
                <w:sz w:val="20"/>
                <w:szCs w:val="20"/>
                <w:u w:val="single"/>
              </w:rPr>
            </w:pPr>
            <w:r w:rsidRPr="001217A6">
              <w:rPr>
                <w:b/>
                <w:bCs/>
                <w:sz w:val="20"/>
                <w:szCs w:val="20"/>
                <w:u w:val="single"/>
              </w:rPr>
              <w:t>Ca</w:t>
            </w:r>
          </w:p>
        </w:tc>
        <w:tc>
          <w:tcPr>
            <w:tcW w:w="1260" w:type="dxa"/>
            <w:shd w:val="clear" w:color="auto" w:fill="auto"/>
            <w:noWrap/>
            <w:vAlign w:val="bottom"/>
            <w:hideMark/>
          </w:tcPr>
          <w:p w14:paraId="3792DE4D" w14:textId="11CA423D" w:rsidR="00AF20B6" w:rsidRPr="001217A6" w:rsidRDefault="00AF20B6" w:rsidP="00AF20B6">
            <w:pPr>
              <w:pStyle w:val="Tables"/>
              <w:rPr>
                <w:b/>
                <w:bCs/>
                <w:sz w:val="20"/>
                <w:szCs w:val="20"/>
                <w:u w:val="single"/>
              </w:rPr>
            </w:pPr>
            <w:r w:rsidRPr="001217A6">
              <w:rPr>
                <w:b/>
                <w:bCs/>
                <w:sz w:val="20"/>
                <w:szCs w:val="20"/>
                <w:u w:val="single"/>
              </w:rPr>
              <w:t>glucose.nrel</w:t>
            </w:r>
          </w:p>
        </w:tc>
        <w:tc>
          <w:tcPr>
            <w:tcW w:w="942" w:type="dxa"/>
            <w:shd w:val="clear" w:color="auto" w:fill="auto"/>
            <w:noWrap/>
            <w:vAlign w:val="bottom"/>
            <w:hideMark/>
          </w:tcPr>
          <w:p w14:paraId="1866F01D" w14:textId="3C1842C3" w:rsidR="00AF20B6" w:rsidRPr="001217A6" w:rsidRDefault="00AF20B6" w:rsidP="00AF20B6">
            <w:pPr>
              <w:pStyle w:val="Tables"/>
              <w:rPr>
                <w:b/>
                <w:bCs/>
                <w:sz w:val="20"/>
                <w:szCs w:val="20"/>
                <w:u w:val="single"/>
              </w:rPr>
            </w:pPr>
            <w:r w:rsidRPr="001217A6">
              <w:rPr>
                <w:b/>
                <w:bCs/>
                <w:sz w:val="20"/>
                <w:szCs w:val="20"/>
                <w:u w:val="single"/>
              </w:rPr>
              <w:t>FA</w:t>
            </w:r>
          </w:p>
        </w:tc>
        <w:tc>
          <w:tcPr>
            <w:tcW w:w="1066" w:type="dxa"/>
            <w:shd w:val="clear" w:color="auto" w:fill="auto"/>
            <w:noWrap/>
            <w:vAlign w:val="bottom"/>
            <w:hideMark/>
          </w:tcPr>
          <w:p w14:paraId="40164E98" w14:textId="0CE44C44" w:rsidR="00AF20B6" w:rsidRPr="001217A6" w:rsidRDefault="00AF20B6" w:rsidP="00AF20B6">
            <w:pPr>
              <w:pStyle w:val="Tables"/>
              <w:rPr>
                <w:b/>
                <w:bCs/>
                <w:sz w:val="20"/>
                <w:szCs w:val="20"/>
                <w:u w:val="single"/>
              </w:rPr>
            </w:pPr>
            <w:r w:rsidRPr="001217A6">
              <w:rPr>
                <w:b/>
                <w:bCs/>
                <w:sz w:val="20"/>
                <w:szCs w:val="20"/>
                <w:u w:val="single"/>
              </w:rPr>
              <w:t>K</w:t>
            </w:r>
          </w:p>
        </w:tc>
      </w:tr>
      <w:tr w:rsidR="003D6CB9" w:rsidRPr="00506A5A" w14:paraId="2AEA800B" w14:textId="77777777" w:rsidTr="003D6CB9">
        <w:trPr>
          <w:trHeight w:val="20"/>
        </w:trPr>
        <w:tc>
          <w:tcPr>
            <w:tcW w:w="1708" w:type="dxa"/>
            <w:vMerge/>
            <w:shd w:val="clear" w:color="auto" w:fill="auto"/>
            <w:noWrap/>
            <w:vAlign w:val="center"/>
            <w:hideMark/>
          </w:tcPr>
          <w:p w14:paraId="3B0B771D" w14:textId="77777777" w:rsidR="00AF20B6" w:rsidRPr="00506A5A" w:rsidRDefault="00AF20B6" w:rsidP="00373BB2">
            <w:pPr>
              <w:pStyle w:val="Tables"/>
              <w:rPr>
                <w:b/>
                <w:bCs/>
                <w:sz w:val="20"/>
                <w:szCs w:val="20"/>
                <w:u w:val="single"/>
              </w:rPr>
            </w:pPr>
          </w:p>
        </w:tc>
        <w:tc>
          <w:tcPr>
            <w:tcW w:w="1170" w:type="dxa"/>
            <w:shd w:val="clear" w:color="auto" w:fill="auto"/>
            <w:noWrap/>
            <w:vAlign w:val="bottom"/>
            <w:hideMark/>
          </w:tcPr>
          <w:p w14:paraId="41E571F2" w14:textId="3A21D928" w:rsidR="00AF20B6" w:rsidRPr="00193042" w:rsidRDefault="00AF20B6" w:rsidP="00AF20B6">
            <w:pPr>
              <w:pStyle w:val="Tables"/>
              <w:rPr>
                <w:sz w:val="20"/>
                <w:szCs w:val="20"/>
              </w:rPr>
            </w:pPr>
            <w:r w:rsidRPr="00193042">
              <w:rPr>
                <w:sz w:val="20"/>
                <w:szCs w:val="20"/>
              </w:rPr>
              <w:t>2435647.92</w:t>
            </w:r>
          </w:p>
        </w:tc>
        <w:tc>
          <w:tcPr>
            <w:tcW w:w="1170" w:type="dxa"/>
            <w:shd w:val="clear" w:color="auto" w:fill="auto"/>
            <w:noWrap/>
            <w:vAlign w:val="bottom"/>
            <w:hideMark/>
          </w:tcPr>
          <w:p w14:paraId="1A5125A9" w14:textId="44227A53" w:rsidR="00AF20B6" w:rsidRPr="00AF20B6" w:rsidRDefault="00AF20B6" w:rsidP="00AF20B6">
            <w:pPr>
              <w:pStyle w:val="Tables"/>
              <w:rPr>
                <w:sz w:val="20"/>
                <w:szCs w:val="20"/>
              </w:rPr>
            </w:pPr>
            <w:r w:rsidRPr="00AF20B6">
              <w:rPr>
                <w:sz w:val="20"/>
                <w:szCs w:val="20"/>
              </w:rPr>
              <w:t>-4906.00</w:t>
            </w:r>
          </w:p>
        </w:tc>
        <w:tc>
          <w:tcPr>
            <w:tcW w:w="1170" w:type="dxa"/>
            <w:shd w:val="clear" w:color="auto" w:fill="auto"/>
            <w:noWrap/>
            <w:vAlign w:val="bottom"/>
            <w:hideMark/>
          </w:tcPr>
          <w:p w14:paraId="361E8895" w14:textId="2CB57873" w:rsidR="00AF20B6" w:rsidRPr="00AF20B6" w:rsidRDefault="00AF20B6" w:rsidP="00AF20B6">
            <w:pPr>
              <w:pStyle w:val="Tables"/>
              <w:rPr>
                <w:sz w:val="20"/>
                <w:szCs w:val="20"/>
              </w:rPr>
            </w:pPr>
            <w:r w:rsidRPr="00AF20B6">
              <w:rPr>
                <w:sz w:val="20"/>
                <w:szCs w:val="20"/>
              </w:rPr>
              <w:t>183902.51</w:t>
            </w:r>
          </w:p>
        </w:tc>
        <w:tc>
          <w:tcPr>
            <w:tcW w:w="1260" w:type="dxa"/>
            <w:shd w:val="clear" w:color="auto" w:fill="auto"/>
            <w:noWrap/>
            <w:vAlign w:val="bottom"/>
            <w:hideMark/>
          </w:tcPr>
          <w:p w14:paraId="4C6A7AD8" w14:textId="03C58BCE" w:rsidR="00AF20B6" w:rsidRPr="00AF20B6" w:rsidRDefault="00AF20B6" w:rsidP="00AF20B6">
            <w:pPr>
              <w:pStyle w:val="Tables"/>
              <w:rPr>
                <w:sz w:val="20"/>
                <w:szCs w:val="20"/>
              </w:rPr>
            </w:pPr>
            <w:r w:rsidRPr="00AF20B6">
              <w:rPr>
                <w:sz w:val="20"/>
                <w:szCs w:val="20"/>
              </w:rPr>
              <w:t>-599861.90</w:t>
            </w:r>
          </w:p>
        </w:tc>
        <w:tc>
          <w:tcPr>
            <w:tcW w:w="942" w:type="dxa"/>
            <w:shd w:val="clear" w:color="auto" w:fill="auto"/>
            <w:noWrap/>
            <w:vAlign w:val="bottom"/>
            <w:hideMark/>
          </w:tcPr>
          <w:p w14:paraId="2BF78B95" w14:textId="7412BE94" w:rsidR="00AF20B6" w:rsidRPr="00AF20B6" w:rsidRDefault="00AF20B6" w:rsidP="00AF20B6">
            <w:pPr>
              <w:pStyle w:val="Tables"/>
              <w:rPr>
                <w:sz w:val="20"/>
                <w:szCs w:val="20"/>
              </w:rPr>
            </w:pPr>
            <w:r w:rsidRPr="00AF20B6">
              <w:rPr>
                <w:sz w:val="20"/>
                <w:szCs w:val="20"/>
              </w:rPr>
              <w:t>-5708.51</w:t>
            </w:r>
          </w:p>
        </w:tc>
        <w:tc>
          <w:tcPr>
            <w:tcW w:w="1066" w:type="dxa"/>
            <w:shd w:val="clear" w:color="auto" w:fill="auto"/>
            <w:noWrap/>
            <w:vAlign w:val="bottom"/>
            <w:hideMark/>
          </w:tcPr>
          <w:p w14:paraId="52B2A82C" w14:textId="66EA2DC6" w:rsidR="00AF20B6" w:rsidRPr="00AF20B6" w:rsidRDefault="00AF20B6" w:rsidP="00AF20B6">
            <w:pPr>
              <w:pStyle w:val="Tables"/>
              <w:rPr>
                <w:sz w:val="20"/>
                <w:szCs w:val="20"/>
              </w:rPr>
            </w:pPr>
            <w:r w:rsidRPr="00AF20B6">
              <w:rPr>
                <w:sz w:val="20"/>
                <w:szCs w:val="20"/>
              </w:rPr>
              <w:t>112343.10</w:t>
            </w:r>
          </w:p>
        </w:tc>
      </w:tr>
      <w:tr w:rsidR="003D6CB9" w:rsidRPr="00506A5A" w14:paraId="05E5A2CE" w14:textId="77777777" w:rsidTr="003D6CB9">
        <w:trPr>
          <w:trHeight w:val="20"/>
        </w:trPr>
        <w:tc>
          <w:tcPr>
            <w:tcW w:w="1708" w:type="dxa"/>
            <w:shd w:val="clear" w:color="auto" w:fill="auto"/>
            <w:noWrap/>
            <w:vAlign w:val="center"/>
            <w:hideMark/>
          </w:tcPr>
          <w:p w14:paraId="013EFA98" w14:textId="77777777" w:rsidR="00AF20B6" w:rsidRPr="00506A5A" w:rsidRDefault="00AF20B6" w:rsidP="00373BB2">
            <w:pPr>
              <w:pStyle w:val="Tables"/>
              <w:rPr>
                <w:sz w:val="20"/>
                <w:szCs w:val="20"/>
              </w:rPr>
            </w:pPr>
          </w:p>
        </w:tc>
        <w:tc>
          <w:tcPr>
            <w:tcW w:w="1170" w:type="dxa"/>
            <w:shd w:val="clear" w:color="auto" w:fill="auto"/>
            <w:noWrap/>
            <w:vAlign w:val="bottom"/>
            <w:hideMark/>
          </w:tcPr>
          <w:p w14:paraId="68204F77" w14:textId="77777777" w:rsidR="00AF20B6" w:rsidRPr="00193042" w:rsidRDefault="00AF20B6" w:rsidP="00AF20B6">
            <w:pPr>
              <w:pStyle w:val="Tables"/>
              <w:rPr>
                <w:i/>
                <w:sz w:val="20"/>
                <w:szCs w:val="20"/>
                <w:u w:val="single"/>
              </w:rPr>
            </w:pPr>
          </w:p>
        </w:tc>
        <w:tc>
          <w:tcPr>
            <w:tcW w:w="1170" w:type="dxa"/>
            <w:shd w:val="clear" w:color="auto" w:fill="auto"/>
            <w:noWrap/>
            <w:vAlign w:val="bottom"/>
            <w:hideMark/>
          </w:tcPr>
          <w:p w14:paraId="3A95758D" w14:textId="77777777" w:rsidR="00AF20B6" w:rsidRPr="00AF20B6" w:rsidRDefault="00AF20B6" w:rsidP="00AF20B6">
            <w:pPr>
              <w:pStyle w:val="Tables"/>
              <w:rPr>
                <w:sz w:val="20"/>
                <w:szCs w:val="20"/>
              </w:rPr>
            </w:pPr>
          </w:p>
        </w:tc>
        <w:tc>
          <w:tcPr>
            <w:tcW w:w="1170" w:type="dxa"/>
            <w:shd w:val="clear" w:color="auto" w:fill="auto"/>
            <w:noWrap/>
            <w:vAlign w:val="bottom"/>
            <w:hideMark/>
          </w:tcPr>
          <w:p w14:paraId="12CB880E" w14:textId="77777777" w:rsidR="00AF20B6" w:rsidRPr="00AF20B6" w:rsidRDefault="00AF20B6" w:rsidP="00AF20B6">
            <w:pPr>
              <w:pStyle w:val="Tables"/>
              <w:rPr>
                <w:sz w:val="20"/>
                <w:szCs w:val="20"/>
              </w:rPr>
            </w:pPr>
          </w:p>
        </w:tc>
        <w:tc>
          <w:tcPr>
            <w:tcW w:w="1260" w:type="dxa"/>
            <w:shd w:val="clear" w:color="auto" w:fill="auto"/>
            <w:noWrap/>
            <w:vAlign w:val="bottom"/>
            <w:hideMark/>
          </w:tcPr>
          <w:p w14:paraId="252F2ECB" w14:textId="77777777" w:rsidR="00AF20B6" w:rsidRPr="00AF20B6" w:rsidRDefault="00AF20B6" w:rsidP="00AF20B6">
            <w:pPr>
              <w:pStyle w:val="Tables"/>
              <w:rPr>
                <w:sz w:val="20"/>
                <w:szCs w:val="20"/>
              </w:rPr>
            </w:pPr>
          </w:p>
        </w:tc>
        <w:tc>
          <w:tcPr>
            <w:tcW w:w="942" w:type="dxa"/>
            <w:shd w:val="clear" w:color="auto" w:fill="auto"/>
            <w:noWrap/>
            <w:vAlign w:val="bottom"/>
            <w:hideMark/>
          </w:tcPr>
          <w:p w14:paraId="1E22F3F2" w14:textId="77777777" w:rsidR="00AF20B6" w:rsidRPr="00AF20B6" w:rsidRDefault="00AF20B6" w:rsidP="00AF20B6">
            <w:pPr>
              <w:pStyle w:val="Tables"/>
              <w:rPr>
                <w:sz w:val="20"/>
                <w:szCs w:val="20"/>
              </w:rPr>
            </w:pPr>
          </w:p>
        </w:tc>
        <w:tc>
          <w:tcPr>
            <w:tcW w:w="1066" w:type="dxa"/>
            <w:shd w:val="clear" w:color="auto" w:fill="auto"/>
            <w:noWrap/>
            <w:vAlign w:val="bottom"/>
            <w:hideMark/>
          </w:tcPr>
          <w:p w14:paraId="3DF5485B" w14:textId="77777777" w:rsidR="00AF20B6" w:rsidRPr="00AF20B6" w:rsidRDefault="00AF20B6" w:rsidP="00AF20B6">
            <w:pPr>
              <w:pStyle w:val="Tables"/>
              <w:rPr>
                <w:sz w:val="20"/>
                <w:szCs w:val="20"/>
              </w:rPr>
            </w:pPr>
          </w:p>
        </w:tc>
      </w:tr>
      <w:tr w:rsidR="003D6CB9" w:rsidRPr="00506A5A" w14:paraId="6A6666BB" w14:textId="77777777" w:rsidTr="003D6CB9">
        <w:trPr>
          <w:trHeight w:val="20"/>
        </w:trPr>
        <w:tc>
          <w:tcPr>
            <w:tcW w:w="1708" w:type="dxa"/>
            <w:vMerge w:val="restart"/>
            <w:shd w:val="clear" w:color="auto" w:fill="auto"/>
            <w:noWrap/>
            <w:vAlign w:val="center"/>
            <w:hideMark/>
          </w:tcPr>
          <w:p w14:paraId="55A360D9" w14:textId="77777777" w:rsidR="00AF20B6" w:rsidRPr="00506A5A" w:rsidRDefault="00AF20B6" w:rsidP="00373BB2">
            <w:pPr>
              <w:pStyle w:val="Tables"/>
              <w:rPr>
                <w:sz w:val="20"/>
                <w:szCs w:val="20"/>
              </w:rPr>
            </w:pPr>
            <w:r w:rsidRPr="00506A5A">
              <w:rPr>
                <w:sz w:val="20"/>
                <w:szCs w:val="20"/>
              </w:rPr>
              <w:t>light oxygenates</w:t>
            </w:r>
          </w:p>
        </w:tc>
        <w:tc>
          <w:tcPr>
            <w:tcW w:w="1170" w:type="dxa"/>
            <w:shd w:val="clear" w:color="auto" w:fill="auto"/>
            <w:noWrap/>
            <w:vAlign w:val="bottom"/>
            <w:hideMark/>
          </w:tcPr>
          <w:p w14:paraId="77C73E85" w14:textId="123C6605" w:rsidR="00AF20B6" w:rsidRPr="00193042" w:rsidRDefault="00AF20B6" w:rsidP="00AF20B6">
            <w:pPr>
              <w:pStyle w:val="Tables"/>
              <w:rPr>
                <w:i/>
                <w:sz w:val="20"/>
                <w:szCs w:val="20"/>
                <w:u w:val="single"/>
              </w:rPr>
            </w:pPr>
            <w:r w:rsidRPr="00193042">
              <w:rPr>
                <w:i/>
                <w:sz w:val="20"/>
                <w:szCs w:val="20"/>
                <w:u w:val="single"/>
              </w:rPr>
              <w:t>(Intercept)</w:t>
            </w:r>
          </w:p>
        </w:tc>
        <w:tc>
          <w:tcPr>
            <w:tcW w:w="1170" w:type="dxa"/>
            <w:shd w:val="clear" w:color="auto" w:fill="auto"/>
            <w:noWrap/>
            <w:vAlign w:val="bottom"/>
            <w:hideMark/>
          </w:tcPr>
          <w:p w14:paraId="31B65E6B" w14:textId="71764407" w:rsidR="00AF20B6" w:rsidRPr="001217A6" w:rsidRDefault="00AF20B6" w:rsidP="00AF20B6">
            <w:pPr>
              <w:pStyle w:val="Tables"/>
              <w:rPr>
                <w:b/>
                <w:bCs/>
                <w:sz w:val="20"/>
                <w:szCs w:val="20"/>
                <w:u w:val="single"/>
              </w:rPr>
            </w:pPr>
            <w:r w:rsidRPr="001217A6">
              <w:rPr>
                <w:b/>
                <w:bCs/>
                <w:sz w:val="20"/>
                <w:szCs w:val="20"/>
                <w:u w:val="single"/>
              </w:rPr>
              <w:t>FA</w:t>
            </w:r>
          </w:p>
        </w:tc>
        <w:tc>
          <w:tcPr>
            <w:tcW w:w="1170" w:type="dxa"/>
            <w:shd w:val="clear" w:color="auto" w:fill="auto"/>
            <w:noWrap/>
            <w:vAlign w:val="bottom"/>
            <w:hideMark/>
          </w:tcPr>
          <w:p w14:paraId="3C50EA24" w14:textId="23DC7696" w:rsidR="00AF20B6" w:rsidRPr="001217A6" w:rsidRDefault="00AF20B6" w:rsidP="00AF20B6">
            <w:pPr>
              <w:pStyle w:val="Tables"/>
              <w:rPr>
                <w:b/>
                <w:bCs/>
                <w:sz w:val="20"/>
                <w:szCs w:val="20"/>
                <w:u w:val="single"/>
              </w:rPr>
            </w:pPr>
            <w:r w:rsidRPr="001217A6">
              <w:rPr>
                <w:b/>
                <w:bCs/>
                <w:sz w:val="20"/>
                <w:szCs w:val="20"/>
                <w:u w:val="single"/>
              </w:rPr>
              <w:t>UA</w:t>
            </w:r>
          </w:p>
        </w:tc>
        <w:tc>
          <w:tcPr>
            <w:tcW w:w="1260" w:type="dxa"/>
            <w:shd w:val="clear" w:color="auto" w:fill="auto"/>
            <w:noWrap/>
            <w:vAlign w:val="bottom"/>
            <w:hideMark/>
          </w:tcPr>
          <w:p w14:paraId="0733348F" w14:textId="27258084" w:rsidR="00AF20B6" w:rsidRPr="001217A6" w:rsidRDefault="00AF20B6" w:rsidP="00AF20B6">
            <w:pPr>
              <w:pStyle w:val="Tables"/>
              <w:rPr>
                <w:b/>
                <w:bCs/>
                <w:sz w:val="20"/>
                <w:szCs w:val="20"/>
                <w:u w:val="single"/>
              </w:rPr>
            </w:pPr>
            <w:r w:rsidRPr="001217A6">
              <w:rPr>
                <w:b/>
                <w:bCs/>
                <w:sz w:val="20"/>
                <w:szCs w:val="20"/>
                <w:u w:val="single"/>
              </w:rPr>
              <w:t>glucose.nrel</w:t>
            </w:r>
          </w:p>
        </w:tc>
        <w:tc>
          <w:tcPr>
            <w:tcW w:w="942" w:type="dxa"/>
            <w:shd w:val="clear" w:color="auto" w:fill="auto"/>
            <w:noWrap/>
            <w:vAlign w:val="bottom"/>
            <w:hideMark/>
          </w:tcPr>
          <w:p w14:paraId="5273FE62" w14:textId="77777777" w:rsidR="00AF20B6" w:rsidRPr="00AF20B6" w:rsidRDefault="00AF20B6" w:rsidP="00AF20B6">
            <w:pPr>
              <w:pStyle w:val="Tables"/>
              <w:rPr>
                <w:b/>
                <w:bCs/>
                <w:sz w:val="20"/>
                <w:szCs w:val="20"/>
              </w:rPr>
            </w:pPr>
          </w:p>
        </w:tc>
        <w:tc>
          <w:tcPr>
            <w:tcW w:w="1066" w:type="dxa"/>
            <w:shd w:val="clear" w:color="auto" w:fill="auto"/>
            <w:noWrap/>
            <w:vAlign w:val="bottom"/>
            <w:hideMark/>
          </w:tcPr>
          <w:p w14:paraId="46F2C46D" w14:textId="77777777" w:rsidR="00AF20B6" w:rsidRPr="00AF20B6" w:rsidRDefault="00AF20B6" w:rsidP="00AF20B6">
            <w:pPr>
              <w:pStyle w:val="Tables"/>
              <w:rPr>
                <w:sz w:val="20"/>
                <w:szCs w:val="20"/>
              </w:rPr>
            </w:pPr>
          </w:p>
        </w:tc>
      </w:tr>
      <w:tr w:rsidR="003D6CB9" w:rsidRPr="00506A5A" w14:paraId="44ECD9A2" w14:textId="77777777" w:rsidTr="003D6CB9">
        <w:trPr>
          <w:trHeight w:val="20"/>
        </w:trPr>
        <w:tc>
          <w:tcPr>
            <w:tcW w:w="1708" w:type="dxa"/>
            <w:vMerge/>
            <w:shd w:val="clear" w:color="auto" w:fill="auto"/>
            <w:noWrap/>
            <w:vAlign w:val="center"/>
            <w:hideMark/>
          </w:tcPr>
          <w:p w14:paraId="75800BAB" w14:textId="77777777" w:rsidR="00AF20B6" w:rsidRPr="00506A5A" w:rsidRDefault="00AF20B6" w:rsidP="00373BB2">
            <w:pPr>
              <w:pStyle w:val="Tables"/>
              <w:rPr>
                <w:sz w:val="20"/>
                <w:szCs w:val="20"/>
              </w:rPr>
            </w:pPr>
          </w:p>
        </w:tc>
        <w:tc>
          <w:tcPr>
            <w:tcW w:w="1170" w:type="dxa"/>
            <w:shd w:val="clear" w:color="auto" w:fill="auto"/>
            <w:noWrap/>
            <w:vAlign w:val="bottom"/>
            <w:hideMark/>
          </w:tcPr>
          <w:p w14:paraId="4C4C8300" w14:textId="3528D09B" w:rsidR="00AF20B6" w:rsidRPr="00193042" w:rsidRDefault="00AF20B6" w:rsidP="00AF20B6">
            <w:pPr>
              <w:pStyle w:val="Tables"/>
              <w:rPr>
                <w:sz w:val="20"/>
                <w:szCs w:val="20"/>
              </w:rPr>
            </w:pPr>
            <w:r w:rsidRPr="00193042">
              <w:rPr>
                <w:sz w:val="20"/>
                <w:szCs w:val="20"/>
              </w:rPr>
              <w:t>31635.30</w:t>
            </w:r>
          </w:p>
        </w:tc>
        <w:tc>
          <w:tcPr>
            <w:tcW w:w="1170" w:type="dxa"/>
            <w:shd w:val="clear" w:color="auto" w:fill="auto"/>
            <w:noWrap/>
            <w:vAlign w:val="bottom"/>
            <w:hideMark/>
          </w:tcPr>
          <w:p w14:paraId="2E4A75C9" w14:textId="60BE379B" w:rsidR="00AF20B6" w:rsidRPr="00AF20B6" w:rsidRDefault="00AF20B6" w:rsidP="00AF20B6">
            <w:pPr>
              <w:pStyle w:val="Tables"/>
              <w:rPr>
                <w:sz w:val="20"/>
                <w:szCs w:val="20"/>
              </w:rPr>
            </w:pPr>
            <w:r w:rsidRPr="00AF20B6">
              <w:rPr>
                <w:sz w:val="20"/>
                <w:szCs w:val="20"/>
              </w:rPr>
              <w:t>-939.54</w:t>
            </w:r>
          </w:p>
        </w:tc>
        <w:tc>
          <w:tcPr>
            <w:tcW w:w="1170" w:type="dxa"/>
            <w:shd w:val="clear" w:color="auto" w:fill="auto"/>
            <w:noWrap/>
            <w:vAlign w:val="bottom"/>
            <w:hideMark/>
          </w:tcPr>
          <w:p w14:paraId="7995713D" w14:textId="3FA9B003" w:rsidR="00AF20B6" w:rsidRPr="00AF20B6" w:rsidRDefault="00AF20B6" w:rsidP="00AF20B6">
            <w:pPr>
              <w:pStyle w:val="Tables"/>
              <w:rPr>
                <w:sz w:val="20"/>
                <w:szCs w:val="20"/>
              </w:rPr>
            </w:pPr>
            <w:r w:rsidRPr="00AF20B6">
              <w:rPr>
                <w:sz w:val="20"/>
                <w:szCs w:val="20"/>
              </w:rPr>
              <w:t>2185.86</w:t>
            </w:r>
          </w:p>
        </w:tc>
        <w:tc>
          <w:tcPr>
            <w:tcW w:w="1260" w:type="dxa"/>
            <w:shd w:val="clear" w:color="auto" w:fill="auto"/>
            <w:noWrap/>
            <w:vAlign w:val="bottom"/>
            <w:hideMark/>
          </w:tcPr>
          <w:p w14:paraId="75262D77" w14:textId="7944E17A" w:rsidR="00AF20B6" w:rsidRPr="00AF20B6" w:rsidRDefault="00AF20B6" w:rsidP="00AF20B6">
            <w:pPr>
              <w:pStyle w:val="Tables"/>
              <w:rPr>
                <w:sz w:val="20"/>
                <w:szCs w:val="20"/>
              </w:rPr>
            </w:pPr>
            <w:r w:rsidRPr="00AF20B6">
              <w:rPr>
                <w:sz w:val="20"/>
                <w:szCs w:val="20"/>
              </w:rPr>
              <w:t>-88782.91</w:t>
            </w:r>
          </w:p>
        </w:tc>
        <w:tc>
          <w:tcPr>
            <w:tcW w:w="942" w:type="dxa"/>
            <w:shd w:val="clear" w:color="auto" w:fill="auto"/>
            <w:noWrap/>
            <w:vAlign w:val="bottom"/>
            <w:hideMark/>
          </w:tcPr>
          <w:p w14:paraId="54AB1542" w14:textId="77777777" w:rsidR="00AF20B6" w:rsidRPr="00AF20B6" w:rsidRDefault="00AF20B6" w:rsidP="00AF20B6">
            <w:pPr>
              <w:pStyle w:val="Tables"/>
              <w:rPr>
                <w:sz w:val="20"/>
                <w:szCs w:val="20"/>
              </w:rPr>
            </w:pPr>
          </w:p>
        </w:tc>
        <w:tc>
          <w:tcPr>
            <w:tcW w:w="1066" w:type="dxa"/>
            <w:shd w:val="clear" w:color="auto" w:fill="auto"/>
            <w:noWrap/>
            <w:vAlign w:val="bottom"/>
            <w:hideMark/>
          </w:tcPr>
          <w:p w14:paraId="425B5586" w14:textId="77777777" w:rsidR="00AF20B6" w:rsidRPr="00AF20B6" w:rsidRDefault="00AF20B6" w:rsidP="00AF20B6">
            <w:pPr>
              <w:pStyle w:val="Tables"/>
              <w:rPr>
                <w:sz w:val="20"/>
                <w:szCs w:val="20"/>
              </w:rPr>
            </w:pPr>
          </w:p>
        </w:tc>
      </w:tr>
      <w:tr w:rsidR="003D6CB9" w:rsidRPr="00506A5A" w14:paraId="2F4BADC7" w14:textId="77777777" w:rsidTr="003D6CB9">
        <w:trPr>
          <w:trHeight w:val="20"/>
        </w:trPr>
        <w:tc>
          <w:tcPr>
            <w:tcW w:w="1708" w:type="dxa"/>
            <w:shd w:val="clear" w:color="auto" w:fill="auto"/>
            <w:noWrap/>
            <w:vAlign w:val="center"/>
            <w:hideMark/>
          </w:tcPr>
          <w:p w14:paraId="4D660187" w14:textId="77777777" w:rsidR="00AF20B6" w:rsidRPr="00506A5A" w:rsidRDefault="00AF20B6" w:rsidP="00373BB2">
            <w:pPr>
              <w:pStyle w:val="Tables"/>
              <w:rPr>
                <w:sz w:val="20"/>
                <w:szCs w:val="20"/>
              </w:rPr>
            </w:pPr>
          </w:p>
        </w:tc>
        <w:tc>
          <w:tcPr>
            <w:tcW w:w="1170" w:type="dxa"/>
            <w:shd w:val="clear" w:color="auto" w:fill="auto"/>
            <w:noWrap/>
            <w:vAlign w:val="bottom"/>
            <w:hideMark/>
          </w:tcPr>
          <w:p w14:paraId="5D55848A" w14:textId="77777777" w:rsidR="00AF20B6" w:rsidRPr="00193042" w:rsidRDefault="00AF20B6" w:rsidP="00AF20B6">
            <w:pPr>
              <w:pStyle w:val="Tables"/>
              <w:rPr>
                <w:i/>
                <w:sz w:val="20"/>
                <w:szCs w:val="20"/>
                <w:u w:val="single"/>
              </w:rPr>
            </w:pPr>
          </w:p>
        </w:tc>
        <w:tc>
          <w:tcPr>
            <w:tcW w:w="1170" w:type="dxa"/>
            <w:shd w:val="clear" w:color="auto" w:fill="auto"/>
            <w:noWrap/>
            <w:vAlign w:val="bottom"/>
            <w:hideMark/>
          </w:tcPr>
          <w:p w14:paraId="34CA7C93" w14:textId="77777777" w:rsidR="00AF20B6" w:rsidRPr="00AF20B6" w:rsidRDefault="00AF20B6" w:rsidP="00AF20B6">
            <w:pPr>
              <w:pStyle w:val="Tables"/>
              <w:rPr>
                <w:sz w:val="20"/>
                <w:szCs w:val="20"/>
              </w:rPr>
            </w:pPr>
          </w:p>
        </w:tc>
        <w:tc>
          <w:tcPr>
            <w:tcW w:w="1170" w:type="dxa"/>
            <w:shd w:val="clear" w:color="auto" w:fill="auto"/>
            <w:noWrap/>
            <w:vAlign w:val="bottom"/>
            <w:hideMark/>
          </w:tcPr>
          <w:p w14:paraId="5719D018" w14:textId="77777777" w:rsidR="00AF20B6" w:rsidRPr="00AF20B6" w:rsidRDefault="00AF20B6" w:rsidP="00AF20B6">
            <w:pPr>
              <w:pStyle w:val="Tables"/>
              <w:rPr>
                <w:sz w:val="20"/>
                <w:szCs w:val="20"/>
              </w:rPr>
            </w:pPr>
          </w:p>
        </w:tc>
        <w:tc>
          <w:tcPr>
            <w:tcW w:w="1260" w:type="dxa"/>
            <w:shd w:val="clear" w:color="auto" w:fill="auto"/>
            <w:noWrap/>
            <w:vAlign w:val="bottom"/>
            <w:hideMark/>
          </w:tcPr>
          <w:p w14:paraId="14510782" w14:textId="77777777" w:rsidR="00AF20B6" w:rsidRPr="00AF20B6" w:rsidRDefault="00AF20B6" w:rsidP="00AF20B6">
            <w:pPr>
              <w:pStyle w:val="Tables"/>
              <w:rPr>
                <w:sz w:val="20"/>
                <w:szCs w:val="20"/>
              </w:rPr>
            </w:pPr>
          </w:p>
        </w:tc>
        <w:tc>
          <w:tcPr>
            <w:tcW w:w="942" w:type="dxa"/>
            <w:shd w:val="clear" w:color="auto" w:fill="auto"/>
            <w:noWrap/>
            <w:vAlign w:val="bottom"/>
            <w:hideMark/>
          </w:tcPr>
          <w:p w14:paraId="0399B117" w14:textId="77777777" w:rsidR="00AF20B6" w:rsidRPr="00AF20B6" w:rsidRDefault="00AF20B6" w:rsidP="00AF20B6">
            <w:pPr>
              <w:pStyle w:val="Tables"/>
              <w:rPr>
                <w:sz w:val="20"/>
                <w:szCs w:val="20"/>
              </w:rPr>
            </w:pPr>
          </w:p>
        </w:tc>
        <w:tc>
          <w:tcPr>
            <w:tcW w:w="1066" w:type="dxa"/>
            <w:shd w:val="clear" w:color="auto" w:fill="auto"/>
            <w:noWrap/>
            <w:vAlign w:val="bottom"/>
            <w:hideMark/>
          </w:tcPr>
          <w:p w14:paraId="3A2B6EF0" w14:textId="77777777" w:rsidR="00AF20B6" w:rsidRPr="00AF20B6" w:rsidRDefault="00AF20B6" w:rsidP="00AF20B6">
            <w:pPr>
              <w:pStyle w:val="Tables"/>
              <w:rPr>
                <w:sz w:val="20"/>
                <w:szCs w:val="20"/>
              </w:rPr>
            </w:pPr>
          </w:p>
        </w:tc>
      </w:tr>
      <w:tr w:rsidR="003D6CB9" w:rsidRPr="00506A5A" w14:paraId="1B5DF65E" w14:textId="77777777" w:rsidTr="003D6CB9">
        <w:trPr>
          <w:trHeight w:val="20"/>
        </w:trPr>
        <w:tc>
          <w:tcPr>
            <w:tcW w:w="1708" w:type="dxa"/>
            <w:vMerge w:val="restart"/>
            <w:shd w:val="clear" w:color="auto" w:fill="auto"/>
            <w:noWrap/>
            <w:vAlign w:val="center"/>
            <w:hideMark/>
          </w:tcPr>
          <w:p w14:paraId="055674CD" w14:textId="77777777" w:rsidR="00AF20B6" w:rsidRPr="00506A5A" w:rsidRDefault="00AF20B6" w:rsidP="00373BB2">
            <w:pPr>
              <w:pStyle w:val="Tables"/>
              <w:rPr>
                <w:sz w:val="20"/>
                <w:szCs w:val="20"/>
              </w:rPr>
            </w:pPr>
            <w:r w:rsidRPr="00506A5A">
              <w:rPr>
                <w:sz w:val="20"/>
                <w:szCs w:val="20"/>
              </w:rPr>
              <w:t>methoxyphenols</w:t>
            </w:r>
          </w:p>
        </w:tc>
        <w:tc>
          <w:tcPr>
            <w:tcW w:w="1170" w:type="dxa"/>
            <w:shd w:val="clear" w:color="auto" w:fill="auto"/>
            <w:noWrap/>
            <w:vAlign w:val="bottom"/>
            <w:hideMark/>
          </w:tcPr>
          <w:p w14:paraId="60CB9737" w14:textId="0AA4B454" w:rsidR="00AF20B6" w:rsidRPr="00193042" w:rsidRDefault="00AF20B6" w:rsidP="00AF20B6">
            <w:pPr>
              <w:pStyle w:val="Tables"/>
              <w:rPr>
                <w:i/>
                <w:sz w:val="20"/>
                <w:szCs w:val="20"/>
                <w:u w:val="single"/>
              </w:rPr>
            </w:pPr>
            <w:r w:rsidRPr="00193042">
              <w:rPr>
                <w:i/>
                <w:sz w:val="20"/>
                <w:szCs w:val="20"/>
                <w:u w:val="single"/>
              </w:rPr>
              <w:t>(Intercept)</w:t>
            </w:r>
          </w:p>
        </w:tc>
        <w:tc>
          <w:tcPr>
            <w:tcW w:w="1170" w:type="dxa"/>
            <w:shd w:val="clear" w:color="auto" w:fill="auto"/>
            <w:noWrap/>
            <w:vAlign w:val="bottom"/>
            <w:hideMark/>
          </w:tcPr>
          <w:p w14:paraId="7D750267" w14:textId="7214F5F9" w:rsidR="00AF20B6" w:rsidRPr="001217A6" w:rsidRDefault="00AF20B6" w:rsidP="00AF20B6">
            <w:pPr>
              <w:pStyle w:val="Tables"/>
              <w:rPr>
                <w:b/>
                <w:bCs/>
                <w:sz w:val="20"/>
                <w:szCs w:val="20"/>
                <w:u w:val="single"/>
              </w:rPr>
            </w:pPr>
            <w:r w:rsidRPr="001217A6">
              <w:rPr>
                <w:b/>
                <w:bCs/>
                <w:sz w:val="20"/>
                <w:szCs w:val="20"/>
                <w:u w:val="single"/>
              </w:rPr>
              <w:t>ARA</w:t>
            </w:r>
          </w:p>
        </w:tc>
        <w:tc>
          <w:tcPr>
            <w:tcW w:w="1170" w:type="dxa"/>
            <w:shd w:val="clear" w:color="auto" w:fill="auto"/>
            <w:noWrap/>
            <w:vAlign w:val="bottom"/>
            <w:hideMark/>
          </w:tcPr>
          <w:p w14:paraId="0CEA1911" w14:textId="476C7721" w:rsidR="00AF20B6" w:rsidRPr="001217A6" w:rsidRDefault="00AF20B6" w:rsidP="00AF20B6">
            <w:pPr>
              <w:pStyle w:val="Tables"/>
              <w:rPr>
                <w:b/>
                <w:bCs/>
                <w:sz w:val="20"/>
                <w:szCs w:val="20"/>
                <w:u w:val="single"/>
              </w:rPr>
            </w:pPr>
            <w:r w:rsidRPr="001217A6">
              <w:rPr>
                <w:b/>
                <w:bCs/>
                <w:sz w:val="20"/>
                <w:szCs w:val="20"/>
                <w:u w:val="single"/>
              </w:rPr>
              <w:t>lignin.nrel</w:t>
            </w:r>
          </w:p>
        </w:tc>
        <w:tc>
          <w:tcPr>
            <w:tcW w:w="1260" w:type="dxa"/>
            <w:shd w:val="clear" w:color="auto" w:fill="auto"/>
            <w:noWrap/>
            <w:vAlign w:val="bottom"/>
            <w:hideMark/>
          </w:tcPr>
          <w:p w14:paraId="0BD0472B" w14:textId="77777777" w:rsidR="00AF20B6" w:rsidRPr="00AF20B6" w:rsidRDefault="00AF20B6" w:rsidP="00AF20B6">
            <w:pPr>
              <w:pStyle w:val="Tables"/>
              <w:rPr>
                <w:b/>
                <w:bCs/>
                <w:sz w:val="20"/>
                <w:szCs w:val="20"/>
              </w:rPr>
            </w:pPr>
          </w:p>
        </w:tc>
        <w:tc>
          <w:tcPr>
            <w:tcW w:w="942" w:type="dxa"/>
            <w:shd w:val="clear" w:color="auto" w:fill="auto"/>
            <w:noWrap/>
            <w:vAlign w:val="bottom"/>
            <w:hideMark/>
          </w:tcPr>
          <w:p w14:paraId="5046F39E" w14:textId="77777777" w:rsidR="00AF20B6" w:rsidRPr="00AF20B6" w:rsidRDefault="00AF20B6" w:rsidP="00AF20B6">
            <w:pPr>
              <w:pStyle w:val="Tables"/>
              <w:rPr>
                <w:sz w:val="20"/>
                <w:szCs w:val="20"/>
              </w:rPr>
            </w:pPr>
          </w:p>
        </w:tc>
        <w:tc>
          <w:tcPr>
            <w:tcW w:w="1066" w:type="dxa"/>
            <w:shd w:val="clear" w:color="auto" w:fill="auto"/>
            <w:noWrap/>
            <w:vAlign w:val="bottom"/>
            <w:hideMark/>
          </w:tcPr>
          <w:p w14:paraId="4CFCDAAD" w14:textId="77777777" w:rsidR="00AF20B6" w:rsidRPr="00AF20B6" w:rsidRDefault="00AF20B6" w:rsidP="00AF20B6">
            <w:pPr>
              <w:pStyle w:val="Tables"/>
              <w:rPr>
                <w:sz w:val="20"/>
                <w:szCs w:val="20"/>
              </w:rPr>
            </w:pPr>
          </w:p>
        </w:tc>
      </w:tr>
      <w:tr w:rsidR="003D6CB9" w:rsidRPr="00506A5A" w14:paraId="50B55D31" w14:textId="77777777" w:rsidTr="003D6CB9">
        <w:trPr>
          <w:trHeight w:val="20"/>
        </w:trPr>
        <w:tc>
          <w:tcPr>
            <w:tcW w:w="1708" w:type="dxa"/>
            <w:vMerge/>
            <w:shd w:val="clear" w:color="auto" w:fill="auto"/>
            <w:noWrap/>
            <w:vAlign w:val="center"/>
            <w:hideMark/>
          </w:tcPr>
          <w:p w14:paraId="7EC12D9D" w14:textId="77777777" w:rsidR="00AF20B6" w:rsidRPr="00506A5A" w:rsidRDefault="00AF20B6" w:rsidP="00373BB2">
            <w:pPr>
              <w:pStyle w:val="Tables"/>
              <w:rPr>
                <w:sz w:val="20"/>
                <w:szCs w:val="20"/>
              </w:rPr>
            </w:pPr>
          </w:p>
        </w:tc>
        <w:tc>
          <w:tcPr>
            <w:tcW w:w="1170" w:type="dxa"/>
            <w:shd w:val="clear" w:color="auto" w:fill="auto"/>
            <w:noWrap/>
            <w:vAlign w:val="bottom"/>
            <w:hideMark/>
          </w:tcPr>
          <w:p w14:paraId="53FFEC73" w14:textId="052BABCE" w:rsidR="00AF20B6" w:rsidRPr="00193042" w:rsidRDefault="00AF20B6" w:rsidP="00AF20B6">
            <w:pPr>
              <w:pStyle w:val="Tables"/>
              <w:rPr>
                <w:sz w:val="20"/>
                <w:szCs w:val="20"/>
              </w:rPr>
            </w:pPr>
            <w:r w:rsidRPr="00193042">
              <w:rPr>
                <w:sz w:val="20"/>
                <w:szCs w:val="20"/>
              </w:rPr>
              <w:t>33233.79</w:t>
            </w:r>
          </w:p>
        </w:tc>
        <w:tc>
          <w:tcPr>
            <w:tcW w:w="1170" w:type="dxa"/>
            <w:shd w:val="clear" w:color="auto" w:fill="auto"/>
            <w:noWrap/>
            <w:vAlign w:val="bottom"/>
            <w:hideMark/>
          </w:tcPr>
          <w:p w14:paraId="1C1EE0E7" w14:textId="5288C296" w:rsidR="00AF20B6" w:rsidRPr="00AF20B6" w:rsidRDefault="00AF20B6" w:rsidP="00AF20B6">
            <w:pPr>
              <w:pStyle w:val="Tables"/>
              <w:rPr>
                <w:sz w:val="20"/>
                <w:szCs w:val="20"/>
              </w:rPr>
            </w:pPr>
            <w:r w:rsidRPr="00AF20B6">
              <w:rPr>
                <w:sz w:val="20"/>
                <w:szCs w:val="20"/>
              </w:rPr>
              <w:t>-563.70</w:t>
            </w:r>
          </w:p>
        </w:tc>
        <w:tc>
          <w:tcPr>
            <w:tcW w:w="1170" w:type="dxa"/>
            <w:shd w:val="clear" w:color="auto" w:fill="auto"/>
            <w:noWrap/>
            <w:vAlign w:val="bottom"/>
            <w:hideMark/>
          </w:tcPr>
          <w:p w14:paraId="67A6D1B0" w14:textId="3BEF774A" w:rsidR="00AF20B6" w:rsidRPr="00AF20B6" w:rsidRDefault="00AF20B6" w:rsidP="00AF20B6">
            <w:pPr>
              <w:pStyle w:val="Tables"/>
              <w:rPr>
                <w:sz w:val="20"/>
                <w:szCs w:val="20"/>
              </w:rPr>
            </w:pPr>
            <w:r w:rsidRPr="00AF20B6">
              <w:rPr>
                <w:sz w:val="20"/>
                <w:szCs w:val="20"/>
              </w:rPr>
              <w:t>703.30</w:t>
            </w:r>
          </w:p>
        </w:tc>
        <w:tc>
          <w:tcPr>
            <w:tcW w:w="1260" w:type="dxa"/>
            <w:shd w:val="clear" w:color="auto" w:fill="auto"/>
            <w:noWrap/>
            <w:vAlign w:val="bottom"/>
            <w:hideMark/>
          </w:tcPr>
          <w:p w14:paraId="05C729A1" w14:textId="77777777" w:rsidR="00AF20B6" w:rsidRPr="00AF20B6" w:rsidRDefault="00AF20B6" w:rsidP="00AF20B6">
            <w:pPr>
              <w:pStyle w:val="Tables"/>
              <w:rPr>
                <w:sz w:val="20"/>
                <w:szCs w:val="20"/>
              </w:rPr>
            </w:pPr>
          </w:p>
        </w:tc>
        <w:tc>
          <w:tcPr>
            <w:tcW w:w="942" w:type="dxa"/>
            <w:shd w:val="clear" w:color="auto" w:fill="auto"/>
            <w:noWrap/>
            <w:vAlign w:val="bottom"/>
            <w:hideMark/>
          </w:tcPr>
          <w:p w14:paraId="4494AD0D" w14:textId="77777777" w:rsidR="00AF20B6" w:rsidRPr="00AF20B6" w:rsidRDefault="00AF20B6" w:rsidP="00AF20B6">
            <w:pPr>
              <w:pStyle w:val="Tables"/>
              <w:rPr>
                <w:sz w:val="20"/>
                <w:szCs w:val="20"/>
              </w:rPr>
            </w:pPr>
          </w:p>
        </w:tc>
        <w:tc>
          <w:tcPr>
            <w:tcW w:w="1066" w:type="dxa"/>
            <w:shd w:val="clear" w:color="auto" w:fill="auto"/>
            <w:noWrap/>
            <w:vAlign w:val="bottom"/>
            <w:hideMark/>
          </w:tcPr>
          <w:p w14:paraId="16BFA1F8" w14:textId="77777777" w:rsidR="00AF20B6" w:rsidRPr="00AF20B6" w:rsidRDefault="00AF20B6" w:rsidP="00AF20B6">
            <w:pPr>
              <w:pStyle w:val="Tables"/>
              <w:rPr>
                <w:sz w:val="20"/>
                <w:szCs w:val="20"/>
              </w:rPr>
            </w:pPr>
          </w:p>
        </w:tc>
      </w:tr>
      <w:tr w:rsidR="003D6CB9" w:rsidRPr="00506A5A" w14:paraId="33F9552B" w14:textId="77777777" w:rsidTr="003D6CB9">
        <w:trPr>
          <w:trHeight w:val="20"/>
        </w:trPr>
        <w:tc>
          <w:tcPr>
            <w:tcW w:w="1708" w:type="dxa"/>
            <w:shd w:val="clear" w:color="auto" w:fill="auto"/>
            <w:noWrap/>
            <w:vAlign w:val="center"/>
            <w:hideMark/>
          </w:tcPr>
          <w:p w14:paraId="58C5002F" w14:textId="77777777" w:rsidR="00AF20B6" w:rsidRPr="00506A5A" w:rsidRDefault="00AF20B6" w:rsidP="00373BB2">
            <w:pPr>
              <w:pStyle w:val="Tables"/>
              <w:rPr>
                <w:sz w:val="20"/>
                <w:szCs w:val="20"/>
              </w:rPr>
            </w:pPr>
          </w:p>
        </w:tc>
        <w:tc>
          <w:tcPr>
            <w:tcW w:w="1170" w:type="dxa"/>
            <w:shd w:val="clear" w:color="auto" w:fill="auto"/>
            <w:noWrap/>
            <w:vAlign w:val="bottom"/>
            <w:hideMark/>
          </w:tcPr>
          <w:p w14:paraId="18A4EDAF" w14:textId="77777777" w:rsidR="00AF20B6" w:rsidRPr="00193042" w:rsidRDefault="00AF20B6" w:rsidP="00AF20B6">
            <w:pPr>
              <w:pStyle w:val="Tables"/>
              <w:rPr>
                <w:i/>
                <w:sz w:val="20"/>
                <w:szCs w:val="20"/>
                <w:u w:val="single"/>
              </w:rPr>
            </w:pPr>
          </w:p>
        </w:tc>
        <w:tc>
          <w:tcPr>
            <w:tcW w:w="1170" w:type="dxa"/>
            <w:shd w:val="clear" w:color="auto" w:fill="auto"/>
            <w:noWrap/>
            <w:vAlign w:val="bottom"/>
            <w:hideMark/>
          </w:tcPr>
          <w:p w14:paraId="0A3F078D" w14:textId="77777777" w:rsidR="00AF20B6" w:rsidRPr="00AF20B6" w:rsidRDefault="00AF20B6" w:rsidP="00AF20B6">
            <w:pPr>
              <w:pStyle w:val="Tables"/>
              <w:rPr>
                <w:sz w:val="20"/>
                <w:szCs w:val="20"/>
              </w:rPr>
            </w:pPr>
          </w:p>
        </w:tc>
        <w:tc>
          <w:tcPr>
            <w:tcW w:w="1170" w:type="dxa"/>
            <w:shd w:val="clear" w:color="auto" w:fill="auto"/>
            <w:noWrap/>
            <w:vAlign w:val="bottom"/>
            <w:hideMark/>
          </w:tcPr>
          <w:p w14:paraId="2F116FCF" w14:textId="77777777" w:rsidR="00AF20B6" w:rsidRPr="00AF20B6" w:rsidRDefault="00AF20B6" w:rsidP="00AF20B6">
            <w:pPr>
              <w:pStyle w:val="Tables"/>
              <w:rPr>
                <w:sz w:val="20"/>
                <w:szCs w:val="20"/>
              </w:rPr>
            </w:pPr>
          </w:p>
        </w:tc>
        <w:tc>
          <w:tcPr>
            <w:tcW w:w="1260" w:type="dxa"/>
            <w:shd w:val="clear" w:color="auto" w:fill="auto"/>
            <w:noWrap/>
            <w:vAlign w:val="bottom"/>
            <w:hideMark/>
          </w:tcPr>
          <w:p w14:paraId="4AFB2BE5" w14:textId="77777777" w:rsidR="00AF20B6" w:rsidRPr="00AF20B6" w:rsidRDefault="00AF20B6" w:rsidP="00AF20B6">
            <w:pPr>
              <w:pStyle w:val="Tables"/>
              <w:rPr>
                <w:sz w:val="20"/>
                <w:szCs w:val="20"/>
              </w:rPr>
            </w:pPr>
          </w:p>
        </w:tc>
        <w:tc>
          <w:tcPr>
            <w:tcW w:w="942" w:type="dxa"/>
            <w:shd w:val="clear" w:color="auto" w:fill="auto"/>
            <w:noWrap/>
            <w:vAlign w:val="bottom"/>
            <w:hideMark/>
          </w:tcPr>
          <w:p w14:paraId="20CFC5E9" w14:textId="77777777" w:rsidR="00AF20B6" w:rsidRPr="00AF20B6" w:rsidRDefault="00AF20B6" w:rsidP="00AF20B6">
            <w:pPr>
              <w:pStyle w:val="Tables"/>
              <w:rPr>
                <w:sz w:val="20"/>
                <w:szCs w:val="20"/>
              </w:rPr>
            </w:pPr>
          </w:p>
        </w:tc>
        <w:tc>
          <w:tcPr>
            <w:tcW w:w="1066" w:type="dxa"/>
            <w:shd w:val="clear" w:color="auto" w:fill="auto"/>
            <w:noWrap/>
            <w:vAlign w:val="bottom"/>
            <w:hideMark/>
          </w:tcPr>
          <w:p w14:paraId="5DE84DB1" w14:textId="77777777" w:rsidR="00AF20B6" w:rsidRPr="00AF20B6" w:rsidRDefault="00AF20B6" w:rsidP="00AF20B6">
            <w:pPr>
              <w:pStyle w:val="Tables"/>
              <w:rPr>
                <w:sz w:val="20"/>
                <w:szCs w:val="20"/>
              </w:rPr>
            </w:pPr>
          </w:p>
        </w:tc>
      </w:tr>
      <w:tr w:rsidR="003D6CB9" w:rsidRPr="00506A5A" w14:paraId="4F5AA0C8" w14:textId="77777777" w:rsidTr="003D6CB9">
        <w:trPr>
          <w:trHeight w:val="20"/>
        </w:trPr>
        <w:tc>
          <w:tcPr>
            <w:tcW w:w="1708" w:type="dxa"/>
            <w:vMerge w:val="restart"/>
            <w:shd w:val="clear" w:color="auto" w:fill="auto"/>
            <w:noWrap/>
            <w:vAlign w:val="center"/>
            <w:hideMark/>
          </w:tcPr>
          <w:p w14:paraId="7F45329A" w14:textId="77777777" w:rsidR="00AF20B6" w:rsidRPr="00506A5A" w:rsidRDefault="00AF20B6" w:rsidP="00373BB2">
            <w:pPr>
              <w:pStyle w:val="Tables"/>
              <w:rPr>
                <w:sz w:val="20"/>
                <w:szCs w:val="20"/>
              </w:rPr>
            </w:pPr>
            <w:r w:rsidRPr="00506A5A">
              <w:rPr>
                <w:sz w:val="20"/>
                <w:szCs w:val="20"/>
              </w:rPr>
              <w:t>pyran derivatives</w:t>
            </w:r>
          </w:p>
        </w:tc>
        <w:tc>
          <w:tcPr>
            <w:tcW w:w="1170" w:type="dxa"/>
            <w:shd w:val="clear" w:color="auto" w:fill="auto"/>
            <w:noWrap/>
            <w:vAlign w:val="bottom"/>
            <w:hideMark/>
          </w:tcPr>
          <w:p w14:paraId="1CB331F0" w14:textId="1FD9523B" w:rsidR="00AF20B6" w:rsidRPr="00193042" w:rsidRDefault="00AF20B6" w:rsidP="00AF20B6">
            <w:pPr>
              <w:pStyle w:val="Tables"/>
              <w:rPr>
                <w:i/>
                <w:sz w:val="20"/>
                <w:szCs w:val="20"/>
                <w:u w:val="single"/>
              </w:rPr>
            </w:pPr>
            <w:r w:rsidRPr="00193042">
              <w:rPr>
                <w:i/>
                <w:sz w:val="20"/>
                <w:szCs w:val="20"/>
                <w:u w:val="single"/>
              </w:rPr>
              <w:t>(Intercept)</w:t>
            </w:r>
          </w:p>
        </w:tc>
        <w:tc>
          <w:tcPr>
            <w:tcW w:w="1170" w:type="dxa"/>
            <w:shd w:val="clear" w:color="auto" w:fill="auto"/>
            <w:noWrap/>
            <w:vAlign w:val="bottom"/>
            <w:hideMark/>
          </w:tcPr>
          <w:p w14:paraId="218F7E8F" w14:textId="48959EB1" w:rsidR="00AF20B6" w:rsidRPr="00AF20B6" w:rsidRDefault="00AF20B6" w:rsidP="00AF20B6">
            <w:pPr>
              <w:pStyle w:val="Tables"/>
              <w:rPr>
                <w:b/>
                <w:bCs/>
                <w:sz w:val="20"/>
                <w:szCs w:val="20"/>
              </w:rPr>
            </w:pPr>
            <w:r w:rsidRPr="001217A6">
              <w:rPr>
                <w:b/>
                <w:bCs/>
                <w:sz w:val="20"/>
                <w:szCs w:val="20"/>
                <w:u w:val="single"/>
              </w:rPr>
              <w:t>GLCS</w:t>
            </w:r>
          </w:p>
        </w:tc>
        <w:tc>
          <w:tcPr>
            <w:tcW w:w="1170" w:type="dxa"/>
            <w:shd w:val="clear" w:color="auto" w:fill="auto"/>
            <w:noWrap/>
            <w:vAlign w:val="bottom"/>
            <w:hideMark/>
          </w:tcPr>
          <w:p w14:paraId="18F6FA89" w14:textId="77777777" w:rsidR="00AF20B6" w:rsidRPr="00AF20B6" w:rsidRDefault="00AF20B6" w:rsidP="00AF20B6">
            <w:pPr>
              <w:pStyle w:val="Tables"/>
              <w:rPr>
                <w:b/>
                <w:bCs/>
                <w:sz w:val="20"/>
                <w:szCs w:val="20"/>
              </w:rPr>
            </w:pPr>
          </w:p>
        </w:tc>
        <w:tc>
          <w:tcPr>
            <w:tcW w:w="1260" w:type="dxa"/>
            <w:shd w:val="clear" w:color="auto" w:fill="auto"/>
            <w:noWrap/>
            <w:vAlign w:val="bottom"/>
            <w:hideMark/>
          </w:tcPr>
          <w:p w14:paraId="55F6114A" w14:textId="77777777" w:rsidR="00AF20B6" w:rsidRPr="00AF20B6" w:rsidRDefault="00AF20B6" w:rsidP="00AF20B6">
            <w:pPr>
              <w:pStyle w:val="Tables"/>
              <w:rPr>
                <w:sz w:val="20"/>
                <w:szCs w:val="20"/>
              </w:rPr>
            </w:pPr>
          </w:p>
        </w:tc>
        <w:tc>
          <w:tcPr>
            <w:tcW w:w="942" w:type="dxa"/>
            <w:shd w:val="clear" w:color="auto" w:fill="auto"/>
            <w:noWrap/>
            <w:vAlign w:val="bottom"/>
            <w:hideMark/>
          </w:tcPr>
          <w:p w14:paraId="5C023493" w14:textId="77777777" w:rsidR="00AF20B6" w:rsidRPr="00AF20B6" w:rsidRDefault="00AF20B6" w:rsidP="00AF20B6">
            <w:pPr>
              <w:pStyle w:val="Tables"/>
              <w:rPr>
                <w:sz w:val="20"/>
                <w:szCs w:val="20"/>
              </w:rPr>
            </w:pPr>
          </w:p>
        </w:tc>
        <w:tc>
          <w:tcPr>
            <w:tcW w:w="1066" w:type="dxa"/>
            <w:shd w:val="clear" w:color="auto" w:fill="auto"/>
            <w:noWrap/>
            <w:vAlign w:val="bottom"/>
            <w:hideMark/>
          </w:tcPr>
          <w:p w14:paraId="5BA7CC6F" w14:textId="77777777" w:rsidR="00AF20B6" w:rsidRPr="00AF20B6" w:rsidRDefault="00AF20B6" w:rsidP="00AF20B6">
            <w:pPr>
              <w:pStyle w:val="Tables"/>
              <w:rPr>
                <w:sz w:val="20"/>
                <w:szCs w:val="20"/>
              </w:rPr>
            </w:pPr>
          </w:p>
        </w:tc>
      </w:tr>
      <w:tr w:rsidR="003D6CB9" w:rsidRPr="00506A5A" w14:paraId="34BD2197" w14:textId="77777777" w:rsidTr="003D6CB9">
        <w:trPr>
          <w:trHeight w:val="20"/>
        </w:trPr>
        <w:tc>
          <w:tcPr>
            <w:tcW w:w="1708" w:type="dxa"/>
            <w:vMerge/>
            <w:shd w:val="clear" w:color="auto" w:fill="auto"/>
            <w:noWrap/>
            <w:vAlign w:val="center"/>
            <w:hideMark/>
          </w:tcPr>
          <w:p w14:paraId="62D6E60E" w14:textId="77777777" w:rsidR="00AF20B6" w:rsidRPr="00506A5A" w:rsidRDefault="00AF20B6" w:rsidP="00373BB2">
            <w:pPr>
              <w:pStyle w:val="Tables"/>
              <w:rPr>
                <w:sz w:val="20"/>
                <w:szCs w:val="20"/>
              </w:rPr>
            </w:pPr>
          </w:p>
        </w:tc>
        <w:tc>
          <w:tcPr>
            <w:tcW w:w="1170" w:type="dxa"/>
            <w:shd w:val="clear" w:color="auto" w:fill="auto"/>
            <w:noWrap/>
            <w:vAlign w:val="bottom"/>
            <w:hideMark/>
          </w:tcPr>
          <w:p w14:paraId="69449946" w14:textId="261B209D" w:rsidR="00AF20B6" w:rsidRPr="00193042" w:rsidRDefault="00AF20B6" w:rsidP="00AF20B6">
            <w:pPr>
              <w:pStyle w:val="Tables"/>
              <w:rPr>
                <w:sz w:val="20"/>
                <w:szCs w:val="20"/>
              </w:rPr>
            </w:pPr>
            <w:r w:rsidRPr="00193042">
              <w:rPr>
                <w:sz w:val="20"/>
                <w:szCs w:val="20"/>
              </w:rPr>
              <w:t>87857.55</w:t>
            </w:r>
          </w:p>
        </w:tc>
        <w:tc>
          <w:tcPr>
            <w:tcW w:w="1170" w:type="dxa"/>
            <w:shd w:val="clear" w:color="auto" w:fill="auto"/>
            <w:noWrap/>
            <w:vAlign w:val="bottom"/>
            <w:hideMark/>
          </w:tcPr>
          <w:p w14:paraId="07B90BBE" w14:textId="2CFC40CB" w:rsidR="00AF20B6" w:rsidRPr="00AF20B6" w:rsidRDefault="00AF20B6" w:rsidP="00AF20B6">
            <w:pPr>
              <w:pStyle w:val="Tables"/>
              <w:rPr>
                <w:sz w:val="20"/>
                <w:szCs w:val="20"/>
              </w:rPr>
            </w:pPr>
            <w:r w:rsidRPr="00AF20B6">
              <w:rPr>
                <w:sz w:val="20"/>
                <w:szCs w:val="20"/>
              </w:rPr>
              <w:t>4066.25</w:t>
            </w:r>
          </w:p>
        </w:tc>
        <w:tc>
          <w:tcPr>
            <w:tcW w:w="1170" w:type="dxa"/>
            <w:shd w:val="clear" w:color="auto" w:fill="auto"/>
            <w:noWrap/>
            <w:vAlign w:val="bottom"/>
            <w:hideMark/>
          </w:tcPr>
          <w:p w14:paraId="61042E6B" w14:textId="77777777" w:rsidR="00AF20B6" w:rsidRPr="00AF20B6" w:rsidRDefault="00AF20B6" w:rsidP="00AF20B6">
            <w:pPr>
              <w:pStyle w:val="Tables"/>
              <w:rPr>
                <w:sz w:val="20"/>
                <w:szCs w:val="20"/>
              </w:rPr>
            </w:pPr>
          </w:p>
        </w:tc>
        <w:tc>
          <w:tcPr>
            <w:tcW w:w="1260" w:type="dxa"/>
            <w:shd w:val="clear" w:color="auto" w:fill="auto"/>
            <w:noWrap/>
            <w:vAlign w:val="bottom"/>
            <w:hideMark/>
          </w:tcPr>
          <w:p w14:paraId="7875BA20" w14:textId="77777777" w:rsidR="00AF20B6" w:rsidRPr="00AF20B6" w:rsidRDefault="00AF20B6" w:rsidP="00AF20B6">
            <w:pPr>
              <w:pStyle w:val="Tables"/>
              <w:rPr>
                <w:sz w:val="20"/>
                <w:szCs w:val="20"/>
              </w:rPr>
            </w:pPr>
          </w:p>
        </w:tc>
        <w:tc>
          <w:tcPr>
            <w:tcW w:w="942" w:type="dxa"/>
            <w:shd w:val="clear" w:color="auto" w:fill="auto"/>
            <w:noWrap/>
            <w:vAlign w:val="bottom"/>
            <w:hideMark/>
          </w:tcPr>
          <w:p w14:paraId="5772561C" w14:textId="77777777" w:rsidR="00AF20B6" w:rsidRPr="00AF20B6" w:rsidRDefault="00AF20B6" w:rsidP="00AF20B6">
            <w:pPr>
              <w:pStyle w:val="Tables"/>
              <w:rPr>
                <w:sz w:val="20"/>
                <w:szCs w:val="20"/>
              </w:rPr>
            </w:pPr>
          </w:p>
        </w:tc>
        <w:tc>
          <w:tcPr>
            <w:tcW w:w="1066" w:type="dxa"/>
            <w:shd w:val="clear" w:color="auto" w:fill="auto"/>
            <w:noWrap/>
            <w:vAlign w:val="bottom"/>
            <w:hideMark/>
          </w:tcPr>
          <w:p w14:paraId="585E4D02" w14:textId="77777777" w:rsidR="00AF20B6" w:rsidRPr="00AF20B6" w:rsidRDefault="00AF20B6" w:rsidP="00AF20B6">
            <w:pPr>
              <w:pStyle w:val="Tables"/>
              <w:rPr>
                <w:sz w:val="20"/>
                <w:szCs w:val="20"/>
              </w:rPr>
            </w:pPr>
          </w:p>
        </w:tc>
      </w:tr>
      <w:tr w:rsidR="003D6CB9" w:rsidRPr="00506A5A" w14:paraId="45D33328" w14:textId="77777777" w:rsidTr="003D6CB9">
        <w:trPr>
          <w:trHeight w:val="20"/>
        </w:trPr>
        <w:tc>
          <w:tcPr>
            <w:tcW w:w="1708" w:type="dxa"/>
            <w:shd w:val="clear" w:color="auto" w:fill="auto"/>
            <w:noWrap/>
            <w:vAlign w:val="center"/>
            <w:hideMark/>
          </w:tcPr>
          <w:p w14:paraId="56BE6BDB" w14:textId="77777777" w:rsidR="00AF20B6" w:rsidRPr="00506A5A" w:rsidRDefault="00AF20B6" w:rsidP="00373BB2">
            <w:pPr>
              <w:pStyle w:val="Tables"/>
              <w:rPr>
                <w:sz w:val="20"/>
                <w:szCs w:val="20"/>
              </w:rPr>
            </w:pPr>
          </w:p>
        </w:tc>
        <w:tc>
          <w:tcPr>
            <w:tcW w:w="1170" w:type="dxa"/>
            <w:shd w:val="clear" w:color="auto" w:fill="auto"/>
            <w:noWrap/>
            <w:vAlign w:val="bottom"/>
            <w:hideMark/>
          </w:tcPr>
          <w:p w14:paraId="623C8DC5" w14:textId="77777777" w:rsidR="00AF20B6" w:rsidRPr="00193042" w:rsidRDefault="00AF20B6" w:rsidP="00AF20B6">
            <w:pPr>
              <w:pStyle w:val="Tables"/>
              <w:rPr>
                <w:i/>
                <w:sz w:val="20"/>
                <w:szCs w:val="20"/>
                <w:u w:val="single"/>
              </w:rPr>
            </w:pPr>
          </w:p>
        </w:tc>
        <w:tc>
          <w:tcPr>
            <w:tcW w:w="1170" w:type="dxa"/>
            <w:shd w:val="clear" w:color="auto" w:fill="auto"/>
            <w:noWrap/>
            <w:vAlign w:val="bottom"/>
            <w:hideMark/>
          </w:tcPr>
          <w:p w14:paraId="481796E8" w14:textId="77777777" w:rsidR="00AF20B6" w:rsidRPr="00AF20B6" w:rsidRDefault="00AF20B6" w:rsidP="00AF20B6">
            <w:pPr>
              <w:pStyle w:val="Tables"/>
              <w:rPr>
                <w:sz w:val="20"/>
                <w:szCs w:val="20"/>
              </w:rPr>
            </w:pPr>
          </w:p>
        </w:tc>
        <w:tc>
          <w:tcPr>
            <w:tcW w:w="1170" w:type="dxa"/>
            <w:shd w:val="clear" w:color="auto" w:fill="auto"/>
            <w:noWrap/>
            <w:vAlign w:val="bottom"/>
            <w:hideMark/>
          </w:tcPr>
          <w:p w14:paraId="4C05220A" w14:textId="77777777" w:rsidR="00AF20B6" w:rsidRPr="00AF20B6" w:rsidRDefault="00AF20B6" w:rsidP="00AF20B6">
            <w:pPr>
              <w:pStyle w:val="Tables"/>
              <w:rPr>
                <w:sz w:val="20"/>
                <w:szCs w:val="20"/>
              </w:rPr>
            </w:pPr>
          </w:p>
        </w:tc>
        <w:tc>
          <w:tcPr>
            <w:tcW w:w="1260" w:type="dxa"/>
            <w:shd w:val="clear" w:color="auto" w:fill="auto"/>
            <w:noWrap/>
            <w:vAlign w:val="bottom"/>
            <w:hideMark/>
          </w:tcPr>
          <w:p w14:paraId="7BF7B8B7" w14:textId="77777777" w:rsidR="00AF20B6" w:rsidRPr="00AF20B6" w:rsidRDefault="00AF20B6" w:rsidP="00AF20B6">
            <w:pPr>
              <w:pStyle w:val="Tables"/>
              <w:rPr>
                <w:sz w:val="20"/>
                <w:szCs w:val="20"/>
              </w:rPr>
            </w:pPr>
          </w:p>
        </w:tc>
        <w:tc>
          <w:tcPr>
            <w:tcW w:w="942" w:type="dxa"/>
            <w:shd w:val="clear" w:color="auto" w:fill="auto"/>
            <w:noWrap/>
            <w:vAlign w:val="bottom"/>
            <w:hideMark/>
          </w:tcPr>
          <w:p w14:paraId="69763193" w14:textId="77777777" w:rsidR="00AF20B6" w:rsidRPr="00AF20B6" w:rsidRDefault="00AF20B6" w:rsidP="00AF20B6">
            <w:pPr>
              <w:pStyle w:val="Tables"/>
              <w:rPr>
                <w:sz w:val="20"/>
                <w:szCs w:val="20"/>
              </w:rPr>
            </w:pPr>
          </w:p>
        </w:tc>
        <w:tc>
          <w:tcPr>
            <w:tcW w:w="1066" w:type="dxa"/>
            <w:shd w:val="clear" w:color="auto" w:fill="auto"/>
            <w:noWrap/>
            <w:vAlign w:val="bottom"/>
            <w:hideMark/>
          </w:tcPr>
          <w:p w14:paraId="7658C039" w14:textId="77777777" w:rsidR="00AF20B6" w:rsidRPr="00AF20B6" w:rsidRDefault="00AF20B6" w:rsidP="00AF20B6">
            <w:pPr>
              <w:pStyle w:val="Tables"/>
              <w:rPr>
                <w:sz w:val="20"/>
                <w:szCs w:val="20"/>
              </w:rPr>
            </w:pPr>
          </w:p>
        </w:tc>
      </w:tr>
      <w:tr w:rsidR="00373BB2" w:rsidRPr="00506A5A" w14:paraId="4C3944E5" w14:textId="77777777" w:rsidTr="003D6CB9">
        <w:trPr>
          <w:trHeight w:val="20"/>
        </w:trPr>
        <w:tc>
          <w:tcPr>
            <w:tcW w:w="1708" w:type="dxa"/>
            <w:vMerge w:val="restart"/>
            <w:shd w:val="clear" w:color="auto" w:fill="auto"/>
            <w:noWrap/>
            <w:vAlign w:val="center"/>
            <w:hideMark/>
          </w:tcPr>
          <w:p w14:paraId="525E6776" w14:textId="77777777" w:rsidR="00373BB2" w:rsidRPr="00506A5A" w:rsidRDefault="00373BB2" w:rsidP="00373BB2">
            <w:pPr>
              <w:pStyle w:val="Tables"/>
              <w:rPr>
                <w:sz w:val="20"/>
                <w:szCs w:val="20"/>
              </w:rPr>
            </w:pPr>
            <w:r w:rsidRPr="00506A5A">
              <w:rPr>
                <w:sz w:val="20"/>
                <w:szCs w:val="20"/>
              </w:rPr>
              <w:t>non-levoglucosan sugars</w:t>
            </w:r>
          </w:p>
        </w:tc>
        <w:tc>
          <w:tcPr>
            <w:tcW w:w="1170" w:type="dxa"/>
            <w:shd w:val="clear" w:color="auto" w:fill="auto"/>
            <w:noWrap/>
            <w:vAlign w:val="bottom"/>
            <w:hideMark/>
          </w:tcPr>
          <w:p w14:paraId="0AB40338" w14:textId="31A73157" w:rsidR="00373BB2" w:rsidRPr="00193042" w:rsidRDefault="00373BB2" w:rsidP="00AF20B6">
            <w:pPr>
              <w:pStyle w:val="Tables"/>
              <w:rPr>
                <w:i/>
                <w:sz w:val="20"/>
                <w:szCs w:val="20"/>
                <w:u w:val="single"/>
              </w:rPr>
            </w:pPr>
            <w:r w:rsidRPr="00193042">
              <w:rPr>
                <w:i/>
                <w:sz w:val="20"/>
                <w:szCs w:val="20"/>
                <w:u w:val="single"/>
              </w:rPr>
              <w:t>(Intercept)</w:t>
            </w:r>
          </w:p>
        </w:tc>
        <w:tc>
          <w:tcPr>
            <w:tcW w:w="1170" w:type="dxa"/>
            <w:shd w:val="clear" w:color="auto" w:fill="auto"/>
            <w:noWrap/>
            <w:vAlign w:val="bottom"/>
            <w:hideMark/>
          </w:tcPr>
          <w:p w14:paraId="36EC3DA8" w14:textId="443427E6" w:rsidR="00373BB2" w:rsidRPr="001217A6" w:rsidRDefault="00373BB2" w:rsidP="00AF20B6">
            <w:pPr>
              <w:pStyle w:val="Tables"/>
              <w:rPr>
                <w:b/>
                <w:bCs/>
                <w:sz w:val="20"/>
                <w:szCs w:val="20"/>
                <w:u w:val="single"/>
              </w:rPr>
            </w:pPr>
            <w:r w:rsidRPr="001217A6">
              <w:rPr>
                <w:b/>
                <w:bCs/>
                <w:sz w:val="20"/>
                <w:szCs w:val="20"/>
                <w:u w:val="single"/>
              </w:rPr>
              <w:t>K</w:t>
            </w:r>
          </w:p>
        </w:tc>
        <w:tc>
          <w:tcPr>
            <w:tcW w:w="1170" w:type="dxa"/>
            <w:shd w:val="clear" w:color="auto" w:fill="auto"/>
            <w:noWrap/>
            <w:vAlign w:val="bottom"/>
            <w:hideMark/>
          </w:tcPr>
          <w:p w14:paraId="2006265B" w14:textId="27CB0378" w:rsidR="00373BB2" w:rsidRPr="001217A6" w:rsidRDefault="00373BB2" w:rsidP="00AF20B6">
            <w:pPr>
              <w:pStyle w:val="Tables"/>
              <w:rPr>
                <w:b/>
                <w:bCs/>
                <w:sz w:val="20"/>
                <w:szCs w:val="20"/>
                <w:u w:val="single"/>
              </w:rPr>
            </w:pPr>
            <w:r w:rsidRPr="001217A6">
              <w:rPr>
                <w:b/>
                <w:bCs/>
                <w:sz w:val="20"/>
                <w:szCs w:val="20"/>
                <w:u w:val="single"/>
              </w:rPr>
              <w:t>FRU</w:t>
            </w:r>
          </w:p>
        </w:tc>
        <w:tc>
          <w:tcPr>
            <w:tcW w:w="1260" w:type="dxa"/>
            <w:shd w:val="clear" w:color="auto" w:fill="auto"/>
            <w:noWrap/>
            <w:vAlign w:val="bottom"/>
            <w:hideMark/>
          </w:tcPr>
          <w:p w14:paraId="26FA401C" w14:textId="630D0CB4" w:rsidR="00373BB2" w:rsidRPr="001217A6" w:rsidRDefault="00373BB2" w:rsidP="00AF20B6">
            <w:pPr>
              <w:pStyle w:val="Tables"/>
              <w:rPr>
                <w:b/>
                <w:bCs/>
                <w:sz w:val="20"/>
                <w:szCs w:val="20"/>
                <w:u w:val="single"/>
              </w:rPr>
            </w:pPr>
            <w:r w:rsidRPr="001217A6">
              <w:rPr>
                <w:b/>
                <w:bCs/>
                <w:sz w:val="20"/>
                <w:szCs w:val="20"/>
                <w:u w:val="single"/>
              </w:rPr>
              <w:t>GAL</w:t>
            </w:r>
          </w:p>
        </w:tc>
        <w:tc>
          <w:tcPr>
            <w:tcW w:w="942" w:type="dxa"/>
            <w:shd w:val="clear" w:color="auto" w:fill="auto"/>
            <w:noWrap/>
            <w:vAlign w:val="bottom"/>
            <w:hideMark/>
          </w:tcPr>
          <w:p w14:paraId="697A3DD9" w14:textId="41C804C1" w:rsidR="00373BB2" w:rsidRPr="001217A6" w:rsidRDefault="00373BB2" w:rsidP="00AF20B6">
            <w:pPr>
              <w:pStyle w:val="Tables"/>
              <w:rPr>
                <w:b/>
                <w:bCs/>
                <w:sz w:val="20"/>
                <w:szCs w:val="20"/>
                <w:u w:val="single"/>
              </w:rPr>
            </w:pPr>
            <w:r w:rsidRPr="001217A6">
              <w:rPr>
                <w:b/>
                <w:bCs/>
                <w:sz w:val="20"/>
                <w:szCs w:val="20"/>
                <w:u w:val="single"/>
              </w:rPr>
              <w:t>XYL</w:t>
            </w:r>
          </w:p>
        </w:tc>
        <w:tc>
          <w:tcPr>
            <w:tcW w:w="1066" w:type="dxa"/>
            <w:shd w:val="clear" w:color="auto" w:fill="auto"/>
            <w:noWrap/>
            <w:vAlign w:val="bottom"/>
            <w:hideMark/>
          </w:tcPr>
          <w:p w14:paraId="11A39935" w14:textId="77777777" w:rsidR="00373BB2" w:rsidRPr="00AF20B6" w:rsidRDefault="00373BB2" w:rsidP="00AF20B6">
            <w:pPr>
              <w:pStyle w:val="Tables"/>
              <w:rPr>
                <w:b/>
                <w:bCs/>
                <w:sz w:val="20"/>
                <w:szCs w:val="20"/>
              </w:rPr>
            </w:pPr>
          </w:p>
        </w:tc>
      </w:tr>
      <w:tr w:rsidR="00373BB2" w:rsidRPr="00506A5A" w14:paraId="0BD29AE9" w14:textId="77777777" w:rsidTr="003D6CB9">
        <w:trPr>
          <w:trHeight w:val="20"/>
        </w:trPr>
        <w:tc>
          <w:tcPr>
            <w:tcW w:w="1708" w:type="dxa"/>
            <w:vMerge/>
            <w:shd w:val="clear" w:color="auto" w:fill="auto"/>
            <w:noWrap/>
            <w:vAlign w:val="bottom"/>
            <w:hideMark/>
          </w:tcPr>
          <w:p w14:paraId="4C14D956" w14:textId="77777777" w:rsidR="00373BB2" w:rsidRPr="00506A5A" w:rsidRDefault="00373BB2" w:rsidP="00C3442B">
            <w:pPr>
              <w:pStyle w:val="Tables"/>
              <w:rPr>
                <w:sz w:val="20"/>
                <w:szCs w:val="20"/>
              </w:rPr>
            </w:pPr>
          </w:p>
        </w:tc>
        <w:tc>
          <w:tcPr>
            <w:tcW w:w="1170" w:type="dxa"/>
            <w:shd w:val="clear" w:color="auto" w:fill="auto"/>
            <w:noWrap/>
            <w:vAlign w:val="bottom"/>
            <w:hideMark/>
          </w:tcPr>
          <w:p w14:paraId="56E29168" w14:textId="79AC5689" w:rsidR="00373BB2" w:rsidRPr="00AF20B6" w:rsidRDefault="00373BB2" w:rsidP="00AF20B6">
            <w:pPr>
              <w:pStyle w:val="Tables"/>
              <w:rPr>
                <w:sz w:val="20"/>
                <w:szCs w:val="20"/>
              </w:rPr>
            </w:pPr>
            <w:r w:rsidRPr="00AF20B6">
              <w:rPr>
                <w:sz w:val="20"/>
                <w:szCs w:val="20"/>
              </w:rPr>
              <w:t>-4652.18</w:t>
            </w:r>
          </w:p>
        </w:tc>
        <w:tc>
          <w:tcPr>
            <w:tcW w:w="1170" w:type="dxa"/>
            <w:shd w:val="clear" w:color="auto" w:fill="auto"/>
            <w:noWrap/>
            <w:vAlign w:val="bottom"/>
            <w:hideMark/>
          </w:tcPr>
          <w:p w14:paraId="4CF12277" w14:textId="5A71DEA8" w:rsidR="00373BB2" w:rsidRPr="00AF20B6" w:rsidRDefault="00373BB2" w:rsidP="00AF20B6">
            <w:pPr>
              <w:pStyle w:val="Tables"/>
              <w:rPr>
                <w:sz w:val="20"/>
                <w:szCs w:val="20"/>
              </w:rPr>
            </w:pPr>
            <w:r w:rsidRPr="00AF20B6">
              <w:rPr>
                <w:sz w:val="20"/>
                <w:szCs w:val="20"/>
              </w:rPr>
              <w:t>3347.06</w:t>
            </w:r>
          </w:p>
        </w:tc>
        <w:tc>
          <w:tcPr>
            <w:tcW w:w="1170" w:type="dxa"/>
            <w:shd w:val="clear" w:color="auto" w:fill="auto"/>
            <w:noWrap/>
            <w:vAlign w:val="bottom"/>
            <w:hideMark/>
          </w:tcPr>
          <w:p w14:paraId="59C40758" w14:textId="54B3C739" w:rsidR="00373BB2" w:rsidRPr="00AF20B6" w:rsidRDefault="00373BB2" w:rsidP="00AF20B6">
            <w:pPr>
              <w:pStyle w:val="Tables"/>
              <w:rPr>
                <w:sz w:val="20"/>
                <w:szCs w:val="20"/>
              </w:rPr>
            </w:pPr>
            <w:r w:rsidRPr="00AF20B6">
              <w:rPr>
                <w:sz w:val="20"/>
                <w:szCs w:val="20"/>
              </w:rPr>
              <w:t>390.16</w:t>
            </w:r>
          </w:p>
        </w:tc>
        <w:tc>
          <w:tcPr>
            <w:tcW w:w="1260" w:type="dxa"/>
            <w:shd w:val="clear" w:color="auto" w:fill="auto"/>
            <w:noWrap/>
            <w:vAlign w:val="bottom"/>
            <w:hideMark/>
          </w:tcPr>
          <w:p w14:paraId="505AAC2F" w14:textId="559D1F54" w:rsidR="00373BB2" w:rsidRPr="00AF20B6" w:rsidRDefault="00373BB2" w:rsidP="00AF20B6">
            <w:pPr>
              <w:pStyle w:val="Tables"/>
              <w:rPr>
                <w:sz w:val="20"/>
                <w:szCs w:val="20"/>
              </w:rPr>
            </w:pPr>
            <w:r w:rsidRPr="00AF20B6">
              <w:rPr>
                <w:sz w:val="20"/>
                <w:szCs w:val="20"/>
              </w:rPr>
              <w:t>610.90</w:t>
            </w:r>
          </w:p>
        </w:tc>
        <w:tc>
          <w:tcPr>
            <w:tcW w:w="942" w:type="dxa"/>
            <w:shd w:val="clear" w:color="auto" w:fill="auto"/>
            <w:noWrap/>
            <w:vAlign w:val="bottom"/>
            <w:hideMark/>
          </w:tcPr>
          <w:p w14:paraId="418C7286" w14:textId="149A0BD4" w:rsidR="00373BB2" w:rsidRPr="00AF20B6" w:rsidRDefault="00373BB2" w:rsidP="00AF20B6">
            <w:pPr>
              <w:pStyle w:val="Tables"/>
              <w:rPr>
                <w:sz w:val="20"/>
                <w:szCs w:val="20"/>
              </w:rPr>
            </w:pPr>
            <w:r w:rsidRPr="00AF20B6">
              <w:rPr>
                <w:sz w:val="20"/>
                <w:szCs w:val="20"/>
              </w:rPr>
              <w:t>77.21</w:t>
            </w:r>
          </w:p>
        </w:tc>
        <w:tc>
          <w:tcPr>
            <w:tcW w:w="1066" w:type="dxa"/>
            <w:shd w:val="clear" w:color="auto" w:fill="auto"/>
            <w:noWrap/>
            <w:vAlign w:val="bottom"/>
            <w:hideMark/>
          </w:tcPr>
          <w:p w14:paraId="4412444A" w14:textId="77777777" w:rsidR="00373BB2" w:rsidRPr="00AF20B6" w:rsidRDefault="00373BB2" w:rsidP="00AF20B6">
            <w:pPr>
              <w:pStyle w:val="Tables"/>
              <w:rPr>
                <w:sz w:val="20"/>
                <w:szCs w:val="20"/>
              </w:rPr>
            </w:pPr>
          </w:p>
        </w:tc>
      </w:tr>
    </w:tbl>
    <w:p w14:paraId="23BDCC16" w14:textId="38128699" w:rsidR="00BC7F39" w:rsidRDefault="00BC7F39" w:rsidP="00BC7F39">
      <w:pPr>
        <w:pStyle w:val="Caption"/>
        <w:rPr>
          <w:b w:val="0"/>
        </w:rPr>
      </w:pPr>
      <w:bookmarkStart w:id="151" w:name="_Toc449964940"/>
      <w:r>
        <w:t xml:space="preserve">Table </w:t>
      </w:r>
      <w:fldSimple w:instr=" STYLEREF &quot;Chapter&quot; \s ">
        <w:r w:rsidR="00463F52">
          <w:rPr>
            <w:noProof/>
          </w:rPr>
          <w:t>6</w:t>
        </w:r>
      </w:fldSimple>
      <w:r>
        <w:t>.</w:t>
      </w:r>
      <w:fldSimple w:instr=" SEQ Table \* ARABIC \s 1 ">
        <w:r w:rsidR="00463F52">
          <w:rPr>
            <w:noProof/>
          </w:rPr>
          <w:t>6</w:t>
        </w:r>
      </w:fldSimple>
      <w:r>
        <w:t>.</w:t>
      </w:r>
      <w:r w:rsidRPr="008E2374">
        <w:t xml:space="preserve"> </w:t>
      </w:r>
      <w:r>
        <w:rPr>
          <w:b w:val="0"/>
        </w:rPr>
        <w:t>Final model coefficients developed for the pyrolysis thermochemical lump indicated.</w:t>
      </w:r>
      <w:bookmarkEnd w:id="151"/>
    </w:p>
    <w:p w14:paraId="43CF8C4D" w14:textId="77777777" w:rsidR="00710AF5" w:rsidRDefault="00710AF5" w:rsidP="00710AF5">
      <w:pPr>
        <w:pStyle w:val="Caption"/>
        <w:rPr>
          <w:b w:val="0"/>
        </w:rPr>
      </w:pPr>
    </w:p>
    <w:p w14:paraId="451D8CA1" w14:textId="468983A5" w:rsidR="000A1F4F" w:rsidRDefault="00171D40" w:rsidP="005C7E19">
      <w:pPr>
        <w:pStyle w:val="Heading2"/>
      </w:pPr>
      <w:bookmarkStart w:id="152" w:name="_Toc449964887"/>
      <w:r>
        <w:t>Results &amp; Discussion</w:t>
      </w:r>
      <w:bookmarkEnd w:id="152"/>
    </w:p>
    <w:p w14:paraId="1EB6B97F" w14:textId="4E967096" w:rsidR="00B0491E" w:rsidRDefault="00FD1C74" w:rsidP="00FD1C74">
      <w:pPr>
        <w:pStyle w:val="Heading3"/>
      </w:pPr>
      <w:bookmarkStart w:id="153" w:name="_Toc449964888"/>
      <w:r>
        <w:t>Linear modeling</w:t>
      </w:r>
      <w:bookmarkEnd w:id="153"/>
    </w:p>
    <w:p w14:paraId="2AB43217" w14:textId="27228948" w:rsidR="00FD1C74" w:rsidRDefault="00AA7321" w:rsidP="002529CD">
      <w:r>
        <w:t>The predictive thermochemical m</w:t>
      </w:r>
      <w:r w:rsidR="00FD1C74" w:rsidRPr="00FD1C74">
        <w:t>odel R</w:t>
      </w:r>
      <w:r w:rsidR="00FD1C74" w:rsidRPr="00FD1C74">
        <w:rPr>
          <w:vertAlign w:val="superscript"/>
        </w:rPr>
        <w:t>2</w:t>
      </w:r>
      <w:r w:rsidR="00FD1C74" w:rsidRPr="00FD1C74">
        <w:t xml:space="preserve"> values were calculated from the fit of the predictions of the final stepwise models</w:t>
      </w:r>
      <w:r>
        <w:t xml:space="preserve"> from the compositional data</w:t>
      </w:r>
      <w:r w:rsidR="00FD1C74" w:rsidRPr="00FD1C74">
        <w:t xml:space="preserve"> to the observed </w:t>
      </w:r>
      <w:r>
        <w:t xml:space="preserve">thermochemical </w:t>
      </w:r>
      <w:r w:rsidR="00FD1C74" w:rsidRPr="00FD1C74">
        <w:t xml:space="preserve">data and are shown in </w:t>
      </w:r>
      <w:r w:rsidR="002525AC" w:rsidRPr="002525AC">
        <w:t>table 6.7</w:t>
      </w:r>
      <w:r w:rsidR="00FD1C74" w:rsidRPr="00FD1C74">
        <w:t>. Models with an R</w:t>
      </w:r>
      <w:r w:rsidR="00FD1C74" w:rsidRPr="00FD1C74">
        <w:rPr>
          <w:vertAlign w:val="superscript"/>
        </w:rPr>
        <w:t>2</w:t>
      </w:r>
      <w:r w:rsidR="00FD1C74" w:rsidRPr="00FD1C74">
        <w:t xml:space="preserve"> value greater than or approximately equal to 0.5 were accepted and those below this value were rejected as too poorly fitted. A total of four linear models with good predictive ability and interpretable coefficients (that is, predicted relationships between composition &amp; product distribution which </w:t>
      </w:r>
      <w:r w:rsidR="0030016B">
        <w:t>are in agreement with literature or are otherwise reasonably hypothesized to have a relationship</w:t>
      </w:r>
      <w:r w:rsidR="00FD1C74" w:rsidRPr="00FD1C74">
        <w:t xml:space="preserve">) were developed for the torrefaction products, and </w:t>
      </w:r>
      <w:r w:rsidR="00FD1C74" w:rsidRPr="00FD1C74">
        <w:lastRenderedPageBreak/>
        <w:t>three were developed for pyrolysis.</w:t>
      </w:r>
      <w:r w:rsidR="006B1A63">
        <w:t xml:space="preserve"> The signs of their coefficients and the schemas these coefficients fit are shown in </w:t>
      </w:r>
      <w:r w:rsidR="006B1A63" w:rsidRPr="002525AC">
        <w:t xml:space="preserve">tables </w:t>
      </w:r>
      <w:r w:rsidR="002525AC" w:rsidRPr="002525AC">
        <w:t>6.8 – 6.11</w:t>
      </w:r>
      <w:r w:rsidR="006B1A63">
        <w:t>.</w:t>
      </w:r>
    </w:p>
    <w:tbl>
      <w:tblPr>
        <w:tblW w:w="8496" w:type="dxa"/>
        <w:tblLook w:val="04A0" w:firstRow="1" w:lastRow="0" w:firstColumn="1" w:lastColumn="0" w:noHBand="0" w:noVBand="1"/>
      </w:tblPr>
      <w:tblGrid>
        <w:gridCol w:w="3137"/>
        <w:gridCol w:w="1080"/>
        <w:gridCol w:w="276"/>
        <w:gridCol w:w="2964"/>
        <w:gridCol w:w="1039"/>
      </w:tblGrid>
      <w:tr w:rsidR="0007791D" w:rsidRPr="0007791D" w14:paraId="7FA99A9D" w14:textId="77777777" w:rsidTr="00ED7A8D">
        <w:trPr>
          <w:trHeight w:val="340"/>
        </w:trPr>
        <w:tc>
          <w:tcPr>
            <w:tcW w:w="3137" w:type="dxa"/>
            <w:tcBorders>
              <w:top w:val="single" w:sz="4" w:space="0" w:color="auto"/>
              <w:left w:val="single" w:sz="8" w:space="0" w:color="auto"/>
            </w:tcBorders>
            <w:shd w:val="clear" w:color="auto" w:fill="auto"/>
            <w:noWrap/>
            <w:hideMark/>
          </w:tcPr>
          <w:p w14:paraId="708D4831" w14:textId="1B63B5DE" w:rsidR="0077303E" w:rsidRPr="0007791D" w:rsidRDefault="0077303E" w:rsidP="0007791D">
            <w:pPr>
              <w:pStyle w:val="Tables"/>
              <w:rPr>
                <w:bCs/>
                <w:u w:val="single"/>
              </w:rPr>
            </w:pPr>
            <w:r w:rsidRPr="0007791D">
              <w:rPr>
                <w:bCs/>
                <w:u w:val="single"/>
              </w:rPr>
              <w:t>350°C Torrefaction models</w:t>
            </w:r>
          </w:p>
        </w:tc>
        <w:tc>
          <w:tcPr>
            <w:tcW w:w="1080" w:type="dxa"/>
            <w:tcBorders>
              <w:top w:val="single" w:sz="4" w:space="0" w:color="auto"/>
            </w:tcBorders>
            <w:shd w:val="clear" w:color="auto" w:fill="auto"/>
            <w:noWrap/>
            <w:hideMark/>
          </w:tcPr>
          <w:p w14:paraId="77177369" w14:textId="77777777" w:rsidR="0077303E" w:rsidRPr="0007791D" w:rsidRDefault="0077303E" w:rsidP="0007791D">
            <w:pPr>
              <w:pStyle w:val="Tables"/>
              <w:rPr>
                <w:bCs/>
                <w:u w:val="single"/>
              </w:rPr>
            </w:pPr>
            <w:r w:rsidRPr="0007791D">
              <w:rPr>
                <w:bCs/>
                <w:u w:val="single"/>
              </w:rPr>
              <w:t>R</w:t>
            </w:r>
            <w:r w:rsidRPr="0007791D">
              <w:rPr>
                <w:bCs/>
                <w:u w:val="single"/>
                <w:vertAlign w:val="superscript"/>
              </w:rPr>
              <w:t>2</w:t>
            </w:r>
            <w:r w:rsidRPr="0007791D">
              <w:rPr>
                <w:bCs/>
                <w:u w:val="single"/>
              </w:rPr>
              <w:t xml:space="preserve"> value</w:t>
            </w:r>
          </w:p>
        </w:tc>
        <w:tc>
          <w:tcPr>
            <w:tcW w:w="276" w:type="dxa"/>
            <w:tcBorders>
              <w:top w:val="single" w:sz="4" w:space="0" w:color="auto"/>
            </w:tcBorders>
            <w:shd w:val="clear" w:color="auto" w:fill="auto"/>
            <w:hideMark/>
          </w:tcPr>
          <w:p w14:paraId="59B38DD6" w14:textId="77777777" w:rsidR="0077303E" w:rsidRPr="0007791D" w:rsidRDefault="0077303E" w:rsidP="0007791D">
            <w:pPr>
              <w:pStyle w:val="Tables"/>
              <w:rPr>
                <w:bCs/>
              </w:rPr>
            </w:pPr>
            <w:r w:rsidRPr="0007791D">
              <w:rPr>
                <w:bCs/>
              </w:rPr>
              <w:t> </w:t>
            </w:r>
          </w:p>
        </w:tc>
        <w:tc>
          <w:tcPr>
            <w:tcW w:w="2964" w:type="dxa"/>
            <w:tcBorders>
              <w:top w:val="single" w:sz="4" w:space="0" w:color="auto"/>
            </w:tcBorders>
            <w:shd w:val="clear" w:color="auto" w:fill="auto"/>
            <w:hideMark/>
          </w:tcPr>
          <w:p w14:paraId="58552CF9" w14:textId="5B44D166" w:rsidR="0077303E" w:rsidRPr="0007791D" w:rsidRDefault="0077303E" w:rsidP="0007791D">
            <w:pPr>
              <w:pStyle w:val="Tables"/>
              <w:rPr>
                <w:bCs/>
                <w:u w:val="single"/>
              </w:rPr>
            </w:pPr>
            <w:r w:rsidRPr="0007791D">
              <w:rPr>
                <w:bCs/>
                <w:u w:val="single"/>
              </w:rPr>
              <w:t>500°C Pyrolysis models</w:t>
            </w:r>
          </w:p>
        </w:tc>
        <w:tc>
          <w:tcPr>
            <w:tcW w:w="1039" w:type="dxa"/>
            <w:tcBorders>
              <w:top w:val="single" w:sz="4" w:space="0" w:color="auto"/>
              <w:right w:val="single" w:sz="8" w:space="0" w:color="auto"/>
            </w:tcBorders>
            <w:shd w:val="clear" w:color="auto" w:fill="auto"/>
            <w:hideMark/>
          </w:tcPr>
          <w:p w14:paraId="56AB2B51" w14:textId="77777777" w:rsidR="0077303E" w:rsidRPr="0007791D" w:rsidRDefault="0077303E" w:rsidP="0007791D">
            <w:pPr>
              <w:pStyle w:val="Tables"/>
              <w:rPr>
                <w:bCs/>
                <w:u w:val="single"/>
              </w:rPr>
            </w:pPr>
            <w:r w:rsidRPr="0007791D">
              <w:rPr>
                <w:bCs/>
                <w:u w:val="single"/>
              </w:rPr>
              <w:t>R</w:t>
            </w:r>
            <w:r w:rsidRPr="0007791D">
              <w:rPr>
                <w:bCs/>
                <w:u w:val="single"/>
                <w:vertAlign w:val="superscript"/>
              </w:rPr>
              <w:t>2</w:t>
            </w:r>
            <w:r w:rsidRPr="0007791D">
              <w:rPr>
                <w:bCs/>
                <w:u w:val="single"/>
              </w:rPr>
              <w:t xml:space="preserve"> value</w:t>
            </w:r>
          </w:p>
        </w:tc>
      </w:tr>
      <w:tr w:rsidR="0007791D" w:rsidRPr="0007791D" w14:paraId="3DE6077D" w14:textId="77777777" w:rsidTr="00ED7A8D">
        <w:trPr>
          <w:trHeight w:val="340"/>
        </w:trPr>
        <w:tc>
          <w:tcPr>
            <w:tcW w:w="3137" w:type="dxa"/>
            <w:tcBorders>
              <w:left w:val="single" w:sz="8" w:space="0" w:color="auto"/>
            </w:tcBorders>
            <w:shd w:val="clear" w:color="auto" w:fill="auto"/>
            <w:noWrap/>
            <w:hideMark/>
          </w:tcPr>
          <w:p w14:paraId="289D7139" w14:textId="77777777" w:rsidR="0077303E" w:rsidRPr="0007791D" w:rsidRDefault="0077303E" w:rsidP="0007791D">
            <w:pPr>
              <w:pStyle w:val="Tables"/>
            </w:pPr>
            <w:r w:rsidRPr="0007791D">
              <w:t>acetic acid</w:t>
            </w:r>
          </w:p>
        </w:tc>
        <w:tc>
          <w:tcPr>
            <w:tcW w:w="1080" w:type="dxa"/>
            <w:shd w:val="clear" w:color="auto" w:fill="auto"/>
            <w:noWrap/>
            <w:hideMark/>
          </w:tcPr>
          <w:p w14:paraId="3B0D58AC" w14:textId="39107D35" w:rsidR="0077303E" w:rsidRPr="0007791D" w:rsidRDefault="0077303E" w:rsidP="0007791D">
            <w:pPr>
              <w:pStyle w:val="Tables"/>
              <w:jc w:val="right"/>
            </w:pPr>
            <w:r w:rsidRPr="0007791D">
              <w:rPr>
                <w:color w:val="000000"/>
              </w:rPr>
              <w:t>0.488</w:t>
            </w:r>
          </w:p>
        </w:tc>
        <w:tc>
          <w:tcPr>
            <w:tcW w:w="276" w:type="dxa"/>
            <w:shd w:val="clear" w:color="auto" w:fill="auto"/>
            <w:hideMark/>
          </w:tcPr>
          <w:p w14:paraId="0A0F8479" w14:textId="77777777" w:rsidR="0077303E" w:rsidRPr="0007791D" w:rsidRDefault="0077303E" w:rsidP="0007791D">
            <w:pPr>
              <w:pStyle w:val="Tables"/>
            </w:pPr>
            <w:r w:rsidRPr="0007791D">
              <w:t> </w:t>
            </w:r>
          </w:p>
        </w:tc>
        <w:tc>
          <w:tcPr>
            <w:tcW w:w="2964" w:type="dxa"/>
            <w:shd w:val="clear" w:color="auto" w:fill="auto"/>
            <w:noWrap/>
            <w:hideMark/>
          </w:tcPr>
          <w:p w14:paraId="1059BC19" w14:textId="77777777" w:rsidR="0077303E" w:rsidRPr="0007791D" w:rsidRDefault="0077303E" w:rsidP="0007791D">
            <w:pPr>
              <w:pStyle w:val="Tables"/>
            </w:pPr>
            <w:r w:rsidRPr="0007791D">
              <w:t>acetic acid</w:t>
            </w:r>
          </w:p>
        </w:tc>
        <w:tc>
          <w:tcPr>
            <w:tcW w:w="1039" w:type="dxa"/>
            <w:tcBorders>
              <w:right w:val="single" w:sz="8" w:space="0" w:color="auto"/>
            </w:tcBorders>
            <w:shd w:val="clear" w:color="auto" w:fill="auto"/>
            <w:hideMark/>
          </w:tcPr>
          <w:p w14:paraId="5D91D004" w14:textId="77777777" w:rsidR="0077303E" w:rsidRPr="0007791D" w:rsidRDefault="0077303E" w:rsidP="0007791D">
            <w:pPr>
              <w:pStyle w:val="Tables"/>
              <w:jc w:val="right"/>
            </w:pPr>
            <w:r w:rsidRPr="0007791D">
              <w:t>0.466</w:t>
            </w:r>
          </w:p>
        </w:tc>
      </w:tr>
      <w:tr w:rsidR="0007791D" w:rsidRPr="0007791D" w14:paraId="00775339" w14:textId="77777777" w:rsidTr="00ED7A8D">
        <w:trPr>
          <w:trHeight w:val="340"/>
        </w:trPr>
        <w:tc>
          <w:tcPr>
            <w:tcW w:w="3137" w:type="dxa"/>
            <w:tcBorders>
              <w:left w:val="single" w:sz="8" w:space="0" w:color="auto"/>
            </w:tcBorders>
            <w:shd w:val="clear" w:color="auto" w:fill="auto"/>
            <w:noWrap/>
            <w:hideMark/>
          </w:tcPr>
          <w:p w14:paraId="3CBA1EAD" w14:textId="77777777" w:rsidR="0077303E" w:rsidRPr="0007791D" w:rsidRDefault="0077303E" w:rsidP="0007791D">
            <w:pPr>
              <w:pStyle w:val="Tables"/>
            </w:pPr>
            <w:r w:rsidRPr="0007791D">
              <w:t>alkyl phenols</w:t>
            </w:r>
          </w:p>
        </w:tc>
        <w:tc>
          <w:tcPr>
            <w:tcW w:w="1080" w:type="dxa"/>
            <w:shd w:val="clear" w:color="auto" w:fill="auto"/>
            <w:noWrap/>
            <w:hideMark/>
          </w:tcPr>
          <w:p w14:paraId="4B37ABA3" w14:textId="41B11449" w:rsidR="0077303E" w:rsidRPr="0007791D" w:rsidRDefault="0077303E" w:rsidP="0007791D">
            <w:pPr>
              <w:pStyle w:val="Tables"/>
              <w:jc w:val="right"/>
            </w:pPr>
            <w:r w:rsidRPr="0007791D">
              <w:rPr>
                <w:color w:val="000000"/>
              </w:rPr>
              <w:t>0.811</w:t>
            </w:r>
          </w:p>
        </w:tc>
        <w:tc>
          <w:tcPr>
            <w:tcW w:w="276" w:type="dxa"/>
            <w:shd w:val="clear" w:color="auto" w:fill="auto"/>
            <w:hideMark/>
          </w:tcPr>
          <w:p w14:paraId="31C06F6C" w14:textId="77777777" w:rsidR="0077303E" w:rsidRPr="0007791D" w:rsidRDefault="0077303E" w:rsidP="0007791D">
            <w:pPr>
              <w:pStyle w:val="Tables"/>
            </w:pPr>
            <w:r w:rsidRPr="0007791D">
              <w:t> </w:t>
            </w:r>
          </w:p>
        </w:tc>
        <w:tc>
          <w:tcPr>
            <w:tcW w:w="2964" w:type="dxa"/>
            <w:shd w:val="clear" w:color="auto" w:fill="auto"/>
            <w:noWrap/>
            <w:hideMark/>
          </w:tcPr>
          <w:p w14:paraId="3E7F4898" w14:textId="77777777" w:rsidR="0077303E" w:rsidRPr="0007791D" w:rsidRDefault="0077303E" w:rsidP="0007791D">
            <w:pPr>
              <w:pStyle w:val="Tables"/>
            </w:pPr>
            <w:r w:rsidRPr="0007791D">
              <w:t>alkyl phenols</w:t>
            </w:r>
          </w:p>
        </w:tc>
        <w:tc>
          <w:tcPr>
            <w:tcW w:w="1039" w:type="dxa"/>
            <w:tcBorders>
              <w:right w:val="single" w:sz="8" w:space="0" w:color="auto"/>
            </w:tcBorders>
            <w:shd w:val="clear" w:color="auto" w:fill="auto"/>
            <w:hideMark/>
          </w:tcPr>
          <w:p w14:paraId="3410B833" w14:textId="77777777" w:rsidR="0077303E" w:rsidRPr="0007791D" w:rsidRDefault="0077303E" w:rsidP="0007791D">
            <w:pPr>
              <w:pStyle w:val="Tables"/>
              <w:jc w:val="right"/>
            </w:pPr>
            <w:r w:rsidRPr="0007791D">
              <w:t>0.739</w:t>
            </w:r>
          </w:p>
        </w:tc>
      </w:tr>
      <w:tr w:rsidR="0007791D" w:rsidRPr="0007791D" w14:paraId="30904A42" w14:textId="77777777" w:rsidTr="00ED7A8D">
        <w:trPr>
          <w:trHeight w:val="340"/>
        </w:trPr>
        <w:tc>
          <w:tcPr>
            <w:tcW w:w="3137" w:type="dxa"/>
            <w:tcBorders>
              <w:left w:val="single" w:sz="8" w:space="0" w:color="auto"/>
            </w:tcBorders>
            <w:shd w:val="clear" w:color="auto" w:fill="auto"/>
            <w:noWrap/>
            <w:hideMark/>
          </w:tcPr>
          <w:p w14:paraId="7CC06B40" w14:textId="77777777" w:rsidR="0077303E" w:rsidRPr="0007791D" w:rsidRDefault="0077303E" w:rsidP="0007791D">
            <w:pPr>
              <w:pStyle w:val="Tables"/>
            </w:pPr>
            <w:r w:rsidRPr="0007791D">
              <w:t>furfurals</w:t>
            </w:r>
          </w:p>
        </w:tc>
        <w:tc>
          <w:tcPr>
            <w:tcW w:w="1080" w:type="dxa"/>
            <w:shd w:val="clear" w:color="auto" w:fill="auto"/>
            <w:noWrap/>
            <w:hideMark/>
          </w:tcPr>
          <w:p w14:paraId="7CDF6345" w14:textId="337134A9" w:rsidR="0077303E" w:rsidRPr="0007791D" w:rsidRDefault="0077303E" w:rsidP="0007791D">
            <w:pPr>
              <w:pStyle w:val="Tables"/>
              <w:jc w:val="right"/>
            </w:pPr>
            <w:r w:rsidRPr="0007791D">
              <w:rPr>
                <w:color w:val="000000"/>
              </w:rPr>
              <w:t>0.501</w:t>
            </w:r>
          </w:p>
        </w:tc>
        <w:tc>
          <w:tcPr>
            <w:tcW w:w="276" w:type="dxa"/>
            <w:shd w:val="clear" w:color="auto" w:fill="auto"/>
            <w:hideMark/>
          </w:tcPr>
          <w:p w14:paraId="20F03E89" w14:textId="77777777" w:rsidR="0077303E" w:rsidRPr="0007791D" w:rsidRDefault="0077303E" w:rsidP="0007791D">
            <w:pPr>
              <w:pStyle w:val="Tables"/>
            </w:pPr>
            <w:r w:rsidRPr="0007791D">
              <w:t> </w:t>
            </w:r>
          </w:p>
        </w:tc>
        <w:tc>
          <w:tcPr>
            <w:tcW w:w="2964" w:type="dxa"/>
            <w:shd w:val="clear" w:color="auto" w:fill="auto"/>
            <w:hideMark/>
          </w:tcPr>
          <w:p w14:paraId="3B9BD9F9" w14:textId="77777777" w:rsidR="0077303E" w:rsidRPr="0007791D" w:rsidRDefault="0077303E" w:rsidP="0007791D">
            <w:pPr>
              <w:pStyle w:val="Tables"/>
            </w:pPr>
            <w:r w:rsidRPr="0007791D">
              <w:t>furfurals*</w:t>
            </w:r>
          </w:p>
        </w:tc>
        <w:tc>
          <w:tcPr>
            <w:tcW w:w="1039" w:type="dxa"/>
            <w:tcBorders>
              <w:right w:val="single" w:sz="8" w:space="0" w:color="auto"/>
            </w:tcBorders>
            <w:shd w:val="clear" w:color="auto" w:fill="auto"/>
            <w:hideMark/>
          </w:tcPr>
          <w:p w14:paraId="6505F4E1" w14:textId="77777777" w:rsidR="0077303E" w:rsidRPr="0007791D" w:rsidRDefault="0077303E" w:rsidP="0007791D">
            <w:pPr>
              <w:pStyle w:val="Tables"/>
              <w:jc w:val="right"/>
            </w:pPr>
            <w:r w:rsidRPr="0007791D">
              <w:t>0.379</w:t>
            </w:r>
          </w:p>
        </w:tc>
      </w:tr>
      <w:tr w:rsidR="0007791D" w:rsidRPr="0007791D" w14:paraId="0DB3AE55" w14:textId="77777777" w:rsidTr="00ED7A8D">
        <w:trPr>
          <w:trHeight w:val="340"/>
        </w:trPr>
        <w:tc>
          <w:tcPr>
            <w:tcW w:w="3137" w:type="dxa"/>
            <w:tcBorders>
              <w:left w:val="single" w:sz="8" w:space="0" w:color="auto"/>
            </w:tcBorders>
            <w:shd w:val="clear" w:color="auto" w:fill="auto"/>
            <w:noWrap/>
            <w:hideMark/>
          </w:tcPr>
          <w:p w14:paraId="2A7D9CBF" w14:textId="77777777" w:rsidR="0077303E" w:rsidRPr="0007791D" w:rsidRDefault="0077303E" w:rsidP="0007791D">
            <w:pPr>
              <w:pStyle w:val="Tables"/>
            </w:pPr>
            <w:r w:rsidRPr="0007791D">
              <w:t>light gases†</w:t>
            </w:r>
          </w:p>
        </w:tc>
        <w:tc>
          <w:tcPr>
            <w:tcW w:w="1080" w:type="dxa"/>
            <w:shd w:val="clear" w:color="auto" w:fill="auto"/>
            <w:noWrap/>
            <w:hideMark/>
          </w:tcPr>
          <w:p w14:paraId="2FF30BE7" w14:textId="63333BA2" w:rsidR="0077303E" w:rsidRPr="0007791D" w:rsidRDefault="0077303E" w:rsidP="0007791D">
            <w:pPr>
              <w:pStyle w:val="Tables"/>
              <w:jc w:val="right"/>
            </w:pPr>
            <w:r w:rsidRPr="0007791D">
              <w:rPr>
                <w:color w:val="000000"/>
              </w:rPr>
              <w:t>0.733</w:t>
            </w:r>
          </w:p>
        </w:tc>
        <w:tc>
          <w:tcPr>
            <w:tcW w:w="276" w:type="dxa"/>
            <w:shd w:val="clear" w:color="auto" w:fill="auto"/>
            <w:hideMark/>
          </w:tcPr>
          <w:p w14:paraId="1A1C5F75" w14:textId="77777777" w:rsidR="0077303E" w:rsidRPr="0007791D" w:rsidRDefault="0077303E" w:rsidP="0007791D">
            <w:pPr>
              <w:pStyle w:val="Tables"/>
            </w:pPr>
            <w:r w:rsidRPr="0007791D">
              <w:t> </w:t>
            </w:r>
          </w:p>
        </w:tc>
        <w:tc>
          <w:tcPr>
            <w:tcW w:w="2964" w:type="dxa"/>
            <w:shd w:val="clear" w:color="auto" w:fill="auto"/>
            <w:hideMark/>
          </w:tcPr>
          <w:p w14:paraId="4D86CA5E" w14:textId="77777777" w:rsidR="0077303E" w:rsidRPr="0007791D" w:rsidRDefault="0077303E" w:rsidP="0007791D">
            <w:pPr>
              <w:pStyle w:val="Tables"/>
            </w:pPr>
            <w:r w:rsidRPr="0007791D">
              <w:t>levoglucosan*</w:t>
            </w:r>
          </w:p>
        </w:tc>
        <w:tc>
          <w:tcPr>
            <w:tcW w:w="1039" w:type="dxa"/>
            <w:tcBorders>
              <w:right w:val="single" w:sz="8" w:space="0" w:color="auto"/>
            </w:tcBorders>
            <w:shd w:val="clear" w:color="auto" w:fill="auto"/>
            <w:hideMark/>
          </w:tcPr>
          <w:p w14:paraId="470E6133" w14:textId="77777777" w:rsidR="0077303E" w:rsidRPr="0007791D" w:rsidRDefault="0077303E" w:rsidP="0007791D">
            <w:pPr>
              <w:pStyle w:val="Tables"/>
              <w:jc w:val="right"/>
            </w:pPr>
            <w:r w:rsidRPr="0007791D">
              <w:t>0.418</w:t>
            </w:r>
          </w:p>
        </w:tc>
      </w:tr>
      <w:tr w:rsidR="0007791D" w:rsidRPr="0007791D" w14:paraId="7EE4ED54" w14:textId="77777777" w:rsidTr="00ED7A8D">
        <w:trPr>
          <w:trHeight w:val="340"/>
        </w:trPr>
        <w:tc>
          <w:tcPr>
            <w:tcW w:w="3137" w:type="dxa"/>
            <w:tcBorders>
              <w:left w:val="single" w:sz="8" w:space="0" w:color="auto"/>
            </w:tcBorders>
            <w:shd w:val="clear" w:color="auto" w:fill="auto"/>
            <w:noWrap/>
            <w:hideMark/>
          </w:tcPr>
          <w:p w14:paraId="4133AD53" w14:textId="77777777" w:rsidR="0077303E" w:rsidRPr="0007791D" w:rsidRDefault="0077303E" w:rsidP="0007791D">
            <w:pPr>
              <w:pStyle w:val="Tables"/>
            </w:pPr>
            <w:r w:rsidRPr="0007791D">
              <w:t>light oxygenates*</w:t>
            </w:r>
          </w:p>
        </w:tc>
        <w:tc>
          <w:tcPr>
            <w:tcW w:w="1080" w:type="dxa"/>
            <w:shd w:val="clear" w:color="auto" w:fill="auto"/>
            <w:noWrap/>
            <w:hideMark/>
          </w:tcPr>
          <w:p w14:paraId="768D16B3" w14:textId="3A36F0E8" w:rsidR="0077303E" w:rsidRPr="0007791D" w:rsidRDefault="0077303E" w:rsidP="0007791D">
            <w:pPr>
              <w:pStyle w:val="Tables"/>
              <w:jc w:val="right"/>
            </w:pPr>
            <w:r w:rsidRPr="0007791D">
              <w:rPr>
                <w:color w:val="000000"/>
              </w:rPr>
              <w:t>0.110</w:t>
            </w:r>
          </w:p>
        </w:tc>
        <w:tc>
          <w:tcPr>
            <w:tcW w:w="276" w:type="dxa"/>
            <w:shd w:val="clear" w:color="auto" w:fill="auto"/>
            <w:hideMark/>
          </w:tcPr>
          <w:p w14:paraId="1DACD128" w14:textId="77777777" w:rsidR="0077303E" w:rsidRPr="0007791D" w:rsidRDefault="0077303E" w:rsidP="0007791D">
            <w:pPr>
              <w:pStyle w:val="Tables"/>
            </w:pPr>
            <w:r w:rsidRPr="0007791D">
              <w:t> </w:t>
            </w:r>
          </w:p>
        </w:tc>
        <w:tc>
          <w:tcPr>
            <w:tcW w:w="2964" w:type="dxa"/>
            <w:shd w:val="clear" w:color="auto" w:fill="auto"/>
            <w:noWrap/>
            <w:hideMark/>
          </w:tcPr>
          <w:p w14:paraId="09E0B663" w14:textId="77777777" w:rsidR="0077303E" w:rsidRPr="0007791D" w:rsidRDefault="0077303E" w:rsidP="0007791D">
            <w:pPr>
              <w:pStyle w:val="Tables"/>
            </w:pPr>
            <w:r w:rsidRPr="0007791D">
              <w:t>light gases†</w:t>
            </w:r>
          </w:p>
        </w:tc>
        <w:tc>
          <w:tcPr>
            <w:tcW w:w="1039" w:type="dxa"/>
            <w:tcBorders>
              <w:right w:val="single" w:sz="8" w:space="0" w:color="auto"/>
            </w:tcBorders>
            <w:shd w:val="clear" w:color="auto" w:fill="auto"/>
            <w:hideMark/>
          </w:tcPr>
          <w:p w14:paraId="0CC1B90D" w14:textId="77777777" w:rsidR="0077303E" w:rsidRPr="0007791D" w:rsidRDefault="0077303E" w:rsidP="0007791D">
            <w:pPr>
              <w:pStyle w:val="Tables"/>
              <w:jc w:val="right"/>
            </w:pPr>
            <w:r w:rsidRPr="0007791D">
              <w:t>0.528</w:t>
            </w:r>
          </w:p>
        </w:tc>
      </w:tr>
      <w:tr w:rsidR="0007791D" w:rsidRPr="0007791D" w14:paraId="6162859A" w14:textId="77777777" w:rsidTr="00ED7A8D">
        <w:trPr>
          <w:trHeight w:val="340"/>
        </w:trPr>
        <w:tc>
          <w:tcPr>
            <w:tcW w:w="3137" w:type="dxa"/>
            <w:tcBorders>
              <w:left w:val="single" w:sz="8" w:space="0" w:color="auto"/>
            </w:tcBorders>
            <w:shd w:val="clear" w:color="auto" w:fill="auto"/>
            <w:noWrap/>
            <w:hideMark/>
          </w:tcPr>
          <w:p w14:paraId="2F71A5E7" w14:textId="77777777" w:rsidR="0077303E" w:rsidRPr="0007791D" w:rsidRDefault="0077303E" w:rsidP="0007791D">
            <w:pPr>
              <w:pStyle w:val="Tables"/>
            </w:pPr>
            <w:r w:rsidRPr="0007791D">
              <w:t>methoxyphenols*</w:t>
            </w:r>
          </w:p>
        </w:tc>
        <w:tc>
          <w:tcPr>
            <w:tcW w:w="1080" w:type="dxa"/>
            <w:shd w:val="clear" w:color="auto" w:fill="auto"/>
            <w:noWrap/>
            <w:hideMark/>
          </w:tcPr>
          <w:p w14:paraId="35F66875" w14:textId="5FBCFD19" w:rsidR="0077303E" w:rsidRPr="0007791D" w:rsidRDefault="0077303E" w:rsidP="0007791D">
            <w:pPr>
              <w:pStyle w:val="Tables"/>
              <w:jc w:val="right"/>
            </w:pPr>
            <w:r w:rsidRPr="0007791D">
              <w:rPr>
                <w:color w:val="000000"/>
              </w:rPr>
              <w:t>0.093</w:t>
            </w:r>
          </w:p>
        </w:tc>
        <w:tc>
          <w:tcPr>
            <w:tcW w:w="276" w:type="dxa"/>
            <w:shd w:val="clear" w:color="auto" w:fill="auto"/>
            <w:hideMark/>
          </w:tcPr>
          <w:p w14:paraId="49122CAA" w14:textId="77777777" w:rsidR="0077303E" w:rsidRPr="0007791D" w:rsidRDefault="0077303E" w:rsidP="0007791D">
            <w:pPr>
              <w:pStyle w:val="Tables"/>
            </w:pPr>
            <w:r w:rsidRPr="0007791D">
              <w:t> </w:t>
            </w:r>
          </w:p>
        </w:tc>
        <w:tc>
          <w:tcPr>
            <w:tcW w:w="2964" w:type="dxa"/>
            <w:shd w:val="clear" w:color="auto" w:fill="auto"/>
            <w:noWrap/>
            <w:hideMark/>
          </w:tcPr>
          <w:p w14:paraId="59485FA1" w14:textId="77777777" w:rsidR="0077303E" w:rsidRPr="0007791D" w:rsidRDefault="0077303E" w:rsidP="0007791D">
            <w:pPr>
              <w:pStyle w:val="Tables"/>
            </w:pPr>
            <w:r w:rsidRPr="0007791D">
              <w:t>light oxygenates*</w:t>
            </w:r>
          </w:p>
        </w:tc>
        <w:tc>
          <w:tcPr>
            <w:tcW w:w="1039" w:type="dxa"/>
            <w:tcBorders>
              <w:right w:val="single" w:sz="8" w:space="0" w:color="auto"/>
            </w:tcBorders>
            <w:shd w:val="clear" w:color="auto" w:fill="auto"/>
            <w:hideMark/>
          </w:tcPr>
          <w:p w14:paraId="48899694" w14:textId="77777777" w:rsidR="0077303E" w:rsidRPr="0007791D" w:rsidRDefault="0077303E" w:rsidP="0007791D">
            <w:pPr>
              <w:pStyle w:val="Tables"/>
              <w:jc w:val="right"/>
            </w:pPr>
            <w:r w:rsidRPr="0007791D">
              <w:t>0.388</w:t>
            </w:r>
          </w:p>
        </w:tc>
      </w:tr>
      <w:tr w:rsidR="0007791D" w:rsidRPr="0007791D" w14:paraId="28870462" w14:textId="77777777" w:rsidTr="00ED7A8D">
        <w:trPr>
          <w:trHeight w:val="340"/>
        </w:trPr>
        <w:tc>
          <w:tcPr>
            <w:tcW w:w="3137" w:type="dxa"/>
            <w:tcBorders>
              <w:left w:val="single" w:sz="8" w:space="0" w:color="auto"/>
            </w:tcBorders>
            <w:shd w:val="clear" w:color="auto" w:fill="auto"/>
            <w:noWrap/>
            <w:hideMark/>
          </w:tcPr>
          <w:p w14:paraId="1BAC5CFC" w14:textId="77777777" w:rsidR="0077303E" w:rsidRPr="0007791D" w:rsidRDefault="0077303E" w:rsidP="0007791D">
            <w:pPr>
              <w:pStyle w:val="Tables"/>
            </w:pPr>
            <w:r w:rsidRPr="0007791D">
              <w:t>pyran derivatives</w:t>
            </w:r>
          </w:p>
        </w:tc>
        <w:tc>
          <w:tcPr>
            <w:tcW w:w="1080" w:type="dxa"/>
            <w:shd w:val="clear" w:color="auto" w:fill="auto"/>
            <w:noWrap/>
            <w:hideMark/>
          </w:tcPr>
          <w:p w14:paraId="3E77E293" w14:textId="5E5750DC" w:rsidR="0077303E" w:rsidRPr="0007791D" w:rsidRDefault="0077303E" w:rsidP="0007791D">
            <w:pPr>
              <w:pStyle w:val="Tables"/>
              <w:jc w:val="right"/>
            </w:pPr>
            <w:r w:rsidRPr="0007791D">
              <w:rPr>
                <w:color w:val="000000"/>
              </w:rPr>
              <w:t>0.738</w:t>
            </w:r>
          </w:p>
        </w:tc>
        <w:tc>
          <w:tcPr>
            <w:tcW w:w="276" w:type="dxa"/>
            <w:shd w:val="clear" w:color="auto" w:fill="auto"/>
            <w:hideMark/>
          </w:tcPr>
          <w:p w14:paraId="183BEFA1" w14:textId="77777777" w:rsidR="0077303E" w:rsidRPr="0007791D" w:rsidRDefault="0077303E" w:rsidP="0007791D">
            <w:pPr>
              <w:pStyle w:val="Tables"/>
            </w:pPr>
            <w:r w:rsidRPr="0007791D">
              <w:t> </w:t>
            </w:r>
          </w:p>
        </w:tc>
        <w:tc>
          <w:tcPr>
            <w:tcW w:w="2964" w:type="dxa"/>
            <w:shd w:val="clear" w:color="auto" w:fill="auto"/>
            <w:noWrap/>
            <w:hideMark/>
          </w:tcPr>
          <w:p w14:paraId="4E64BF3D" w14:textId="77777777" w:rsidR="0077303E" w:rsidRPr="0007791D" w:rsidRDefault="0077303E" w:rsidP="0007791D">
            <w:pPr>
              <w:pStyle w:val="Tables"/>
            </w:pPr>
            <w:r w:rsidRPr="0007791D">
              <w:t>methoxyphenols</w:t>
            </w:r>
          </w:p>
        </w:tc>
        <w:tc>
          <w:tcPr>
            <w:tcW w:w="1039" w:type="dxa"/>
            <w:tcBorders>
              <w:right w:val="single" w:sz="8" w:space="0" w:color="auto"/>
            </w:tcBorders>
            <w:shd w:val="clear" w:color="auto" w:fill="auto"/>
            <w:hideMark/>
          </w:tcPr>
          <w:p w14:paraId="0A097981" w14:textId="77777777" w:rsidR="0077303E" w:rsidRPr="0007791D" w:rsidRDefault="0077303E" w:rsidP="0007791D">
            <w:pPr>
              <w:pStyle w:val="Tables"/>
              <w:jc w:val="right"/>
            </w:pPr>
            <w:r w:rsidRPr="0007791D">
              <w:t>0.645</w:t>
            </w:r>
          </w:p>
        </w:tc>
      </w:tr>
      <w:tr w:rsidR="0007791D" w:rsidRPr="0007791D" w14:paraId="72AA0442" w14:textId="77777777" w:rsidTr="00ED7A8D">
        <w:trPr>
          <w:trHeight w:val="340"/>
        </w:trPr>
        <w:tc>
          <w:tcPr>
            <w:tcW w:w="3137" w:type="dxa"/>
            <w:tcBorders>
              <w:left w:val="single" w:sz="8" w:space="0" w:color="auto"/>
            </w:tcBorders>
            <w:shd w:val="clear" w:color="auto" w:fill="auto"/>
            <w:noWrap/>
            <w:hideMark/>
          </w:tcPr>
          <w:p w14:paraId="5EBFF81E" w14:textId="77777777" w:rsidR="0077303E" w:rsidRPr="0007791D" w:rsidRDefault="0077303E" w:rsidP="0007791D">
            <w:pPr>
              <w:pStyle w:val="Tables"/>
            </w:pPr>
            <w:r w:rsidRPr="0007791D">
              <w:t>non-levoglucosan sugars†</w:t>
            </w:r>
          </w:p>
        </w:tc>
        <w:tc>
          <w:tcPr>
            <w:tcW w:w="1080" w:type="dxa"/>
            <w:shd w:val="clear" w:color="auto" w:fill="auto"/>
            <w:noWrap/>
            <w:hideMark/>
          </w:tcPr>
          <w:p w14:paraId="059E92E9" w14:textId="0113C046" w:rsidR="0077303E" w:rsidRPr="0007791D" w:rsidRDefault="0077303E" w:rsidP="0007791D">
            <w:pPr>
              <w:pStyle w:val="Tables"/>
              <w:jc w:val="right"/>
            </w:pPr>
            <w:r w:rsidRPr="0007791D">
              <w:rPr>
                <w:color w:val="000000"/>
              </w:rPr>
              <w:t>0.436</w:t>
            </w:r>
          </w:p>
        </w:tc>
        <w:tc>
          <w:tcPr>
            <w:tcW w:w="276" w:type="dxa"/>
            <w:shd w:val="clear" w:color="auto" w:fill="auto"/>
            <w:hideMark/>
          </w:tcPr>
          <w:p w14:paraId="2F76995C" w14:textId="77777777" w:rsidR="0077303E" w:rsidRPr="0007791D" w:rsidRDefault="0077303E" w:rsidP="0007791D">
            <w:pPr>
              <w:pStyle w:val="Tables"/>
            </w:pPr>
            <w:r w:rsidRPr="0007791D">
              <w:t> </w:t>
            </w:r>
          </w:p>
        </w:tc>
        <w:tc>
          <w:tcPr>
            <w:tcW w:w="2964" w:type="dxa"/>
            <w:shd w:val="clear" w:color="auto" w:fill="auto"/>
            <w:noWrap/>
            <w:hideMark/>
          </w:tcPr>
          <w:p w14:paraId="73E63868" w14:textId="77777777" w:rsidR="0077303E" w:rsidRPr="0007791D" w:rsidRDefault="0077303E" w:rsidP="0007791D">
            <w:pPr>
              <w:pStyle w:val="Tables"/>
            </w:pPr>
            <w:r w:rsidRPr="0007791D">
              <w:t>pyran derivatives</w:t>
            </w:r>
          </w:p>
        </w:tc>
        <w:tc>
          <w:tcPr>
            <w:tcW w:w="1039" w:type="dxa"/>
            <w:tcBorders>
              <w:right w:val="single" w:sz="8" w:space="0" w:color="auto"/>
            </w:tcBorders>
            <w:shd w:val="clear" w:color="auto" w:fill="auto"/>
            <w:hideMark/>
          </w:tcPr>
          <w:p w14:paraId="620EF3C0" w14:textId="77777777" w:rsidR="0077303E" w:rsidRPr="0007791D" w:rsidRDefault="0077303E" w:rsidP="0007791D">
            <w:pPr>
              <w:pStyle w:val="Tables"/>
              <w:jc w:val="right"/>
            </w:pPr>
            <w:r w:rsidRPr="0007791D">
              <w:t>0.314</w:t>
            </w:r>
          </w:p>
        </w:tc>
      </w:tr>
      <w:tr w:rsidR="0007791D" w:rsidRPr="0007791D" w14:paraId="7EDF792B" w14:textId="77777777" w:rsidTr="00ED7A8D">
        <w:trPr>
          <w:trHeight w:val="340"/>
        </w:trPr>
        <w:tc>
          <w:tcPr>
            <w:tcW w:w="3137" w:type="dxa"/>
            <w:tcBorders>
              <w:left w:val="single" w:sz="8" w:space="0" w:color="auto"/>
            </w:tcBorders>
            <w:shd w:val="clear" w:color="auto" w:fill="auto"/>
            <w:noWrap/>
            <w:hideMark/>
          </w:tcPr>
          <w:p w14:paraId="7F724D50" w14:textId="77777777" w:rsidR="0077303E" w:rsidRPr="0007791D" w:rsidRDefault="0077303E" w:rsidP="0007791D">
            <w:pPr>
              <w:pStyle w:val="Tables"/>
            </w:pPr>
            <w:r w:rsidRPr="0007791D">
              <w:t> </w:t>
            </w:r>
          </w:p>
        </w:tc>
        <w:tc>
          <w:tcPr>
            <w:tcW w:w="1080" w:type="dxa"/>
            <w:shd w:val="clear" w:color="auto" w:fill="auto"/>
            <w:noWrap/>
            <w:hideMark/>
          </w:tcPr>
          <w:p w14:paraId="5F0CE149" w14:textId="77777777" w:rsidR="0077303E" w:rsidRPr="0007791D" w:rsidRDefault="0077303E" w:rsidP="0007791D">
            <w:pPr>
              <w:pStyle w:val="Tables"/>
            </w:pPr>
            <w:r w:rsidRPr="0007791D">
              <w:t> </w:t>
            </w:r>
          </w:p>
        </w:tc>
        <w:tc>
          <w:tcPr>
            <w:tcW w:w="276" w:type="dxa"/>
            <w:shd w:val="clear" w:color="auto" w:fill="auto"/>
            <w:hideMark/>
          </w:tcPr>
          <w:p w14:paraId="0C2B84AA" w14:textId="77777777" w:rsidR="0077303E" w:rsidRPr="0007791D" w:rsidRDefault="0077303E" w:rsidP="0007791D">
            <w:pPr>
              <w:pStyle w:val="Tables"/>
            </w:pPr>
            <w:r w:rsidRPr="0007791D">
              <w:t> </w:t>
            </w:r>
          </w:p>
        </w:tc>
        <w:tc>
          <w:tcPr>
            <w:tcW w:w="2964" w:type="dxa"/>
            <w:shd w:val="clear" w:color="auto" w:fill="auto"/>
            <w:noWrap/>
            <w:hideMark/>
          </w:tcPr>
          <w:p w14:paraId="7C8D2ABF" w14:textId="77777777" w:rsidR="0077303E" w:rsidRPr="0007791D" w:rsidRDefault="0077303E" w:rsidP="0007791D">
            <w:pPr>
              <w:pStyle w:val="Tables"/>
            </w:pPr>
            <w:r w:rsidRPr="0007791D">
              <w:t>non-levoglucosan sugars*</w:t>
            </w:r>
          </w:p>
        </w:tc>
        <w:tc>
          <w:tcPr>
            <w:tcW w:w="1039" w:type="dxa"/>
            <w:tcBorders>
              <w:right w:val="single" w:sz="8" w:space="0" w:color="auto"/>
            </w:tcBorders>
            <w:shd w:val="clear" w:color="auto" w:fill="auto"/>
            <w:hideMark/>
          </w:tcPr>
          <w:p w14:paraId="4EADDC0B" w14:textId="77777777" w:rsidR="0077303E" w:rsidRPr="0007791D" w:rsidRDefault="0077303E" w:rsidP="0007791D">
            <w:pPr>
              <w:pStyle w:val="Tables"/>
              <w:jc w:val="right"/>
            </w:pPr>
            <w:r w:rsidRPr="0007791D">
              <w:t>0.375</w:t>
            </w:r>
          </w:p>
        </w:tc>
      </w:tr>
      <w:tr w:rsidR="0077303E" w:rsidRPr="0007791D" w14:paraId="357CD670" w14:textId="77777777" w:rsidTr="00F3727F">
        <w:trPr>
          <w:trHeight w:val="340"/>
        </w:trPr>
        <w:tc>
          <w:tcPr>
            <w:tcW w:w="8496" w:type="dxa"/>
            <w:gridSpan w:val="5"/>
            <w:tcBorders>
              <w:left w:val="single" w:sz="8" w:space="0" w:color="auto"/>
              <w:bottom w:val="single" w:sz="8" w:space="0" w:color="auto"/>
              <w:right w:val="single" w:sz="8" w:space="0" w:color="000000"/>
            </w:tcBorders>
            <w:shd w:val="clear" w:color="auto" w:fill="auto"/>
            <w:noWrap/>
            <w:vAlign w:val="bottom"/>
            <w:hideMark/>
          </w:tcPr>
          <w:p w14:paraId="5E386B64" w14:textId="77777777" w:rsidR="0077303E" w:rsidRPr="00F3727F" w:rsidRDefault="0077303E" w:rsidP="00F3727F">
            <w:pPr>
              <w:pStyle w:val="Tables"/>
              <w:jc w:val="right"/>
              <w:rPr>
                <w:sz w:val="22"/>
              </w:rPr>
            </w:pPr>
            <w:r w:rsidRPr="00F3727F">
              <w:rPr>
                <w:sz w:val="22"/>
              </w:rPr>
              <w:t>*Unacceptable predictive ability. †Uninterpretable coefficients.</w:t>
            </w:r>
          </w:p>
        </w:tc>
      </w:tr>
    </w:tbl>
    <w:p w14:paraId="37FCDBC3" w14:textId="4FE037DE" w:rsidR="00ED7A8D" w:rsidRDefault="00ED7A8D" w:rsidP="00ED7A8D">
      <w:pPr>
        <w:pStyle w:val="Caption"/>
        <w:rPr>
          <w:b w:val="0"/>
        </w:rPr>
      </w:pPr>
      <w:bookmarkStart w:id="154" w:name="_Toc449964941"/>
      <w:r>
        <w:t xml:space="preserve">Table </w:t>
      </w:r>
      <w:fldSimple w:instr=" STYLEREF &quot;Chapter&quot; \s ">
        <w:r w:rsidR="00463F52">
          <w:rPr>
            <w:noProof/>
          </w:rPr>
          <w:t>6</w:t>
        </w:r>
      </w:fldSimple>
      <w:r>
        <w:t>.</w:t>
      </w:r>
      <w:fldSimple w:instr=" SEQ Table \* ARABIC \s 1 ">
        <w:r w:rsidR="00463F52">
          <w:rPr>
            <w:noProof/>
          </w:rPr>
          <w:t>7</w:t>
        </w:r>
      </w:fldSimple>
      <w:r>
        <w:t>.</w:t>
      </w:r>
      <w:r w:rsidRPr="008E2374">
        <w:t xml:space="preserve"> </w:t>
      </w:r>
      <w:r w:rsidRPr="00ED7A8D">
        <w:rPr>
          <w:b w:val="0"/>
        </w:rPr>
        <w:t>Torrefaction and pyrolysis stepwise model R</w:t>
      </w:r>
      <w:r w:rsidRPr="00ED7A8D">
        <w:rPr>
          <w:b w:val="0"/>
          <w:vertAlign w:val="superscript"/>
        </w:rPr>
        <w:t>2</w:t>
      </w:r>
      <w:r w:rsidRPr="00ED7A8D">
        <w:rPr>
          <w:b w:val="0"/>
        </w:rPr>
        <w:t xml:space="preserve"> values for re-prediction of observed values.</w:t>
      </w:r>
      <w:bookmarkEnd w:id="154"/>
    </w:p>
    <w:p w14:paraId="6319C628" w14:textId="77777777" w:rsidR="00ED019B" w:rsidRPr="00ED019B" w:rsidRDefault="00ED019B" w:rsidP="00ED019B"/>
    <w:tbl>
      <w:tblPr>
        <w:tblW w:w="65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2"/>
        <w:gridCol w:w="498"/>
        <w:gridCol w:w="498"/>
        <w:gridCol w:w="498"/>
        <w:gridCol w:w="498"/>
        <w:gridCol w:w="498"/>
        <w:gridCol w:w="498"/>
        <w:gridCol w:w="498"/>
        <w:gridCol w:w="498"/>
        <w:gridCol w:w="498"/>
      </w:tblGrid>
      <w:tr w:rsidR="00ED019B" w:rsidRPr="00ED019B" w14:paraId="247C8CD2" w14:textId="77777777" w:rsidTr="005B60FA">
        <w:trPr>
          <w:cantSplit/>
          <w:trHeight w:val="1296"/>
          <w:jc w:val="center"/>
        </w:trPr>
        <w:tc>
          <w:tcPr>
            <w:tcW w:w="2052" w:type="dxa"/>
            <w:shd w:val="clear" w:color="auto" w:fill="auto"/>
            <w:noWrap/>
            <w:vAlign w:val="bottom"/>
            <w:hideMark/>
          </w:tcPr>
          <w:p w14:paraId="4F32270D" w14:textId="77777777" w:rsidR="00ED019B" w:rsidRPr="00ED019B" w:rsidRDefault="00ED019B" w:rsidP="00ED019B">
            <w:pPr>
              <w:pStyle w:val="Tables"/>
            </w:pPr>
            <w:r w:rsidRPr="00ED019B">
              <w:t>model</w:t>
            </w:r>
          </w:p>
        </w:tc>
        <w:tc>
          <w:tcPr>
            <w:tcW w:w="498" w:type="dxa"/>
            <w:shd w:val="clear" w:color="auto" w:fill="auto"/>
            <w:noWrap/>
            <w:textDirection w:val="btLr"/>
            <w:vAlign w:val="bottom"/>
            <w:hideMark/>
          </w:tcPr>
          <w:p w14:paraId="52110D97" w14:textId="77777777" w:rsidR="00ED019B" w:rsidRPr="00ED019B" w:rsidRDefault="00ED019B" w:rsidP="00ED019B">
            <w:pPr>
              <w:pStyle w:val="Tables"/>
              <w:rPr>
                <w:b/>
              </w:rPr>
            </w:pPr>
            <w:r w:rsidRPr="00ED019B">
              <w:rPr>
                <w:b/>
              </w:rPr>
              <w:t>Ca</w:t>
            </w:r>
          </w:p>
        </w:tc>
        <w:tc>
          <w:tcPr>
            <w:tcW w:w="498" w:type="dxa"/>
            <w:shd w:val="clear" w:color="auto" w:fill="auto"/>
            <w:noWrap/>
            <w:textDirection w:val="btLr"/>
            <w:vAlign w:val="bottom"/>
            <w:hideMark/>
          </w:tcPr>
          <w:p w14:paraId="73433AF6" w14:textId="77777777" w:rsidR="00ED019B" w:rsidRPr="00ED019B" w:rsidRDefault="00ED019B" w:rsidP="00ED019B">
            <w:pPr>
              <w:pStyle w:val="Tables"/>
              <w:rPr>
                <w:b/>
              </w:rPr>
            </w:pPr>
            <w:r w:rsidRPr="00ED019B">
              <w:rPr>
                <w:b/>
              </w:rPr>
              <w:t>FEST</w:t>
            </w:r>
          </w:p>
        </w:tc>
        <w:tc>
          <w:tcPr>
            <w:tcW w:w="498" w:type="dxa"/>
            <w:shd w:val="clear" w:color="auto" w:fill="auto"/>
            <w:noWrap/>
            <w:textDirection w:val="btLr"/>
            <w:vAlign w:val="bottom"/>
            <w:hideMark/>
          </w:tcPr>
          <w:p w14:paraId="7539D8CA" w14:textId="77777777" w:rsidR="00ED019B" w:rsidRPr="00ED019B" w:rsidRDefault="00ED019B" w:rsidP="00ED019B">
            <w:pPr>
              <w:pStyle w:val="Tables"/>
              <w:rPr>
                <w:b/>
              </w:rPr>
            </w:pPr>
            <w:r w:rsidRPr="00ED019B">
              <w:rPr>
                <w:b/>
              </w:rPr>
              <w:t>lignin.nrel</w:t>
            </w:r>
          </w:p>
        </w:tc>
        <w:tc>
          <w:tcPr>
            <w:tcW w:w="498" w:type="dxa"/>
            <w:shd w:val="clear" w:color="auto" w:fill="auto"/>
            <w:noWrap/>
            <w:textDirection w:val="btLr"/>
            <w:vAlign w:val="bottom"/>
            <w:hideMark/>
          </w:tcPr>
          <w:p w14:paraId="473EAD1A" w14:textId="77777777" w:rsidR="00ED019B" w:rsidRPr="00ED019B" w:rsidRDefault="00ED019B" w:rsidP="00ED019B">
            <w:pPr>
              <w:pStyle w:val="Tables"/>
              <w:rPr>
                <w:b/>
              </w:rPr>
            </w:pPr>
            <w:r w:rsidRPr="00ED019B">
              <w:rPr>
                <w:b/>
              </w:rPr>
              <w:t>Ash.forage</w:t>
            </w:r>
          </w:p>
        </w:tc>
        <w:tc>
          <w:tcPr>
            <w:tcW w:w="498" w:type="dxa"/>
            <w:shd w:val="clear" w:color="auto" w:fill="auto"/>
            <w:noWrap/>
            <w:textDirection w:val="btLr"/>
            <w:vAlign w:val="bottom"/>
            <w:hideMark/>
          </w:tcPr>
          <w:p w14:paraId="4A8391B1" w14:textId="77777777" w:rsidR="00ED019B" w:rsidRPr="00ED019B" w:rsidRDefault="00ED019B" w:rsidP="00ED019B">
            <w:pPr>
              <w:pStyle w:val="Tables"/>
              <w:rPr>
                <w:b/>
              </w:rPr>
            </w:pPr>
            <w:r w:rsidRPr="00ED019B">
              <w:rPr>
                <w:b/>
              </w:rPr>
              <w:t>pCA</w:t>
            </w:r>
          </w:p>
        </w:tc>
        <w:tc>
          <w:tcPr>
            <w:tcW w:w="498" w:type="dxa"/>
            <w:shd w:val="clear" w:color="auto" w:fill="auto"/>
            <w:noWrap/>
            <w:textDirection w:val="btLr"/>
            <w:vAlign w:val="bottom"/>
            <w:hideMark/>
          </w:tcPr>
          <w:p w14:paraId="34790593" w14:textId="77777777" w:rsidR="00ED019B" w:rsidRPr="00ED019B" w:rsidRDefault="00ED019B" w:rsidP="00ED019B">
            <w:pPr>
              <w:pStyle w:val="Tables"/>
              <w:rPr>
                <w:b/>
              </w:rPr>
            </w:pPr>
            <w:r w:rsidRPr="00ED019B">
              <w:rPr>
                <w:b/>
              </w:rPr>
              <w:t>UA</w:t>
            </w:r>
          </w:p>
        </w:tc>
        <w:tc>
          <w:tcPr>
            <w:tcW w:w="498" w:type="dxa"/>
            <w:shd w:val="clear" w:color="auto" w:fill="auto"/>
            <w:noWrap/>
            <w:textDirection w:val="btLr"/>
            <w:vAlign w:val="bottom"/>
            <w:hideMark/>
          </w:tcPr>
          <w:p w14:paraId="21D79CD0" w14:textId="77777777" w:rsidR="00ED019B" w:rsidRPr="00ED019B" w:rsidRDefault="00ED019B" w:rsidP="00ED019B">
            <w:pPr>
              <w:pStyle w:val="Tables"/>
              <w:rPr>
                <w:b/>
              </w:rPr>
            </w:pPr>
            <w:r w:rsidRPr="00ED019B">
              <w:rPr>
                <w:b/>
              </w:rPr>
              <w:t>ARA</w:t>
            </w:r>
          </w:p>
        </w:tc>
        <w:tc>
          <w:tcPr>
            <w:tcW w:w="498" w:type="dxa"/>
            <w:shd w:val="clear" w:color="auto" w:fill="auto"/>
            <w:noWrap/>
            <w:textDirection w:val="btLr"/>
            <w:vAlign w:val="bottom"/>
            <w:hideMark/>
          </w:tcPr>
          <w:p w14:paraId="67A7AB2E" w14:textId="77777777" w:rsidR="00ED019B" w:rsidRPr="00ED019B" w:rsidRDefault="00ED019B" w:rsidP="00ED019B">
            <w:pPr>
              <w:pStyle w:val="Tables"/>
              <w:rPr>
                <w:b/>
              </w:rPr>
            </w:pPr>
            <w:r w:rsidRPr="00ED019B">
              <w:rPr>
                <w:b/>
              </w:rPr>
              <w:t>GLCS</w:t>
            </w:r>
          </w:p>
        </w:tc>
        <w:tc>
          <w:tcPr>
            <w:tcW w:w="498" w:type="dxa"/>
            <w:shd w:val="clear" w:color="auto" w:fill="auto"/>
            <w:noWrap/>
            <w:textDirection w:val="btLr"/>
            <w:vAlign w:val="bottom"/>
            <w:hideMark/>
          </w:tcPr>
          <w:p w14:paraId="265EF8D3" w14:textId="77777777" w:rsidR="00ED019B" w:rsidRPr="00ED019B" w:rsidRDefault="00ED019B" w:rsidP="00ED019B">
            <w:pPr>
              <w:pStyle w:val="Tables"/>
              <w:rPr>
                <w:b/>
              </w:rPr>
            </w:pPr>
            <w:r w:rsidRPr="00ED019B">
              <w:rPr>
                <w:b/>
              </w:rPr>
              <w:t>PENT</w:t>
            </w:r>
          </w:p>
        </w:tc>
      </w:tr>
      <w:tr w:rsidR="00ED019B" w:rsidRPr="00ED019B" w14:paraId="20605F05" w14:textId="77777777" w:rsidTr="005B60FA">
        <w:trPr>
          <w:cantSplit/>
          <w:trHeight w:val="432"/>
          <w:jc w:val="center"/>
        </w:trPr>
        <w:tc>
          <w:tcPr>
            <w:tcW w:w="2052" w:type="dxa"/>
            <w:shd w:val="clear" w:color="auto" w:fill="auto"/>
            <w:noWrap/>
            <w:vAlign w:val="center"/>
            <w:hideMark/>
          </w:tcPr>
          <w:p w14:paraId="593329C8" w14:textId="77777777" w:rsidR="00ED019B" w:rsidRPr="00ED019B" w:rsidRDefault="00ED019B" w:rsidP="00ED019B">
            <w:pPr>
              <w:pStyle w:val="Tables"/>
            </w:pPr>
            <w:r w:rsidRPr="00ED019B">
              <w:t>acetic acid</w:t>
            </w:r>
          </w:p>
        </w:tc>
        <w:tc>
          <w:tcPr>
            <w:tcW w:w="498" w:type="dxa"/>
            <w:shd w:val="clear" w:color="auto" w:fill="auto"/>
            <w:noWrap/>
            <w:vAlign w:val="center"/>
            <w:hideMark/>
          </w:tcPr>
          <w:p w14:paraId="1AD6C12A" w14:textId="77777777" w:rsidR="00ED019B" w:rsidRPr="00ED019B" w:rsidRDefault="00ED019B" w:rsidP="00ED019B">
            <w:pPr>
              <w:pStyle w:val="Tables"/>
              <w:jc w:val="center"/>
              <w:rPr>
                <w:b/>
              </w:rPr>
            </w:pPr>
            <w:r w:rsidRPr="00ED019B">
              <w:rPr>
                <w:b/>
              </w:rPr>
              <w:t>-</w:t>
            </w:r>
          </w:p>
        </w:tc>
        <w:tc>
          <w:tcPr>
            <w:tcW w:w="498" w:type="dxa"/>
            <w:shd w:val="clear" w:color="auto" w:fill="auto"/>
            <w:noWrap/>
            <w:vAlign w:val="center"/>
            <w:hideMark/>
          </w:tcPr>
          <w:p w14:paraId="3BBD2420" w14:textId="77777777" w:rsidR="00ED019B" w:rsidRPr="00ED019B" w:rsidRDefault="00ED019B" w:rsidP="00ED019B">
            <w:pPr>
              <w:pStyle w:val="Tables"/>
              <w:jc w:val="center"/>
              <w:rPr>
                <w:b/>
              </w:rPr>
            </w:pPr>
            <w:r w:rsidRPr="00ED019B">
              <w:rPr>
                <w:b/>
              </w:rPr>
              <w:t>+</w:t>
            </w:r>
          </w:p>
        </w:tc>
        <w:tc>
          <w:tcPr>
            <w:tcW w:w="498" w:type="dxa"/>
            <w:shd w:val="clear" w:color="auto" w:fill="auto"/>
            <w:noWrap/>
            <w:vAlign w:val="center"/>
            <w:hideMark/>
          </w:tcPr>
          <w:p w14:paraId="621FBE7C" w14:textId="77777777" w:rsidR="00ED019B" w:rsidRPr="00ED019B" w:rsidRDefault="00ED019B" w:rsidP="00ED019B">
            <w:pPr>
              <w:pStyle w:val="Tables"/>
              <w:jc w:val="center"/>
              <w:rPr>
                <w:b/>
              </w:rPr>
            </w:pPr>
            <w:r w:rsidRPr="00ED019B">
              <w:rPr>
                <w:b/>
              </w:rPr>
              <w:t>-</w:t>
            </w:r>
          </w:p>
        </w:tc>
        <w:tc>
          <w:tcPr>
            <w:tcW w:w="498" w:type="dxa"/>
            <w:shd w:val="clear" w:color="auto" w:fill="auto"/>
            <w:noWrap/>
            <w:vAlign w:val="center"/>
            <w:hideMark/>
          </w:tcPr>
          <w:p w14:paraId="76DB733C" w14:textId="77777777" w:rsidR="00ED019B" w:rsidRPr="00ED019B" w:rsidRDefault="00ED019B" w:rsidP="00ED019B">
            <w:pPr>
              <w:pStyle w:val="Tables"/>
              <w:jc w:val="center"/>
              <w:rPr>
                <w:b/>
              </w:rPr>
            </w:pPr>
          </w:p>
        </w:tc>
        <w:tc>
          <w:tcPr>
            <w:tcW w:w="498" w:type="dxa"/>
            <w:shd w:val="clear" w:color="auto" w:fill="auto"/>
            <w:noWrap/>
            <w:vAlign w:val="center"/>
            <w:hideMark/>
          </w:tcPr>
          <w:p w14:paraId="5BE0BCFB" w14:textId="77777777" w:rsidR="00ED019B" w:rsidRPr="00ED019B" w:rsidRDefault="00ED019B" w:rsidP="00ED019B">
            <w:pPr>
              <w:pStyle w:val="Tables"/>
              <w:jc w:val="center"/>
              <w:rPr>
                <w:b/>
              </w:rPr>
            </w:pPr>
          </w:p>
        </w:tc>
        <w:tc>
          <w:tcPr>
            <w:tcW w:w="498" w:type="dxa"/>
            <w:shd w:val="clear" w:color="auto" w:fill="auto"/>
            <w:noWrap/>
            <w:vAlign w:val="center"/>
            <w:hideMark/>
          </w:tcPr>
          <w:p w14:paraId="57BED082" w14:textId="77777777" w:rsidR="00ED019B" w:rsidRPr="00ED019B" w:rsidRDefault="00ED019B" w:rsidP="00ED019B">
            <w:pPr>
              <w:pStyle w:val="Tables"/>
              <w:jc w:val="center"/>
              <w:rPr>
                <w:b/>
              </w:rPr>
            </w:pPr>
          </w:p>
        </w:tc>
        <w:tc>
          <w:tcPr>
            <w:tcW w:w="498" w:type="dxa"/>
            <w:shd w:val="clear" w:color="auto" w:fill="auto"/>
            <w:noWrap/>
            <w:vAlign w:val="center"/>
            <w:hideMark/>
          </w:tcPr>
          <w:p w14:paraId="4E51F793" w14:textId="77777777" w:rsidR="00ED019B" w:rsidRPr="00ED019B" w:rsidRDefault="00ED019B" w:rsidP="00ED019B">
            <w:pPr>
              <w:pStyle w:val="Tables"/>
              <w:jc w:val="center"/>
              <w:rPr>
                <w:b/>
              </w:rPr>
            </w:pPr>
          </w:p>
        </w:tc>
        <w:tc>
          <w:tcPr>
            <w:tcW w:w="498" w:type="dxa"/>
            <w:shd w:val="clear" w:color="auto" w:fill="auto"/>
            <w:noWrap/>
            <w:vAlign w:val="center"/>
            <w:hideMark/>
          </w:tcPr>
          <w:p w14:paraId="39938EE8" w14:textId="77777777" w:rsidR="00ED019B" w:rsidRPr="00ED019B" w:rsidRDefault="00ED019B" w:rsidP="00ED019B">
            <w:pPr>
              <w:pStyle w:val="Tables"/>
              <w:jc w:val="center"/>
              <w:rPr>
                <w:b/>
              </w:rPr>
            </w:pPr>
          </w:p>
        </w:tc>
        <w:tc>
          <w:tcPr>
            <w:tcW w:w="498" w:type="dxa"/>
            <w:shd w:val="clear" w:color="auto" w:fill="auto"/>
            <w:noWrap/>
            <w:vAlign w:val="center"/>
            <w:hideMark/>
          </w:tcPr>
          <w:p w14:paraId="6CDE1F36" w14:textId="77777777" w:rsidR="00ED019B" w:rsidRPr="00ED019B" w:rsidRDefault="00ED019B" w:rsidP="00ED019B">
            <w:pPr>
              <w:pStyle w:val="Tables"/>
              <w:jc w:val="center"/>
              <w:rPr>
                <w:b/>
              </w:rPr>
            </w:pPr>
          </w:p>
        </w:tc>
      </w:tr>
      <w:tr w:rsidR="00ED019B" w:rsidRPr="00ED019B" w14:paraId="0CABBACE" w14:textId="77777777" w:rsidTr="005B60FA">
        <w:trPr>
          <w:cantSplit/>
          <w:trHeight w:val="432"/>
          <w:jc w:val="center"/>
        </w:trPr>
        <w:tc>
          <w:tcPr>
            <w:tcW w:w="2052" w:type="dxa"/>
            <w:shd w:val="clear" w:color="auto" w:fill="auto"/>
            <w:noWrap/>
            <w:vAlign w:val="center"/>
            <w:hideMark/>
          </w:tcPr>
          <w:p w14:paraId="2C29F4CC" w14:textId="77777777" w:rsidR="00ED019B" w:rsidRPr="00ED019B" w:rsidRDefault="00ED019B" w:rsidP="00ED019B">
            <w:pPr>
              <w:pStyle w:val="Tables"/>
            </w:pPr>
            <w:r w:rsidRPr="00ED019B">
              <w:t>alkyl phenols</w:t>
            </w:r>
          </w:p>
        </w:tc>
        <w:tc>
          <w:tcPr>
            <w:tcW w:w="498" w:type="dxa"/>
            <w:shd w:val="clear" w:color="auto" w:fill="auto"/>
            <w:noWrap/>
            <w:vAlign w:val="center"/>
            <w:hideMark/>
          </w:tcPr>
          <w:p w14:paraId="60A0EF81" w14:textId="77777777" w:rsidR="00ED019B" w:rsidRPr="00ED019B" w:rsidRDefault="00ED019B" w:rsidP="00ED019B">
            <w:pPr>
              <w:pStyle w:val="Tables"/>
              <w:jc w:val="center"/>
              <w:rPr>
                <w:b/>
              </w:rPr>
            </w:pPr>
          </w:p>
        </w:tc>
        <w:tc>
          <w:tcPr>
            <w:tcW w:w="498" w:type="dxa"/>
            <w:shd w:val="clear" w:color="auto" w:fill="auto"/>
            <w:noWrap/>
            <w:vAlign w:val="center"/>
            <w:hideMark/>
          </w:tcPr>
          <w:p w14:paraId="191106F3" w14:textId="77777777" w:rsidR="00ED019B" w:rsidRPr="00ED019B" w:rsidRDefault="00ED019B" w:rsidP="00ED019B">
            <w:pPr>
              <w:pStyle w:val="Tables"/>
              <w:jc w:val="center"/>
              <w:rPr>
                <w:b/>
              </w:rPr>
            </w:pPr>
            <w:r w:rsidRPr="00ED019B">
              <w:rPr>
                <w:b/>
              </w:rPr>
              <w:t>+</w:t>
            </w:r>
          </w:p>
        </w:tc>
        <w:tc>
          <w:tcPr>
            <w:tcW w:w="498" w:type="dxa"/>
            <w:shd w:val="clear" w:color="auto" w:fill="auto"/>
            <w:noWrap/>
            <w:vAlign w:val="center"/>
            <w:hideMark/>
          </w:tcPr>
          <w:p w14:paraId="3D445F03" w14:textId="77777777" w:rsidR="00ED019B" w:rsidRPr="00ED019B" w:rsidRDefault="00ED019B" w:rsidP="00ED019B">
            <w:pPr>
              <w:pStyle w:val="Tables"/>
              <w:jc w:val="center"/>
              <w:rPr>
                <w:b/>
              </w:rPr>
            </w:pPr>
          </w:p>
        </w:tc>
        <w:tc>
          <w:tcPr>
            <w:tcW w:w="498" w:type="dxa"/>
            <w:shd w:val="clear" w:color="auto" w:fill="auto"/>
            <w:noWrap/>
            <w:vAlign w:val="center"/>
            <w:hideMark/>
          </w:tcPr>
          <w:p w14:paraId="02FDBB8D" w14:textId="77777777" w:rsidR="00ED019B" w:rsidRPr="00ED019B" w:rsidRDefault="00ED019B" w:rsidP="00ED019B">
            <w:pPr>
              <w:pStyle w:val="Tables"/>
              <w:jc w:val="center"/>
              <w:rPr>
                <w:b/>
              </w:rPr>
            </w:pPr>
            <w:r w:rsidRPr="00ED019B">
              <w:rPr>
                <w:b/>
              </w:rPr>
              <w:t>+</w:t>
            </w:r>
          </w:p>
        </w:tc>
        <w:tc>
          <w:tcPr>
            <w:tcW w:w="498" w:type="dxa"/>
            <w:shd w:val="clear" w:color="auto" w:fill="auto"/>
            <w:noWrap/>
            <w:vAlign w:val="center"/>
            <w:hideMark/>
          </w:tcPr>
          <w:p w14:paraId="5B10D24F" w14:textId="77777777" w:rsidR="00ED019B" w:rsidRPr="00ED019B" w:rsidRDefault="00ED019B" w:rsidP="00ED019B">
            <w:pPr>
              <w:pStyle w:val="Tables"/>
              <w:jc w:val="center"/>
              <w:rPr>
                <w:b/>
              </w:rPr>
            </w:pPr>
            <w:r w:rsidRPr="00ED019B">
              <w:rPr>
                <w:b/>
              </w:rPr>
              <w:t>+</w:t>
            </w:r>
          </w:p>
        </w:tc>
        <w:tc>
          <w:tcPr>
            <w:tcW w:w="498" w:type="dxa"/>
            <w:shd w:val="clear" w:color="auto" w:fill="auto"/>
            <w:noWrap/>
            <w:vAlign w:val="center"/>
            <w:hideMark/>
          </w:tcPr>
          <w:p w14:paraId="2F61027C" w14:textId="77777777" w:rsidR="00ED019B" w:rsidRPr="00ED019B" w:rsidRDefault="00ED019B" w:rsidP="00ED019B">
            <w:pPr>
              <w:pStyle w:val="Tables"/>
              <w:jc w:val="center"/>
              <w:rPr>
                <w:b/>
              </w:rPr>
            </w:pPr>
            <w:r w:rsidRPr="00ED019B">
              <w:rPr>
                <w:b/>
              </w:rPr>
              <w:t>-</w:t>
            </w:r>
          </w:p>
        </w:tc>
        <w:tc>
          <w:tcPr>
            <w:tcW w:w="498" w:type="dxa"/>
            <w:shd w:val="clear" w:color="auto" w:fill="auto"/>
            <w:noWrap/>
            <w:vAlign w:val="center"/>
            <w:hideMark/>
          </w:tcPr>
          <w:p w14:paraId="37A91B1A" w14:textId="77777777" w:rsidR="00ED019B" w:rsidRPr="00ED019B" w:rsidRDefault="00ED019B" w:rsidP="00ED019B">
            <w:pPr>
              <w:pStyle w:val="Tables"/>
              <w:jc w:val="center"/>
              <w:rPr>
                <w:b/>
              </w:rPr>
            </w:pPr>
          </w:p>
        </w:tc>
        <w:tc>
          <w:tcPr>
            <w:tcW w:w="498" w:type="dxa"/>
            <w:shd w:val="clear" w:color="auto" w:fill="auto"/>
            <w:noWrap/>
            <w:vAlign w:val="center"/>
            <w:hideMark/>
          </w:tcPr>
          <w:p w14:paraId="6D8175EE" w14:textId="77777777" w:rsidR="00ED019B" w:rsidRPr="00ED019B" w:rsidRDefault="00ED019B" w:rsidP="00ED019B">
            <w:pPr>
              <w:pStyle w:val="Tables"/>
              <w:jc w:val="center"/>
              <w:rPr>
                <w:b/>
              </w:rPr>
            </w:pPr>
          </w:p>
        </w:tc>
        <w:tc>
          <w:tcPr>
            <w:tcW w:w="498" w:type="dxa"/>
            <w:shd w:val="clear" w:color="auto" w:fill="auto"/>
            <w:noWrap/>
            <w:vAlign w:val="center"/>
            <w:hideMark/>
          </w:tcPr>
          <w:p w14:paraId="1A96223A" w14:textId="77777777" w:rsidR="00ED019B" w:rsidRPr="00ED019B" w:rsidRDefault="00ED019B" w:rsidP="00ED019B">
            <w:pPr>
              <w:pStyle w:val="Tables"/>
              <w:jc w:val="center"/>
              <w:rPr>
                <w:b/>
              </w:rPr>
            </w:pPr>
          </w:p>
        </w:tc>
      </w:tr>
      <w:tr w:rsidR="00ED019B" w:rsidRPr="00ED019B" w14:paraId="0ECCE946" w14:textId="77777777" w:rsidTr="005B60FA">
        <w:trPr>
          <w:cantSplit/>
          <w:trHeight w:val="432"/>
          <w:jc w:val="center"/>
        </w:trPr>
        <w:tc>
          <w:tcPr>
            <w:tcW w:w="2052" w:type="dxa"/>
            <w:shd w:val="clear" w:color="auto" w:fill="auto"/>
            <w:noWrap/>
            <w:vAlign w:val="center"/>
            <w:hideMark/>
          </w:tcPr>
          <w:p w14:paraId="332A1900" w14:textId="77777777" w:rsidR="00ED019B" w:rsidRPr="00ED019B" w:rsidRDefault="00ED019B" w:rsidP="00ED019B">
            <w:pPr>
              <w:pStyle w:val="Tables"/>
            </w:pPr>
            <w:r w:rsidRPr="00ED019B">
              <w:t>furfurals</w:t>
            </w:r>
          </w:p>
        </w:tc>
        <w:tc>
          <w:tcPr>
            <w:tcW w:w="498" w:type="dxa"/>
            <w:shd w:val="clear" w:color="auto" w:fill="auto"/>
            <w:noWrap/>
            <w:vAlign w:val="center"/>
            <w:hideMark/>
          </w:tcPr>
          <w:p w14:paraId="710DD643" w14:textId="77777777" w:rsidR="00ED019B" w:rsidRPr="00ED019B" w:rsidRDefault="00ED019B" w:rsidP="00ED019B">
            <w:pPr>
              <w:pStyle w:val="Tables"/>
              <w:jc w:val="center"/>
              <w:rPr>
                <w:b/>
              </w:rPr>
            </w:pPr>
          </w:p>
        </w:tc>
        <w:tc>
          <w:tcPr>
            <w:tcW w:w="498" w:type="dxa"/>
            <w:shd w:val="clear" w:color="auto" w:fill="auto"/>
            <w:noWrap/>
            <w:vAlign w:val="center"/>
            <w:hideMark/>
          </w:tcPr>
          <w:p w14:paraId="3AE1AA32" w14:textId="77777777" w:rsidR="00ED019B" w:rsidRPr="00ED019B" w:rsidRDefault="00ED019B" w:rsidP="00ED019B">
            <w:pPr>
              <w:pStyle w:val="Tables"/>
              <w:jc w:val="center"/>
              <w:rPr>
                <w:b/>
              </w:rPr>
            </w:pPr>
          </w:p>
        </w:tc>
        <w:tc>
          <w:tcPr>
            <w:tcW w:w="498" w:type="dxa"/>
            <w:shd w:val="clear" w:color="auto" w:fill="auto"/>
            <w:noWrap/>
            <w:vAlign w:val="center"/>
            <w:hideMark/>
          </w:tcPr>
          <w:p w14:paraId="7E4B22B1" w14:textId="77777777" w:rsidR="00ED019B" w:rsidRPr="00ED019B" w:rsidRDefault="00ED019B" w:rsidP="00ED019B">
            <w:pPr>
              <w:pStyle w:val="Tables"/>
              <w:jc w:val="center"/>
              <w:rPr>
                <w:b/>
              </w:rPr>
            </w:pPr>
          </w:p>
        </w:tc>
        <w:tc>
          <w:tcPr>
            <w:tcW w:w="498" w:type="dxa"/>
            <w:shd w:val="clear" w:color="auto" w:fill="auto"/>
            <w:noWrap/>
            <w:vAlign w:val="center"/>
            <w:hideMark/>
          </w:tcPr>
          <w:p w14:paraId="237EDB09" w14:textId="77777777" w:rsidR="00ED019B" w:rsidRPr="00ED019B" w:rsidRDefault="00ED019B" w:rsidP="00ED019B">
            <w:pPr>
              <w:pStyle w:val="Tables"/>
              <w:jc w:val="center"/>
              <w:rPr>
                <w:b/>
              </w:rPr>
            </w:pPr>
          </w:p>
        </w:tc>
        <w:tc>
          <w:tcPr>
            <w:tcW w:w="498" w:type="dxa"/>
            <w:shd w:val="clear" w:color="auto" w:fill="auto"/>
            <w:noWrap/>
            <w:vAlign w:val="center"/>
            <w:hideMark/>
          </w:tcPr>
          <w:p w14:paraId="54A5B020" w14:textId="77777777" w:rsidR="00ED019B" w:rsidRPr="00ED019B" w:rsidRDefault="00ED019B" w:rsidP="00ED019B">
            <w:pPr>
              <w:pStyle w:val="Tables"/>
              <w:jc w:val="center"/>
              <w:rPr>
                <w:b/>
              </w:rPr>
            </w:pPr>
          </w:p>
        </w:tc>
        <w:tc>
          <w:tcPr>
            <w:tcW w:w="498" w:type="dxa"/>
            <w:shd w:val="clear" w:color="auto" w:fill="auto"/>
            <w:noWrap/>
            <w:vAlign w:val="center"/>
            <w:hideMark/>
          </w:tcPr>
          <w:p w14:paraId="73629CE1" w14:textId="77777777" w:rsidR="00ED019B" w:rsidRPr="00ED019B" w:rsidRDefault="00ED019B" w:rsidP="00ED019B">
            <w:pPr>
              <w:pStyle w:val="Tables"/>
              <w:jc w:val="center"/>
              <w:rPr>
                <w:b/>
              </w:rPr>
            </w:pPr>
          </w:p>
        </w:tc>
        <w:tc>
          <w:tcPr>
            <w:tcW w:w="498" w:type="dxa"/>
            <w:shd w:val="clear" w:color="auto" w:fill="auto"/>
            <w:noWrap/>
            <w:vAlign w:val="center"/>
            <w:hideMark/>
          </w:tcPr>
          <w:p w14:paraId="29295B1A" w14:textId="77777777" w:rsidR="00ED019B" w:rsidRPr="00ED019B" w:rsidRDefault="00ED019B" w:rsidP="00ED019B">
            <w:pPr>
              <w:pStyle w:val="Tables"/>
              <w:jc w:val="center"/>
              <w:rPr>
                <w:b/>
              </w:rPr>
            </w:pPr>
            <w:r w:rsidRPr="00ED019B">
              <w:rPr>
                <w:b/>
              </w:rPr>
              <w:t>+</w:t>
            </w:r>
          </w:p>
        </w:tc>
        <w:tc>
          <w:tcPr>
            <w:tcW w:w="498" w:type="dxa"/>
            <w:shd w:val="clear" w:color="auto" w:fill="auto"/>
            <w:noWrap/>
            <w:vAlign w:val="center"/>
            <w:hideMark/>
          </w:tcPr>
          <w:p w14:paraId="3298B58F" w14:textId="77777777" w:rsidR="00ED019B" w:rsidRPr="00ED019B" w:rsidRDefault="00ED019B" w:rsidP="00ED019B">
            <w:pPr>
              <w:pStyle w:val="Tables"/>
              <w:jc w:val="center"/>
              <w:rPr>
                <w:b/>
              </w:rPr>
            </w:pPr>
            <w:r w:rsidRPr="00ED019B">
              <w:rPr>
                <w:b/>
              </w:rPr>
              <w:t>+</w:t>
            </w:r>
          </w:p>
        </w:tc>
        <w:tc>
          <w:tcPr>
            <w:tcW w:w="498" w:type="dxa"/>
            <w:shd w:val="clear" w:color="auto" w:fill="auto"/>
            <w:noWrap/>
            <w:vAlign w:val="center"/>
            <w:hideMark/>
          </w:tcPr>
          <w:p w14:paraId="277A02DF" w14:textId="77777777" w:rsidR="00ED019B" w:rsidRPr="00ED019B" w:rsidRDefault="00ED019B" w:rsidP="00ED019B">
            <w:pPr>
              <w:pStyle w:val="Tables"/>
              <w:jc w:val="center"/>
              <w:rPr>
                <w:b/>
              </w:rPr>
            </w:pPr>
          </w:p>
        </w:tc>
      </w:tr>
      <w:tr w:rsidR="00ED019B" w:rsidRPr="00ED019B" w14:paraId="31354160" w14:textId="77777777" w:rsidTr="005B60FA">
        <w:trPr>
          <w:cantSplit/>
          <w:trHeight w:val="432"/>
          <w:jc w:val="center"/>
        </w:trPr>
        <w:tc>
          <w:tcPr>
            <w:tcW w:w="2052" w:type="dxa"/>
            <w:shd w:val="clear" w:color="auto" w:fill="auto"/>
            <w:noWrap/>
            <w:vAlign w:val="center"/>
            <w:hideMark/>
          </w:tcPr>
          <w:p w14:paraId="661DE81C" w14:textId="77777777" w:rsidR="00ED019B" w:rsidRPr="00ED019B" w:rsidRDefault="00ED019B" w:rsidP="00ED019B">
            <w:pPr>
              <w:pStyle w:val="Tables"/>
            </w:pPr>
            <w:r w:rsidRPr="00ED019B">
              <w:t>pyran derivatives</w:t>
            </w:r>
          </w:p>
        </w:tc>
        <w:tc>
          <w:tcPr>
            <w:tcW w:w="498" w:type="dxa"/>
            <w:shd w:val="clear" w:color="auto" w:fill="auto"/>
            <w:noWrap/>
            <w:vAlign w:val="center"/>
            <w:hideMark/>
          </w:tcPr>
          <w:p w14:paraId="245E7787" w14:textId="77777777" w:rsidR="00ED019B" w:rsidRPr="00ED019B" w:rsidRDefault="00ED019B" w:rsidP="00ED019B">
            <w:pPr>
              <w:pStyle w:val="Tables"/>
              <w:jc w:val="center"/>
              <w:rPr>
                <w:b/>
              </w:rPr>
            </w:pPr>
          </w:p>
        </w:tc>
        <w:tc>
          <w:tcPr>
            <w:tcW w:w="498" w:type="dxa"/>
            <w:shd w:val="clear" w:color="auto" w:fill="auto"/>
            <w:noWrap/>
            <w:vAlign w:val="center"/>
            <w:hideMark/>
          </w:tcPr>
          <w:p w14:paraId="571C4B76" w14:textId="77777777" w:rsidR="00ED019B" w:rsidRPr="00ED019B" w:rsidRDefault="00ED019B" w:rsidP="00ED019B">
            <w:pPr>
              <w:pStyle w:val="Tables"/>
              <w:jc w:val="center"/>
              <w:rPr>
                <w:b/>
              </w:rPr>
            </w:pPr>
          </w:p>
        </w:tc>
        <w:tc>
          <w:tcPr>
            <w:tcW w:w="498" w:type="dxa"/>
            <w:shd w:val="clear" w:color="auto" w:fill="auto"/>
            <w:noWrap/>
            <w:vAlign w:val="center"/>
            <w:hideMark/>
          </w:tcPr>
          <w:p w14:paraId="7387CA67" w14:textId="77777777" w:rsidR="00ED019B" w:rsidRPr="00ED019B" w:rsidRDefault="00ED019B" w:rsidP="00ED019B">
            <w:pPr>
              <w:pStyle w:val="Tables"/>
              <w:jc w:val="center"/>
              <w:rPr>
                <w:b/>
              </w:rPr>
            </w:pPr>
          </w:p>
        </w:tc>
        <w:tc>
          <w:tcPr>
            <w:tcW w:w="498" w:type="dxa"/>
            <w:shd w:val="clear" w:color="auto" w:fill="auto"/>
            <w:noWrap/>
            <w:vAlign w:val="center"/>
            <w:hideMark/>
          </w:tcPr>
          <w:p w14:paraId="3B6CB7C5" w14:textId="77777777" w:rsidR="00ED019B" w:rsidRPr="00ED019B" w:rsidRDefault="00ED019B" w:rsidP="00ED019B">
            <w:pPr>
              <w:pStyle w:val="Tables"/>
              <w:jc w:val="center"/>
              <w:rPr>
                <w:b/>
              </w:rPr>
            </w:pPr>
          </w:p>
        </w:tc>
        <w:tc>
          <w:tcPr>
            <w:tcW w:w="498" w:type="dxa"/>
            <w:shd w:val="clear" w:color="auto" w:fill="auto"/>
            <w:noWrap/>
            <w:vAlign w:val="center"/>
            <w:hideMark/>
          </w:tcPr>
          <w:p w14:paraId="54D2DF33" w14:textId="77777777" w:rsidR="00ED019B" w:rsidRPr="00ED019B" w:rsidRDefault="00ED019B" w:rsidP="00ED019B">
            <w:pPr>
              <w:pStyle w:val="Tables"/>
              <w:jc w:val="center"/>
              <w:rPr>
                <w:b/>
              </w:rPr>
            </w:pPr>
          </w:p>
        </w:tc>
        <w:tc>
          <w:tcPr>
            <w:tcW w:w="498" w:type="dxa"/>
            <w:shd w:val="clear" w:color="auto" w:fill="auto"/>
            <w:noWrap/>
            <w:vAlign w:val="center"/>
            <w:hideMark/>
          </w:tcPr>
          <w:p w14:paraId="38C9912D" w14:textId="77777777" w:rsidR="00ED019B" w:rsidRPr="00ED019B" w:rsidRDefault="00ED019B" w:rsidP="00ED019B">
            <w:pPr>
              <w:pStyle w:val="Tables"/>
              <w:jc w:val="center"/>
              <w:rPr>
                <w:b/>
              </w:rPr>
            </w:pPr>
          </w:p>
        </w:tc>
        <w:tc>
          <w:tcPr>
            <w:tcW w:w="498" w:type="dxa"/>
            <w:shd w:val="clear" w:color="auto" w:fill="auto"/>
            <w:noWrap/>
            <w:vAlign w:val="center"/>
            <w:hideMark/>
          </w:tcPr>
          <w:p w14:paraId="27D34989" w14:textId="77777777" w:rsidR="00ED019B" w:rsidRPr="00ED019B" w:rsidRDefault="00ED019B" w:rsidP="00ED019B">
            <w:pPr>
              <w:pStyle w:val="Tables"/>
              <w:jc w:val="center"/>
              <w:rPr>
                <w:b/>
              </w:rPr>
            </w:pPr>
          </w:p>
        </w:tc>
        <w:tc>
          <w:tcPr>
            <w:tcW w:w="498" w:type="dxa"/>
            <w:shd w:val="clear" w:color="auto" w:fill="auto"/>
            <w:noWrap/>
            <w:vAlign w:val="center"/>
            <w:hideMark/>
          </w:tcPr>
          <w:p w14:paraId="6FB8CC9B" w14:textId="77777777" w:rsidR="00ED019B" w:rsidRPr="00ED019B" w:rsidRDefault="00ED019B" w:rsidP="00ED019B">
            <w:pPr>
              <w:pStyle w:val="Tables"/>
              <w:jc w:val="center"/>
              <w:rPr>
                <w:b/>
              </w:rPr>
            </w:pPr>
            <w:r w:rsidRPr="00ED019B">
              <w:rPr>
                <w:b/>
              </w:rPr>
              <w:t>+</w:t>
            </w:r>
          </w:p>
        </w:tc>
        <w:tc>
          <w:tcPr>
            <w:tcW w:w="498" w:type="dxa"/>
            <w:shd w:val="clear" w:color="auto" w:fill="auto"/>
            <w:noWrap/>
            <w:vAlign w:val="center"/>
            <w:hideMark/>
          </w:tcPr>
          <w:p w14:paraId="1F8E4D39" w14:textId="77777777" w:rsidR="00ED019B" w:rsidRPr="00ED019B" w:rsidRDefault="00ED019B" w:rsidP="00ED019B">
            <w:pPr>
              <w:pStyle w:val="Tables"/>
              <w:jc w:val="center"/>
              <w:rPr>
                <w:b/>
              </w:rPr>
            </w:pPr>
            <w:r w:rsidRPr="00ED019B">
              <w:rPr>
                <w:b/>
              </w:rPr>
              <w:t>+</w:t>
            </w:r>
          </w:p>
        </w:tc>
      </w:tr>
    </w:tbl>
    <w:p w14:paraId="1B74D7E8" w14:textId="617C0019" w:rsidR="00ED019B" w:rsidRDefault="00ED019B" w:rsidP="005B60FA">
      <w:pPr>
        <w:pStyle w:val="Caption"/>
        <w:jc w:val="center"/>
        <w:rPr>
          <w:b w:val="0"/>
        </w:rPr>
      </w:pPr>
      <w:bookmarkStart w:id="155" w:name="_Toc449964942"/>
      <w:r>
        <w:t xml:space="preserve">Table </w:t>
      </w:r>
      <w:fldSimple w:instr=" STYLEREF &quot;Chapter&quot; \s ">
        <w:r w:rsidR="00463F52">
          <w:rPr>
            <w:noProof/>
          </w:rPr>
          <w:t>6</w:t>
        </w:r>
      </w:fldSimple>
      <w:r>
        <w:t>.</w:t>
      </w:r>
      <w:fldSimple w:instr=" SEQ Table \* ARABIC \s 1 ">
        <w:r w:rsidR="00463F52">
          <w:rPr>
            <w:noProof/>
          </w:rPr>
          <w:t>8</w:t>
        </w:r>
      </w:fldSimple>
      <w:r>
        <w:t>.</w:t>
      </w:r>
      <w:r w:rsidRPr="008E2374">
        <w:t xml:space="preserve"> </w:t>
      </w:r>
      <w:r w:rsidRPr="00ED7A8D">
        <w:rPr>
          <w:b w:val="0"/>
        </w:rPr>
        <w:t xml:space="preserve">Torrefaction model </w:t>
      </w:r>
      <w:r>
        <w:rPr>
          <w:b w:val="0"/>
        </w:rPr>
        <w:t>coefficients and their signs</w:t>
      </w:r>
      <w:r w:rsidRPr="00ED7A8D">
        <w:rPr>
          <w:b w:val="0"/>
        </w:rPr>
        <w:t>.</w:t>
      </w:r>
      <w:bookmarkEnd w:id="155"/>
    </w:p>
    <w:p w14:paraId="3BB2B83D" w14:textId="77777777" w:rsidR="00ED019B" w:rsidRDefault="00ED019B" w:rsidP="00ED019B"/>
    <w:tbl>
      <w:tblPr>
        <w:tblW w:w="18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3"/>
        <w:gridCol w:w="498"/>
        <w:gridCol w:w="498"/>
        <w:gridCol w:w="498"/>
        <w:gridCol w:w="498"/>
        <w:gridCol w:w="498"/>
        <w:gridCol w:w="498"/>
        <w:gridCol w:w="498"/>
      </w:tblGrid>
      <w:tr w:rsidR="00ED019B" w:rsidRPr="00ED019B" w14:paraId="050BE668" w14:textId="77777777" w:rsidTr="005B60FA">
        <w:trPr>
          <w:cantSplit/>
          <w:trHeight w:val="1097"/>
          <w:jc w:val="center"/>
        </w:trPr>
        <w:tc>
          <w:tcPr>
            <w:tcW w:w="236" w:type="dxa"/>
            <w:shd w:val="clear" w:color="auto" w:fill="auto"/>
            <w:noWrap/>
            <w:vAlign w:val="bottom"/>
            <w:hideMark/>
          </w:tcPr>
          <w:p w14:paraId="1DD8CCC8" w14:textId="77777777" w:rsidR="00ED019B" w:rsidRPr="00ED019B" w:rsidRDefault="00ED019B" w:rsidP="00ED019B">
            <w:pPr>
              <w:pStyle w:val="Tables"/>
            </w:pPr>
            <w:r w:rsidRPr="00ED019B">
              <w:t>model</w:t>
            </w:r>
          </w:p>
        </w:tc>
        <w:tc>
          <w:tcPr>
            <w:tcW w:w="236" w:type="dxa"/>
            <w:shd w:val="clear" w:color="auto" w:fill="auto"/>
            <w:noWrap/>
            <w:textDirection w:val="btLr"/>
            <w:vAlign w:val="bottom"/>
            <w:hideMark/>
          </w:tcPr>
          <w:p w14:paraId="2134D240" w14:textId="77777777" w:rsidR="00ED019B" w:rsidRPr="00FB5CF0" w:rsidRDefault="00ED019B" w:rsidP="00ED019B">
            <w:pPr>
              <w:pStyle w:val="Tables"/>
              <w:rPr>
                <w:b/>
              </w:rPr>
            </w:pPr>
            <w:r w:rsidRPr="00FB5CF0">
              <w:rPr>
                <w:b/>
              </w:rPr>
              <w:t>Ash</w:t>
            </w:r>
          </w:p>
        </w:tc>
        <w:tc>
          <w:tcPr>
            <w:tcW w:w="236" w:type="dxa"/>
            <w:shd w:val="clear" w:color="auto" w:fill="auto"/>
            <w:noWrap/>
            <w:textDirection w:val="btLr"/>
            <w:vAlign w:val="bottom"/>
            <w:hideMark/>
          </w:tcPr>
          <w:p w14:paraId="0272A092" w14:textId="77777777" w:rsidR="00ED019B" w:rsidRPr="00FB5CF0" w:rsidRDefault="00ED019B" w:rsidP="00ED019B">
            <w:pPr>
              <w:pStyle w:val="Tables"/>
              <w:rPr>
                <w:b/>
              </w:rPr>
            </w:pPr>
            <w:r w:rsidRPr="00FB5CF0">
              <w:rPr>
                <w:b/>
              </w:rPr>
              <w:t>K</w:t>
            </w:r>
          </w:p>
        </w:tc>
        <w:tc>
          <w:tcPr>
            <w:tcW w:w="236" w:type="dxa"/>
            <w:shd w:val="clear" w:color="auto" w:fill="auto"/>
            <w:noWrap/>
            <w:textDirection w:val="btLr"/>
            <w:vAlign w:val="bottom"/>
            <w:hideMark/>
          </w:tcPr>
          <w:p w14:paraId="0286A0D0" w14:textId="77777777" w:rsidR="00ED019B" w:rsidRPr="00FB5CF0" w:rsidRDefault="00ED019B" w:rsidP="00ED019B">
            <w:pPr>
              <w:pStyle w:val="Tables"/>
              <w:rPr>
                <w:b/>
              </w:rPr>
            </w:pPr>
            <w:r w:rsidRPr="00FB5CF0">
              <w:rPr>
                <w:b/>
              </w:rPr>
              <w:t>PENT2</w:t>
            </w:r>
          </w:p>
        </w:tc>
        <w:tc>
          <w:tcPr>
            <w:tcW w:w="236" w:type="dxa"/>
            <w:shd w:val="clear" w:color="auto" w:fill="auto"/>
            <w:noWrap/>
            <w:textDirection w:val="btLr"/>
            <w:vAlign w:val="bottom"/>
            <w:hideMark/>
          </w:tcPr>
          <w:p w14:paraId="01D3FFA5" w14:textId="77777777" w:rsidR="00ED019B" w:rsidRPr="00FB5CF0" w:rsidRDefault="00ED019B" w:rsidP="00ED019B">
            <w:pPr>
              <w:pStyle w:val="Tables"/>
              <w:rPr>
                <w:b/>
              </w:rPr>
            </w:pPr>
            <w:r w:rsidRPr="00FB5CF0">
              <w:rPr>
                <w:b/>
              </w:rPr>
              <w:t>pCA</w:t>
            </w:r>
          </w:p>
        </w:tc>
        <w:tc>
          <w:tcPr>
            <w:tcW w:w="236" w:type="dxa"/>
            <w:shd w:val="clear" w:color="auto" w:fill="auto"/>
            <w:noWrap/>
            <w:textDirection w:val="btLr"/>
            <w:vAlign w:val="bottom"/>
            <w:hideMark/>
          </w:tcPr>
          <w:p w14:paraId="3D030A45" w14:textId="77777777" w:rsidR="00ED019B" w:rsidRPr="00FB5CF0" w:rsidRDefault="00ED019B" w:rsidP="00ED019B">
            <w:pPr>
              <w:pStyle w:val="Tables"/>
              <w:rPr>
                <w:b/>
              </w:rPr>
            </w:pPr>
            <w:r w:rsidRPr="00FB5CF0">
              <w:rPr>
                <w:b/>
              </w:rPr>
              <w:t>SUC</w:t>
            </w:r>
          </w:p>
        </w:tc>
        <w:tc>
          <w:tcPr>
            <w:tcW w:w="236" w:type="dxa"/>
            <w:shd w:val="clear" w:color="auto" w:fill="auto"/>
            <w:noWrap/>
            <w:textDirection w:val="btLr"/>
            <w:vAlign w:val="bottom"/>
            <w:hideMark/>
          </w:tcPr>
          <w:p w14:paraId="38ADC729" w14:textId="77777777" w:rsidR="00ED019B" w:rsidRPr="00FB5CF0" w:rsidRDefault="00ED019B" w:rsidP="00ED019B">
            <w:pPr>
              <w:pStyle w:val="Tables"/>
              <w:rPr>
                <w:b/>
              </w:rPr>
            </w:pPr>
            <w:r w:rsidRPr="00FB5CF0">
              <w:rPr>
                <w:b/>
              </w:rPr>
              <w:t>ARA</w:t>
            </w:r>
          </w:p>
        </w:tc>
        <w:tc>
          <w:tcPr>
            <w:tcW w:w="236" w:type="dxa"/>
            <w:shd w:val="clear" w:color="auto" w:fill="auto"/>
            <w:noWrap/>
            <w:textDirection w:val="btLr"/>
            <w:vAlign w:val="bottom"/>
            <w:hideMark/>
          </w:tcPr>
          <w:p w14:paraId="7DBE3533" w14:textId="77777777" w:rsidR="00ED019B" w:rsidRPr="00FB5CF0" w:rsidRDefault="00ED019B" w:rsidP="00ED019B">
            <w:pPr>
              <w:pStyle w:val="Tables"/>
              <w:rPr>
                <w:b/>
              </w:rPr>
            </w:pPr>
            <w:r w:rsidRPr="00FB5CF0">
              <w:rPr>
                <w:b/>
              </w:rPr>
              <w:t>lignin.nrel</w:t>
            </w:r>
          </w:p>
        </w:tc>
      </w:tr>
      <w:tr w:rsidR="00ED019B" w:rsidRPr="00ED019B" w14:paraId="1C67AAB3" w14:textId="77777777" w:rsidTr="005B60FA">
        <w:trPr>
          <w:cantSplit/>
          <w:trHeight w:val="432"/>
          <w:jc w:val="center"/>
        </w:trPr>
        <w:tc>
          <w:tcPr>
            <w:tcW w:w="236" w:type="dxa"/>
            <w:shd w:val="clear" w:color="auto" w:fill="auto"/>
            <w:noWrap/>
            <w:vAlign w:val="center"/>
            <w:hideMark/>
          </w:tcPr>
          <w:p w14:paraId="3492E771" w14:textId="77777777" w:rsidR="00ED019B" w:rsidRPr="00ED019B" w:rsidRDefault="00ED019B" w:rsidP="00ED019B">
            <w:pPr>
              <w:pStyle w:val="Tables"/>
            </w:pPr>
            <w:r w:rsidRPr="00ED019B">
              <w:t>acetic acid</w:t>
            </w:r>
          </w:p>
        </w:tc>
        <w:tc>
          <w:tcPr>
            <w:tcW w:w="236" w:type="dxa"/>
            <w:shd w:val="clear" w:color="auto" w:fill="auto"/>
            <w:noWrap/>
            <w:vAlign w:val="center"/>
            <w:hideMark/>
          </w:tcPr>
          <w:p w14:paraId="02C5B4B8" w14:textId="77777777" w:rsidR="00ED019B" w:rsidRPr="00FB5CF0" w:rsidRDefault="00ED019B" w:rsidP="00FB5CF0">
            <w:pPr>
              <w:pStyle w:val="Tables"/>
              <w:jc w:val="center"/>
              <w:rPr>
                <w:b/>
              </w:rPr>
            </w:pPr>
            <w:r w:rsidRPr="00FB5CF0">
              <w:rPr>
                <w:b/>
              </w:rPr>
              <w:t>-</w:t>
            </w:r>
          </w:p>
        </w:tc>
        <w:tc>
          <w:tcPr>
            <w:tcW w:w="236" w:type="dxa"/>
            <w:shd w:val="clear" w:color="auto" w:fill="auto"/>
            <w:noWrap/>
            <w:vAlign w:val="center"/>
            <w:hideMark/>
          </w:tcPr>
          <w:p w14:paraId="75B2A213" w14:textId="77777777" w:rsidR="00ED019B" w:rsidRPr="00FB5CF0" w:rsidRDefault="00ED019B" w:rsidP="00FB5CF0">
            <w:pPr>
              <w:pStyle w:val="Tables"/>
              <w:jc w:val="center"/>
              <w:rPr>
                <w:b/>
              </w:rPr>
            </w:pPr>
            <w:r w:rsidRPr="00FB5CF0">
              <w:rPr>
                <w:b/>
              </w:rPr>
              <w:t>+</w:t>
            </w:r>
          </w:p>
        </w:tc>
        <w:tc>
          <w:tcPr>
            <w:tcW w:w="236" w:type="dxa"/>
            <w:shd w:val="clear" w:color="auto" w:fill="auto"/>
            <w:noWrap/>
            <w:vAlign w:val="center"/>
            <w:hideMark/>
          </w:tcPr>
          <w:p w14:paraId="6100ABB0" w14:textId="77777777" w:rsidR="00ED019B" w:rsidRPr="00FB5CF0" w:rsidRDefault="00ED019B" w:rsidP="00FB5CF0">
            <w:pPr>
              <w:pStyle w:val="Tables"/>
              <w:jc w:val="center"/>
              <w:rPr>
                <w:b/>
              </w:rPr>
            </w:pPr>
            <w:r w:rsidRPr="00FB5CF0">
              <w:rPr>
                <w:b/>
              </w:rPr>
              <w:t>-</w:t>
            </w:r>
          </w:p>
        </w:tc>
        <w:tc>
          <w:tcPr>
            <w:tcW w:w="236" w:type="dxa"/>
            <w:shd w:val="clear" w:color="auto" w:fill="auto"/>
            <w:noWrap/>
            <w:vAlign w:val="center"/>
            <w:hideMark/>
          </w:tcPr>
          <w:p w14:paraId="71C7685C" w14:textId="77777777" w:rsidR="00ED019B" w:rsidRPr="00FB5CF0" w:rsidRDefault="00ED019B" w:rsidP="00FB5CF0">
            <w:pPr>
              <w:pStyle w:val="Tables"/>
              <w:jc w:val="center"/>
              <w:rPr>
                <w:b/>
              </w:rPr>
            </w:pPr>
          </w:p>
        </w:tc>
        <w:tc>
          <w:tcPr>
            <w:tcW w:w="236" w:type="dxa"/>
            <w:shd w:val="clear" w:color="auto" w:fill="auto"/>
            <w:noWrap/>
            <w:vAlign w:val="center"/>
            <w:hideMark/>
          </w:tcPr>
          <w:p w14:paraId="09FB8112" w14:textId="77777777" w:rsidR="00ED019B" w:rsidRPr="00FB5CF0" w:rsidRDefault="00ED019B" w:rsidP="00FB5CF0">
            <w:pPr>
              <w:pStyle w:val="Tables"/>
              <w:jc w:val="center"/>
              <w:rPr>
                <w:b/>
              </w:rPr>
            </w:pPr>
          </w:p>
        </w:tc>
        <w:tc>
          <w:tcPr>
            <w:tcW w:w="236" w:type="dxa"/>
            <w:shd w:val="clear" w:color="auto" w:fill="auto"/>
            <w:noWrap/>
            <w:vAlign w:val="center"/>
            <w:hideMark/>
          </w:tcPr>
          <w:p w14:paraId="10933588" w14:textId="77777777" w:rsidR="00ED019B" w:rsidRPr="00FB5CF0" w:rsidRDefault="00ED019B" w:rsidP="00FB5CF0">
            <w:pPr>
              <w:pStyle w:val="Tables"/>
              <w:jc w:val="center"/>
              <w:rPr>
                <w:b/>
              </w:rPr>
            </w:pPr>
          </w:p>
        </w:tc>
        <w:tc>
          <w:tcPr>
            <w:tcW w:w="236" w:type="dxa"/>
            <w:shd w:val="clear" w:color="auto" w:fill="auto"/>
            <w:noWrap/>
            <w:vAlign w:val="center"/>
            <w:hideMark/>
          </w:tcPr>
          <w:p w14:paraId="7A795966" w14:textId="77777777" w:rsidR="00ED019B" w:rsidRPr="00FB5CF0" w:rsidRDefault="00ED019B" w:rsidP="00FB5CF0">
            <w:pPr>
              <w:pStyle w:val="Tables"/>
              <w:jc w:val="center"/>
              <w:rPr>
                <w:b/>
              </w:rPr>
            </w:pPr>
          </w:p>
        </w:tc>
      </w:tr>
      <w:tr w:rsidR="00ED019B" w:rsidRPr="00ED019B" w14:paraId="156A6546" w14:textId="77777777" w:rsidTr="005B60FA">
        <w:trPr>
          <w:cantSplit/>
          <w:trHeight w:val="432"/>
          <w:jc w:val="center"/>
        </w:trPr>
        <w:tc>
          <w:tcPr>
            <w:tcW w:w="236" w:type="dxa"/>
            <w:shd w:val="clear" w:color="auto" w:fill="auto"/>
            <w:noWrap/>
            <w:vAlign w:val="center"/>
            <w:hideMark/>
          </w:tcPr>
          <w:p w14:paraId="500C4641" w14:textId="77777777" w:rsidR="00ED019B" w:rsidRPr="00ED019B" w:rsidRDefault="00ED019B" w:rsidP="00ED019B">
            <w:pPr>
              <w:pStyle w:val="Tables"/>
            </w:pPr>
            <w:r w:rsidRPr="00ED019B">
              <w:t>alkyl phenols</w:t>
            </w:r>
          </w:p>
        </w:tc>
        <w:tc>
          <w:tcPr>
            <w:tcW w:w="236" w:type="dxa"/>
            <w:shd w:val="clear" w:color="auto" w:fill="auto"/>
            <w:noWrap/>
            <w:vAlign w:val="center"/>
            <w:hideMark/>
          </w:tcPr>
          <w:p w14:paraId="01F0126B" w14:textId="77777777" w:rsidR="00ED019B" w:rsidRPr="00FB5CF0" w:rsidRDefault="00ED019B" w:rsidP="00FB5CF0">
            <w:pPr>
              <w:pStyle w:val="Tables"/>
              <w:jc w:val="center"/>
              <w:rPr>
                <w:b/>
              </w:rPr>
            </w:pPr>
          </w:p>
        </w:tc>
        <w:tc>
          <w:tcPr>
            <w:tcW w:w="236" w:type="dxa"/>
            <w:shd w:val="clear" w:color="auto" w:fill="auto"/>
            <w:noWrap/>
            <w:vAlign w:val="center"/>
            <w:hideMark/>
          </w:tcPr>
          <w:p w14:paraId="71FF4E70" w14:textId="77777777" w:rsidR="00ED019B" w:rsidRPr="00FB5CF0" w:rsidRDefault="00ED019B" w:rsidP="00FB5CF0">
            <w:pPr>
              <w:pStyle w:val="Tables"/>
              <w:jc w:val="center"/>
              <w:rPr>
                <w:b/>
              </w:rPr>
            </w:pPr>
            <w:r w:rsidRPr="00FB5CF0">
              <w:rPr>
                <w:b/>
              </w:rPr>
              <w:t>+</w:t>
            </w:r>
          </w:p>
        </w:tc>
        <w:tc>
          <w:tcPr>
            <w:tcW w:w="236" w:type="dxa"/>
            <w:shd w:val="clear" w:color="auto" w:fill="auto"/>
            <w:noWrap/>
            <w:vAlign w:val="center"/>
            <w:hideMark/>
          </w:tcPr>
          <w:p w14:paraId="6A710809" w14:textId="77777777" w:rsidR="00ED019B" w:rsidRPr="00FB5CF0" w:rsidRDefault="00ED019B" w:rsidP="00FB5CF0">
            <w:pPr>
              <w:pStyle w:val="Tables"/>
              <w:jc w:val="center"/>
              <w:rPr>
                <w:b/>
              </w:rPr>
            </w:pPr>
          </w:p>
        </w:tc>
        <w:tc>
          <w:tcPr>
            <w:tcW w:w="236" w:type="dxa"/>
            <w:shd w:val="clear" w:color="auto" w:fill="auto"/>
            <w:noWrap/>
            <w:vAlign w:val="center"/>
            <w:hideMark/>
          </w:tcPr>
          <w:p w14:paraId="0D4E4107" w14:textId="77777777" w:rsidR="00ED019B" w:rsidRPr="00FB5CF0" w:rsidRDefault="00ED019B" w:rsidP="00FB5CF0">
            <w:pPr>
              <w:pStyle w:val="Tables"/>
              <w:jc w:val="center"/>
              <w:rPr>
                <w:b/>
              </w:rPr>
            </w:pPr>
            <w:r w:rsidRPr="00FB5CF0">
              <w:rPr>
                <w:b/>
              </w:rPr>
              <w:t>+</w:t>
            </w:r>
          </w:p>
        </w:tc>
        <w:tc>
          <w:tcPr>
            <w:tcW w:w="236" w:type="dxa"/>
            <w:shd w:val="clear" w:color="auto" w:fill="auto"/>
            <w:noWrap/>
            <w:vAlign w:val="center"/>
            <w:hideMark/>
          </w:tcPr>
          <w:p w14:paraId="0E215168" w14:textId="77777777" w:rsidR="00ED019B" w:rsidRPr="00FB5CF0" w:rsidRDefault="00ED019B" w:rsidP="00FB5CF0">
            <w:pPr>
              <w:pStyle w:val="Tables"/>
              <w:jc w:val="center"/>
              <w:rPr>
                <w:b/>
              </w:rPr>
            </w:pPr>
            <w:r w:rsidRPr="00FB5CF0">
              <w:rPr>
                <w:b/>
              </w:rPr>
              <w:t>-</w:t>
            </w:r>
          </w:p>
        </w:tc>
        <w:tc>
          <w:tcPr>
            <w:tcW w:w="236" w:type="dxa"/>
            <w:shd w:val="clear" w:color="auto" w:fill="auto"/>
            <w:noWrap/>
            <w:vAlign w:val="center"/>
            <w:hideMark/>
          </w:tcPr>
          <w:p w14:paraId="2F3CCE89" w14:textId="77777777" w:rsidR="00ED019B" w:rsidRPr="00FB5CF0" w:rsidRDefault="00ED019B" w:rsidP="00FB5CF0">
            <w:pPr>
              <w:pStyle w:val="Tables"/>
              <w:jc w:val="center"/>
              <w:rPr>
                <w:b/>
              </w:rPr>
            </w:pPr>
          </w:p>
        </w:tc>
        <w:tc>
          <w:tcPr>
            <w:tcW w:w="236" w:type="dxa"/>
            <w:shd w:val="clear" w:color="auto" w:fill="auto"/>
            <w:noWrap/>
            <w:vAlign w:val="center"/>
            <w:hideMark/>
          </w:tcPr>
          <w:p w14:paraId="4ACC29BF" w14:textId="77777777" w:rsidR="00ED019B" w:rsidRPr="00FB5CF0" w:rsidRDefault="00ED019B" w:rsidP="00FB5CF0">
            <w:pPr>
              <w:pStyle w:val="Tables"/>
              <w:jc w:val="center"/>
              <w:rPr>
                <w:b/>
              </w:rPr>
            </w:pPr>
          </w:p>
        </w:tc>
      </w:tr>
      <w:tr w:rsidR="00ED019B" w:rsidRPr="00ED019B" w14:paraId="1E54B30E" w14:textId="77777777" w:rsidTr="005B60FA">
        <w:trPr>
          <w:cantSplit/>
          <w:trHeight w:val="432"/>
          <w:jc w:val="center"/>
        </w:trPr>
        <w:tc>
          <w:tcPr>
            <w:tcW w:w="236" w:type="dxa"/>
            <w:shd w:val="clear" w:color="auto" w:fill="auto"/>
            <w:noWrap/>
            <w:vAlign w:val="center"/>
            <w:hideMark/>
          </w:tcPr>
          <w:p w14:paraId="2DBBDC96" w14:textId="77777777" w:rsidR="00ED019B" w:rsidRPr="00ED019B" w:rsidRDefault="00ED019B" w:rsidP="00ED019B">
            <w:pPr>
              <w:pStyle w:val="Tables"/>
            </w:pPr>
            <w:r w:rsidRPr="00ED019B">
              <w:t>methoxyphenols</w:t>
            </w:r>
          </w:p>
        </w:tc>
        <w:tc>
          <w:tcPr>
            <w:tcW w:w="236" w:type="dxa"/>
            <w:shd w:val="clear" w:color="auto" w:fill="auto"/>
            <w:noWrap/>
            <w:vAlign w:val="center"/>
            <w:hideMark/>
          </w:tcPr>
          <w:p w14:paraId="1B0A3C23" w14:textId="77777777" w:rsidR="00ED019B" w:rsidRPr="00FB5CF0" w:rsidRDefault="00ED019B" w:rsidP="00FB5CF0">
            <w:pPr>
              <w:pStyle w:val="Tables"/>
              <w:jc w:val="center"/>
              <w:rPr>
                <w:b/>
              </w:rPr>
            </w:pPr>
          </w:p>
        </w:tc>
        <w:tc>
          <w:tcPr>
            <w:tcW w:w="236" w:type="dxa"/>
            <w:shd w:val="clear" w:color="auto" w:fill="auto"/>
            <w:noWrap/>
            <w:vAlign w:val="center"/>
            <w:hideMark/>
          </w:tcPr>
          <w:p w14:paraId="72B1D5CA" w14:textId="77777777" w:rsidR="00ED019B" w:rsidRPr="00FB5CF0" w:rsidRDefault="00ED019B" w:rsidP="00FB5CF0">
            <w:pPr>
              <w:pStyle w:val="Tables"/>
              <w:jc w:val="center"/>
              <w:rPr>
                <w:b/>
              </w:rPr>
            </w:pPr>
          </w:p>
        </w:tc>
        <w:tc>
          <w:tcPr>
            <w:tcW w:w="236" w:type="dxa"/>
            <w:shd w:val="clear" w:color="auto" w:fill="auto"/>
            <w:noWrap/>
            <w:vAlign w:val="center"/>
            <w:hideMark/>
          </w:tcPr>
          <w:p w14:paraId="2B63A6BD" w14:textId="77777777" w:rsidR="00ED019B" w:rsidRPr="00FB5CF0" w:rsidRDefault="00ED019B" w:rsidP="00FB5CF0">
            <w:pPr>
              <w:pStyle w:val="Tables"/>
              <w:jc w:val="center"/>
              <w:rPr>
                <w:b/>
              </w:rPr>
            </w:pPr>
          </w:p>
        </w:tc>
        <w:tc>
          <w:tcPr>
            <w:tcW w:w="236" w:type="dxa"/>
            <w:shd w:val="clear" w:color="auto" w:fill="auto"/>
            <w:noWrap/>
            <w:vAlign w:val="center"/>
            <w:hideMark/>
          </w:tcPr>
          <w:p w14:paraId="290059FB" w14:textId="77777777" w:rsidR="00ED019B" w:rsidRPr="00FB5CF0" w:rsidRDefault="00ED019B" w:rsidP="00FB5CF0">
            <w:pPr>
              <w:pStyle w:val="Tables"/>
              <w:jc w:val="center"/>
              <w:rPr>
                <w:b/>
              </w:rPr>
            </w:pPr>
          </w:p>
        </w:tc>
        <w:tc>
          <w:tcPr>
            <w:tcW w:w="236" w:type="dxa"/>
            <w:shd w:val="clear" w:color="auto" w:fill="auto"/>
            <w:noWrap/>
            <w:vAlign w:val="center"/>
            <w:hideMark/>
          </w:tcPr>
          <w:p w14:paraId="0D88CA4D" w14:textId="77777777" w:rsidR="00ED019B" w:rsidRPr="00FB5CF0" w:rsidRDefault="00ED019B" w:rsidP="00FB5CF0">
            <w:pPr>
              <w:pStyle w:val="Tables"/>
              <w:jc w:val="center"/>
              <w:rPr>
                <w:b/>
              </w:rPr>
            </w:pPr>
          </w:p>
        </w:tc>
        <w:tc>
          <w:tcPr>
            <w:tcW w:w="236" w:type="dxa"/>
            <w:shd w:val="clear" w:color="auto" w:fill="auto"/>
            <w:noWrap/>
            <w:vAlign w:val="center"/>
            <w:hideMark/>
          </w:tcPr>
          <w:p w14:paraId="53C5B6D3" w14:textId="77777777" w:rsidR="00ED019B" w:rsidRPr="00FB5CF0" w:rsidRDefault="00ED019B" w:rsidP="00FB5CF0">
            <w:pPr>
              <w:pStyle w:val="Tables"/>
              <w:jc w:val="center"/>
              <w:rPr>
                <w:b/>
              </w:rPr>
            </w:pPr>
            <w:r w:rsidRPr="00FB5CF0">
              <w:rPr>
                <w:b/>
              </w:rPr>
              <w:t>-</w:t>
            </w:r>
          </w:p>
        </w:tc>
        <w:tc>
          <w:tcPr>
            <w:tcW w:w="236" w:type="dxa"/>
            <w:shd w:val="clear" w:color="auto" w:fill="auto"/>
            <w:noWrap/>
            <w:vAlign w:val="center"/>
            <w:hideMark/>
          </w:tcPr>
          <w:p w14:paraId="6303A819" w14:textId="77777777" w:rsidR="00ED019B" w:rsidRPr="00FB5CF0" w:rsidRDefault="00ED019B" w:rsidP="00FB5CF0">
            <w:pPr>
              <w:pStyle w:val="Tables"/>
              <w:jc w:val="center"/>
              <w:rPr>
                <w:b/>
              </w:rPr>
            </w:pPr>
            <w:r w:rsidRPr="00FB5CF0">
              <w:rPr>
                <w:b/>
              </w:rPr>
              <w:t>+</w:t>
            </w:r>
          </w:p>
        </w:tc>
      </w:tr>
    </w:tbl>
    <w:p w14:paraId="13172F2C" w14:textId="7E2338C1" w:rsidR="00ED019B" w:rsidRDefault="00ED019B" w:rsidP="005B60FA">
      <w:pPr>
        <w:pStyle w:val="Caption"/>
        <w:jc w:val="center"/>
        <w:rPr>
          <w:b w:val="0"/>
        </w:rPr>
      </w:pPr>
      <w:bookmarkStart w:id="156" w:name="_Toc449964943"/>
      <w:r>
        <w:t xml:space="preserve">Table </w:t>
      </w:r>
      <w:fldSimple w:instr=" STYLEREF &quot;Chapter&quot; \s ">
        <w:r w:rsidR="00463F52">
          <w:rPr>
            <w:noProof/>
          </w:rPr>
          <w:t>6</w:t>
        </w:r>
      </w:fldSimple>
      <w:r>
        <w:t>.</w:t>
      </w:r>
      <w:fldSimple w:instr=" SEQ Table \* ARABIC \s 1 ">
        <w:r w:rsidR="00463F52">
          <w:rPr>
            <w:noProof/>
          </w:rPr>
          <w:t>9</w:t>
        </w:r>
      </w:fldSimple>
      <w:r>
        <w:t>.</w:t>
      </w:r>
      <w:r w:rsidRPr="008E2374">
        <w:t xml:space="preserve"> </w:t>
      </w:r>
      <w:r>
        <w:rPr>
          <w:b w:val="0"/>
        </w:rPr>
        <w:t>Pyrolysis</w:t>
      </w:r>
      <w:r w:rsidRPr="00ED7A8D">
        <w:rPr>
          <w:b w:val="0"/>
        </w:rPr>
        <w:t xml:space="preserve"> model </w:t>
      </w:r>
      <w:r>
        <w:rPr>
          <w:b w:val="0"/>
        </w:rPr>
        <w:t>coefficients and their signs</w:t>
      </w:r>
      <w:r w:rsidRPr="00ED7A8D">
        <w:rPr>
          <w:b w:val="0"/>
        </w:rPr>
        <w:t>.</w:t>
      </w:r>
      <w:bookmarkEnd w:id="156"/>
    </w:p>
    <w:p w14:paraId="18C3357E" w14:textId="77777777" w:rsidR="00ED019B" w:rsidRDefault="00ED019B" w:rsidP="00ED019B"/>
    <w:p w14:paraId="7E11FCAB" w14:textId="77777777" w:rsidR="00ED019B" w:rsidRDefault="00ED019B" w:rsidP="00ED019B"/>
    <w:tbl>
      <w:tblPr>
        <w:tblW w:w="65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6"/>
        <w:gridCol w:w="498"/>
        <w:gridCol w:w="500"/>
        <w:gridCol w:w="500"/>
        <w:gridCol w:w="500"/>
        <w:gridCol w:w="500"/>
        <w:gridCol w:w="498"/>
        <w:gridCol w:w="500"/>
        <w:gridCol w:w="500"/>
        <w:gridCol w:w="500"/>
      </w:tblGrid>
      <w:tr w:rsidR="00C702E9" w:rsidRPr="00ED019B" w14:paraId="73229175" w14:textId="77777777" w:rsidTr="001E2B57">
        <w:trPr>
          <w:trHeight w:val="1220"/>
          <w:jc w:val="center"/>
        </w:trPr>
        <w:tc>
          <w:tcPr>
            <w:tcW w:w="2016" w:type="dxa"/>
            <w:shd w:val="clear" w:color="auto" w:fill="auto"/>
            <w:noWrap/>
            <w:vAlign w:val="bottom"/>
            <w:hideMark/>
          </w:tcPr>
          <w:p w14:paraId="714CEE31" w14:textId="3823ECEC" w:rsidR="00ED019B" w:rsidRPr="00C702E9" w:rsidRDefault="00A0537F" w:rsidP="00A0537F">
            <w:pPr>
              <w:pStyle w:val="Tables"/>
            </w:pPr>
            <w:r w:rsidRPr="00C702E9">
              <w:t>model</w:t>
            </w:r>
          </w:p>
        </w:tc>
        <w:tc>
          <w:tcPr>
            <w:tcW w:w="498" w:type="dxa"/>
            <w:shd w:val="clear" w:color="auto" w:fill="auto"/>
            <w:noWrap/>
            <w:textDirection w:val="btLr"/>
            <w:vAlign w:val="bottom"/>
            <w:hideMark/>
          </w:tcPr>
          <w:p w14:paraId="2F5ACBD5" w14:textId="77777777" w:rsidR="00ED019B" w:rsidRPr="00C702E9" w:rsidRDefault="00ED019B" w:rsidP="00A0537F">
            <w:pPr>
              <w:pStyle w:val="Tables"/>
              <w:rPr>
                <w:b/>
              </w:rPr>
            </w:pPr>
            <w:r w:rsidRPr="00C702E9">
              <w:rPr>
                <w:b/>
              </w:rPr>
              <w:t>Ca</w:t>
            </w:r>
          </w:p>
        </w:tc>
        <w:tc>
          <w:tcPr>
            <w:tcW w:w="500" w:type="dxa"/>
            <w:shd w:val="clear" w:color="auto" w:fill="auto"/>
            <w:noWrap/>
            <w:textDirection w:val="btLr"/>
            <w:vAlign w:val="bottom"/>
            <w:hideMark/>
          </w:tcPr>
          <w:p w14:paraId="494A71EF" w14:textId="77777777" w:rsidR="00ED019B" w:rsidRPr="00C702E9" w:rsidRDefault="00ED019B" w:rsidP="00A0537F">
            <w:pPr>
              <w:pStyle w:val="Tables"/>
              <w:rPr>
                <w:b/>
              </w:rPr>
            </w:pPr>
            <w:r w:rsidRPr="00C702E9">
              <w:rPr>
                <w:b/>
              </w:rPr>
              <w:t>FEST</w:t>
            </w:r>
          </w:p>
        </w:tc>
        <w:tc>
          <w:tcPr>
            <w:tcW w:w="500" w:type="dxa"/>
            <w:shd w:val="clear" w:color="auto" w:fill="auto"/>
            <w:noWrap/>
            <w:textDirection w:val="btLr"/>
            <w:vAlign w:val="bottom"/>
            <w:hideMark/>
          </w:tcPr>
          <w:p w14:paraId="4801C992" w14:textId="77777777" w:rsidR="00ED019B" w:rsidRPr="00C702E9" w:rsidRDefault="00ED019B" w:rsidP="00A0537F">
            <w:pPr>
              <w:pStyle w:val="Tables"/>
              <w:rPr>
                <w:b/>
              </w:rPr>
            </w:pPr>
            <w:r w:rsidRPr="00C702E9">
              <w:rPr>
                <w:b/>
              </w:rPr>
              <w:t>lignin.nrel</w:t>
            </w:r>
          </w:p>
        </w:tc>
        <w:tc>
          <w:tcPr>
            <w:tcW w:w="500" w:type="dxa"/>
            <w:shd w:val="clear" w:color="auto" w:fill="auto"/>
            <w:noWrap/>
            <w:textDirection w:val="btLr"/>
            <w:vAlign w:val="bottom"/>
            <w:hideMark/>
          </w:tcPr>
          <w:p w14:paraId="079EC786" w14:textId="77777777" w:rsidR="00ED019B" w:rsidRPr="00C702E9" w:rsidRDefault="00ED019B" w:rsidP="00A0537F">
            <w:pPr>
              <w:pStyle w:val="Tables"/>
              <w:rPr>
                <w:b/>
              </w:rPr>
            </w:pPr>
            <w:r w:rsidRPr="00C702E9">
              <w:rPr>
                <w:b/>
              </w:rPr>
              <w:t>Ash.forage</w:t>
            </w:r>
          </w:p>
        </w:tc>
        <w:tc>
          <w:tcPr>
            <w:tcW w:w="500" w:type="dxa"/>
            <w:shd w:val="clear" w:color="auto" w:fill="auto"/>
            <w:noWrap/>
            <w:textDirection w:val="btLr"/>
            <w:vAlign w:val="bottom"/>
            <w:hideMark/>
          </w:tcPr>
          <w:p w14:paraId="71591F37" w14:textId="77777777" w:rsidR="00ED019B" w:rsidRPr="00C702E9" w:rsidRDefault="00ED019B" w:rsidP="00A0537F">
            <w:pPr>
              <w:pStyle w:val="Tables"/>
              <w:rPr>
                <w:b/>
              </w:rPr>
            </w:pPr>
            <w:r w:rsidRPr="00C702E9">
              <w:rPr>
                <w:b/>
              </w:rPr>
              <w:t>pCA</w:t>
            </w:r>
          </w:p>
        </w:tc>
        <w:tc>
          <w:tcPr>
            <w:tcW w:w="498" w:type="dxa"/>
            <w:shd w:val="clear" w:color="auto" w:fill="auto"/>
            <w:noWrap/>
            <w:textDirection w:val="btLr"/>
            <w:vAlign w:val="bottom"/>
            <w:hideMark/>
          </w:tcPr>
          <w:p w14:paraId="030F8263" w14:textId="77777777" w:rsidR="00ED019B" w:rsidRPr="00C702E9" w:rsidRDefault="00ED019B" w:rsidP="00A0537F">
            <w:pPr>
              <w:pStyle w:val="Tables"/>
              <w:rPr>
                <w:b/>
              </w:rPr>
            </w:pPr>
            <w:r w:rsidRPr="00C702E9">
              <w:rPr>
                <w:b/>
              </w:rPr>
              <w:t>UA</w:t>
            </w:r>
          </w:p>
        </w:tc>
        <w:tc>
          <w:tcPr>
            <w:tcW w:w="500" w:type="dxa"/>
            <w:shd w:val="clear" w:color="auto" w:fill="auto"/>
            <w:noWrap/>
            <w:textDirection w:val="btLr"/>
            <w:vAlign w:val="bottom"/>
            <w:hideMark/>
          </w:tcPr>
          <w:p w14:paraId="0509B7C1" w14:textId="77777777" w:rsidR="00ED019B" w:rsidRPr="00C702E9" w:rsidRDefault="00ED019B" w:rsidP="00A0537F">
            <w:pPr>
              <w:pStyle w:val="Tables"/>
              <w:rPr>
                <w:b/>
              </w:rPr>
            </w:pPr>
            <w:r w:rsidRPr="00C702E9">
              <w:rPr>
                <w:b/>
              </w:rPr>
              <w:t>ARA</w:t>
            </w:r>
          </w:p>
        </w:tc>
        <w:tc>
          <w:tcPr>
            <w:tcW w:w="500" w:type="dxa"/>
            <w:shd w:val="clear" w:color="auto" w:fill="auto"/>
            <w:noWrap/>
            <w:textDirection w:val="btLr"/>
            <w:vAlign w:val="bottom"/>
            <w:hideMark/>
          </w:tcPr>
          <w:p w14:paraId="60DB2BE6" w14:textId="77777777" w:rsidR="00ED019B" w:rsidRPr="00C702E9" w:rsidRDefault="00ED019B" w:rsidP="00A0537F">
            <w:pPr>
              <w:pStyle w:val="Tables"/>
              <w:rPr>
                <w:b/>
              </w:rPr>
            </w:pPr>
            <w:r w:rsidRPr="00C702E9">
              <w:rPr>
                <w:b/>
              </w:rPr>
              <w:t>GLCS</w:t>
            </w:r>
          </w:p>
        </w:tc>
        <w:tc>
          <w:tcPr>
            <w:tcW w:w="500" w:type="dxa"/>
            <w:shd w:val="clear" w:color="auto" w:fill="auto"/>
            <w:noWrap/>
            <w:textDirection w:val="btLr"/>
            <w:vAlign w:val="bottom"/>
            <w:hideMark/>
          </w:tcPr>
          <w:p w14:paraId="532FFDA5" w14:textId="77777777" w:rsidR="00ED019B" w:rsidRPr="00C702E9" w:rsidRDefault="00ED019B" w:rsidP="00A0537F">
            <w:pPr>
              <w:pStyle w:val="Tables"/>
              <w:rPr>
                <w:b/>
              </w:rPr>
            </w:pPr>
            <w:r w:rsidRPr="00C702E9">
              <w:rPr>
                <w:b/>
              </w:rPr>
              <w:t>PENT</w:t>
            </w:r>
          </w:p>
        </w:tc>
      </w:tr>
      <w:tr w:rsidR="00C702E9" w:rsidRPr="00ED019B" w14:paraId="6B365024" w14:textId="77777777" w:rsidTr="001E2B57">
        <w:trPr>
          <w:trHeight w:val="540"/>
          <w:jc w:val="center"/>
        </w:trPr>
        <w:tc>
          <w:tcPr>
            <w:tcW w:w="2016" w:type="dxa"/>
            <w:shd w:val="clear" w:color="auto" w:fill="auto"/>
            <w:noWrap/>
            <w:vAlign w:val="center"/>
            <w:hideMark/>
          </w:tcPr>
          <w:p w14:paraId="103332A3" w14:textId="77777777" w:rsidR="00ED019B" w:rsidRPr="00C702E9" w:rsidRDefault="00ED019B" w:rsidP="00A0537F">
            <w:pPr>
              <w:pStyle w:val="Tables"/>
            </w:pPr>
            <w:r w:rsidRPr="00C702E9">
              <w:t>acetic acid</w:t>
            </w:r>
          </w:p>
        </w:tc>
        <w:tc>
          <w:tcPr>
            <w:tcW w:w="498" w:type="dxa"/>
            <w:shd w:val="clear" w:color="auto" w:fill="auto"/>
            <w:noWrap/>
            <w:vAlign w:val="center"/>
            <w:hideMark/>
          </w:tcPr>
          <w:p w14:paraId="172A57E1" w14:textId="77777777" w:rsidR="00ED019B" w:rsidRPr="00C702E9" w:rsidRDefault="00ED019B" w:rsidP="00C702E9">
            <w:pPr>
              <w:pStyle w:val="Tables"/>
              <w:jc w:val="center"/>
              <w:rPr>
                <w:iCs/>
              </w:rPr>
            </w:pPr>
            <w:r w:rsidRPr="00C702E9">
              <w:rPr>
                <w:iCs/>
              </w:rPr>
              <w:t>2</w:t>
            </w:r>
          </w:p>
        </w:tc>
        <w:tc>
          <w:tcPr>
            <w:tcW w:w="500" w:type="dxa"/>
            <w:shd w:val="clear" w:color="auto" w:fill="auto"/>
            <w:noWrap/>
            <w:vAlign w:val="center"/>
            <w:hideMark/>
          </w:tcPr>
          <w:p w14:paraId="4E7A2336" w14:textId="77777777" w:rsidR="00ED019B" w:rsidRPr="00C702E9" w:rsidRDefault="00ED019B" w:rsidP="00C702E9">
            <w:pPr>
              <w:pStyle w:val="Tables"/>
              <w:jc w:val="center"/>
              <w:rPr>
                <w:iCs/>
              </w:rPr>
            </w:pPr>
            <w:r w:rsidRPr="00C702E9">
              <w:rPr>
                <w:iCs/>
              </w:rPr>
              <w:t>1</w:t>
            </w:r>
          </w:p>
        </w:tc>
        <w:tc>
          <w:tcPr>
            <w:tcW w:w="500" w:type="dxa"/>
            <w:shd w:val="clear" w:color="auto" w:fill="auto"/>
            <w:noWrap/>
            <w:vAlign w:val="center"/>
            <w:hideMark/>
          </w:tcPr>
          <w:p w14:paraId="3EA5AB9B" w14:textId="77777777" w:rsidR="00ED019B" w:rsidRPr="00C702E9" w:rsidRDefault="00ED019B" w:rsidP="00C702E9">
            <w:pPr>
              <w:pStyle w:val="Tables"/>
              <w:jc w:val="center"/>
              <w:rPr>
                <w:iCs/>
              </w:rPr>
            </w:pPr>
            <w:r w:rsidRPr="00C702E9">
              <w:rPr>
                <w:iCs/>
              </w:rPr>
              <w:t>1</w:t>
            </w:r>
          </w:p>
        </w:tc>
        <w:tc>
          <w:tcPr>
            <w:tcW w:w="500" w:type="dxa"/>
            <w:shd w:val="clear" w:color="auto" w:fill="auto"/>
            <w:noWrap/>
            <w:vAlign w:val="center"/>
            <w:hideMark/>
          </w:tcPr>
          <w:p w14:paraId="74B51CBE" w14:textId="77777777" w:rsidR="00ED019B" w:rsidRPr="00C702E9" w:rsidRDefault="00ED019B" w:rsidP="00C702E9">
            <w:pPr>
              <w:pStyle w:val="Tables"/>
              <w:jc w:val="center"/>
              <w:rPr>
                <w:iCs/>
              </w:rPr>
            </w:pPr>
          </w:p>
        </w:tc>
        <w:tc>
          <w:tcPr>
            <w:tcW w:w="500" w:type="dxa"/>
            <w:shd w:val="clear" w:color="auto" w:fill="auto"/>
            <w:noWrap/>
            <w:vAlign w:val="center"/>
            <w:hideMark/>
          </w:tcPr>
          <w:p w14:paraId="631C9125" w14:textId="77777777" w:rsidR="00ED019B" w:rsidRPr="00C702E9" w:rsidRDefault="00ED019B" w:rsidP="00C702E9">
            <w:pPr>
              <w:pStyle w:val="Tables"/>
              <w:jc w:val="center"/>
            </w:pPr>
          </w:p>
        </w:tc>
        <w:tc>
          <w:tcPr>
            <w:tcW w:w="498" w:type="dxa"/>
            <w:shd w:val="clear" w:color="auto" w:fill="auto"/>
            <w:noWrap/>
            <w:vAlign w:val="center"/>
            <w:hideMark/>
          </w:tcPr>
          <w:p w14:paraId="59F9167A" w14:textId="77777777" w:rsidR="00ED019B" w:rsidRPr="00C702E9" w:rsidRDefault="00ED019B" w:rsidP="00C702E9">
            <w:pPr>
              <w:pStyle w:val="Tables"/>
              <w:jc w:val="center"/>
            </w:pPr>
          </w:p>
        </w:tc>
        <w:tc>
          <w:tcPr>
            <w:tcW w:w="500" w:type="dxa"/>
            <w:shd w:val="clear" w:color="auto" w:fill="auto"/>
            <w:noWrap/>
            <w:vAlign w:val="center"/>
            <w:hideMark/>
          </w:tcPr>
          <w:p w14:paraId="43E01E96" w14:textId="77777777" w:rsidR="00ED019B" w:rsidRPr="00C702E9" w:rsidRDefault="00ED019B" w:rsidP="00C702E9">
            <w:pPr>
              <w:pStyle w:val="Tables"/>
              <w:jc w:val="center"/>
            </w:pPr>
          </w:p>
        </w:tc>
        <w:tc>
          <w:tcPr>
            <w:tcW w:w="500" w:type="dxa"/>
            <w:shd w:val="clear" w:color="auto" w:fill="auto"/>
            <w:noWrap/>
            <w:vAlign w:val="center"/>
            <w:hideMark/>
          </w:tcPr>
          <w:p w14:paraId="08023949" w14:textId="77777777" w:rsidR="00ED019B" w:rsidRPr="00C702E9" w:rsidRDefault="00ED019B" w:rsidP="00C702E9">
            <w:pPr>
              <w:pStyle w:val="Tables"/>
              <w:jc w:val="center"/>
            </w:pPr>
          </w:p>
        </w:tc>
        <w:tc>
          <w:tcPr>
            <w:tcW w:w="500" w:type="dxa"/>
            <w:shd w:val="clear" w:color="auto" w:fill="auto"/>
            <w:noWrap/>
            <w:vAlign w:val="center"/>
            <w:hideMark/>
          </w:tcPr>
          <w:p w14:paraId="585C625C" w14:textId="77777777" w:rsidR="00ED019B" w:rsidRPr="00C702E9" w:rsidRDefault="00ED019B" w:rsidP="00C702E9">
            <w:pPr>
              <w:pStyle w:val="Tables"/>
              <w:jc w:val="center"/>
            </w:pPr>
          </w:p>
        </w:tc>
      </w:tr>
      <w:tr w:rsidR="00C702E9" w:rsidRPr="00ED019B" w14:paraId="1D721BF0" w14:textId="77777777" w:rsidTr="001E2B57">
        <w:trPr>
          <w:trHeight w:val="540"/>
          <w:jc w:val="center"/>
        </w:trPr>
        <w:tc>
          <w:tcPr>
            <w:tcW w:w="2016" w:type="dxa"/>
            <w:shd w:val="clear" w:color="auto" w:fill="auto"/>
            <w:noWrap/>
            <w:vAlign w:val="center"/>
            <w:hideMark/>
          </w:tcPr>
          <w:p w14:paraId="1DAD646D" w14:textId="77777777" w:rsidR="00ED019B" w:rsidRPr="00C702E9" w:rsidRDefault="00ED019B" w:rsidP="00A0537F">
            <w:pPr>
              <w:pStyle w:val="Tables"/>
            </w:pPr>
            <w:r w:rsidRPr="00C702E9">
              <w:t>alkyl phenols</w:t>
            </w:r>
          </w:p>
        </w:tc>
        <w:tc>
          <w:tcPr>
            <w:tcW w:w="498" w:type="dxa"/>
            <w:shd w:val="clear" w:color="auto" w:fill="auto"/>
            <w:noWrap/>
            <w:vAlign w:val="center"/>
            <w:hideMark/>
          </w:tcPr>
          <w:p w14:paraId="1FF25A14" w14:textId="77777777" w:rsidR="00ED019B" w:rsidRPr="00C702E9" w:rsidRDefault="00ED019B" w:rsidP="00C702E9">
            <w:pPr>
              <w:pStyle w:val="Tables"/>
              <w:jc w:val="center"/>
            </w:pPr>
          </w:p>
        </w:tc>
        <w:tc>
          <w:tcPr>
            <w:tcW w:w="500" w:type="dxa"/>
            <w:shd w:val="clear" w:color="auto" w:fill="auto"/>
            <w:noWrap/>
            <w:vAlign w:val="center"/>
            <w:hideMark/>
          </w:tcPr>
          <w:p w14:paraId="2F7678C0" w14:textId="77777777" w:rsidR="00ED019B" w:rsidRPr="00C702E9" w:rsidRDefault="00ED019B" w:rsidP="00C702E9">
            <w:pPr>
              <w:pStyle w:val="Tables"/>
              <w:jc w:val="center"/>
              <w:rPr>
                <w:iCs/>
              </w:rPr>
            </w:pPr>
            <w:r w:rsidRPr="00C702E9">
              <w:rPr>
                <w:iCs/>
              </w:rPr>
              <w:t>1</w:t>
            </w:r>
          </w:p>
        </w:tc>
        <w:tc>
          <w:tcPr>
            <w:tcW w:w="500" w:type="dxa"/>
            <w:shd w:val="clear" w:color="auto" w:fill="auto"/>
            <w:noWrap/>
            <w:vAlign w:val="center"/>
            <w:hideMark/>
          </w:tcPr>
          <w:p w14:paraId="6F031C2A" w14:textId="77777777" w:rsidR="00ED019B" w:rsidRPr="00C702E9" w:rsidRDefault="00ED019B" w:rsidP="00C702E9">
            <w:pPr>
              <w:pStyle w:val="Tables"/>
              <w:jc w:val="center"/>
              <w:rPr>
                <w:iCs/>
              </w:rPr>
            </w:pPr>
          </w:p>
        </w:tc>
        <w:tc>
          <w:tcPr>
            <w:tcW w:w="500" w:type="dxa"/>
            <w:shd w:val="clear" w:color="auto" w:fill="auto"/>
            <w:noWrap/>
            <w:vAlign w:val="center"/>
            <w:hideMark/>
          </w:tcPr>
          <w:p w14:paraId="655C5CDC" w14:textId="77777777" w:rsidR="00ED019B" w:rsidRPr="00C702E9" w:rsidRDefault="00ED019B" w:rsidP="00C702E9">
            <w:pPr>
              <w:pStyle w:val="Tables"/>
              <w:jc w:val="center"/>
              <w:rPr>
                <w:iCs/>
              </w:rPr>
            </w:pPr>
            <w:r w:rsidRPr="00C702E9">
              <w:rPr>
                <w:iCs/>
              </w:rPr>
              <w:t>2</w:t>
            </w:r>
          </w:p>
        </w:tc>
        <w:tc>
          <w:tcPr>
            <w:tcW w:w="500" w:type="dxa"/>
            <w:shd w:val="clear" w:color="auto" w:fill="auto"/>
            <w:noWrap/>
            <w:vAlign w:val="center"/>
            <w:hideMark/>
          </w:tcPr>
          <w:p w14:paraId="23634974" w14:textId="77777777" w:rsidR="00ED019B" w:rsidRPr="00C702E9" w:rsidRDefault="00ED019B" w:rsidP="00C702E9">
            <w:pPr>
              <w:pStyle w:val="Tables"/>
              <w:jc w:val="center"/>
              <w:rPr>
                <w:iCs/>
              </w:rPr>
            </w:pPr>
            <w:r w:rsidRPr="00C702E9">
              <w:rPr>
                <w:iCs/>
              </w:rPr>
              <w:t>1</w:t>
            </w:r>
          </w:p>
        </w:tc>
        <w:tc>
          <w:tcPr>
            <w:tcW w:w="498" w:type="dxa"/>
            <w:shd w:val="clear" w:color="auto" w:fill="auto"/>
            <w:noWrap/>
            <w:vAlign w:val="center"/>
            <w:hideMark/>
          </w:tcPr>
          <w:p w14:paraId="33059F57" w14:textId="77777777" w:rsidR="00ED019B" w:rsidRPr="00C702E9" w:rsidRDefault="00ED019B" w:rsidP="00C702E9">
            <w:pPr>
              <w:pStyle w:val="Tables"/>
              <w:jc w:val="center"/>
            </w:pPr>
            <w:r w:rsidRPr="00C702E9">
              <w:t>3</w:t>
            </w:r>
          </w:p>
        </w:tc>
        <w:tc>
          <w:tcPr>
            <w:tcW w:w="500" w:type="dxa"/>
            <w:shd w:val="clear" w:color="auto" w:fill="auto"/>
            <w:noWrap/>
            <w:vAlign w:val="center"/>
            <w:hideMark/>
          </w:tcPr>
          <w:p w14:paraId="79BE88EB" w14:textId="77777777" w:rsidR="00ED019B" w:rsidRPr="00C702E9" w:rsidRDefault="00ED019B" w:rsidP="00C702E9">
            <w:pPr>
              <w:pStyle w:val="Tables"/>
              <w:jc w:val="center"/>
            </w:pPr>
          </w:p>
        </w:tc>
        <w:tc>
          <w:tcPr>
            <w:tcW w:w="500" w:type="dxa"/>
            <w:shd w:val="clear" w:color="auto" w:fill="auto"/>
            <w:noWrap/>
            <w:vAlign w:val="center"/>
            <w:hideMark/>
          </w:tcPr>
          <w:p w14:paraId="1D97A80B" w14:textId="77777777" w:rsidR="00ED019B" w:rsidRPr="00C702E9" w:rsidRDefault="00ED019B" w:rsidP="00C702E9">
            <w:pPr>
              <w:pStyle w:val="Tables"/>
              <w:jc w:val="center"/>
            </w:pPr>
          </w:p>
        </w:tc>
        <w:tc>
          <w:tcPr>
            <w:tcW w:w="500" w:type="dxa"/>
            <w:shd w:val="clear" w:color="auto" w:fill="auto"/>
            <w:noWrap/>
            <w:vAlign w:val="center"/>
            <w:hideMark/>
          </w:tcPr>
          <w:p w14:paraId="5E166D75" w14:textId="77777777" w:rsidR="00ED019B" w:rsidRPr="00C702E9" w:rsidRDefault="00ED019B" w:rsidP="00C702E9">
            <w:pPr>
              <w:pStyle w:val="Tables"/>
              <w:jc w:val="center"/>
            </w:pPr>
          </w:p>
        </w:tc>
      </w:tr>
      <w:tr w:rsidR="00C702E9" w:rsidRPr="00ED019B" w14:paraId="1EA9655B" w14:textId="77777777" w:rsidTr="001E2B57">
        <w:trPr>
          <w:trHeight w:val="540"/>
          <w:jc w:val="center"/>
        </w:trPr>
        <w:tc>
          <w:tcPr>
            <w:tcW w:w="2016" w:type="dxa"/>
            <w:shd w:val="clear" w:color="auto" w:fill="auto"/>
            <w:noWrap/>
            <w:vAlign w:val="center"/>
            <w:hideMark/>
          </w:tcPr>
          <w:p w14:paraId="3DA69862" w14:textId="77777777" w:rsidR="00ED019B" w:rsidRPr="00C702E9" w:rsidRDefault="00ED019B" w:rsidP="00A0537F">
            <w:pPr>
              <w:pStyle w:val="Tables"/>
            </w:pPr>
            <w:r w:rsidRPr="00C702E9">
              <w:t>furfurals</w:t>
            </w:r>
          </w:p>
        </w:tc>
        <w:tc>
          <w:tcPr>
            <w:tcW w:w="498" w:type="dxa"/>
            <w:shd w:val="clear" w:color="auto" w:fill="auto"/>
            <w:noWrap/>
            <w:vAlign w:val="center"/>
            <w:hideMark/>
          </w:tcPr>
          <w:p w14:paraId="3B30CB68" w14:textId="77777777" w:rsidR="00ED019B" w:rsidRPr="00C702E9" w:rsidRDefault="00ED019B" w:rsidP="00C702E9">
            <w:pPr>
              <w:pStyle w:val="Tables"/>
              <w:jc w:val="center"/>
            </w:pPr>
          </w:p>
        </w:tc>
        <w:tc>
          <w:tcPr>
            <w:tcW w:w="500" w:type="dxa"/>
            <w:shd w:val="clear" w:color="auto" w:fill="auto"/>
            <w:noWrap/>
            <w:vAlign w:val="center"/>
            <w:hideMark/>
          </w:tcPr>
          <w:p w14:paraId="59F82C85" w14:textId="77777777" w:rsidR="00ED019B" w:rsidRPr="00C702E9" w:rsidRDefault="00ED019B" w:rsidP="00C702E9">
            <w:pPr>
              <w:pStyle w:val="Tables"/>
              <w:jc w:val="center"/>
            </w:pPr>
          </w:p>
        </w:tc>
        <w:tc>
          <w:tcPr>
            <w:tcW w:w="500" w:type="dxa"/>
            <w:shd w:val="clear" w:color="auto" w:fill="auto"/>
            <w:noWrap/>
            <w:vAlign w:val="center"/>
            <w:hideMark/>
          </w:tcPr>
          <w:p w14:paraId="20D0DF0F" w14:textId="77777777" w:rsidR="00ED019B" w:rsidRPr="00C702E9" w:rsidRDefault="00ED019B" w:rsidP="00C702E9">
            <w:pPr>
              <w:pStyle w:val="Tables"/>
              <w:jc w:val="center"/>
            </w:pPr>
          </w:p>
        </w:tc>
        <w:tc>
          <w:tcPr>
            <w:tcW w:w="500" w:type="dxa"/>
            <w:shd w:val="clear" w:color="auto" w:fill="auto"/>
            <w:noWrap/>
            <w:vAlign w:val="center"/>
            <w:hideMark/>
          </w:tcPr>
          <w:p w14:paraId="0809F5C7" w14:textId="77777777" w:rsidR="00ED019B" w:rsidRPr="00C702E9" w:rsidRDefault="00ED019B" w:rsidP="00C702E9">
            <w:pPr>
              <w:pStyle w:val="Tables"/>
              <w:jc w:val="center"/>
            </w:pPr>
          </w:p>
        </w:tc>
        <w:tc>
          <w:tcPr>
            <w:tcW w:w="500" w:type="dxa"/>
            <w:shd w:val="clear" w:color="auto" w:fill="auto"/>
            <w:noWrap/>
            <w:vAlign w:val="center"/>
            <w:hideMark/>
          </w:tcPr>
          <w:p w14:paraId="01269708" w14:textId="77777777" w:rsidR="00ED019B" w:rsidRPr="00C702E9" w:rsidRDefault="00ED019B" w:rsidP="00C702E9">
            <w:pPr>
              <w:pStyle w:val="Tables"/>
              <w:jc w:val="center"/>
            </w:pPr>
          </w:p>
        </w:tc>
        <w:tc>
          <w:tcPr>
            <w:tcW w:w="498" w:type="dxa"/>
            <w:shd w:val="clear" w:color="auto" w:fill="auto"/>
            <w:noWrap/>
            <w:vAlign w:val="center"/>
            <w:hideMark/>
          </w:tcPr>
          <w:p w14:paraId="407CC92D" w14:textId="77777777" w:rsidR="00ED019B" w:rsidRPr="00C702E9" w:rsidRDefault="00ED019B" w:rsidP="00C702E9">
            <w:pPr>
              <w:pStyle w:val="Tables"/>
              <w:jc w:val="center"/>
            </w:pPr>
          </w:p>
        </w:tc>
        <w:tc>
          <w:tcPr>
            <w:tcW w:w="500" w:type="dxa"/>
            <w:shd w:val="clear" w:color="auto" w:fill="auto"/>
            <w:noWrap/>
            <w:vAlign w:val="center"/>
            <w:hideMark/>
          </w:tcPr>
          <w:p w14:paraId="0E3E90D4" w14:textId="77777777" w:rsidR="00ED019B" w:rsidRPr="00C702E9" w:rsidRDefault="00ED019B" w:rsidP="00C702E9">
            <w:pPr>
              <w:pStyle w:val="Tables"/>
              <w:jc w:val="center"/>
              <w:rPr>
                <w:iCs/>
              </w:rPr>
            </w:pPr>
            <w:r w:rsidRPr="00C702E9">
              <w:rPr>
                <w:iCs/>
              </w:rPr>
              <w:t>1</w:t>
            </w:r>
          </w:p>
        </w:tc>
        <w:tc>
          <w:tcPr>
            <w:tcW w:w="500" w:type="dxa"/>
            <w:shd w:val="clear" w:color="auto" w:fill="auto"/>
            <w:noWrap/>
            <w:vAlign w:val="center"/>
            <w:hideMark/>
          </w:tcPr>
          <w:p w14:paraId="1146CCEA" w14:textId="77777777" w:rsidR="00ED019B" w:rsidRPr="00C702E9" w:rsidRDefault="00ED019B" w:rsidP="00C702E9">
            <w:pPr>
              <w:pStyle w:val="Tables"/>
              <w:jc w:val="center"/>
              <w:rPr>
                <w:iCs/>
              </w:rPr>
            </w:pPr>
            <w:r w:rsidRPr="00C702E9">
              <w:rPr>
                <w:iCs/>
              </w:rPr>
              <w:t>1</w:t>
            </w:r>
          </w:p>
        </w:tc>
        <w:tc>
          <w:tcPr>
            <w:tcW w:w="500" w:type="dxa"/>
            <w:shd w:val="clear" w:color="auto" w:fill="auto"/>
            <w:noWrap/>
            <w:vAlign w:val="center"/>
            <w:hideMark/>
          </w:tcPr>
          <w:p w14:paraId="642FF3D0" w14:textId="77777777" w:rsidR="00ED019B" w:rsidRPr="00C702E9" w:rsidRDefault="00ED019B" w:rsidP="00C702E9">
            <w:pPr>
              <w:pStyle w:val="Tables"/>
              <w:jc w:val="center"/>
              <w:rPr>
                <w:iCs/>
              </w:rPr>
            </w:pPr>
          </w:p>
        </w:tc>
      </w:tr>
      <w:tr w:rsidR="00C702E9" w:rsidRPr="00ED019B" w14:paraId="5FAC19E3" w14:textId="77777777" w:rsidTr="001E2B57">
        <w:trPr>
          <w:trHeight w:val="540"/>
          <w:jc w:val="center"/>
        </w:trPr>
        <w:tc>
          <w:tcPr>
            <w:tcW w:w="2016" w:type="dxa"/>
            <w:shd w:val="clear" w:color="auto" w:fill="auto"/>
            <w:noWrap/>
            <w:vAlign w:val="center"/>
            <w:hideMark/>
          </w:tcPr>
          <w:p w14:paraId="63A21206" w14:textId="77777777" w:rsidR="00ED019B" w:rsidRPr="00C702E9" w:rsidRDefault="00ED019B" w:rsidP="00A0537F">
            <w:pPr>
              <w:pStyle w:val="Tables"/>
            </w:pPr>
            <w:r w:rsidRPr="00C702E9">
              <w:t>pyran derivatives</w:t>
            </w:r>
          </w:p>
        </w:tc>
        <w:tc>
          <w:tcPr>
            <w:tcW w:w="498" w:type="dxa"/>
            <w:shd w:val="clear" w:color="auto" w:fill="auto"/>
            <w:noWrap/>
            <w:vAlign w:val="center"/>
            <w:hideMark/>
          </w:tcPr>
          <w:p w14:paraId="5B9A5256" w14:textId="77777777" w:rsidR="00ED019B" w:rsidRPr="00C702E9" w:rsidRDefault="00ED019B" w:rsidP="00C702E9">
            <w:pPr>
              <w:pStyle w:val="Tables"/>
              <w:jc w:val="center"/>
            </w:pPr>
          </w:p>
        </w:tc>
        <w:tc>
          <w:tcPr>
            <w:tcW w:w="500" w:type="dxa"/>
            <w:shd w:val="clear" w:color="auto" w:fill="auto"/>
            <w:noWrap/>
            <w:vAlign w:val="center"/>
            <w:hideMark/>
          </w:tcPr>
          <w:p w14:paraId="4A558522" w14:textId="77777777" w:rsidR="00ED019B" w:rsidRPr="00C702E9" w:rsidRDefault="00ED019B" w:rsidP="00C702E9">
            <w:pPr>
              <w:pStyle w:val="Tables"/>
              <w:jc w:val="center"/>
            </w:pPr>
          </w:p>
        </w:tc>
        <w:tc>
          <w:tcPr>
            <w:tcW w:w="500" w:type="dxa"/>
            <w:shd w:val="clear" w:color="auto" w:fill="auto"/>
            <w:noWrap/>
            <w:vAlign w:val="center"/>
            <w:hideMark/>
          </w:tcPr>
          <w:p w14:paraId="4DE145AA" w14:textId="77777777" w:rsidR="00ED019B" w:rsidRPr="00C702E9" w:rsidRDefault="00ED019B" w:rsidP="00C702E9">
            <w:pPr>
              <w:pStyle w:val="Tables"/>
              <w:jc w:val="center"/>
            </w:pPr>
          </w:p>
        </w:tc>
        <w:tc>
          <w:tcPr>
            <w:tcW w:w="500" w:type="dxa"/>
            <w:shd w:val="clear" w:color="auto" w:fill="auto"/>
            <w:noWrap/>
            <w:vAlign w:val="center"/>
            <w:hideMark/>
          </w:tcPr>
          <w:p w14:paraId="563A5C34" w14:textId="77777777" w:rsidR="00ED019B" w:rsidRPr="00C702E9" w:rsidRDefault="00ED019B" w:rsidP="00C702E9">
            <w:pPr>
              <w:pStyle w:val="Tables"/>
              <w:jc w:val="center"/>
            </w:pPr>
          </w:p>
        </w:tc>
        <w:tc>
          <w:tcPr>
            <w:tcW w:w="500" w:type="dxa"/>
            <w:shd w:val="clear" w:color="auto" w:fill="auto"/>
            <w:noWrap/>
            <w:vAlign w:val="center"/>
            <w:hideMark/>
          </w:tcPr>
          <w:p w14:paraId="17F021BE" w14:textId="77777777" w:rsidR="00ED019B" w:rsidRPr="00C702E9" w:rsidRDefault="00ED019B" w:rsidP="00C702E9">
            <w:pPr>
              <w:pStyle w:val="Tables"/>
              <w:jc w:val="center"/>
            </w:pPr>
          </w:p>
        </w:tc>
        <w:tc>
          <w:tcPr>
            <w:tcW w:w="498" w:type="dxa"/>
            <w:shd w:val="clear" w:color="auto" w:fill="auto"/>
            <w:noWrap/>
            <w:vAlign w:val="center"/>
            <w:hideMark/>
          </w:tcPr>
          <w:p w14:paraId="724B2A3F" w14:textId="77777777" w:rsidR="00ED019B" w:rsidRPr="00C702E9" w:rsidRDefault="00ED019B" w:rsidP="00C702E9">
            <w:pPr>
              <w:pStyle w:val="Tables"/>
              <w:jc w:val="center"/>
            </w:pPr>
          </w:p>
        </w:tc>
        <w:tc>
          <w:tcPr>
            <w:tcW w:w="500" w:type="dxa"/>
            <w:shd w:val="clear" w:color="auto" w:fill="auto"/>
            <w:noWrap/>
            <w:vAlign w:val="center"/>
            <w:hideMark/>
          </w:tcPr>
          <w:p w14:paraId="48A0A3E1" w14:textId="77777777" w:rsidR="00ED019B" w:rsidRPr="00C702E9" w:rsidRDefault="00ED019B" w:rsidP="00C702E9">
            <w:pPr>
              <w:pStyle w:val="Tables"/>
              <w:jc w:val="center"/>
            </w:pPr>
          </w:p>
        </w:tc>
        <w:tc>
          <w:tcPr>
            <w:tcW w:w="500" w:type="dxa"/>
            <w:shd w:val="clear" w:color="auto" w:fill="auto"/>
            <w:noWrap/>
            <w:vAlign w:val="center"/>
            <w:hideMark/>
          </w:tcPr>
          <w:p w14:paraId="55BBC548" w14:textId="77777777" w:rsidR="00ED019B" w:rsidRPr="00C702E9" w:rsidRDefault="00ED019B" w:rsidP="00C702E9">
            <w:pPr>
              <w:pStyle w:val="Tables"/>
              <w:jc w:val="center"/>
              <w:rPr>
                <w:iCs/>
              </w:rPr>
            </w:pPr>
            <w:r w:rsidRPr="00C702E9">
              <w:rPr>
                <w:iCs/>
              </w:rPr>
              <w:t>1</w:t>
            </w:r>
          </w:p>
        </w:tc>
        <w:tc>
          <w:tcPr>
            <w:tcW w:w="500" w:type="dxa"/>
            <w:shd w:val="clear" w:color="auto" w:fill="auto"/>
            <w:noWrap/>
            <w:vAlign w:val="center"/>
            <w:hideMark/>
          </w:tcPr>
          <w:p w14:paraId="1F8C2D21" w14:textId="77777777" w:rsidR="00ED019B" w:rsidRPr="00C702E9" w:rsidRDefault="00ED019B" w:rsidP="00C702E9">
            <w:pPr>
              <w:pStyle w:val="Tables"/>
              <w:jc w:val="center"/>
              <w:rPr>
                <w:iCs/>
              </w:rPr>
            </w:pPr>
            <w:r w:rsidRPr="00C702E9">
              <w:rPr>
                <w:iCs/>
              </w:rPr>
              <w:t>1</w:t>
            </w:r>
          </w:p>
        </w:tc>
      </w:tr>
    </w:tbl>
    <w:p w14:paraId="6C7C7838" w14:textId="24BFD895" w:rsidR="006449A4" w:rsidRDefault="006449A4" w:rsidP="005B60FA">
      <w:pPr>
        <w:pStyle w:val="Caption"/>
        <w:jc w:val="center"/>
        <w:rPr>
          <w:b w:val="0"/>
        </w:rPr>
      </w:pPr>
      <w:bookmarkStart w:id="157" w:name="_Toc449964944"/>
      <w:r>
        <w:t xml:space="preserve">Table </w:t>
      </w:r>
      <w:fldSimple w:instr=" STYLEREF &quot;Chapter&quot; \s ">
        <w:r w:rsidR="00463F52">
          <w:rPr>
            <w:noProof/>
          </w:rPr>
          <w:t>6</w:t>
        </w:r>
      </w:fldSimple>
      <w:r>
        <w:t>.</w:t>
      </w:r>
      <w:fldSimple w:instr=" SEQ Table \* ARABIC \s 1 ">
        <w:r w:rsidR="00463F52">
          <w:rPr>
            <w:noProof/>
          </w:rPr>
          <w:t>10</w:t>
        </w:r>
      </w:fldSimple>
      <w:r>
        <w:t>.</w:t>
      </w:r>
      <w:r w:rsidRPr="008E2374">
        <w:t xml:space="preserve"> </w:t>
      </w:r>
      <w:r w:rsidRPr="00ED7A8D">
        <w:rPr>
          <w:b w:val="0"/>
        </w:rPr>
        <w:t xml:space="preserve">Torrefaction model </w:t>
      </w:r>
      <w:r>
        <w:rPr>
          <w:b w:val="0"/>
        </w:rPr>
        <w:t>coefficients and their relationship schemas</w:t>
      </w:r>
      <w:r w:rsidRPr="00ED7A8D">
        <w:rPr>
          <w:b w:val="0"/>
        </w:rPr>
        <w:t>.</w:t>
      </w:r>
      <w:bookmarkEnd w:id="157"/>
    </w:p>
    <w:p w14:paraId="3265F01C" w14:textId="77777777" w:rsidR="00ED019B" w:rsidRDefault="00ED019B" w:rsidP="00ED019B"/>
    <w:tbl>
      <w:tblPr>
        <w:tblW w:w="55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6"/>
        <w:gridCol w:w="498"/>
        <w:gridCol w:w="498"/>
        <w:gridCol w:w="498"/>
        <w:gridCol w:w="498"/>
        <w:gridCol w:w="498"/>
        <w:gridCol w:w="498"/>
        <w:gridCol w:w="498"/>
      </w:tblGrid>
      <w:tr w:rsidR="00ED019B" w:rsidRPr="00ED019B" w14:paraId="2F4045C5" w14:textId="77777777" w:rsidTr="001E2B57">
        <w:trPr>
          <w:trHeight w:val="1120"/>
          <w:jc w:val="center"/>
        </w:trPr>
        <w:tc>
          <w:tcPr>
            <w:tcW w:w="2016" w:type="dxa"/>
            <w:shd w:val="clear" w:color="auto" w:fill="auto"/>
            <w:noWrap/>
            <w:vAlign w:val="bottom"/>
            <w:hideMark/>
          </w:tcPr>
          <w:p w14:paraId="77475DAC" w14:textId="77777777" w:rsidR="00ED019B" w:rsidRPr="00ED019B" w:rsidRDefault="00ED019B" w:rsidP="00A0537F">
            <w:pPr>
              <w:pStyle w:val="Tables"/>
            </w:pPr>
            <w:r w:rsidRPr="00ED019B">
              <w:t>model</w:t>
            </w:r>
          </w:p>
        </w:tc>
        <w:tc>
          <w:tcPr>
            <w:tcW w:w="498" w:type="dxa"/>
            <w:shd w:val="clear" w:color="auto" w:fill="auto"/>
            <w:noWrap/>
            <w:textDirection w:val="btLr"/>
            <w:vAlign w:val="bottom"/>
            <w:hideMark/>
          </w:tcPr>
          <w:p w14:paraId="07E18EF1" w14:textId="77777777" w:rsidR="00ED019B" w:rsidRPr="00234BBC" w:rsidRDefault="00ED019B" w:rsidP="00A0537F">
            <w:pPr>
              <w:pStyle w:val="Tables"/>
              <w:rPr>
                <w:b/>
              </w:rPr>
            </w:pPr>
            <w:r w:rsidRPr="00234BBC">
              <w:rPr>
                <w:b/>
              </w:rPr>
              <w:t>Ash</w:t>
            </w:r>
          </w:p>
        </w:tc>
        <w:tc>
          <w:tcPr>
            <w:tcW w:w="498" w:type="dxa"/>
            <w:shd w:val="clear" w:color="auto" w:fill="auto"/>
            <w:noWrap/>
            <w:textDirection w:val="btLr"/>
            <w:vAlign w:val="bottom"/>
            <w:hideMark/>
          </w:tcPr>
          <w:p w14:paraId="733565FA" w14:textId="77777777" w:rsidR="00ED019B" w:rsidRPr="00234BBC" w:rsidRDefault="00ED019B" w:rsidP="00A0537F">
            <w:pPr>
              <w:pStyle w:val="Tables"/>
              <w:rPr>
                <w:b/>
              </w:rPr>
            </w:pPr>
            <w:r w:rsidRPr="00234BBC">
              <w:rPr>
                <w:b/>
              </w:rPr>
              <w:t>K</w:t>
            </w:r>
          </w:p>
        </w:tc>
        <w:tc>
          <w:tcPr>
            <w:tcW w:w="498" w:type="dxa"/>
            <w:shd w:val="clear" w:color="auto" w:fill="auto"/>
            <w:noWrap/>
            <w:textDirection w:val="btLr"/>
            <w:vAlign w:val="bottom"/>
            <w:hideMark/>
          </w:tcPr>
          <w:p w14:paraId="62960B06" w14:textId="77777777" w:rsidR="00ED019B" w:rsidRPr="00234BBC" w:rsidRDefault="00ED019B" w:rsidP="00A0537F">
            <w:pPr>
              <w:pStyle w:val="Tables"/>
              <w:rPr>
                <w:b/>
              </w:rPr>
            </w:pPr>
            <w:r w:rsidRPr="00234BBC">
              <w:rPr>
                <w:b/>
              </w:rPr>
              <w:t>PENT2</w:t>
            </w:r>
          </w:p>
        </w:tc>
        <w:tc>
          <w:tcPr>
            <w:tcW w:w="498" w:type="dxa"/>
            <w:shd w:val="clear" w:color="auto" w:fill="auto"/>
            <w:noWrap/>
            <w:textDirection w:val="btLr"/>
            <w:vAlign w:val="bottom"/>
            <w:hideMark/>
          </w:tcPr>
          <w:p w14:paraId="3131D1E7" w14:textId="77777777" w:rsidR="00ED019B" w:rsidRPr="00234BBC" w:rsidRDefault="00ED019B" w:rsidP="00A0537F">
            <w:pPr>
              <w:pStyle w:val="Tables"/>
              <w:rPr>
                <w:b/>
              </w:rPr>
            </w:pPr>
            <w:r w:rsidRPr="00234BBC">
              <w:rPr>
                <w:b/>
              </w:rPr>
              <w:t>pCA</w:t>
            </w:r>
          </w:p>
        </w:tc>
        <w:tc>
          <w:tcPr>
            <w:tcW w:w="498" w:type="dxa"/>
            <w:shd w:val="clear" w:color="auto" w:fill="auto"/>
            <w:noWrap/>
            <w:textDirection w:val="btLr"/>
            <w:vAlign w:val="bottom"/>
            <w:hideMark/>
          </w:tcPr>
          <w:p w14:paraId="5F4E53E6" w14:textId="77777777" w:rsidR="00ED019B" w:rsidRPr="00234BBC" w:rsidRDefault="00ED019B" w:rsidP="00A0537F">
            <w:pPr>
              <w:pStyle w:val="Tables"/>
              <w:rPr>
                <w:b/>
              </w:rPr>
            </w:pPr>
            <w:r w:rsidRPr="00234BBC">
              <w:rPr>
                <w:b/>
              </w:rPr>
              <w:t>SUC</w:t>
            </w:r>
          </w:p>
        </w:tc>
        <w:tc>
          <w:tcPr>
            <w:tcW w:w="498" w:type="dxa"/>
            <w:shd w:val="clear" w:color="auto" w:fill="auto"/>
            <w:noWrap/>
            <w:textDirection w:val="btLr"/>
            <w:vAlign w:val="bottom"/>
            <w:hideMark/>
          </w:tcPr>
          <w:p w14:paraId="5AF5753F" w14:textId="77777777" w:rsidR="00ED019B" w:rsidRPr="00234BBC" w:rsidRDefault="00ED019B" w:rsidP="00A0537F">
            <w:pPr>
              <w:pStyle w:val="Tables"/>
              <w:rPr>
                <w:b/>
              </w:rPr>
            </w:pPr>
            <w:r w:rsidRPr="00234BBC">
              <w:rPr>
                <w:b/>
              </w:rPr>
              <w:t>ARA</w:t>
            </w:r>
          </w:p>
        </w:tc>
        <w:tc>
          <w:tcPr>
            <w:tcW w:w="498" w:type="dxa"/>
            <w:shd w:val="clear" w:color="auto" w:fill="auto"/>
            <w:noWrap/>
            <w:textDirection w:val="btLr"/>
            <w:vAlign w:val="bottom"/>
            <w:hideMark/>
          </w:tcPr>
          <w:p w14:paraId="159FD1CC" w14:textId="77777777" w:rsidR="00ED019B" w:rsidRPr="00234BBC" w:rsidRDefault="00ED019B" w:rsidP="00A0537F">
            <w:pPr>
              <w:pStyle w:val="Tables"/>
              <w:rPr>
                <w:b/>
              </w:rPr>
            </w:pPr>
            <w:r w:rsidRPr="00234BBC">
              <w:rPr>
                <w:b/>
              </w:rPr>
              <w:t>lignin.nrel</w:t>
            </w:r>
          </w:p>
        </w:tc>
      </w:tr>
      <w:tr w:rsidR="00ED019B" w:rsidRPr="00ED019B" w14:paraId="43DF68FE" w14:textId="77777777" w:rsidTr="001E2B57">
        <w:trPr>
          <w:trHeight w:val="432"/>
          <w:jc w:val="center"/>
        </w:trPr>
        <w:tc>
          <w:tcPr>
            <w:tcW w:w="2016" w:type="dxa"/>
            <w:shd w:val="clear" w:color="auto" w:fill="auto"/>
            <w:noWrap/>
            <w:vAlign w:val="center"/>
            <w:hideMark/>
          </w:tcPr>
          <w:p w14:paraId="4FC1550E" w14:textId="77777777" w:rsidR="00ED019B" w:rsidRPr="00C702E9" w:rsidRDefault="00ED019B" w:rsidP="00A0537F">
            <w:pPr>
              <w:pStyle w:val="Tables"/>
            </w:pPr>
            <w:r w:rsidRPr="00C702E9">
              <w:t>acetic acid</w:t>
            </w:r>
          </w:p>
        </w:tc>
        <w:tc>
          <w:tcPr>
            <w:tcW w:w="498" w:type="dxa"/>
            <w:shd w:val="clear" w:color="auto" w:fill="auto"/>
            <w:noWrap/>
            <w:vAlign w:val="center"/>
            <w:hideMark/>
          </w:tcPr>
          <w:p w14:paraId="46E8E6A8" w14:textId="77777777" w:rsidR="00ED019B" w:rsidRPr="00C702E9" w:rsidRDefault="00ED019B" w:rsidP="00C702E9">
            <w:pPr>
              <w:pStyle w:val="Tables"/>
              <w:jc w:val="center"/>
            </w:pPr>
            <w:r w:rsidRPr="00C702E9">
              <w:t>2</w:t>
            </w:r>
          </w:p>
        </w:tc>
        <w:tc>
          <w:tcPr>
            <w:tcW w:w="498" w:type="dxa"/>
            <w:shd w:val="clear" w:color="auto" w:fill="auto"/>
            <w:noWrap/>
            <w:vAlign w:val="center"/>
            <w:hideMark/>
          </w:tcPr>
          <w:p w14:paraId="6FE59C6F" w14:textId="77777777" w:rsidR="00ED019B" w:rsidRPr="00C702E9" w:rsidRDefault="00ED019B" w:rsidP="00C702E9">
            <w:pPr>
              <w:pStyle w:val="Tables"/>
              <w:jc w:val="center"/>
            </w:pPr>
            <w:r w:rsidRPr="00C702E9">
              <w:t>2</w:t>
            </w:r>
          </w:p>
        </w:tc>
        <w:tc>
          <w:tcPr>
            <w:tcW w:w="498" w:type="dxa"/>
            <w:shd w:val="clear" w:color="auto" w:fill="auto"/>
            <w:noWrap/>
            <w:vAlign w:val="center"/>
            <w:hideMark/>
          </w:tcPr>
          <w:p w14:paraId="56AF539F" w14:textId="77777777" w:rsidR="00ED019B" w:rsidRPr="00C702E9" w:rsidRDefault="00ED019B" w:rsidP="00C702E9">
            <w:pPr>
              <w:pStyle w:val="Tables"/>
              <w:jc w:val="center"/>
            </w:pPr>
            <w:r w:rsidRPr="00C702E9">
              <w:t>1</w:t>
            </w:r>
          </w:p>
        </w:tc>
        <w:tc>
          <w:tcPr>
            <w:tcW w:w="498" w:type="dxa"/>
            <w:shd w:val="clear" w:color="auto" w:fill="auto"/>
            <w:noWrap/>
            <w:vAlign w:val="center"/>
            <w:hideMark/>
          </w:tcPr>
          <w:p w14:paraId="1F27D9FF" w14:textId="77777777" w:rsidR="00ED019B" w:rsidRPr="00C702E9" w:rsidRDefault="00ED019B" w:rsidP="00C702E9">
            <w:pPr>
              <w:pStyle w:val="Tables"/>
              <w:jc w:val="center"/>
            </w:pPr>
          </w:p>
        </w:tc>
        <w:tc>
          <w:tcPr>
            <w:tcW w:w="498" w:type="dxa"/>
            <w:shd w:val="clear" w:color="auto" w:fill="auto"/>
            <w:noWrap/>
            <w:vAlign w:val="center"/>
            <w:hideMark/>
          </w:tcPr>
          <w:p w14:paraId="56E2E04E" w14:textId="77777777" w:rsidR="00ED019B" w:rsidRPr="00C702E9" w:rsidRDefault="00ED019B" w:rsidP="00C702E9">
            <w:pPr>
              <w:pStyle w:val="Tables"/>
              <w:jc w:val="center"/>
            </w:pPr>
          </w:p>
        </w:tc>
        <w:tc>
          <w:tcPr>
            <w:tcW w:w="498" w:type="dxa"/>
            <w:shd w:val="clear" w:color="auto" w:fill="auto"/>
            <w:noWrap/>
            <w:vAlign w:val="center"/>
            <w:hideMark/>
          </w:tcPr>
          <w:p w14:paraId="58C3F3EA" w14:textId="77777777" w:rsidR="00ED019B" w:rsidRPr="00C702E9" w:rsidRDefault="00ED019B" w:rsidP="00C702E9">
            <w:pPr>
              <w:pStyle w:val="Tables"/>
              <w:jc w:val="center"/>
            </w:pPr>
          </w:p>
        </w:tc>
        <w:tc>
          <w:tcPr>
            <w:tcW w:w="498" w:type="dxa"/>
            <w:shd w:val="clear" w:color="auto" w:fill="auto"/>
            <w:noWrap/>
            <w:vAlign w:val="center"/>
            <w:hideMark/>
          </w:tcPr>
          <w:p w14:paraId="70714134" w14:textId="77777777" w:rsidR="00ED019B" w:rsidRPr="00C702E9" w:rsidRDefault="00ED019B" w:rsidP="00C702E9">
            <w:pPr>
              <w:pStyle w:val="Tables"/>
              <w:jc w:val="center"/>
            </w:pPr>
          </w:p>
        </w:tc>
      </w:tr>
      <w:tr w:rsidR="00ED019B" w:rsidRPr="00ED019B" w14:paraId="17DE6436" w14:textId="77777777" w:rsidTr="001E2B57">
        <w:trPr>
          <w:trHeight w:val="432"/>
          <w:jc w:val="center"/>
        </w:trPr>
        <w:tc>
          <w:tcPr>
            <w:tcW w:w="2016" w:type="dxa"/>
            <w:shd w:val="clear" w:color="auto" w:fill="auto"/>
            <w:noWrap/>
            <w:vAlign w:val="center"/>
            <w:hideMark/>
          </w:tcPr>
          <w:p w14:paraId="6CCBB0E9" w14:textId="77777777" w:rsidR="00ED019B" w:rsidRPr="00C702E9" w:rsidRDefault="00ED019B" w:rsidP="00A0537F">
            <w:pPr>
              <w:pStyle w:val="Tables"/>
            </w:pPr>
            <w:r w:rsidRPr="00C702E9">
              <w:t>alkyl phenols</w:t>
            </w:r>
          </w:p>
        </w:tc>
        <w:tc>
          <w:tcPr>
            <w:tcW w:w="498" w:type="dxa"/>
            <w:shd w:val="clear" w:color="auto" w:fill="auto"/>
            <w:noWrap/>
            <w:vAlign w:val="center"/>
            <w:hideMark/>
          </w:tcPr>
          <w:p w14:paraId="5D4ED646" w14:textId="77777777" w:rsidR="00ED019B" w:rsidRPr="00C702E9" w:rsidRDefault="00ED019B" w:rsidP="00C702E9">
            <w:pPr>
              <w:pStyle w:val="Tables"/>
              <w:jc w:val="center"/>
            </w:pPr>
          </w:p>
        </w:tc>
        <w:tc>
          <w:tcPr>
            <w:tcW w:w="498" w:type="dxa"/>
            <w:shd w:val="clear" w:color="auto" w:fill="auto"/>
            <w:noWrap/>
            <w:vAlign w:val="center"/>
            <w:hideMark/>
          </w:tcPr>
          <w:p w14:paraId="347F308B" w14:textId="77777777" w:rsidR="00ED019B" w:rsidRPr="00C702E9" w:rsidRDefault="00ED019B" w:rsidP="00C702E9">
            <w:pPr>
              <w:pStyle w:val="Tables"/>
              <w:jc w:val="center"/>
            </w:pPr>
            <w:r w:rsidRPr="00C702E9">
              <w:t>2</w:t>
            </w:r>
          </w:p>
        </w:tc>
        <w:tc>
          <w:tcPr>
            <w:tcW w:w="498" w:type="dxa"/>
            <w:shd w:val="clear" w:color="auto" w:fill="auto"/>
            <w:noWrap/>
            <w:vAlign w:val="center"/>
            <w:hideMark/>
          </w:tcPr>
          <w:p w14:paraId="0E761AAB" w14:textId="77777777" w:rsidR="00ED019B" w:rsidRPr="00C702E9" w:rsidRDefault="00ED019B" w:rsidP="00C702E9">
            <w:pPr>
              <w:pStyle w:val="Tables"/>
              <w:jc w:val="center"/>
            </w:pPr>
          </w:p>
        </w:tc>
        <w:tc>
          <w:tcPr>
            <w:tcW w:w="498" w:type="dxa"/>
            <w:shd w:val="clear" w:color="auto" w:fill="auto"/>
            <w:noWrap/>
            <w:vAlign w:val="center"/>
            <w:hideMark/>
          </w:tcPr>
          <w:p w14:paraId="63E9C140" w14:textId="77777777" w:rsidR="00ED019B" w:rsidRPr="00C702E9" w:rsidRDefault="00ED019B" w:rsidP="00C702E9">
            <w:pPr>
              <w:pStyle w:val="Tables"/>
              <w:jc w:val="center"/>
            </w:pPr>
            <w:r w:rsidRPr="00C702E9">
              <w:t>1</w:t>
            </w:r>
          </w:p>
        </w:tc>
        <w:tc>
          <w:tcPr>
            <w:tcW w:w="498" w:type="dxa"/>
            <w:shd w:val="clear" w:color="auto" w:fill="auto"/>
            <w:noWrap/>
            <w:vAlign w:val="center"/>
            <w:hideMark/>
          </w:tcPr>
          <w:p w14:paraId="19A797C2" w14:textId="77777777" w:rsidR="00ED019B" w:rsidRPr="00C702E9" w:rsidRDefault="00ED019B" w:rsidP="00C702E9">
            <w:pPr>
              <w:pStyle w:val="Tables"/>
              <w:jc w:val="center"/>
              <w:rPr>
                <w:bCs/>
              </w:rPr>
            </w:pPr>
            <w:r w:rsidRPr="00C702E9">
              <w:rPr>
                <w:bCs/>
              </w:rPr>
              <w:t>1</w:t>
            </w:r>
          </w:p>
        </w:tc>
        <w:tc>
          <w:tcPr>
            <w:tcW w:w="498" w:type="dxa"/>
            <w:shd w:val="clear" w:color="auto" w:fill="auto"/>
            <w:noWrap/>
            <w:vAlign w:val="center"/>
            <w:hideMark/>
          </w:tcPr>
          <w:p w14:paraId="4D75A958" w14:textId="77777777" w:rsidR="00ED019B" w:rsidRPr="00C702E9" w:rsidRDefault="00ED019B" w:rsidP="00C702E9">
            <w:pPr>
              <w:pStyle w:val="Tables"/>
              <w:jc w:val="center"/>
              <w:rPr>
                <w:bCs/>
              </w:rPr>
            </w:pPr>
          </w:p>
        </w:tc>
        <w:tc>
          <w:tcPr>
            <w:tcW w:w="498" w:type="dxa"/>
            <w:shd w:val="clear" w:color="auto" w:fill="auto"/>
            <w:noWrap/>
            <w:vAlign w:val="center"/>
            <w:hideMark/>
          </w:tcPr>
          <w:p w14:paraId="35EE73D4" w14:textId="77777777" w:rsidR="00ED019B" w:rsidRPr="00C702E9" w:rsidRDefault="00ED019B" w:rsidP="00C702E9">
            <w:pPr>
              <w:pStyle w:val="Tables"/>
              <w:jc w:val="center"/>
            </w:pPr>
          </w:p>
        </w:tc>
      </w:tr>
      <w:tr w:rsidR="00ED019B" w:rsidRPr="00ED019B" w14:paraId="5B965DAB" w14:textId="77777777" w:rsidTr="001E2B57">
        <w:trPr>
          <w:trHeight w:val="432"/>
          <w:jc w:val="center"/>
        </w:trPr>
        <w:tc>
          <w:tcPr>
            <w:tcW w:w="2016" w:type="dxa"/>
            <w:shd w:val="clear" w:color="auto" w:fill="auto"/>
            <w:noWrap/>
            <w:vAlign w:val="center"/>
            <w:hideMark/>
          </w:tcPr>
          <w:p w14:paraId="49B71713" w14:textId="77777777" w:rsidR="00ED019B" w:rsidRPr="00C702E9" w:rsidRDefault="00ED019B" w:rsidP="00A0537F">
            <w:pPr>
              <w:pStyle w:val="Tables"/>
            </w:pPr>
            <w:r w:rsidRPr="00C702E9">
              <w:t>methoxyphenols</w:t>
            </w:r>
          </w:p>
        </w:tc>
        <w:tc>
          <w:tcPr>
            <w:tcW w:w="498" w:type="dxa"/>
            <w:shd w:val="clear" w:color="auto" w:fill="auto"/>
            <w:noWrap/>
            <w:vAlign w:val="center"/>
            <w:hideMark/>
          </w:tcPr>
          <w:p w14:paraId="0FFD1B3B" w14:textId="77777777" w:rsidR="00ED019B" w:rsidRPr="00C702E9" w:rsidRDefault="00ED019B" w:rsidP="00C702E9">
            <w:pPr>
              <w:pStyle w:val="Tables"/>
              <w:jc w:val="center"/>
            </w:pPr>
          </w:p>
        </w:tc>
        <w:tc>
          <w:tcPr>
            <w:tcW w:w="498" w:type="dxa"/>
            <w:shd w:val="clear" w:color="auto" w:fill="auto"/>
            <w:noWrap/>
            <w:vAlign w:val="center"/>
            <w:hideMark/>
          </w:tcPr>
          <w:p w14:paraId="7C0A6C6A" w14:textId="77777777" w:rsidR="00ED019B" w:rsidRPr="00C702E9" w:rsidRDefault="00ED019B" w:rsidP="00C702E9">
            <w:pPr>
              <w:pStyle w:val="Tables"/>
              <w:jc w:val="center"/>
            </w:pPr>
          </w:p>
        </w:tc>
        <w:tc>
          <w:tcPr>
            <w:tcW w:w="498" w:type="dxa"/>
            <w:shd w:val="clear" w:color="auto" w:fill="auto"/>
            <w:noWrap/>
            <w:vAlign w:val="center"/>
            <w:hideMark/>
          </w:tcPr>
          <w:p w14:paraId="36EE1160" w14:textId="77777777" w:rsidR="00ED019B" w:rsidRPr="00C702E9" w:rsidRDefault="00ED019B" w:rsidP="00C702E9">
            <w:pPr>
              <w:pStyle w:val="Tables"/>
              <w:jc w:val="center"/>
            </w:pPr>
          </w:p>
        </w:tc>
        <w:tc>
          <w:tcPr>
            <w:tcW w:w="498" w:type="dxa"/>
            <w:shd w:val="clear" w:color="auto" w:fill="auto"/>
            <w:noWrap/>
            <w:vAlign w:val="center"/>
            <w:hideMark/>
          </w:tcPr>
          <w:p w14:paraId="661D54E2" w14:textId="77777777" w:rsidR="00ED019B" w:rsidRPr="00C702E9" w:rsidRDefault="00ED019B" w:rsidP="00C702E9">
            <w:pPr>
              <w:pStyle w:val="Tables"/>
              <w:jc w:val="center"/>
            </w:pPr>
          </w:p>
        </w:tc>
        <w:tc>
          <w:tcPr>
            <w:tcW w:w="498" w:type="dxa"/>
            <w:shd w:val="clear" w:color="auto" w:fill="auto"/>
            <w:noWrap/>
            <w:vAlign w:val="center"/>
            <w:hideMark/>
          </w:tcPr>
          <w:p w14:paraId="0E4E471C" w14:textId="77777777" w:rsidR="00ED019B" w:rsidRPr="00C702E9" w:rsidRDefault="00ED019B" w:rsidP="00C702E9">
            <w:pPr>
              <w:pStyle w:val="Tables"/>
              <w:jc w:val="center"/>
            </w:pPr>
          </w:p>
        </w:tc>
        <w:tc>
          <w:tcPr>
            <w:tcW w:w="498" w:type="dxa"/>
            <w:shd w:val="clear" w:color="auto" w:fill="auto"/>
            <w:noWrap/>
            <w:vAlign w:val="center"/>
            <w:hideMark/>
          </w:tcPr>
          <w:p w14:paraId="6C0AAAF3" w14:textId="77777777" w:rsidR="00ED019B" w:rsidRPr="00C702E9" w:rsidRDefault="00ED019B" w:rsidP="00C702E9">
            <w:pPr>
              <w:pStyle w:val="Tables"/>
              <w:jc w:val="center"/>
              <w:rPr>
                <w:bCs/>
              </w:rPr>
            </w:pPr>
            <w:r w:rsidRPr="00C702E9">
              <w:rPr>
                <w:bCs/>
              </w:rPr>
              <w:t>1</w:t>
            </w:r>
          </w:p>
        </w:tc>
        <w:tc>
          <w:tcPr>
            <w:tcW w:w="498" w:type="dxa"/>
            <w:shd w:val="clear" w:color="auto" w:fill="auto"/>
            <w:noWrap/>
            <w:vAlign w:val="center"/>
            <w:hideMark/>
          </w:tcPr>
          <w:p w14:paraId="704D2BCD" w14:textId="77777777" w:rsidR="00ED019B" w:rsidRPr="00C702E9" w:rsidRDefault="00ED019B" w:rsidP="00C702E9">
            <w:pPr>
              <w:pStyle w:val="Tables"/>
              <w:jc w:val="center"/>
            </w:pPr>
            <w:r w:rsidRPr="00C702E9">
              <w:t>1</w:t>
            </w:r>
          </w:p>
        </w:tc>
      </w:tr>
    </w:tbl>
    <w:p w14:paraId="7E1CF5CD" w14:textId="52782EDB" w:rsidR="006449A4" w:rsidRDefault="006449A4" w:rsidP="005B60FA">
      <w:pPr>
        <w:pStyle w:val="Caption"/>
        <w:jc w:val="center"/>
        <w:rPr>
          <w:b w:val="0"/>
        </w:rPr>
      </w:pPr>
      <w:bookmarkStart w:id="158" w:name="_Toc449964945"/>
      <w:r>
        <w:t xml:space="preserve">Table </w:t>
      </w:r>
      <w:fldSimple w:instr=" STYLEREF &quot;Chapter&quot; \s ">
        <w:r w:rsidR="00463F52">
          <w:rPr>
            <w:noProof/>
          </w:rPr>
          <w:t>6</w:t>
        </w:r>
      </w:fldSimple>
      <w:r>
        <w:t>.</w:t>
      </w:r>
      <w:fldSimple w:instr=" SEQ Table \* ARABIC \s 1 ">
        <w:r w:rsidR="00463F52">
          <w:rPr>
            <w:noProof/>
          </w:rPr>
          <w:t>11</w:t>
        </w:r>
      </w:fldSimple>
      <w:r>
        <w:t>.</w:t>
      </w:r>
      <w:r w:rsidRPr="008E2374">
        <w:t xml:space="preserve"> </w:t>
      </w:r>
      <w:r w:rsidR="00234BBC">
        <w:rPr>
          <w:b w:val="0"/>
        </w:rPr>
        <w:t>Pyrolysis</w:t>
      </w:r>
      <w:r w:rsidRPr="00ED7A8D">
        <w:rPr>
          <w:b w:val="0"/>
        </w:rPr>
        <w:t xml:space="preserve"> model </w:t>
      </w:r>
      <w:r>
        <w:rPr>
          <w:b w:val="0"/>
        </w:rPr>
        <w:t xml:space="preserve">coefficients </w:t>
      </w:r>
      <w:r w:rsidR="00234BBC">
        <w:rPr>
          <w:b w:val="0"/>
        </w:rPr>
        <w:t>and their relationship schemas</w:t>
      </w:r>
      <w:r w:rsidRPr="00ED7A8D">
        <w:rPr>
          <w:b w:val="0"/>
        </w:rPr>
        <w:t>.</w:t>
      </w:r>
      <w:bookmarkEnd w:id="158"/>
    </w:p>
    <w:p w14:paraId="09C46365" w14:textId="77777777" w:rsidR="0077303E" w:rsidRDefault="0077303E" w:rsidP="00FD1C74"/>
    <w:p w14:paraId="2B1A5B78" w14:textId="77777777" w:rsidR="00B924F1" w:rsidRDefault="00B924F1" w:rsidP="00B52899">
      <w:pPr>
        <w:pStyle w:val="Heading3"/>
      </w:pPr>
      <w:bookmarkStart w:id="159" w:name="_Toc449964889"/>
      <w:r>
        <w:t>Torrefaction Schema 1 Relationships</w:t>
      </w:r>
      <w:bookmarkEnd w:id="159"/>
    </w:p>
    <w:p w14:paraId="2D33E0EA" w14:textId="7701E9C3" w:rsidR="00B924F1" w:rsidRDefault="00B924F1" w:rsidP="00B924F1">
      <w:r>
        <w:t>Schema 1 relationships, or the direct conversion of biomass components to thermochemical products, are predicted by four of the torrefaction models (</w:t>
      </w:r>
      <w:r w:rsidRPr="000E5375">
        <w:t xml:space="preserve">table </w:t>
      </w:r>
      <w:r w:rsidR="000E5375" w:rsidRPr="000E5375">
        <w:t>6.10</w:t>
      </w:r>
      <w:r>
        <w:t>). The pyran model predicts increasing yields of pyrans with increasing amounts of pentose &amp; soluble glucose measurements. Both pentose sugars and glucose have been reported by others in the literature to form pyran products on fast pyrolysis</w:t>
      </w:r>
      <w:r w:rsidR="00FE5BF5">
        <w:t xml:space="preserve"> </w:t>
      </w:r>
      <w:r w:rsidR="00FE5BF5">
        <w:fldChar w:fldCharType="begin"/>
      </w:r>
      <w:r w:rsidR="00807999">
        <w:instrText xml:space="preserve"> ADDIN PAPERS2_CITATIONS &lt;citation&gt;&lt;uuid&gt;A81C46C0-510C-4E26-8ED9-8B7E9ABB4A2E&lt;/uuid&gt;&lt;priority&gt;0&lt;/priority&gt;&lt;publications&gt;&lt;publication&gt;&lt;uuid&gt;AB0C75E7-6623-4E60-AB0F-4D7FAD61047C&lt;/uuid&gt;&lt;volume&gt;86&lt;/volume&gt;&lt;doi&gt;10.1016/j.jaap.2009.08.007&lt;/doi&gt;&lt;startpage&gt;323&lt;/startpage&gt;&lt;publication_date&gt;99200911001200000000220000&lt;/publication_date&gt;&lt;url&gt;http://linkinghub.elsevier.com/retrieve/pii/S0165237009001223&lt;/url&gt;&lt;citekey&gt;Patwardhan:2009fc&lt;/citekey&gt;&lt;type&gt;400&lt;/type&gt;&lt;title&gt;Product distribution from fast pyrolysis of glucose-based carbohydrates&lt;/title&gt;&lt;number&gt;2&lt;/number&gt;&lt;subtype&gt;400&lt;/subtype&gt;&lt;endpage&gt;330&lt;/endpage&gt;&lt;bundle&gt;&lt;publication&gt;&lt;publisher&gt;Elsevier B.V.&lt;/publisher&gt;&lt;title&gt;Journal of Analytical and Applied Pyrolysis&lt;/title&gt;&lt;type&gt;-100&lt;/type&gt;&lt;subtype&gt;-100&lt;/subtype&gt;&lt;uuid&gt;D2B451F2-ABD5-4B2D-92A4-9DB1FFA0C21E&lt;/uuid&gt;&lt;/publication&gt;&lt;/bundle&gt;&lt;authors&gt;&lt;author&gt;&lt;firstName&gt;Pushkaraj&lt;/firstName&gt;&lt;middleNames&gt;R&lt;/middleNames&gt;&lt;lastName&gt;Patwardhan&lt;/lastName&gt;&lt;/author&gt;&lt;author&gt;&lt;firstName&gt;Justinus&lt;/firstName&gt;&lt;middleNames&gt;a&lt;/middleNames&gt;&lt;lastName&gt;Satrio&lt;/lastName&gt;&lt;/author&gt;&lt;author&gt;&lt;firstName&gt;Robert&lt;/firstName&gt;&lt;middleNames&gt;C&lt;/middleNames&gt;&lt;lastName&gt;Brown&lt;/lastName&gt;&lt;/author&gt;&lt;author&gt;&lt;firstName&gt;Brent&lt;/firstName&gt;&lt;middleNames&gt;H&lt;/middleNames&gt;&lt;lastName&gt;Shanks&lt;/lastName&gt;&lt;/author&gt;&lt;/authors&gt;&lt;/publication&gt;&lt;publication&gt;&lt;volume&gt;72&lt;/volume&gt;&lt;publication_date&gt;99200300001200000000200000&lt;/publication_date&gt;&lt;doi&gt;10.1023/10973.2003.72.issue-2;subPage:string:Access&lt;/doi&gt;&lt;startpage&gt;481&lt;/startpage&gt;&lt;title&gt;Formation of the main degradation compounds from arabinose, xylose, mannose and arabinitol during pyrolysis&lt;/title&gt;&lt;uuid&gt;195923C8-8795-4914-9233-336BA05E4473&lt;/uuid&gt;&lt;subtype&gt;400&lt;/subtype&gt;&lt;endpage&gt;488&lt;/endpage&gt;&lt;type&gt;400&lt;/type&gt;&lt;url&gt;http://www.akademiai.com/doi/pdf/10.1023/A%3A1024557011975&lt;/url&gt;&lt;bundle&gt;&lt;publication&gt;&lt;title&gt;Journal of Thermal Analysis and Calorimetry&lt;/title&gt;&lt;type&gt;-100&lt;/type&gt;&lt;subtype&gt;-100&lt;/subtype&gt;&lt;uuid&gt;769C714C-3CB1-4C5C-B0F3-2E1D4D5FD7D7&lt;/uuid&gt;&lt;/publication&gt;&lt;/bundle&gt;&lt;authors&gt;&lt;author&gt;&lt;firstName&gt;U&lt;/firstName&gt;&lt;lastName&gt;Räisänen&lt;/lastName&gt;&lt;/author&gt;&lt;author&gt;&lt;firstName&gt;I&lt;/firstName&gt;&lt;lastName&gt;Pitkänen&lt;/lastName&gt;&lt;/author&gt;&lt;author&gt;&lt;firstName&gt;H&lt;/firstName&gt;&lt;lastName&gt;Halttunen&lt;/lastName&gt;&lt;/author&gt;&lt;/authors&gt;&lt;/publication&gt;&lt;/publications&gt;&lt;cites&gt;&lt;/cites&gt;&lt;/citation&gt;</w:instrText>
      </w:r>
      <w:r w:rsidR="00FE5BF5">
        <w:fldChar w:fldCharType="separate"/>
      </w:r>
      <w:r w:rsidR="001C1AAC">
        <w:t>(</w:t>
      </w:r>
      <w:r w:rsidR="001C1AAC">
        <w:rPr>
          <w:i/>
          <w:iCs/>
        </w:rPr>
        <w:t>79</w:t>
      </w:r>
      <w:r w:rsidR="001C1AAC">
        <w:t xml:space="preserve">, </w:t>
      </w:r>
      <w:r w:rsidR="001C1AAC">
        <w:rPr>
          <w:i/>
          <w:iCs/>
        </w:rPr>
        <w:t>184</w:t>
      </w:r>
      <w:r w:rsidR="001C1AAC">
        <w:t>)</w:t>
      </w:r>
      <w:r w:rsidR="00FE5BF5">
        <w:fldChar w:fldCharType="end"/>
      </w:r>
      <w:r>
        <w:t>, and the identified pyrans in this lump are both C</w:t>
      </w:r>
      <w:r w:rsidRPr="00B924F1">
        <w:rPr>
          <w:vertAlign w:val="subscript"/>
        </w:rPr>
        <w:t>5</w:t>
      </w:r>
      <w:r>
        <w:t xml:space="preserve"> and C</w:t>
      </w:r>
      <w:r w:rsidRPr="00B924F1">
        <w:rPr>
          <w:vertAlign w:val="subscript"/>
        </w:rPr>
        <w:t>6</w:t>
      </w:r>
      <w:r>
        <w:t xml:space="preserve">. The observed pyrans here are therefore most likely primary products of the decomposition of these sugar types, with moderate to low contribution from the other sugars (e.g., non-glucose hexoses). The </w:t>
      </w:r>
      <w:r>
        <w:lastRenderedPageBreak/>
        <w:t>furfural lump model is similar in that the two coefficients are sugar measurements (arabinose &amp; soluble glucose) from which furfurals may be directly produced; however, the predictive ability is lower in comparison with the pyrans. These direct conversion of components to products are explicit schema 1 relationships.</w:t>
      </w:r>
    </w:p>
    <w:p w14:paraId="5D16A67F" w14:textId="77777777" w:rsidR="00807999" w:rsidRDefault="001F2722" w:rsidP="001F2722">
      <w:r w:rsidRPr="001F2722">
        <w:t xml:space="preserve">It is worth noting that the compositional predictors for the torrefaction furfurals model (arabinose and soluble glucose) are much lower mass fractions of the original biomass than those of the torrefaction pyrans model (all pentoses + soluble glucose). </w:t>
      </w:r>
      <w:r w:rsidR="00CD709E" w:rsidRPr="00CD709E">
        <w:t>Figure 6.1</w:t>
      </w:r>
      <w:r w:rsidRPr="001F2722">
        <w:t xml:space="preserve"> shows the boxplot of the distri</w:t>
      </w:r>
      <w:r w:rsidR="0000363E">
        <w:t>butions of these sugars in the</w:t>
      </w:r>
      <w:r w:rsidRPr="001F2722">
        <w:t xml:space="preserve"> association panel. While the FID area of the furfurals lump for the 22 tested samples is lower than that of the pyrans lump, the difference is not large enough to reflect the disparities underlying distribution of the predictor sugar compositions. It is possible that there are secondary reactions between the pyrans or the sugars and other components within the biomass (e.g., inorganics) not captured in this predictive model which catalyze ring closure reactions in a schema 2 effect, shifting products out of the pyrans group and into the furfurals group. Patwardhan et al. </w:t>
      </w:r>
      <w:r w:rsidR="00FE5BF5">
        <w:fldChar w:fldCharType="begin"/>
      </w:r>
      <w:r w:rsidR="00807999">
        <w:instrText xml:space="preserve"> ADDIN PAPERS2_CITATIONS &lt;citation&gt;&lt;uuid&gt;0B81E145-DCEB-46E1-B901-ED6C08C0544F&lt;/uuid&gt;&lt;priority&gt;0&lt;/priority&gt;&lt;publications&gt;&lt;publication&gt;&lt;uuid&gt;4460F59D-6619-4457-9151-2F14407B1520&lt;/uuid&gt;&lt;volume&gt;101&lt;/volume&gt;&lt;doi&gt;10.1016/j.biortech.2010.01.112&lt;/doi&gt;&lt;startpage&gt;4646&lt;/startpage&gt;&lt;publication_date&gt;99201006001200000000220000&lt;/publication_date&gt;&lt;url&gt;http://www.sciencedirect.com/science/article/pii/S0960852410001987&lt;/url&gt;&lt;type&gt;400&lt;/type&gt;&lt;title&gt;Influence of inorganic salts on the primary pyrolysis products of cellulose&lt;/title&gt;&lt;institution&gt;Shanks, BH</w:instrText>
      </w:r>
    </w:p>
    <w:p w14:paraId="5A721C44" w14:textId="77777777" w:rsidR="00807999" w:rsidRDefault="00807999" w:rsidP="001F2722">
      <w:r>
        <w:instrText>Iowa State Univ, Dept Chem &amp;amp; Biol Engn, Ames, IA 50011 USA</w:instrText>
      </w:r>
    </w:p>
    <w:p w14:paraId="07E39A45" w14:textId="77777777" w:rsidR="00807999" w:rsidRDefault="00807999" w:rsidP="001F2722">
      <w:r>
        <w:instrText>Iowa State Univ, Dept Chem &amp;amp; Biol Engn, Ames, IA 50011 USA</w:instrText>
      </w:r>
    </w:p>
    <w:p w14:paraId="7F706602" w14:textId="77777777" w:rsidR="00807999" w:rsidRDefault="00807999" w:rsidP="001F2722">
      <w:r>
        <w:instrText>Iowa State Univ, Dept Chem &amp;amp; Biol Engn, Ames, IA 50011 USA</w:instrText>
      </w:r>
    </w:p>
    <w:p w14:paraId="66F637CA" w14:textId="5EF7808A" w:rsidR="001F2722" w:rsidRPr="001F2722" w:rsidRDefault="00807999" w:rsidP="001F2722">
      <w:r>
        <w:instrText>Iowa State Univ, Ctr Sustainable Environm Technol, Ames, IA 50011 USA&lt;/institution&gt;&lt;number&gt;12&lt;/number&gt;&lt;subtype&gt;400&lt;/subtype&gt;&lt;endpage&gt;4655&lt;/endpage&gt;&lt;bundle&gt;&lt;publication&gt;&lt;publisher&gt;Elsevier Ltd&lt;/publisher&gt;&lt;title&gt;Bioresource technology&lt;/title&gt;&lt;type&gt;-100&lt;/type&gt;&lt;subtype&gt;-100&lt;/subtype&gt;&lt;uuid&gt;20FABC45-BAD7-4D11-A180-BCA66580D347&lt;/uuid&gt;&lt;/publication&gt;&lt;/bundle&gt;&lt;authors&gt;&lt;author&gt;&lt;firstName&gt;Pushkaraj&lt;/firstName&gt;&lt;middleNames&gt;R&lt;/middleNames&gt;&lt;lastName&gt;Patwardhan&lt;/lastName&gt;&lt;/author&gt;&lt;author&gt;&lt;firstName&gt;J&lt;/firstName&gt;&lt;middleNames&gt;A&lt;/middleNames&gt;&lt;lastName&gt;Satrio&lt;/lastName&gt;&lt;/author&gt;&lt;author&gt;&lt;firstName&gt;Robert&lt;/firstName&gt;&lt;middleNames&gt;C&lt;/middleNames&gt;&lt;lastName&gt;Brown&lt;/lastName&gt;&lt;/author&gt;&lt;author&gt;&lt;firstName&gt;Brent&lt;/firstName&gt;&lt;middleNames&gt;H&lt;/middleNames&gt;&lt;lastName&gt;Shanks&lt;/lastName&gt;&lt;/author&gt;&lt;/authors&gt;&lt;/publication&gt;&lt;/publications&gt;&lt;cites&gt;&lt;/cites&gt;&lt;/citation&gt;</w:instrText>
      </w:r>
      <w:r w:rsidR="00FE5BF5">
        <w:fldChar w:fldCharType="separate"/>
      </w:r>
      <w:r w:rsidR="001C1AAC">
        <w:t>(</w:t>
      </w:r>
      <w:r w:rsidR="001C1AAC">
        <w:rPr>
          <w:i/>
          <w:iCs/>
        </w:rPr>
        <w:t>88</w:t>
      </w:r>
      <w:r w:rsidR="001C1AAC">
        <w:t>)</w:t>
      </w:r>
      <w:r w:rsidR="00FE5BF5">
        <w:fldChar w:fldCharType="end"/>
      </w:r>
      <w:r w:rsidR="00FE5BF5">
        <w:t xml:space="preserve"> </w:t>
      </w:r>
      <w:r w:rsidR="001F2722" w:rsidRPr="001F2722">
        <w:t xml:space="preserve">observed a mild catalytic effect of magnesium &amp; calcium salts which increased the production of 5-hydroxymethyl furfural away from levoglucosan (a pyranose anhydrosugar) upon pyrolysis of cellulose, and a similar effect may be occurring here. </w:t>
      </w:r>
    </w:p>
    <w:p w14:paraId="715A8973" w14:textId="0745E326" w:rsidR="001F2722" w:rsidRDefault="00BB1CAB" w:rsidP="001454A1">
      <w:pPr>
        <w:pStyle w:val="NoSpacing"/>
        <w:jc w:val="center"/>
      </w:pPr>
      <w:r>
        <w:rPr>
          <w:noProof/>
        </w:rPr>
        <w:lastRenderedPageBreak/>
        <w:drawing>
          <wp:inline distT="0" distB="0" distL="0" distR="0" wp14:anchorId="6D3D7CEC" wp14:editId="613593C4">
            <wp:extent cx="2560320" cy="3287186"/>
            <wp:effectExtent l="0" t="0" r="5080" b="0"/>
            <wp:docPr id="29" name="Picture 29" descr="../../../../Dropbox/Biomass%20Pyrolysis/Manuscripts/Switchgrass%20modeling/Data/torrefaction/Figure%20xx%20-%20Boxplot%20distributions%20of%20the%20two%20compo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ropbox/Biomass%20Pyrolysis/Manuscripts/Switchgrass%20modeling/Data/torrefaction/Figure%20xx%20-%20Boxplot%20distributions%20of%20the%20two%20composi"/>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560320" cy="3287186"/>
                    </a:xfrm>
                    <a:prstGeom prst="rect">
                      <a:avLst/>
                    </a:prstGeom>
                    <a:noFill/>
                    <a:ln>
                      <a:noFill/>
                    </a:ln>
                  </pic:spPr>
                </pic:pic>
              </a:graphicData>
            </a:graphic>
          </wp:inline>
        </w:drawing>
      </w:r>
    </w:p>
    <w:p w14:paraId="7E440398" w14:textId="515262B3" w:rsidR="0087215B" w:rsidRDefault="0087215B" w:rsidP="0087215B">
      <w:pPr>
        <w:pStyle w:val="Caption"/>
        <w:rPr>
          <w:b w:val="0"/>
          <w:noProof/>
        </w:rPr>
      </w:pPr>
      <w:bookmarkStart w:id="160" w:name="_Toc449965009"/>
      <w:r w:rsidRPr="00E73E07">
        <w:t xml:space="preserve">Figure </w:t>
      </w:r>
      <w:fldSimple w:instr=" STYLEREF &quot;Chapter&quot; \s ">
        <w:r w:rsidR="00463F52">
          <w:rPr>
            <w:noProof/>
          </w:rPr>
          <w:t>6</w:t>
        </w:r>
      </w:fldSimple>
      <w:r w:rsidRPr="00E73E07">
        <w:t>.</w:t>
      </w:r>
      <w:r w:rsidR="003D7D2C">
        <w:fldChar w:fldCharType="begin"/>
      </w:r>
      <w:r w:rsidR="003D7D2C">
        <w:instrText xml:space="preserve"> SEQ Figure</w:instrText>
      </w:r>
      <w:r w:rsidR="000330AD">
        <w:instrText xml:space="preserve"> \r 1</w:instrText>
      </w:r>
      <w:r w:rsidR="003D7D2C">
        <w:instrText xml:space="preserve"> \* ARABIC \s 1 </w:instrText>
      </w:r>
      <w:r w:rsidR="003D7D2C">
        <w:fldChar w:fldCharType="separate"/>
      </w:r>
      <w:r w:rsidR="00463F52">
        <w:rPr>
          <w:noProof/>
        </w:rPr>
        <w:t>1</w:t>
      </w:r>
      <w:r w:rsidR="003D7D2C">
        <w:rPr>
          <w:noProof/>
        </w:rPr>
        <w:fldChar w:fldCharType="end"/>
      </w:r>
      <w:r w:rsidRPr="00E73E07">
        <w:rPr>
          <w:noProof/>
        </w:rPr>
        <w:t>.</w:t>
      </w:r>
      <w:r w:rsidRPr="0087215B">
        <w:t xml:space="preserve"> </w:t>
      </w:r>
      <w:r w:rsidRPr="0087215B">
        <w:rPr>
          <w:b w:val="0"/>
          <w:noProof/>
        </w:rPr>
        <w:t>Boxplot distributions of the two compositional sugars for the furfurals (left) and pyran (right) models.</w:t>
      </w:r>
      <w:bookmarkEnd w:id="160"/>
    </w:p>
    <w:p w14:paraId="09C68902" w14:textId="77777777" w:rsidR="00205E22" w:rsidRPr="00205E22" w:rsidRDefault="00205E22" w:rsidP="00205E22"/>
    <w:p w14:paraId="644660BF" w14:textId="6062FD30" w:rsidR="0087215B" w:rsidRDefault="00205E22" w:rsidP="00B924F1">
      <w:r w:rsidRPr="00205E22">
        <w:t>The negative sign of the “lignin.nrel” coefficient in the torrefaction acetic acid model implies a schema 1 relationship between composition and thermochemical products (</w:t>
      </w:r>
      <w:r w:rsidR="004E46DD" w:rsidRPr="004E46DD">
        <w:t>table 6.10</w:t>
      </w:r>
      <w:r w:rsidRPr="00205E22">
        <w:t>). Acetic acid in bio-oil has been reported as a product of primarily hemicellulose pyrolysis (and as relatively minor products of lignin and cellulose pyrolysis)</w:t>
      </w:r>
      <w:r w:rsidR="00FE5BF5">
        <w:t xml:space="preserve"> </w:t>
      </w:r>
      <w:r w:rsidR="00FE5BF5">
        <w:fldChar w:fldCharType="begin"/>
      </w:r>
      <w:r w:rsidR="00807999">
        <w:instrText xml:space="preserve"> ADDIN PAPERS2_CITATIONS &lt;citation&gt;&lt;uuid&gt;EDDEBD88-5643-4DB1-887D-D555CC2AF259&lt;/uuid&gt;&lt;priority&gt;0&lt;/priority&gt;&lt;publications&gt;&lt;publication&gt;&lt;publication_date&gt;99201100001200000000200000&lt;/publication_date&gt;&lt;doi&gt;10.1002/cssc.201000425/full&lt;/doi&gt;&lt;title&gt;Product distribution from the fast pyrolysis of hemicellulose&lt;/title&gt;&lt;uuid&gt;BD813F33-3913-4A9A-9121-EA81B3ACDAE8&lt;/uuid&gt;&lt;subtype&gt;400&lt;/subtype&gt;&lt;type&gt;400&lt;/type&gt;&lt;url&gt;http://onlinelibrary.wiley.com/doi/10.1002/cssc.201000425/full&lt;/url&gt;&lt;bundle&gt;&lt;publication&gt;&lt;publisher&gt;WILEY</w:instrText>
      </w:r>
      <w:r w:rsidR="00807999">
        <w:rPr>
          <w:rFonts w:ascii="Calibri" w:eastAsia="Calibri" w:hAnsi="Calibri" w:cs="Calibri"/>
        </w:rPr>
        <w:instrText>‐</w:instrText>
      </w:r>
      <w:r w:rsidR="00807999">
        <w:instrText>VCH Verlag&lt;/publisher&gt;&lt;title&gt;ChemSusChem&lt;/title&gt;&lt;type&gt;-100&lt;/type&gt;&lt;subtype&gt;-100&lt;/subtype&gt;&lt;uuid&gt;7311DD7F-36BC-4619-8B6C-41D5069DF002&lt;/uuid&gt;&lt;/publication&gt;&lt;/bundle&gt;&lt;authors&gt;&lt;author&gt;&lt;firstName&gt;Pushkaraj&lt;/firstName&gt;&lt;middleNames&gt;R&lt;/middleNames&gt;&lt;lastName&gt;Patwardhan&lt;/lastName&gt;&lt;/author&gt;&lt;author&gt;&lt;firstName&gt;Robert&lt;/firstName&gt;&lt;middleNames&gt;C&lt;/middleNames&gt;&lt;lastName&gt;Brown&lt;/lastName&gt;&lt;/author&gt;&lt;author&gt;&lt;firstName&gt;Brent&lt;/firstName&gt;&lt;middleNames&gt;H&lt;/middleNames&gt;&lt;lastName&gt;Shanks&lt;/lastName&gt;&lt;/author&gt;&lt;/authors&gt;&lt;/publication&gt;&lt;publication&gt;&lt;volume&gt;72&lt;/volume&gt;&lt;publication_date&gt;99200300001200000000200000&lt;/publication_date&gt;&lt;doi&gt;10.1023/10973.2003.72.issue-2;subPage:string:Access&lt;/doi&gt;&lt;startpage&gt;481&lt;/startpage&gt;&lt;title&gt;Formation of the main degradation compounds from arabinose, xylose, mannose and arabinitol during pyrolysis&lt;/title&gt;&lt;uuid&gt;195923C8-8795-4914-9233-336BA05E4473&lt;/uuid&gt;&lt;subtype&gt;400&lt;/subtype&gt;&lt;endpage&gt;488&lt;/endpage&gt;&lt;type&gt;400&lt;/type&gt;&lt;url&gt;http://www.akademiai.com/doi/pdf/10.1023/A%3A1024557011975&lt;/url&gt;&lt;bundle&gt;&lt;publication&gt;&lt;title&gt;Journal of Thermal Analysis and Calorimetry&lt;/title&gt;&lt;type&gt;-100&lt;/type&gt;&lt;subtype&gt;-100&lt;/subtype&gt;&lt;uuid&gt;769C714C-3CB1-4C5C-B0F3-2E1D4D5FD7D7&lt;/uuid&gt;&lt;/publication&gt;&lt;/bundle&gt;&lt;authors&gt;&lt;author&gt;&lt;firstName&gt;U&lt;/firstName&gt;&lt;lastName&gt;Räisänen&lt;/lastName&gt;&lt;/author&gt;&lt;author&gt;&lt;firstName&gt;I&lt;/firstName&gt;&lt;lastName&gt;Pitkänen&lt;/lastName&gt;&lt;/author&gt;&lt;author&gt;&lt;firstName&gt;H&lt;/firstName&gt;&lt;lastName&gt;Halttunen&lt;/lastName&gt;&lt;/author&gt;&lt;/authors&gt;&lt;/publication&gt;&lt;publication&gt;&lt;uuid&gt;0F039A4D-3B13-43BA-9986-1D237E7D7A00&lt;/uuid&gt;&lt;volume&gt;4&lt;/volume&gt;&lt;doi&gt;10.1002/cssc.201100133&lt;/doi&gt;&lt;startpage&gt;1629&lt;/startpage&gt;&lt;publication_date&gt;99201111181200000000222000&lt;/publication_date&gt;&lt;url&gt;http://onlinelibrary.wiley.com/doi/10.1002/cssc.201100133/full&lt;/url&gt;&lt;citekey&gt;Patwardhan:2011in&lt;/citekey&gt;&lt;type&gt;400&lt;/type&gt;&lt;title&gt;Understanding the Fast Pyrolysis of Lignin&lt;/title&gt;&lt;publisher&gt;WILEY</w:instrText>
      </w:r>
      <w:r w:rsidR="00807999">
        <w:rPr>
          <w:rFonts w:ascii="Calibri" w:eastAsia="Calibri" w:hAnsi="Calibri" w:cs="Calibri"/>
        </w:rPr>
        <w:instrText>‐</w:instrText>
      </w:r>
      <w:r w:rsidR="00807999">
        <w:instrText>VCH Verlag&lt;/publisher&gt;&lt;number&gt;11&lt;/number&gt;&lt;subtype&gt;400&lt;/subtype&gt;&lt;endpage&gt;1636&lt;/endpage&gt;&lt;bundle&gt;&lt;publication&gt;&lt;publisher&gt;WILEY</w:instrText>
      </w:r>
      <w:r w:rsidR="00807999">
        <w:rPr>
          <w:rFonts w:ascii="Calibri" w:eastAsia="Calibri" w:hAnsi="Calibri" w:cs="Calibri"/>
        </w:rPr>
        <w:instrText>‐</w:instrText>
      </w:r>
      <w:r w:rsidR="00807999">
        <w:instrText>VCH Verlag&lt;/publisher&gt;&lt;title&gt;ChemSusChem&lt;/title&gt;&lt;type&gt;-100&lt;/type&gt;&lt;subtype&gt;-100&lt;/subtype&gt;&lt;uuid&gt;7311DD7F-36BC-4619-8B6C-41D5069DF002&lt;/uuid&gt;&lt;/publication&gt;&lt;/bundle&gt;&lt;authors&gt;&lt;author&gt;&lt;firstName&gt;Pushkaraj&lt;/firstName&gt;&lt;middleNames&gt;R&lt;/middleNames&gt;&lt;lastName&gt;Patwardhan&lt;/lastName&gt;&lt;/author&gt;&lt;author&gt;&lt;firstName&gt;Robert&lt;/firstName&gt;&lt;middleNames&gt;C&lt;/middleNames&gt;&lt;lastName&gt;Brown&lt;/lastName&gt;&lt;/author&gt;&lt;author&gt;&lt;firstName&gt;Brent&lt;/firstName&gt;&lt;middleNames&gt;H&lt;/middleNames&gt;&lt;lastName&gt;Shanks&lt;/lastName&gt;&lt;/author&gt;&lt;/authors&gt;&lt;/publication&gt;&lt;/publications&gt;&lt;cites&gt;&lt;/cites&gt;&lt;/citation&gt;</w:instrText>
      </w:r>
      <w:r w:rsidR="00FE5BF5">
        <w:fldChar w:fldCharType="separate"/>
      </w:r>
      <w:r w:rsidR="001C1AAC">
        <w:t>(</w:t>
      </w:r>
      <w:r w:rsidR="001C1AAC">
        <w:rPr>
          <w:i/>
          <w:iCs/>
        </w:rPr>
        <w:t>12</w:t>
      </w:r>
      <w:r w:rsidR="001C1AAC">
        <w:t xml:space="preserve">, </w:t>
      </w:r>
      <w:r w:rsidR="001C1AAC">
        <w:rPr>
          <w:i/>
          <w:iCs/>
        </w:rPr>
        <w:t>30</w:t>
      </w:r>
      <w:r w:rsidR="001C1AAC">
        <w:t xml:space="preserve">, </w:t>
      </w:r>
      <w:r w:rsidR="001C1AAC">
        <w:rPr>
          <w:i/>
          <w:iCs/>
        </w:rPr>
        <w:t>79</w:t>
      </w:r>
      <w:r w:rsidR="001C1AAC">
        <w:t>)</w:t>
      </w:r>
      <w:r w:rsidR="00FE5BF5">
        <w:fldChar w:fldCharType="end"/>
      </w:r>
      <w:r w:rsidRPr="00205E22">
        <w:t>. While production of acetic acid from the polysaccharides results from fragmentation of the sugar monomers or from acetyl groups present on hemicellulose side chains, no hemicellulose measurements are incorporated in the model. However, the negative sign of the “lignin.nrel” coefficient indicates that biomass which contains more polysaccharides (as an overall weight percent) would produce more acetic acid, which is consistent with what others have observed.</w:t>
      </w:r>
    </w:p>
    <w:p w14:paraId="4F240F21" w14:textId="77777777" w:rsidR="00807999" w:rsidRDefault="000117DB" w:rsidP="000117DB">
      <w:r w:rsidRPr="000117DB">
        <w:t xml:space="preserve">The only positive predictive relationship in the torrefaction acetic acid model is the measurement of esterified ferulates. Esterified ferulates are the ferulic acids which have </w:t>
      </w:r>
      <w:r w:rsidRPr="000117DB">
        <w:lastRenderedPageBreak/>
        <w:t>been incorporated into the cell wall, forming cross-linkages between the lignin and hemicelluloses</w:t>
      </w:r>
      <w:r w:rsidR="00FE5BF5">
        <w:t xml:space="preserve"> </w:t>
      </w:r>
      <w:r w:rsidR="00980B82">
        <w:fldChar w:fldCharType="begin"/>
      </w:r>
      <w:r w:rsidR="00807999">
        <w:instrText xml:space="preserve"> ADDIN PAPERS2_CITATIONS &lt;citation&gt;&lt;uuid&gt;04F49B5B-663E-4879-8A6A-997C854F8BC3&lt;/uuid&gt;&lt;priority&gt;287&lt;/priority&gt;&lt;publications&gt;&lt;publication&gt;&lt;uuid&gt;5CF25438-1A38-4177-9E83-7DFE0EDA4938&lt;/uuid&gt;&lt;volume&gt;77&lt;/volume&gt;&lt;doi&gt;10.1111/Tpj.12420&lt;/doi&gt;&lt;startpage&gt;713&lt;/startpage&gt;&lt;publication_date&gt;99201403001200000000220000&lt;/publication_date&gt;&lt;url&gt;http://onlinelibrary.wiley.com/doi/10.1111/tpj.12420/abstract&lt;/url&gt;&lt;type&gt;400&lt;/type&gt;&lt;title&gt;p-Coumaroyl-CoA:monolignol transferase (PMT) acts specifically in the lignin biosynthetic pathway in Brachypodium distachyon&lt;/title&gt;&lt;institution&gt;Sedbrook, JC</w:instrText>
      </w:r>
    </w:p>
    <w:p w14:paraId="0B63F772" w14:textId="77777777" w:rsidR="00807999" w:rsidRDefault="00807999" w:rsidP="000117DB">
      <w:r>
        <w:instrText>Illinois State Univ, Sch Biol Sci, Normal, IL 61790 USA</w:instrText>
      </w:r>
    </w:p>
    <w:p w14:paraId="68D35023" w14:textId="77777777" w:rsidR="00807999" w:rsidRDefault="00807999" w:rsidP="000117DB">
      <w:r>
        <w:instrText>Illinois State Univ, Sch Biol Sci, Normal, IL 61790 USA</w:instrText>
      </w:r>
    </w:p>
    <w:p w14:paraId="215E1454" w14:textId="77777777" w:rsidR="00807999" w:rsidRDefault="00807999" w:rsidP="000117DB">
      <w:r>
        <w:instrText>Illinois State Univ, Sch Biol Sci, Normal, IL 61790 USA</w:instrText>
      </w:r>
    </w:p>
    <w:p w14:paraId="5BF0AD87" w14:textId="77777777" w:rsidR="00807999" w:rsidRDefault="00807999" w:rsidP="000117DB">
      <w:r>
        <w:instrText>Great Lakes Bioenergy Res Ctr, Dept Energy, Madison, WI 53706 USA</w:instrText>
      </w:r>
    </w:p>
    <w:p w14:paraId="51716D8F" w14:textId="77777777" w:rsidR="00807999" w:rsidRDefault="00807999" w:rsidP="000117DB">
      <w:r>
        <w:instrText>Univ Wisconsin, Wisconsin Energy Inst, Great Lakes Bioenergy Res Ctr, Dept Biochem,Dept Energy, Madison, WI 53726 USA</w:instrText>
      </w:r>
    </w:p>
    <w:p w14:paraId="0F79D984" w14:textId="77777777" w:rsidR="00807999" w:rsidRDefault="00807999" w:rsidP="000117DB">
      <w:r>
        <w:instrText>INRA, IJPB, UMR1318, F-78000 Versailles, France</w:instrText>
      </w:r>
    </w:p>
    <w:p w14:paraId="2A911D9A" w14:textId="77777777" w:rsidR="00807999" w:rsidRDefault="00807999" w:rsidP="000117DB">
      <w:r>
        <w:instrText>AgroParisTech, IJPB, Saclay Plant Sci, UMR1318, F-78000 Versailles, France</w:instrText>
      </w:r>
    </w:p>
    <w:p w14:paraId="7CD8D909" w14:textId="77777777" w:rsidR="00807999" w:rsidRDefault="00807999" w:rsidP="000117DB">
      <w:r>
        <w:instrText>Michigan State Univ, Great Lakes Bioenergy Res Ctr, Dept Energy, E Lansing, MI 48824 USA</w:instrText>
      </w:r>
    </w:p>
    <w:p w14:paraId="351CAA85" w14:textId="77777777" w:rsidR="00807999" w:rsidRDefault="00807999" w:rsidP="000117DB">
      <w:r>
        <w:instrText>Michigan State Univ, Great Lakes Bioenergy Res Ctr, Dept Biochem &amp;amp; Mol Biol, Dept Plant Biol,Dept Energy, E Lansing, MI 48824 USA&lt;/institution&gt;&lt;number&gt;5&lt;/number&gt;&lt;subtype&gt;400&lt;/subtype&gt;&lt;endpage&gt;726&lt;/endpage&gt;&lt;bundle&gt;&lt;publication&gt;&lt;title&gt;Plant Journal&lt;/title&gt;&lt;type&gt;-100&lt;/type&gt;&lt;subtype&gt;-100&lt;/subtype&gt;&lt;uuid&gt;2F3A7548-422B-440E-B60D-942724219C51&lt;/uuid&gt;&lt;/publication&gt;&lt;/bundle&gt;&lt;authors&gt;&lt;author&gt;&lt;firstName&gt;D&lt;/firstName&gt;&lt;middleNames&gt;L&lt;/middleNames&gt;&lt;lastName&gt;Petrik&lt;/lastName&gt;&lt;/author&gt;&lt;author&gt;&lt;firstName&gt;S&lt;/firstName&gt;&lt;middleNames&gt;D&lt;/middleNames&gt;&lt;lastName&gt;Karlen&lt;/lastName&gt;&lt;/author&gt;&lt;author&gt;&lt;firstName&gt;C&lt;/firstName&gt;&lt;middleNames&gt;L&lt;/middleNames&gt;&lt;lastName&gt;Cass&lt;/lastName&gt;&lt;/author&gt;&lt;author&gt;&lt;firstName&gt;D&lt;/firstName&gt;&lt;lastName&gt;Padmakshan&lt;/lastName&gt;&lt;/author&gt;&lt;author&gt;&lt;firstName&gt;F&lt;/firstName&gt;&lt;middleNames&gt;C&lt;/middleNames&gt;&lt;lastName&gt;Lu&lt;/lastName&gt;&lt;/author&gt;&lt;author&gt;&lt;firstName&gt;S&lt;/firstName&gt;&lt;lastName&gt;Liu&lt;/lastName&gt;&lt;/author&gt;&lt;author&gt;&lt;nonDroppingParticle&gt;Le&lt;/nonDroppingParticle&gt;&lt;firstName&gt;P&lt;/firstName&gt;&lt;lastName&gt;Bris&lt;/lastName&gt;&lt;/author&gt;&lt;author&gt;&lt;firstName&gt;S&lt;/firstName&gt;&lt;lastName&gt;Antelme&lt;/lastName&gt;&lt;/author&gt;&lt;author&gt;&lt;firstName&gt;N&lt;/firstName&gt;&lt;lastName&gt;Santoro&lt;/lastName&gt;&lt;/author&gt;&lt;author&gt;&lt;firstName&gt;C&lt;/firstName&gt;&lt;middleNames&gt;G&lt;/middleNames&gt;&lt;lastName&gt;Wilkerson&lt;/lastName&gt;&lt;/author&gt;&lt;author&gt;&lt;firstName&gt;R&lt;/firstName&gt;&lt;lastName&gt;SIBOUT&lt;/lastName&gt;&lt;/author&gt;&lt;author&gt;&lt;firstName&gt;Catherine&lt;/firstName&gt;&lt;lastName&gt;Lapierre&lt;/lastName&gt;&lt;/author&gt;&lt;author&gt;&lt;firstName&gt;John&lt;/firstName&gt;&lt;lastName&gt;Ralph&lt;/lastName&gt;&lt;/author&gt;&lt;author&gt;&lt;firstName&gt;J&lt;/firstName&gt;&lt;middleNames&gt;C&lt;/middleNames&gt;&lt;lastName&gt;Sedbrook&lt;/lastName&gt;&lt;/author&gt;&lt;/authors&gt;&lt;/publication&gt;&lt;publication&gt;&lt;publication_date&gt;992015000012000000002100002015/02/27&lt;/publication_date&gt;&lt;startpage&gt;1&lt;/startpage&gt;&lt;doi&gt;10.1007/s12155-015-9583-4&lt;/doi&gt;&lt;title&gt;Naturally p-Hydroxybenzoylated Lignins in Palms&lt;/title&gt;&lt;uuid&gt;770C62F8-0458-4415-A69C-E3072EBF35DB&lt;/uuid&gt;&lt;subtype&gt;400&lt;/subtype&gt;&lt;publisher&gt;Springer US&lt;/publisher&gt;&lt;type&gt;400&lt;/type&gt;&lt;endpage&gt;19&lt;/endpage&gt;&lt;url&gt;http://dx.doi.org/10.1007/s12155-015-9583-4&lt;/url&gt;&lt;bundle&gt;&lt;publication&gt;&lt;publisher&gt;Springer US&lt;/publisher&gt;&lt;title&gt;BioEnergy Research&lt;/title&gt;&lt;type&gt;-100&lt;/type&gt;&lt;subtype&gt;-100&lt;/subtype&gt;&lt;uuid&gt;10F75356-9E4C-4774-98A2-0C658827ED32&lt;/uuid&gt;&lt;/publication&gt;&lt;/bundle&gt;&lt;authors&gt;&lt;author&gt;&lt;firstName&gt;Fachuang&lt;/firstName&gt;&lt;lastName&gt;Lu&lt;/lastName&gt;&lt;/author&gt;&lt;author&gt;&lt;firstName&gt;StevenD&lt;/firstName&gt;&lt;lastName&gt;Karlen&lt;/lastName&gt;&lt;/author&gt;&lt;author&gt;&lt;firstName&gt;Matt&lt;/firstName&gt;&lt;lastName&gt;Regner&lt;/lastName&gt;&lt;/author&gt;&lt;author&gt;&lt;firstName&gt;Hoon&lt;/firstName&gt;&lt;lastName&gt;Kim&lt;/lastName&gt;&lt;/author&gt;&lt;author&gt;&lt;firstName&gt;SallyA&lt;/firstName&gt;&lt;lastName&gt;Ralph&lt;/lastName&gt;&lt;/author&gt;&lt;author&gt;&lt;firstName&gt;Run-Cang&lt;/firstName&gt;&lt;lastName&gt;Sun&lt;/lastName&gt;&lt;/author&gt;&lt;author&gt;&lt;firstName&gt;Ken-ichi&lt;/firstName&gt;&lt;lastName&gt;Kuroda&lt;/lastName&gt;&lt;/author&gt;&lt;author&gt;&lt;firstName&gt;MaryAnn&lt;/firstName&gt;&lt;lastName&gt;Augustin&lt;/lastName&gt;&lt;/author&gt;&lt;author&gt;&lt;firstName&gt;Raymond&lt;/firstName&gt;&lt;lastName&gt;Mawson&lt;/lastName&gt;&lt;/author&gt;&lt;author&gt;&lt;firstName&gt;Henry&lt;/firstName&gt;&lt;lastName&gt;Sabarez&lt;/lastName&gt;&lt;/author&gt;&lt;author&gt;&lt;firstName&gt;Tanoj&lt;/firstName&gt;&lt;lastName&gt;Singh&lt;/lastName&gt;&lt;/author&gt;&lt;author&gt;&lt;firstName&gt;Gerardo&lt;/firstName&gt;&lt;lastName&gt;Jimenez-Monteon&lt;/lastName&gt;&lt;/author&gt;&lt;author&gt;&lt;firstName&gt;Sarani&lt;/firstName&gt;&lt;lastName&gt;Zakaria&lt;/lastName&gt;&lt;/author&gt;&lt;author&gt;&lt;firstName&gt;Stefan&lt;/firstName&gt;&lt;lastName&gt;Hill&lt;/lastName&gt;&lt;/author&gt;&lt;author&gt;&lt;firstName&gt;PhilipJ&lt;/firstName&gt;&lt;lastName&gt;Harris&lt;/lastName&gt;&lt;/author&gt;&lt;author&gt;&lt;firstName&gt;Wout&lt;/firstName&gt;&lt;lastName&gt;Boerjan&lt;/lastName&gt;&lt;/author&gt;&lt;author&gt;&lt;firstName&gt;CurtisG&lt;/firstName&gt;&lt;lastName&gt;Wilkerson&lt;/lastName&gt;&lt;/author&gt;&lt;author&gt;&lt;firstName&gt;ShawnD&lt;/firstName&gt;&lt;lastName&gt;Mansfield&lt;/lastName&gt;&lt;/author&gt;&lt;author&gt;&lt;firstName&gt;John&lt;/firstName&gt;&lt;lastName&gt;Ralph&lt;/lastName&gt;&lt;/author&gt;&lt;/authors&gt;&lt;/publication&gt;&lt;publication&gt;&lt;uuid&gt;75B1A19E-2DE9-4C95-8DF0-F8948B45E0D7&lt;/uuid&gt;&lt;volume&gt;88&lt;/volume&gt;&lt;doi&gt;10.1002/Jsfa.3376&lt;/doi&gt;&lt;startpage&gt;2529&lt;/startpage&gt;&lt;publication_date&gt;99200811001200000000220000&lt;/publication_date&gt;&lt;url&gt;http://onlinelibrary.wiley.com/doi/10.1002/jsfa.3376/abstract;jsessionid=83060EB9DC22DB19AE56471F797B8157.f04t02&lt;/url&gt;&lt;type&gt;400&lt;/type&gt;&lt;title&gt;Characterization of p-coumarate accumulation, p-coumaroyl transferase, and cell wall changes during the development of corn stems&lt;/title&gt;&lt;institution&gt;Hatfield, RD</w:instrText>
      </w:r>
    </w:p>
    <w:p w14:paraId="05A67E1B" w14:textId="77777777" w:rsidR="00807999" w:rsidRDefault="00807999" w:rsidP="000117DB">
      <w:r>
        <w:instrText>USDA ARS, US Dairy Forage Res Ctr, 1925 Linden Dr, Madison, WI 53706 USA</w:instrText>
      </w:r>
    </w:p>
    <w:p w14:paraId="3233CB68" w14:textId="77777777" w:rsidR="00807999" w:rsidRDefault="00807999" w:rsidP="000117DB">
      <w:r>
        <w:instrText>USDA ARS, US Dairy Forage Res Ctr, 1925 Linden Dr, Madison, WI 53706 USA</w:instrText>
      </w:r>
    </w:p>
    <w:p w14:paraId="62598ECB" w14:textId="2B4B83DF" w:rsidR="00807999" w:rsidRDefault="00807999" w:rsidP="005A1198">
      <w:r>
        <w:instrText>USDA ARS, US Dairy Forage Res Ctr, Madison, WI 53706 USA&lt;/institution&gt;&lt;number&gt;14&lt;/number&gt;&lt;subtype&gt;400&lt;/subtype&gt;&lt;endpage&gt;2537&lt;/endpage&gt;&lt;bundle&gt;&lt;publication&gt;&lt;title&gt;Journal of the Science of Food and Agriculture&lt;/title&gt;&lt;type&gt;-100&lt;/type&gt;&lt;subtype&gt;-100&lt;/subtype&gt;&lt;uuid&gt;F23F9854-F605-4BE0-8338-37D38352DCBD&lt;/uuid&gt;&lt;/publication&gt;&lt;/bundle&gt;&lt;authors&gt;&lt;author&gt;&lt;firstName&gt;Ronald&lt;/firstName&gt;&lt;middleNames&gt;D&lt;/middleNames&gt;&lt;lastName&gt;Hatfield&lt;/lastName&gt;&lt;/author&gt;&lt;author&gt;&lt;firstName&gt;J&lt;/firstName&gt;&lt;middleNames&gt;M&lt;/middleNames&gt;&lt;lastName&gt;Marita&lt;/lastName&gt;&lt;/author&gt;&lt;author&gt;&lt;firstName&gt;K&lt;/firstName&gt;&lt;lastName&gt;Frost&lt;/lastName&gt;&lt;/author&gt;&lt;/authors&gt;&lt;/publication&gt;&lt;publication&gt;&lt;volume&gt;7&lt;/volume&gt;&lt;publication_date&gt;99201401301200000000222000&lt;/publication_date&gt;&lt;number&gt;3&lt;/number&gt;&lt;doi&gt;10.1007/s12155-014-9410-3&lt;/doi&gt;&lt;startpage&gt;899&lt;/startpage&gt;&lt;title&gt;Validation of PyMBMS as a High-throughput Screen for Lignin Abundance in Lignocellulosic Biomass of Grasses&lt;/title&gt;&lt;uuid&gt;44F4FA3C-5F21-4B7E-A18A-05609FE41DD2&lt;/uuid&gt;&lt;subtype&gt;400&lt;/subtype&gt;&lt;endpage&gt;908&lt;/endpage&gt;&lt;type&gt;400&lt;/type&gt;&lt;url&gt;http://link.springer.com/10.1007/s12155-014-9410-3&lt;/url&gt;&lt;bundle&gt;&lt;publication&gt;&lt;publisher&gt;Springer US&lt;/publisher&gt;&lt;title&gt;BioEnergy Research&lt;/title&gt;&lt;type&gt;-100&lt;/type&gt;&lt;subtype&gt;-100&lt;/subtype&gt;&lt;uuid&gt;10F75356-9E4C-4774-98A2-0C658827ED32&lt;/uuid&gt;&lt;/publication&gt;&lt;/bundle&gt;&lt;authors&gt;&lt;author&gt;&lt;firstName&gt;Bryan&lt;/firstName&gt;&lt;middleNames&gt;W&lt;/middleNames&gt;&lt;lastName&gt;Penning&lt;/lastName&gt;&lt;/author&gt;&lt;author&gt;&lt;firstName&gt;Robert&lt;/firstName&gt;&lt;middleNames&gt;W&lt;/middleNames&gt;&lt;lastName&gt;Sykes&lt;/lastName&gt;&lt;/author&gt;&lt;author&gt;&lt;firstName&gt;Nicholas&lt;/firstName&gt;&lt;middleNames&gt;C&lt;/middleNames&gt;&lt;lastName&gt;Babcock&lt;/lastName&gt;&lt;/author&gt;&lt;author&gt;&lt;firstName&gt;Christopher&lt;/firstName&gt;&lt;middleNames&gt;K&lt;/middleNames&gt;&lt;lastName&gt;Dugard&lt;/lastName&gt;&lt;/author&gt;&lt;author&gt;&lt;firstName&gt;John&lt;/firstName&gt;&lt;middleNames&gt;F&lt;/middleNames&gt;&lt;lastName&gt;Klimek&lt;/lastName&gt;&lt;/author&gt;&lt;author&gt;&lt;firstName&gt;David&lt;/firstName&gt;&lt;lastName&gt;Gamblin&lt;/lastName&gt;&lt;/author&gt;&lt;author&gt;&lt;firstName&gt;Mark&lt;/firstName&gt;&lt;lastName&gt;Davis&lt;/lastName&gt;&lt;/author&gt;&lt;author&gt;&lt;firstName&gt;Timothy&lt;/firstName&gt;&lt;middleNames&gt;R&lt;/middleNames&gt;&lt;lastName&gt;Filley&lt;/lastName&gt;&lt;/author&gt;&lt;author&gt;&lt;firstName&gt;Nathan&lt;/firstName&gt;&lt;middleNames&gt;S&lt;/middleNames&gt;&lt;lastName&gt;Mosier&lt;/lastName&gt;&lt;/author&gt;&lt;author&gt;&lt;firstName&gt;Clifford&lt;/firstName&gt;&lt;middleNames&gt;F&lt;/middleNames&gt;&lt;lastName&gt;Weil&lt;/lastName&gt;&lt;/author&gt;&lt;author&gt;&lt;firstName&gt;Maureen&lt;/firstName&gt;&lt;middleNames&gt;C&lt;/middleNames&gt;&lt;lastName&gt;McCann&lt;/lastName&gt;&lt;/author&gt;&lt;author&gt;&lt;firstName&gt;Nicholas&lt;/firstName&gt;&lt;middleNames&gt;C&lt;/middleNames&gt;&lt;lastName&gt;Carpita&lt;/lastName&gt;&lt;/author&gt;&lt;/authors&gt;&lt;/publication&gt;&lt;/publications&gt;&lt;cites&gt;&lt;/cites&gt;&lt;/citation&gt;</w:instrText>
      </w:r>
      <w:r w:rsidR="00980B82">
        <w:fldChar w:fldCharType="separate"/>
      </w:r>
      <w:r w:rsidR="001C1AAC">
        <w:t>(</w:t>
      </w:r>
      <w:r w:rsidR="001C1AAC">
        <w:rPr>
          <w:i/>
          <w:iCs/>
        </w:rPr>
        <w:t>56</w:t>
      </w:r>
      <w:r w:rsidR="001C1AAC">
        <w:t xml:space="preserve">, </w:t>
      </w:r>
      <w:r w:rsidR="001C1AAC">
        <w:rPr>
          <w:i/>
          <w:iCs/>
        </w:rPr>
        <w:t>57</w:t>
      </w:r>
      <w:r w:rsidR="001C1AAC">
        <w:t xml:space="preserve">, </w:t>
      </w:r>
      <w:r w:rsidR="001C1AAC">
        <w:rPr>
          <w:i/>
          <w:iCs/>
        </w:rPr>
        <w:t>62</w:t>
      </w:r>
      <w:r w:rsidR="001C1AAC">
        <w:t xml:space="preserve">, </w:t>
      </w:r>
      <w:r w:rsidR="001C1AAC">
        <w:rPr>
          <w:i/>
          <w:iCs/>
        </w:rPr>
        <w:t>99</w:t>
      </w:r>
      <w:r w:rsidR="001C1AAC">
        <w:t>)</w:t>
      </w:r>
      <w:r w:rsidR="00980B82">
        <w:fldChar w:fldCharType="end"/>
      </w:r>
      <w:r w:rsidR="00076E81">
        <w:t xml:space="preserve"> (figure 6.3)</w:t>
      </w:r>
      <w:r w:rsidR="00987E05">
        <w:t>,</w:t>
      </w:r>
      <w:r w:rsidR="000117DB" w:rsidRPr="000117DB">
        <w:t xml:space="preserve"> in contrast with the measured predictors pCA (p-coumaric acid) and FA (ferulic acid), which are not yet incorporated into the cell wall. The acid group of the ferulic acid forms the ester bond with hemicellulose sugar chains, and the phenolic &amp; methoxy group at the other end of the molecule are incorporated into the lignin polymer via a variety of possible lignin coupling reactions (forming bonds such as β-O-4, β-5, 5-5, 5-O-4, etc)</w:t>
      </w:r>
      <w:r w:rsidR="00FE5BF5">
        <w:t xml:space="preserve"> </w:t>
      </w:r>
      <w:r w:rsidR="00FE5BF5">
        <w:fldChar w:fldCharType="begin"/>
      </w:r>
      <w:r>
        <w:instrText xml:space="preserve"> ADDIN PAPERS2_CITATIONS &lt;citation&gt;&lt;uuid&gt;06EF9FAB-C10A-4346-A363-B0DCA0C5286C&lt;/uuid&gt;&lt;priority&gt;0&lt;/priority&gt;&lt;publications&gt;&lt;publication&gt;&lt;uuid&gt;0BBB86C2-AEA9-44B5-B628-5035F5735D51&lt;/uuid&gt;&lt;volume&gt;54&lt;/volume&gt;&lt;doi&gt;10.1146/annurev.arplant.54.031902.134938&lt;/doi&gt;&lt;startpage&gt;519&lt;/startpage&gt;&lt;publication_date&gt;99200300001200000000200000&lt;/publication_date&gt;&lt;url&gt;http://www.annualreviews.org/doi/abs/10.1146/annurev.arplant.54.031902.134938&lt;/url&gt;&lt;citekey&gt;Boerjan:2003hk&lt;/citekey&gt;&lt;type&gt;400&lt;/type&gt;&lt;title&gt;Lignin biosynthesis&lt;/title&gt;&lt;institution&gt;Boerjan, W</w:instrText>
      </w:r>
    </w:p>
    <w:p w14:paraId="2F736D54" w14:textId="77777777" w:rsidR="00807999" w:rsidRDefault="00807999" w:rsidP="005A1198">
      <w:r>
        <w:instrText>State Univ Ghent VIB, Dept Plant Syst Biol, K L Ledeganckstr 35, B-9000 Ghent, Belgium</w:instrText>
      </w:r>
    </w:p>
    <w:p w14:paraId="03293B3B" w14:textId="77777777" w:rsidR="00807999" w:rsidRDefault="00807999" w:rsidP="005A1198">
      <w:r>
        <w:instrText>State Univ Ghent VIB, Dept Plant Syst Biol, K L Ledeganckstr 35, B-9000 Ghent, Belgium</w:instrText>
      </w:r>
    </w:p>
    <w:p w14:paraId="3EA22B51" w14:textId="77777777" w:rsidR="00807999" w:rsidRDefault="00807999" w:rsidP="005A1198">
      <w:r>
        <w:instrText>State Univ Ghent VIB, Dept Plant Syst Biol, B-9000 Ghent, Belgium</w:instrText>
      </w:r>
    </w:p>
    <w:p w14:paraId="220E4DEF" w14:textId="77777777" w:rsidR="00807999" w:rsidRDefault="00807999" w:rsidP="005A1198">
      <w:r>
        <w:instrText>USDA ARS, US Dairy Forage Res Ctr, Madison, WI 53706 USA</w:instrText>
      </w:r>
    </w:p>
    <w:p w14:paraId="5E74FA28" w14:textId="5116CBF6" w:rsidR="005A1198" w:rsidRDefault="00807999" w:rsidP="005A1198">
      <w:r>
        <w:instrText>Free Univ Brussels, Lab Biotechnol Vegetale, B-1160 Brussels, Belgium&lt;/institution&gt;&lt;subtype&gt;400&lt;/subtype&gt;&lt;endpage&gt;546&lt;/endpage&gt;&lt;bundle&gt;&lt;publication&gt;&lt;title&gt;Annual review of plant biology&lt;/title&gt;&lt;type&gt;-100&lt;/type&gt;&lt;subtype&gt;-100&lt;/subtype&gt;&lt;uuid&gt;4CDB0732-FE75-4F56-9627-A14F8E94872D&lt;/uuid&gt;&lt;/publication&gt;&lt;/bundle&gt;&lt;authors&gt;&lt;author&gt;&lt;firstName&gt;Wout&lt;/firstName&gt;&lt;lastName&gt;Boerjan&lt;/lastName&gt;&lt;/author&gt;&lt;author&gt;&lt;firstName&gt;John&lt;/firstName&gt;&lt;lastName&gt;Ralph&lt;/lastName&gt;&lt;/author&gt;&lt;author&gt;&lt;firstName&gt;Marie&lt;/firstName&gt;&lt;lastName&gt;Baucher&lt;/lastName&gt;&lt;/author&gt;&lt;/authors&gt;&lt;/publication&gt;&lt;/publications&gt;&lt;cites&gt;&lt;/cites&gt;&lt;/citation&gt;</w:instrText>
      </w:r>
      <w:r w:rsidR="00FE5BF5">
        <w:fldChar w:fldCharType="separate"/>
      </w:r>
      <w:r w:rsidR="001C1AAC">
        <w:t>(</w:t>
      </w:r>
      <w:r w:rsidR="001C1AAC">
        <w:rPr>
          <w:i/>
          <w:iCs/>
        </w:rPr>
        <w:t>55</w:t>
      </w:r>
      <w:r w:rsidR="001C1AAC">
        <w:t>)</w:t>
      </w:r>
      <w:r w:rsidR="00FE5BF5">
        <w:fldChar w:fldCharType="end"/>
      </w:r>
      <w:r w:rsidR="000117DB" w:rsidRPr="000117DB">
        <w:t xml:space="preserve">. Direct production of some of the acetic acid from these molecules may be due to decomposition of the polysaccharide-lignin crosslink, with bond scission between carbons 1 &amp; 2. A speculative mechanism for such a reaction is shown in </w:t>
      </w:r>
      <w:r w:rsidR="004E46DD" w:rsidRPr="004E46DD">
        <w:t>figure 6.2</w:t>
      </w:r>
      <w:r w:rsidR="000117DB" w:rsidRPr="000117DB">
        <w:t>.</w:t>
      </w:r>
      <w:r w:rsidR="005A1198">
        <w:br w:type="page"/>
      </w:r>
    </w:p>
    <w:p w14:paraId="6B5DC7B2" w14:textId="1091B684" w:rsidR="00FD1C74" w:rsidRDefault="009F0C68" w:rsidP="001454A1">
      <w:pPr>
        <w:pStyle w:val="NoSpacing"/>
        <w:jc w:val="center"/>
      </w:pPr>
      <w:r>
        <w:rPr>
          <w:noProof/>
        </w:rPr>
        <w:lastRenderedPageBreak/>
        <w:drawing>
          <wp:inline distT="0" distB="0" distL="0" distR="0" wp14:anchorId="4113A1E5" wp14:editId="2CEEFF44">
            <wp:extent cx="4503420" cy="5326380"/>
            <wp:effectExtent l="0" t="0" r="0" b="7620"/>
            <wp:docPr id="32" name="Picture 32" descr="../../../../Dropbox/Biomass%20Pyrolysis/Manuscripts/Switchgrass%20modeling/speculative%20mechanis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ropbox/Biomass%20Pyrolysis/Manuscripts/Switchgrass%20modeling/speculative%20mechanism."/>
                    <pic:cNvPicPr>
                      <a:picLocks noChangeAspect="1" noChangeArrowheads="1"/>
                    </pic:cNvPicPr>
                  </pic:nvPicPr>
                  <pic:blipFill rotWithShape="1">
                    <a:blip r:embed="rId75">
                      <a:extLst>
                        <a:ext uri="{28A0092B-C50C-407E-A947-70E740481C1C}">
                          <a14:useLocalDpi xmlns:a14="http://schemas.microsoft.com/office/drawing/2010/main" val="0"/>
                        </a:ext>
                      </a:extLst>
                    </a:blip>
                    <a:srcRect l="6568" t="6710" r="9957" b="17022"/>
                    <a:stretch/>
                  </pic:blipFill>
                  <pic:spPr bwMode="auto">
                    <a:xfrm>
                      <a:off x="0" y="0"/>
                      <a:ext cx="4503420" cy="5326380"/>
                    </a:xfrm>
                    <a:prstGeom prst="rect">
                      <a:avLst/>
                    </a:prstGeom>
                    <a:noFill/>
                    <a:ln>
                      <a:noFill/>
                    </a:ln>
                    <a:extLst>
                      <a:ext uri="{53640926-AAD7-44D8-BBD7-CCE9431645EC}">
                        <a14:shadowObscured xmlns:a14="http://schemas.microsoft.com/office/drawing/2010/main"/>
                      </a:ext>
                    </a:extLst>
                  </pic:spPr>
                </pic:pic>
              </a:graphicData>
            </a:graphic>
          </wp:inline>
        </w:drawing>
      </w:r>
    </w:p>
    <w:p w14:paraId="212AD93D" w14:textId="6C1281B1" w:rsidR="00134DF8" w:rsidRDefault="00134DF8" w:rsidP="00134DF8">
      <w:pPr>
        <w:pStyle w:val="Caption"/>
        <w:rPr>
          <w:b w:val="0"/>
          <w:noProof/>
        </w:rPr>
      </w:pPr>
      <w:bookmarkStart w:id="161" w:name="_Toc449965010"/>
      <w:r w:rsidRPr="00E73E07">
        <w:t xml:space="preserve">Figure </w:t>
      </w:r>
      <w:fldSimple w:instr=" STYLEREF &quot;Chapter&quot; \s ">
        <w:r w:rsidR="00463F52">
          <w:rPr>
            <w:noProof/>
          </w:rPr>
          <w:t>6</w:t>
        </w:r>
      </w:fldSimple>
      <w:r w:rsidRPr="00E73E07">
        <w:t>.</w:t>
      </w:r>
      <w:fldSimple w:instr=" SEQ Figure \* ARABIC \s 1 ">
        <w:r w:rsidR="00463F52">
          <w:rPr>
            <w:noProof/>
          </w:rPr>
          <w:t>2</w:t>
        </w:r>
      </w:fldSimple>
      <w:r w:rsidRPr="00E73E07">
        <w:rPr>
          <w:noProof/>
        </w:rPr>
        <w:t>.</w:t>
      </w:r>
      <w:r w:rsidRPr="0087215B">
        <w:t xml:space="preserve"> </w:t>
      </w:r>
      <w:r w:rsidRPr="00134DF8">
        <w:rPr>
          <w:b w:val="0"/>
          <w:noProof/>
        </w:rPr>
        <w:t>Speculative reaction mechanism of acetic acid, phenolic, and furan derivative formation from ferulic acid esterified to an arabinose monosaccharide via a hydrogen radical initiated pathway.</w:t>
      </w:r>
      <w:bookmarkEnd w:id="161"/>
    </w:p>
    <w:p w14:paraId="63174D65" w14:textId="77777777" w:rsidR="008C2261" w:rsidRDefault="008C2261" w:rsidP="008C2261"/>
    <w:p w14:paraId="4F5D0C53" w14:textId="257AE03B" w:rsidR="008C2261" w:rsidRDefault="008C2261" w:rsidP="00FA5703">
      <w:r w:rsidRPr="008C2261">
        <w:t>The alkyl phenol model is the fourth torrefaction model which predicts schema 1 relationships. Both the unincorporated p-coumaric acid</w:t>
      </w:r>
      <w:r w:rsidR="003D4767">
        <w:t xml:space="preserve"> and</w:t>
      </w:r>
      <w:r w:rsidR="003D4767" w:rsidRPr="003D4767">
        <w:t xml:space="preserve"> </w:t>
      </w:r>
      <w:r w:rsidR="003D4767" w:rsidRPr="008C2261">
        <w:t xml:space="preserve">the esterified ferulates </w:t>
      </w:r>
      <w:r w:rsidRPr="008C2261">
        <w:t>(</w:t>
      </w:r>
      <w:r w:rsidR="003D4767" w:rsidRPr="003D4767">
        <w:t>figure 6.3</w:t>
      </w:r>
      <w:r w:rsidRPr="008C2261">
        <w:t>) have positive coefficients in the model. Pyrolysis of the p-coumaric acid (with removal of the carboxylic acid) can lead directly to the major alkyl phenolic compound, 4-vinylphenol</w:t>
      </w:r>
      <w:r w:rsidR="00C0397E">
        <w:t xml:space="preserve"> (</w:t>
      </w:r>
      <w:r w:rsidR="00C0397E" w:rsidRPr="00C0397E">
        <w:rPr>
          <w:i/>
        </w:rPr>
        <w:t>115</w:t>
      </w:r>
      <w:r w:rsidR="00C0397E">
        <w:t>)</w:t>
      </w:r>
      <w:r w:rsidRPr="008C2261">
        <w:t>. The esterified ferulic acid could also be a source of the alkyl phenols, but a removal of the methoxy substituent would be required.</w:t>
      </w:r>
      <w:r w:rsidR="00FA5703">
        <w:br w:type="page"/>
      </w:r>
    </w:p>
    <w:p w14:paraId="02015460" w14:textId="37C5154D" w:rsidR="008C2261" w:rsidRDefault="008C2261" w:rsidP="001454A1">
      <w:pPr>
        <w:jc w:val="center"/>
      </w:pPr>
      <w:r w:rsidRPr="00863C0C">
        <w:rPr>
          <w:noProof/>
        </w:rPr>
        <w:lastRenderedPageBreak/>
        <w:drawing>
          <wp:inline distT="0" distB="0" distL="0" distR="0" wp14:anchorId="3075AC33" wp14:editId="2D5BEC07">
            <wp:extent cx="2560320" cy="1041634"/>
            <wp:effectExtent l="0" t="0" r="508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2560320" cy="1041634"/>
                    </a:xfrm>
                    <a:prstGeom prst="rect">
                      <a:avLst/>
                    </a:prstGeom>
                  </pic:spPr>
                </pic:pic>
              </a:graphicData>
            </a:graphic>
          </wp:inline>
        </w:drawing>
      </w:r>
      <w:r w:rsidR="001454A1">
        <w:t xml:space="preserve">  </w:t>
      </w:r>
      <w:r w:rsidRPr="00863C0C">
        <w:rPr>
          <w:noProof/>
        </w:rPr>
        <w:drawing>
          <wp:inline distT="0" distB="0" distL="0" distR="0" wp14:anchorId="3A7A9E90" wp14:editId="0D21C1DF">
            <wp:extent cx="2560320" cy="989935"/>
            <wp:effectExtent l="0" t="0" r="5080" b="127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2560320" cy="989935"/>
                    </a:xfrm>
                    <a:prstGeom prst="rect">
                      <a:avLst/>
                    </a:prstGeom>
                  </pic:spPr>
                </pic:pic>
              </a:graphicData>
            </a:graphic>
          </wp:inline>
        </w:drawing>
      </w:r>
    </w:p>
    <w:p w14:paraId="2D807338" w14:textId="77777777" w:rsidR="004B12F3" w:rsidRDefault="008C2261" w:rsidP="008C2261">
      <w:pPr>
        <w:pStyle w:val="Caption"/>
        <w:rPr>
          <w:b w:val="0"/>
          <w:noProof/>
        </w:rPr>
      </w:pPr>
      <w:bookmarkStart w:id="162" w:name="_Toc449965011"/>
      <w:r w:rsidRPr="00E73E07">
        <w:t xml:space="preserve">Figure </w:t>
      </w:r>
      <w:fldSimple w:instr=" STYLEREF &quot;Chapter&quot; \s ">
        <w:r w:rsidR="00463F52">
          <w:rPr>
            <w:noProof/>
          </w:rPr>
          <w:t>6</w:t>
        </w:r>
      </w:fldSimple>
      <w:r w:rsidRPr="00E73E07">
        <w:t>.</w:t>
      </w:r>
      <w:fldSimple w:instr=" SEQ Figure \* ARABIC \s 1 ">
        <w:r w:rsidR="00463F52">
          <w:rPr>
            <w:noProof/>
          </w:rPr>
          <w:t>3</w:t>
        </w:r>
      </w:fldSimple>
      <w:r w:rsidRPr="00E73E07">
        <w:rPr>
          <w:noProof/>
        </w:rPr>
        <w:t>.</w:t>
      </w:r>
      <w:r w:rsidRPr="0087215B">
        <w:t xml:space="preserve"> </w:t>
      </w:r>
      <w:r>
        <w:rPr>
          <w:b w:val="0"/>
          <w:noProof/>
        </w:rPr>
        <w:t>F</w:t>
      </w:r>
      <w:r w:rsidRPr="00344B2D">
        <w:rPr>
          <w:b w:val="0"/>
          <w:noProof/>
        </w:rPr>
        <w:t>erulic acid (</w:t>
      </w:r>
      <w:r>
        <w:rPr>
          <w:b w:val="0"/>
          <w:noProof/>
        </w:rPr>
        <w:t>lef</w:t>
      </w:r>
      <w:r w:rsidR="004B12F3">
        <w:rPr>
          <w:b w:val="0"/>
          <w:noProof/>
        </w:rPr>
        <w:t>t) and p-coumaric acid (right).</w:t>
      </w:r>
      <w:bookmarkEnd w:id="162"/>
    </w:p>
    <w:p w14:paraId="080E87A0" w14:textId="090C029B" w:rsidR="008C2261" w:rsidRDefault="008C2261" w:rsidP="008C2261">
      <w:pPr>
        <w:pStyle w:val="Caption"/>
      </w:pPr>
      <w:r>
        <w:rPr>
          <w:b w:val="0"/>
          <w:noProof/>
        </w:rPr>
        <w:t>The acid end of ferulic acid</w:t>
      </w:r>
      <w:r w:rsidRPr="00344B2D">
        <w:rPr>
          <w:b w:val="0"/>
          <w:noProof/>
        </w:rPr>
        <w:t xml:space="preserve"> can bond with hemicellulose sugars, and the phenolic end with lignin, to form </w:t>
      </w:r>
      <w:r w:rsidR="003D4767">
        <w:rPr>
          <w:b w:val="0"/>
          <w:noProof/>
        </w:rPr>
        <w:t xml:space="preserve">ester </w:t>
      </w:r>
      <w:r w:rsidRPr="00344B2D">
        <w:rPr>
          <w:b w:val="0"/>
          <w:noProof/>
        </w:rPr>
        <w:t>crosslinks between these two biopolymers.</w:t>
      </w:r>
    </w:p>
    <w:p w14:paraId="012EF889" w14:textId="77777777" w:rsidR="008C2261" w:rsidRDefault="008C2261" w:rsidP="008C2261"/>
    <w:p w14:paraId="6F222FFE" w14:textId="77777777" w:rsidR="00ED7F30" w:rsidRDefault="00ED7F30" w:rsidP="00ED7F30">
      <w:pPr>
        <w:pStyle w:val="Heading3"/>
      </w:pPr>
      <w:bookmarkStart w:id="163" w:name="_Toc449964890"/>
      <w:r>
        <w:t>Pyrolysis Schema 1 Relationships</w:t>
      </w:r>
      <w:bookmarkEnd w:id="163"/>
    </w:p>
    <w:p w14:paraId="0D980309" w14:textId="46308452" w:rsidR="00ED7F30" w:rsidRDefault="00ED7F30" w:rsidP="00ED7F30">
      <w:r>
        <w:t>Two of the three pyrolysis models also predict schema 1 relationships between composition and thermochemical products (</w:t>
      </w:r>
      <w:r w:rsidR="003D4767">
        <w:t>table 6.11</w:t>
      </w:r>
      <w:r>
        <w:t>). As discussed above, acetic acid has been reported as a product of primarily hemicellulose pyrolysis and the positive sign of the pentose coefficient in the pyrolysis model corroborates this relationship. The pyrolysis alkyl phenol model, like the torrefaction alkyl phenol model, predicts a schema 1 relationship with the pCA, for the same reasons. Also for the pyrolysis alkyl phenols model, the inclusion and negative coefficient for sucrose suggests an implicit schema 1 relationship much like the lignin in the torrefaction acetic acid – increasing amounts of hemicellulose compete with lignin content in the biomass. Finally, the pyrolysis methoxyphenol model has a positive coefficient for with the “lignin.nrel” lignin measurement. These relationships are consistent with developed literature on pyrolysis products of biomass.</w:t>
      </w:r>
    </w:p>
    <w:p w14:paraId="1E621FF1" w14:textId="77777777" w:rsidR="001C6665" w:rsidRDefault="001C6665" w:rsidP="001C6665">
      <w:pPr>
        <w:pStyle w:val="Heading3"/>
      </w:pPr>
      <w:bookmarkStart w:id="164" w:name="_Toc449964891"/>
      <w:r>
        <w:t>Torrefaction Schema 2 Relationships</w:t>
      </w:r>
      <w:bookmarkEnd w:id="164"/>
    </w:p>
    <w:p w14:paraId="4F344F3E" w14:textId="77777777" w:rsidR="00807999" w:rsidRDefault="001C6665" w:rsidP="00FE5BF5">
      <w:r>
        <w:t xml:space="preserve">Schema 2 relationships are also predicted by the developed torrefaction models. The torrefaction model for acetic acid predicts that increasing amounts of calcium lowers acetic acid yield </w:t>
      </w:r>
      <w:r w:rsidR="00CD218B">
        <w:t>(table 6.8</w:t>
      </w:r>
      <w:r>
        <w:t>). This effect may be due to secondary cracking reactions of the acetic acid on the calcium to light gases (CO &amp; CO</w:t>
      </w:r>
      <w:r w:rsidRPr="007738F4">
        <w:rPr>
          <w:vertAlign w:val="subscript"/>
        </w:rPr>
        <w:t>2</w:t>
      </w:r>
      <w:r>
        <w:t xml:space="preserve">), decreasing the acetic acid </w:t>
      </w:r>
      <w:r>
        <w:lastRenderedPageBreak/>
        <w:t xml:space="preserve">yield. The mass balances reported by Patwardhan et al. </w:t>
      </w:r>
      <w:r w:rsidR="00FE5BF5">
        <w:fldChar w:fldCharType="begin"/>
      </w:r>
      <w:r w:rsidR="00807999">
        <w:instrText xml:space="preserve"> ADDIN PAPERS2_CITATIONS &lt;citation&gt;&lt;uuid&gt;D2E0FA91-FD3E-4606-B188-D8A86CD4B6CA&lt;/uuid&gt;&lt;priority&gt;0&lt;/priority&gt;&lt;publications&gt;&lt;publication&gt;&lt;uuid&gt;4460F59D-6619-4457-9151-2F14407B1520&lt;/uuid&gt;&lt;volume&gt;101&lt;/volume&gt;&lt;doi&gt;10.1016/j.biortech.2010.01.112&lt;/doi&gt;&lt;startpage&gt;4646&lt;/startpage&gt;&lt;publication_date&gt;99201006001200000000220000&lt;/publication_date&gt;&lt;url&gt;http://www.sciencedirect.com/science/article/pii/S0960852410001987&lt;/url&gt;&lt;type&gt;400&lt;/type&gt;&lt;title&gt;Influence of inorganic salts on the primary pyrolysis products of cellulose&lt;/title&gt;&lt;institution&gt;Shanks, BH</w:instrText>
      </w:r>
    </w:p>
    <w:p w14:paraId="7D4CE0A6" w14:textId="77777777" w:rsidR="00807999" w:rsidRDefault="00807999" w:rsidP="00FE5BF5">
      <w:r>
        <w:instrText>Iowa State Univ, Dept Chem &amp;amp; Biol Engn, Ames, IA 50011 USA</w:instrText>
      </w:r>
    </w:p>
    <w:p w14:paraId="59407403" w14:textId="77777777" w:rsidR="00807999" w:rsidRDefault="00807999" w:rsidP="00FE5BF5">
      <w:r>
        <w:instrText>Iowa State Univ, Dept Chem &amp;amp; Biol Engn, Ames, IA 50011 USA</w:instrText>
      </w:r>
    </w:p>
    <w:p w14:paraId="1CF3D2FD" w14:textId="77777777" w:rsidR="00807999" w:rsidRDefault="00807999" w:rsidP="00FE5BF5">
      <w:r>
        <w:instrText>Iowa State Univ, Dept Chem &amp;amp; Biol Engn, Ames, IA 50011 USA</w:instrText>
      </w:r>
    </w:p>
    <w:p w14:paraId="26821457" w14:textId="77777777" w:rsidR="00807999" w:rsidRDefault="00807999" w:rsidP="00FE5BF5">
      <w:r>
        <w:instrText>Iowa State Univ, Ctr Sustainable Environm Technol, Ames, IA 50011 USA&lt;/institution&gt;&lt;number&gt;12&lt;/number&gt;&lt;subtype&gt;400&lt;/subtype&gt;&lt;endpage&gt;4655&lt;/endpage&gt;&lt;bundle&gt;&lt;publication&gt;&lt;publisher&gt;Elsevier Ltd&lt;/publisher&gt;&lt;title&gt;Bioresource technology&lt;/title&gt;&lt;type&gt;-100&lt;/type&gt;&lt;subtype&gt;-100&lt;/subtype&gt;&lt;uuid&gt;20FABC45-BAD7-4D11-A180-BCA66580D347&lt;/uuid&gt;&lt;/publication&gt;&lt;/bundle&gt;&lt;authors&gt;&lt;author&gt;&lt;firstName&gt;Pushkaraj&lt;/firstName&gt;&lt;middleNames&gt;R&lt;/middleNames&gt;&lt;lastName&gt;Patwardhan&lt;/lastName&gt;&lt;/author&gt;&lt;author&gt;&lt;firstName&gt;J&lt;/firstName&gt;&lt;middleNames&gt;A&lt;/middleNames&gt;&lt;lastName&gt;Satrio&lt;/lastName&gt;&lt;/author&gt;&lt;author&gt;&lt;firstName&gt;Robert&lt;/firstName&gt;&lt;middleNames&gt;C&lt;/middleNames&gt;&lt;lastName&gt;Brown&lt;/lastName&gt;&lt;/author&gt;&lt;author&gt;&lt;firstName&gt;Brent&lt;/firstName&gt;&lt;middleNames&gt;H&lt;/middleNames&gt;&lt;lastName&gt;Shanks&lt;/lastName&gt;&lt;/author&gt;&lt;/authors&gt;&lt;/publication&gt;&lt;/publications&gt;&lt;cites&gt;&lt;/cites&gt;&lt;/citation&gt;</w:instrText>
      </w:r>
      <w:r w:rsidR="00FE5BF5">
        <w:fldChar w:fldCharType="separate"/>
      </w:r>
      <w:r w:rsidR="001C1AAC">
        <w:t>(</w:t>
      </w:r>
      <w:r w:rsidR="001C1AAC">
        <w:rPr>
          <w:i/>
          <w:iCs/>
        </w:rPr>
        <w:t>88</w:t>
      </w:r>
      <w:r w:rsidR="001C1AAC">
        <w:t>)</w:t>
      </w:r>
      <w:r w:rsidR="00FE5BF5">
        <w:fldChar w:fldCharType="end"/>
      </w:r>
      <w:r w:rsidR="00FE5BF5">
        <w:t xml:space="preserve"> </w:t>
      </w:r>
      <w:r w:rsidR="001C6665">
        <w:t>for inorganic-doped cellulose powder showed the highest yield of ‘unaccounted’ for the CaCl</w:t>
      </w:r>
      <w:r w:rsidR="001C6665" w:rsidRPr="007738F4">
        <w:rPr>
          <w:vertAlign w:val="subscript"/>
        </w:rPr>
        <w:t>2</w:t>
      </w:r>
      <w:r w:rsidR="001C6665">
        <w:t xml:space="preserve"> case, and the loss is attributed to formation of gaseous species and water. It is also possible that the calcium acts as a dehydration catalyst for the acetic acid, converting it into acetaldehyde and into the light oxygenates compound lump. While Patwardhan et al. </w:t>
      </w:r>
      <w:r w:rsidR="00FE5BF5">
        <w:fldChar w:fldCharType="begin"/>
      </w:r>
      <w:r>
        <w:instrText xml:space="preserve"> ADDIN PAPERS2_CITATIONS &lt;citation&gt;&lt;uuid&gt;EC148F4E-4AC0-4404-ABFA-99B2AFD5932F&lt;/uuid&gt;&lt;priority&gt;0&lt;/priority&gt;&lt;publications&gt;&lt;publication&gt;&lt;uuid&gt;4460F59D-6619-4457-9151-2F14407B1520&lt;/uuid&gt;&lt;volume&gt;101&lt;/volume&gt;&lt;doi&gt;10.1016/j.biortech.2010.01.112&lt;/doi&gt;&lt;startpage&gt;4646&lt;/startpage&gt;&lt;publication_date&gt;99201006001200000000220000&lt;/publication_date&gt;&lt;url&gt;http://www.sciencedirect.com/science/article/pii/S0960852410001987&lt;/url&gt;&lt;type&gt;400&lt;/type&gt;&lt;title&gt;Influence of inorganic salts on the primary pyrolysis products of cellulose&lt;/title&gt;&lt;institution&gt;Shanks, BH</w:instrText>
      </w:r>
    </w:p>
    <w:p w14:paraId="76CD6F41" w14:textId="77777777" w:rsidR="00807999" w:rsidRDefault="00807999" w:rsidP="00FE5BF5">
      <w:r>
        <w:instrText>Iowa State Univ, Dept Chem &amp;amp; Biol Engn, Ames, IA 50011 USA</w:instrText>
      </w:r>
    </w:p>
    <w:p w14:paraId="1493E0EC" w14:textId="77777777" w:rsidR="00807999" w:rsidRDefault="00807999" w:rsidP="00FE5BF5">
      <w:r>
        <w:instrText>Iowa State Univ, Dept Chem &amp;amp; Biol Engn, Ames, IA 50011 USA</w:instrText>
      </w:r>
    </w:p>
    <w:p w14:paraId="12D992CD" w14:textId="77777777" w:rsidR="00807999" w:rsidRDefault="00807999" w:rsidP="00FE5BF5">
      <w:r>
        <w:instrText>Iowa State Univ, Dept Chem &amp;amp; Biol Engn, Ames, IA 50011 USA</w:instrText>
      </w:r>
    </w:p>
    <w:p w14:paraId="5B80488A" w14:textId="28003AB1" w:rsidR="00724AD2" w:rsidRDefault="00807999" w:rsidP="00FE5BF5">
      <w:r>
        <w:instrText>Iowa State Univ, Ctr Sustainable Environm Technol, Ames, IA 50011 USA&lt;/institution&gt;&lt;number&gt;12&lt;/number&gt;&lt;subtype&gt;400&lt;/subtype&gt;&lt;endpage&gt;4655&lt;/endpage&gt;&lt;bundle&gt;&lt;publication&gt;&lt;publisher&gt;Elsevier Ltd&lt;/publisher&gt;&lt;title&gt;Bioresource technology&lt;/title&gt;&lt;type&gt;-100&lt;/type&gt;&lt;subtype&gt;-100&lt;/subtype&gt;&lt;uuid&gt;20FABC45-BAD7-4D11-A180-BCA66580D347&lt;/uuid&gt;&lt;/publication&gt;&lt;/bundle&gt;&lt;authors&gt;&lt;author&gt;&lt;firstName&gt;Pushkaraj&lt;/firstName&gt;&lt;middleNames&gt;R&lt;/middleNames&gt;&lt;lastName&gt;Patwardhan&lt;/lastName&gt;&lt;/author&gt;&lt;author&gt;&lt;firstName&gt;J&lt;/firstName&gt;&lt;middleNames&gt;A&lt;/middleNames&gt;&lt;lastName&gt;Satrio&lt;/lastName&gt;&lt;/author&gt;&lt;author&gt;&lt;firstName&gt;Robert&lt;/firstName&gt;&lt;middleNames&gt;C&lt;/middleNames&gt;&lt;lastName&gt;Brown&lt;/lastName&gt;&lt;/author&gt;&lt;author&gt;&lt;firstName&gt;Brent&lt;/firstName&gt;&lt;middleNames&gt;H&lt;/middleNames&gt;&lt;lastName&gt;Shanks&lt;/lastName&gt;&lt;/author&gt;&lt;/authors&gt;&lt;/publication&gt;&lt;/publications&gt;&lt;cites&gt;&lt;/cites&gt;&lt;/citation&gt;</w:instrText>
      </w:r>
      <w:r w:rsidR="00FE5BF5">
        <w:fldChar w:fldCharType="separate"/>
      </w:r>
      <w:r w:rsidR="001C1AAC">
        <w:t>(</w:t>
      </w:r>
      <w:r w:rsidR="001C1AAC">
        <w:rPr>
          <w:i/>
          <w:iCs/>
        </w:rPr>
        <w:t>88</w:t>
      </w:r>
      <w:r w:rsidR="001C1AAC">
        <w:t>)</w:t>
      </w:r>
      <w:r w:rsidR="00FE5BF5">
        <w:fldChar w:fldCharType="end"/>
      </w:r>
      <w:r w:rsidR="00FE5BF5">
        <w:t xml:space="preserve"> </w:t>
      </w:r>
      <w:r w:rsidR="001C6665">
        <w:t>did not observe increasing acetaldehyde formation with added calcium in cellulose pyrolysis, acetic acid is not a major primary product of cellulose pyrolysis, unlike hemicellulose pyrolysis.</w:t>
      </w:r>
    </w:p>
    <w:p w14:paraId="1C6EA36D" w14:textId="2793B5EF" w:rsidR="00724AD2" w:rsidRPr="00724AD2" w:rsidRDefault="00724AD2" w:rsidP="00724AD2">
      <w:r w:rsidRPr="00724AD2">
        <w:t xml:space="preserve">Another torrefaction schema 2 relationship is predicted between the total ash content of the switchgrass and the alkyl phenol lump. Increasing yields with increases in the total ash content of the switchgrass is somewhat unexpected, as inorganics have been shown to primarily increase the kinds of secondary reactions which lead to char &amp; light gas formation. However, </w:t>
      </w:r>
      <w:r w:rsidR="00FE5BF5">
        <w:t>Raveendran and</w:t>
      </w:r>
      <w:r w:rsidRPr="00724AD2">
        <w:t xml:space="preserve"> Fahmi </w:t>
      </w:r>
      <w:r w:rsidR="00FE5BF5">
        <w:fldChar w:fldCharType="begin"/>
      </w:r>
      <w:r w:rsidR="00807999">
        <w:instrText xml:space="preserve"> ADDIN PAPERS2_CITATIONS &lt;citation&gt;&lt;uuid&gt;7895B153-83C5-496D-AA4D-E6D891BDC5CE&lt;/uuid&gt;&lt;priority&gt;0&lt;/priority&gt;&lt;publications&gt;&lt;publication&gt;&lt;uuid&gt;9EB397E6-A183-4817-A8D9-FC646A068E42&lt;/uuid&gt;&lt;volume&gt;74&lt;/volume&gt;&lt;doi&gt;10.1016/0016-2361(95)80013-8&lt;/doi&gt;&lt;startpage&gt;1812&lt;/startpage&gt;&lt;publication_date&gt;99199500001200000000200000&lt;/publication_date&gt;&lt;url&gt;http://linkinghub.elsevier.com/retrieve/pii/0016236195800138&lt;/url&gt;&lt;citekey&gt;Raveendran:1995dw&lt;/citekey&gt;&lt;type&gt;400&lt;/type&gt;&lt;title&gt;Influence of mineral matter on biomass pyrolysis characteristics&lt;/title&gt;&lt;number&gt;12&lt;/number&gt;&lt;subtype&gt;400&lt;/subtype&gt;&lt;endpage&gt;1822&lt;/endpage&gt;&lt;bundle&gt;&lt;publication&gt;&lt;publisher&gt;Elsevier Ltd&lt;/publisher&gt;&lt;title&gt;Fuel&lt;/title&gt;&lt;type&gt;-100&lt;/type&gt;&lt;subtype&gt;-100&lt;/subtype&gt;&lt;uuid&gt;E286CABA-D6F1-4A09-A385-6AFE55FAD8F4&lt;/uuid&gt;&lt;/publication&gt;&lt;/bundle&gt;&lt;authors&gt;&lt;author&gt;&lt;firstName&gt;K&lt;/firstName&gt;&lt;lastName&gt;Raveendran&lt;/lastName&gt;&lt;/author&gt;&lt;author&gt;&lt;firstName&gt;A&lt;/firstName&gt;&lt;lastName&gt;Ganesh&lt;/lastName&gt;&lt;/author&gt;&lt;author&gt;&lt;firstName&gt;K&lt;/firstName&gt;&lt;middleNames&gt;C&lt;/middleNames&gt;&lt;lastName&gt;Khilar&lt;/lastName&gt;&lt;/author&gt;&lt;/authors&gt;&lt;/publication&gt;&lt;publication&gt;&lt;uuid&gt;64BA3C00-A548-48B5-9D5C-1E8176783A55&lt;/uuid&gt;&lt;volume&gt;86&lt;/volume&gt;&lt;doi&gt;10.1016/j.fuel.2006.11.030&lt;/doi&gt;&lt;startpage&gt;1560&lt;/startpage&gt;&lt;publication_date&gt;99200700001200000000200000&lt;/publication_date&gt;&lt;url&gt;http://linkinghub.elsevier.com/retrieve/pii/S0016236106004789&lt;/url&gt;&lt;citekey&gt;Fahmi2007&lt;/citekey&gt;&lt;type&gt;400&lt;/type&gt;&lt;title&gt;The effect of alkali metals on combustion and pyrolysis of Lolium and Festuca grasses, switchgrass and willow&lt;/title&gt;&lt;number&gt;10-11&lt;/number&gt;&lt;subtype&gt;400&lt;/subtype&gt;&lt;endpage&gt;1569&lt;/endpage&gt;&lt;bundle&gt;&lt;publication&gt;&lt;publisher&gt;Elsevier Ltd&lt;/publisher&gt;&lt;title&gt;Fuel&lt;/title&gt;&lt;type&gt;-100&lt;/type&gt;&lt;subtype&gt;-100&lt;/subtype&gt;&lt;uuid&gt;E286CABA-D6F1-4A09-A385-6AFE55FAD8F4&lt;/uuid&gt;&lt;/publication&gt;&lt;/bundle&gt;&lt;authors&gt;&lt;author&gt;&lt;firstName&gt;R&lt;/firstName&gt;&lt;lastName&gt;Fahmi&lt;/lastName&gt;&lt;/author&gt;&lt;author&gt;&lt;firstName&gt;Anthony&lt;/firstName&gt;&lt;middleNames&gt;V&lt;/middleNames&gt;&lt;lastName&gt;Bridgwater&lt;/lastName&gt;&lt;/author&gt;&lt;author&gt;&lt;firstName&gt;Leilani&lt;/firstName&gt;&lt;middleNames&gt;I&lt;/middleNames&gt;&lt;lastName&gt;Darvell&lt;/lastName&gt;&lt;/author&gt;&lt;author&gt;&lt;firstName&gt;Jenny&lt;/firstName&gt;&lt;middleNames&gt;M&lt;/middleNames&gt;&lt;lastName&gt;Jones&lt;/lastName&gt;&lt;/author&gt;&lt;author&gt;&lt;firstName&gt;N&lt;/firstName&gt;&lt;lastName&gt;Yates&lt;/lastName&gt;&lt;/author&gt;&lt;author&gt;&lt;firstName&gt;S&lt;/firstName&gt;&lt;middleNames&gt;C&lt;/middleNames&gt;&lt;lastName&gt;Thain&lt;/lastName&gt;&lt;/author&gt;&lt;author&gt;&lt;firstName&gt;I&lt;/firstName&gt;&lt;middleNames&gt;S&lt;/middleNames&gt;&lt;lastName&gt;Donnison&lt;/lastName&gt;&lt;/author&gt;&lt;/authors&gt;&lt;/publication&gt;&lt;/publications&gt;&lt;cites&gt;&lt;/cites&gt;&lt;/citation&gt;</w:instrText>
      </w:r>
      <w:r w:rsidR="00FE5BF5">
        <w:fldChar w:fldCharType="separate"/>
      </w:r>
      <w:r w:rsidR="001C1AAC">
        <w:t>(</w:t>
      </w:r>
      <w:r w:rsidR="001C1AAC">
        <w:rPr>
          <w:i/>
          <w:iCs/>
        </w:rPr>
        <w:t>87</w:t>
      </w:r>
      <w:r w:rsidR="001C1AAC">
        <w:t xml:space="preserve">, </w:t>
      </w:r>
      <w:r w:rsidR="001C1AAC">
        <w:rPr>
          <w:i/>
          <w:iCs/>
        </w:rPr>
        <w:t>185</w:t>
      </w:r>
      <w:r w:rsidR="001C1AAC">
        <w:t>)</w:t>
      </w:r>
      <w:r w:rsidR="00FE5BF5">
        <w:fldChar w:fldCharType="end"/>
      </w:r>
      <w:r w:rsidR="00FE5BF5">
        <w:t xml:space="preserve"> independently </w:t>
      </w:r>
      <w:r w:rsidRPr="00724AD2">
        <w:t>compared the TGA profiles of various untreated and demineralized biomasses and found that the initial decomposition temperature was increased after demineralization. The inorganics in the biomass act as catalysts for the thermal decomposition of the cell wall polysacc</w:t>
      </w:r>
      <w:r w:rsidR="001946B0">
        <w:t>haride/lignin composite matrix</w:t>
      </w:r>
      <w:r w:rsidRPr="00724AD2">
        <w:t>. Higher inorganic content in the biomass would promote higher rates of decomposition of the cell wall, allowing for enhanced transport of the lignin decomposition product</w:t>
      </w:r>
      <w:r w:rsidR="00FE5BF5">
        <w:t>s out of the reacting particle,</w:t>
      </w:r>
      <w:r w:rsidRPr="00724AD2">
        <w:t xml:space="preserve"> limiting the char- and light gas-forming secondary reactions. </w:t>
      </w:r>
    </w:p>
    <w:p w14:paraId="3CB8001A" w14:textId="77777777" w:rsidR="00724AD2" w:rsidRDefault="00724AD2" w:rsidP="00724AD2">
      <w:pPr>
        <w:pStyle w:val="Heading3"/>
      </w:pPr>
      <w:bookmarkStart w:id="165" w:name="_Toc449964892"/>
      <w:r>
        <w:t>Pyrolysis Schema 2 Relationships</w:t>
      </w:r>
      <w:bookmarkEnd w:id="165"/>
    </w:p>
    <w:p w14:paraId="6FEAB5EA" w14:textId="77777777" w:rsidR="00807999" w:rsidRDefault="00724AD2" w:rsidP="00724AD2">
      <w:r>
        <w:t>Two of the three pyrolysis models predict schema 2 relationships (</w:t>
      </w:r>
      <w:r w:rsidR="00CD218B">
        <w:t>table 6.11</w:t>
      </w:r>
      <w:r>
        <w:t xml:space="preserve">), all involving inorganic components. The acetic acid model predicts increasing yields with </w:t>
      </w:r>
      <w:r>
        <w:lastRenderedPageBreak/>
        <w:t>potassium and decreasing yields with total ash content; while the promotion of acetic acid formation may suggest enhanced decomposition of hemicellulose sugars via secondary decomposition reactions with potassium</w:t>
      </w:r>
      <w:r w:rsidR="00262FEA">
        <w:t xml:space="preserve"> </w:t>
      </w:r>
      <w:r w:rsidR="00262FEA">
        <w:fldChar w:fldCharType="begin"/>
      </w:r>
      <w:r w:rsidR="00807999">
        <w:instrText xml:space="preserve"> ADDIN PAPERS2_CITATIONS &lt;citation&gt;&lt;uuid&gt;EB7EF7A6-3BE3-4405-8C81-3581D9E19E29&lt;/uuid&gt;&lt;priority&gt;0&lt;/priority&gt;&lt;publications&gt;&lt;publication&gt;&lt;uuid&gt;4460F59D-6619-4457-9151-2F14407B1520&lt;/uuid&gt;&lt;volume&gt;101&lt;/volume&gt;&lt;doi&gt;10.1016/j.biortech.2010.01.112&lt;/doi&gt;&lt;startpage&gt;4646&lt;/startpage&gt;&lt;publication_date&gt;99201006001200000000220000&lt;/publication_date&gt;&lt;url&gt;http://www.sciencedirect.com/science/article/pii/S0960852410001987&lt;/url&gt;&lt;type&gt;400&lt;/type&gt;&lt;title&gt;Influence of inorganic salts on the primary pyrolysis products of cellulose&lt;/title&gt;&lt;institution&gt;Shanks, BH</w:instrText>
      </w:r>
    </w:p>
    <w:p w14:paraId="4E8A43EB" w14:textId="77777777" w:rsidR="00807999" w:rsidRDefault="00807999" w:rsidP="00724AD2">
      <w:r>
        <w:instrText>Iowa State Univ, Dept Chem &amp;amp; Biol Engn, Ames, IA 50011 USA</w:instrText>
      </w:r>
    </w:p>
    <w:p w14:paraId="58A0D697" w14:textId="77777777" w:rsidR="00807999" w:rsidRDefault="00807999" w:rsidP="00724AD2">
      <w:r>
        <w:instrText>Iowa State Univ, Dept Chem &amp;amp; Biol Engn, Ames, IA 50011 USA</w:instrText>
      </w:r>
    </w:p>
    <w:p w14:paraId="3BAE9C58" w14:textId="77777777" w:rsidR="00807999" w:rsidRDefault="00807999" w:rsidP="00724AD2">
      <w:r>
        <w:instrText>Iowa State Univ, Dept Chem &amp;amp; Biol Engn, Ames, IA 50011 USA</w:instrText>
      </w:r>
    </w:p>
    <w:p w14:paraId="79E8C294" w14:textId="6E1E372F" w:rsidR="00724AD2" w:rsidRDefault="00807999" w:rsidP="00724AD2">
      <w:r>
        <w:instrText>Iowa State Univ, Ctr Sustainable Environm Technol, Ames, IA 50011 USA&lt;/institution&gt;&lt;number&gt;12&lt;/number&gt;&lt;subtype&gt;400&lt;/subtype&gt;&lt;endpage&gt;4655&lt;/endpage&gt;&lt;bundle&gt;&lt;publication&gt;&lt;publisher&gt;Elsevier Ltd&lt;/publisher&gt;&lt;title&gt;Bioresource technology&lt;/title&gt;&lt;type&gt;-100&lt;/type&gt;&lt;subtype&gt;-100&lt;/subtype&gt;&lt;uuid&gt;20FABC45-BAD7-4D11-A180-BCA66580D347&lt;/uuid&gt;&lt;/publication&gt;&lt;/bundle&gt;&lt;authors&gt;&lt;author&gt;&lt;firstName&gt;Pushkaraj&lt;/firstName&gt;&lt;middleNames&gt;R&lt;/middleNames&gt;&lt;lastName&gt;Patwardhan&lt;/lastName&gt;&lt;/author&gt;&lt;author&gt;&lt;firstName&gt;J&lt;/firstName&gt;&lt;middleNames&gt;A&lt;/middleNames&gt;&lt;lastName&gt;Satrio&lt;/lastName&gt;&lt;/author&gt;&lt;author&gt;&lt;firstName&gt;Robert&lt;/firstName&gt;&lt;middleNames&gt;C&lt;/middleNames&gt;&lt;lastName&gt;Brown&lt;/lastName&gt;&lt;/author&gt;&lt;author&gt;&lt;firstName&gt;Brent&lt;/firstName&gt;&lt;middleNames&gt;H&lt;/middleNames&gt;&lt;lastName&gt;Shanks&lt;/lastName&gt;&lt;/author&gt;&lt;/authors&gt;&lt;/publication&gt;&lt;/publications&gt;&lt;cites&gt;&lt;/cites&gt;&lt;/citation&gt;</w:instrText>
      </w:r>
      <w:r w:rsidR="00262FEA">
        <w:fldChar w:fldCharType="separate"/>
      </w:r>
      <w:r w:rsidR="001C1AAC">
        <w:t>(</w:t>
      </w:r>
      <w:r w:rsidR="001C1AAC">
        <w:rPr>
          <w:i/>
          <w:iCs/>
        </w:rPr>
        <w:t>88</w:t>
      </w:r>
      <w:r w:rsidR="001C1AAC">
        <w:t>)</w:t>
      </w:r>
      <w:r w:rsidR="00262FEA">
        <w:fldChar w:fldCharType="end"/>
      </w:r>
      <w:r w:rsidR="00724AD2">
        <w:t>, the acetic acid may be over-cracking to CO/CO</w:t>
      </w:r>
      <w:r w:rsidR="00724AD2" w:rsidRPr="00724AD2">
        <w:rPr>
          <w:vertAlign w:val="subscript"/>
        </w:rPr>
        <w:t>2</w:t>
      </w:r>
      <w:r w:rsidR="00724AD2">
        <w:t xml:space="preserve">, much like the effect of calcium on torrefaction acetic acid yields. Finally, the increasing yield of alkyl phenols with increased potassium content may be similar for that proposed for torrefaction above – enhanced decomposition of the cell walls leading to fewer secondary reactions. </w:t>
      </w:r>
    </w:p>
    <w:p w14:paraId="5987EF07" w14:textId="78262E83" w:rsidR="004A3245" w:rsidRDefault="004A3245" w:rsidP="004A3245">
      <w:pPr>
        <w:pStyle w:val="Heading3"/>
      </w:pPr>
      <w:bookmarkStart w:id="166" w:name="_Toc449964893"/>
      <w:r>
        <w:t>Schema 3 Relationships</w:t>
      </w:r>
      <w:bookmarkEnd w:id="166"/>
    </w:p>
    <w:p w14:paraId="584D9B0D" w14:textId="71CDA08A" w:rsidR="00B616D2" w:rsidRPr="00FA788C" w:rsidRDefault="004A3245" w:rsidP="00FA788C">
      <w:r>
        <w:t>One possible schema 3 relationship is predicted by the developed torrefaction models (none were apparent in the pyrolysis models) (</w:t>
      </w:r>
      <w:r w:rsidR="00CD218B">
        <w:t>table 6.10</w:t>
      </w:r>
      <w:r>
        <w:t xml:space="preserve">). Increased uronic acid (UA) content is positively correlated with lower yields of the alkyl phenols. Uronic acid is known to act as a crosslinker between lignin and hemicellulose </w:t>
      </w:r>
      <w:r w:rsidR="00262FEA">
        <w:fldChar w:fldCharType="begin"/>
      </w:r>
      <w:r w:rsidR="00807999">
        <w:instrText xml:space="preserve"> ADDIN PAPERS2_CITATIONS &lt;citation&gt;&lt;uuid&gt;3DD090CD-7F86-4227-91FE-3DAA39B65566&lt;/uuid&gt;&lt;priority&gt;0&lt;/priority&gt;&lt;publications&gt;&lt;publication&gt;&lt;uuid&gt;39A99C10-858D-4DC2-A7E1-B8A282D13187&lt;/uuid&gt;&lt;volume&gt;59&lt;/volume&gt;&lt;doi&gt;10.1021/jf2031549&lt;/doi&gt;&lt;startpage&gt;10604&lt;/startpage&gt;&lt;publication_date&gt;99201110121200000000222000&lt;/publication_date&gt;&lt;url&gt;http://eutils.ncbi.nlm.nih.gov/entrez/eutils/elink.fcgi?dbfrom=pubmed&amp;amp;id=21879769&amp;amp;retmode=ref&amp;amp;cmd=prlinks&lt;/url&gt;&lt;type&gt;400&lt;/type&gt;&lt;title&gt;Characterization of lignin structures and lignin-carbohydrate complex (LCC) linkages by quantitative 13C and 2D HSQC NMR spectroscopy.&lt;/title&gt;&lt;institution&gt;Institute of Biomass Chemistry and Technology, Beijing Forestry University , Beijing, China.&lt;/institution&gt;&lt;number&gt;19&lt;/number&gt;&lt;subtype&gt;400&lt;/subtype&gt;&lt;endpage&gt;10614&lt;/endpage&gt;&lt;bundle&gt;&lt;publication&gt;&lt;title&gt;Journal of agricultural and food chemistry&lt;/title&gt;&lt;type&gt;-100&lt;/type&gt;&lt;subtype&gt;-100&lt;/subtype&gt;&lt;uuid&gt;79D9744C-A749-4DAD-BBCF-DFFD654CDEDA&lt;/uuid&gt;&lt;/publication&gt;&lt;/bundle&gt;&lt;authors&gt;&lt;author&gt;&lt;firstName&gt;Tong-Qi&lt;/firstName&gt;&lt;lastName&gt;Yuan&lt;/lastName&gt;&lt;/author&gt;&lt;author&gt;&lt;firstName&gt;Shao-Ni&lt;/firstName&gt;&lt;lastName&gt;Sun&lt;/lastName&gt;&lt;/author&gt;&lt;author&gt;&lt;firstName&gt;Feng&lt;/firstName&gt;&lt;lastName&gt;Xu&lt;/lastName&gt;&lt;/author&gt;&lt;author&gt;&lt;firstName&gt;Run-Cang&lt;/firstName&gt;&lt;lastName&gt;Sun&lt;/lastName&gt;&lt;/author&gt;&lt;/authors&gt;&lt;/publication&gt;&lt;/publications&gt;&lt;cites&gt;&lt;/cites&gt;&lt;/citation&gt;</w:instrText>
      </w:r>
      <w:r w:rsidR="00262FEA">
        <w:fldChar w:fldCharType="separate"/>
      </w:r>
      <w:r w:rsidR="001C1AAC">
        <w:t>(</w:t>
      </w:r>
      <w:r w:rsidR="001C1AAC">
        <w:rPr>
          <w:i/>
          <w:iCs/>
        </w:rPr>
        <w:t>71</w:t>
      </w:r>
      <w:r w:rsidR="001C1AAC">
        <w:t>)</w:t>
      </w:r>
      <w:r w:rsidR="00262FEA">
        <w:fldChar w:fldCharType="end"/>
      </w:r>
      <w:r>
        <w:t>, in a similar functional role as the esterified ferulates. From a plot of the esterified ferulates and the uronic acid (</w:t>
      </w:r>
      <w:r w:rsidR="00CD218B" w:rsidRPr="00CD218B">
        <w:t>figure 6.4</w:t>
      </w:r>
      <w:r w:rsidRPr="00CD218B">
        <w:t>a</w:t>
      </w:r>
      <w:r>
        <w:t>), it appears there is a strong inverse relationship between these components in the full switchgrass population. However, this relationship is not present between the unincorporated p-coumaric acid or ferulic acid (</w:t>
      </w:r>
      <w:r w:rsidR="00CD218B" w:rsidRPr="00CD218B">
        <w:t>figure 6.4</w:t>
      </w:r>
      <w:r w:rsidR="00CD218B">
        <w:t>b</w:t>
      </w:r>
      <w:r w:rsidR="00CD218B" w:rsidRPr="00CD218B">
        <w:t xml:space="preserve"> </w:t>
      </w:r>
      <w:r w:rsidRPr="00CD218B">
        <w:t xml:space="preserve">&amp; </w:t>
      </w:r>
      <w:r w:rsidR="00CD218B" w:rsidRPr="00CD218B">
        <w:t>figure 6.4</w:t>
      </w:r>
      <w:r w:rsidRPr="00CD218B">
        <w:t>c</w:t>
      </w:r>
      <w:r>
        <w:t>). The uronic acid may thus be acting as a competitive crosslinker, limiting the esterification of the ferulates and thus their contribution to the overall alkyl phenol yield.</w:t>
      </w:r>
      <w:r w:rsidR="00B616D2">
        <w:br w:type="page"/>
      </w:r>
    </w:p>
    <w:p w14:paraId="2B301276" w14:textId="03867545" w:rsidR="00B616D2" w:rsidRDefault="00B616D2" w:rsidP="00434FE1">
      <w:pPr>
        <w:pStyle w:val="NoSpacing"/>
        <w:ind w:left="720" w:firstLine="720"/>
      </w:pPr>
      <w:r>
        <w:lastRenderedPageBreak/>
        <w:t>a</w:t>
      </w:r>
    </w:p>
    <w:p w14:paraId="34422A66" w14:textId="77777777" w:rsidR="00B616D2" w:rsidRDefault="00B616D2" w:rsidP="0000478D">
      <w:pPr>
        <w:pStyle w:val="NoSpacing"/>
        <w:jc w:val="center"/>
      </w:pPr>
      <w:r w:rsidRPr="002918B8">
        <w:rPr>
          <w:noProof/>
        </w:rPr>
        <w:drawing>
          <wp:inline distT="0" distB="0" distL="0" distR="0" wp14:anchorId="27AAC372" wp14:editId="0446CCEB">
            <wp:extent cx="3957320" cy="2269475"/>
            <wp:effectExtent l="0" t="0" r="5080" b="0"/>
            <wp:docPr id="481" name="Picture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8"/>
                    <a:srcRect b="67339"/>
                    <a:stretch/>
                  </pic:blipFill>
                  <pic:spPr bwMode="auto">
                    <a:xfrm>
                      <a:off x="0" y="0"/>
                      <a:ext cx="3957752" cy="2269723"/>
                    </a:xfrm>
                    <a:prstGeom prst="rect">
                      <a:avLst/>
                    </a:prstGeom>
                    <a:ln>
                      <a:noFill/>
                    </a:ln>
                    <a:extLst>
                      <a:ext uri="{53640926-AAD7-44D8-BBD7-CCE9431645EC}">
                        <a14:shadowObscured xmlns:a14="http://schemas.microsoft.com/office/drawing/2010/main"/>
                      </a:ext>
                    </a:extLst>
                  </pic:spPr>
                </pic:pic>
              </a:graphicData>
            </a:graphic>
          </wp:inline>
        </w:drawing>
      </w:r>
    </w:p>
    <w:p w14:paraId="56FB6749" w14:textId="408957E4" w:rsidR="00B616D2" w:rsidRDefault="00B616D2" w:rsidP="00434FE1">
      <w:pPr>
        <w:pStyle w:val="NoSpacing"/>
        <w:ind w:left="720" w:firstLine="720"/>
      </w:pPr>
      <w:r>
        <w:t>b</w:t>
      </w:r>
    </w:p>
    <w:p w14:paraId="1F232DBF" w14:textId="239EBA40" w:rsidR="00B616D2" w:rsidRDefault="00B616D2" w:rsidP="0000478D">
      <w:pPr>
        <w:pStyle w:val="NoSpacing"/>
        <w:jc w:val="center"/>
      </w:pPr>
      <w:r w:rsidRPr="002918B8">
        <w:rPr>
          <w:noProof/>
        </w:rPr>
        <w:drawing>
          <wp:inline distT="0" distB="0" distL="0" distR="0" wp14:anchorId="1B5BF621" wp14:editId="01A4FBCD">
            <wp:extent cx="3956846" cy="2104222"/>
            <wp:effectExtent l="0" t="0" r="5715" b="4445"/>
            <wp:docPr id="508" name="Picture 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8"/>
                    <a:srcRect t="35832" b="33883"/>
                    <a:stretch/>
                  </pic:blipFill>
                  <pic:spPr bwMode="auto">
                    <a:xfrm>
                      <a:off x="0" y="0"/>
                      <a:ext cx="3957752" cy="2104704"/>
                    </a:xfrm>
                    <a:prstGeom prst="rect">
                      <a:avLst/>
                    </a:prstGeom>
                    <a:ln>
                      <a:noFill/>
                    </a:ln>
                    <a:extLst>
                      <a:ext uri="{53640926-AAD7-44D8-BBD7-CCE9431645EC}">
                        <a14:shadowObscured xmlns:a14="http://schemas.microsoft.com/office/drawing/2010/main"/>
                      </a:ext>
                    </a:extLst>
                  </pic:spPr>
                </pic:pic>
              </a:graphicData>
            </a:graphic>
          </wp:inline>
        </w:drawing>
      </w:r>
    </w:p>
    <w:p w14:paraId="62DC3FE5" w14:textId="1BF9367A" w:rsidR="00B616D2" w:rsidRDefault="00B616D2" w:rsidP="00434FE1">
      <w:pPr>
        <w:pStyle w:val="NoSpacing"/>
        <w:ind w:left="720" w:firstLine="720"/>
      </w:pPr>
      <w:r>
        <w:t>c</w:t>
      </w:r>
    </w:p>
    <w:p w14:paraId="037E2D40" w14:textId="69615B60" w:rsidR="00724AD2" w:rsidRDefault="00BC599D" w:rsidP="0000478D">
      <w:pPr>
        <w:pStyle w:val="NoSpacing"/>
        <w:jc w:val="center"/>
      </w:pPr>
      <w:r w:rsidRPr="002918B8">
        <w:rPr>
          <w:noProof/>
        </w:rPr>
        <w:drawing>
          <wp:inline distT="0" distB="0" distL="0" distR="0" wp14:anchorId="7F066A23" wp14:editId="305909DD">
            <wp:extent cx="3957320" cy="2112276"/>
            <wp:effectExtent l="0" t="0" r="508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8"/>
                    <a:srcRect t="69602"/>
                    <a:stretch/>
                  </pic:blipFill>
                  <pic:spPr bwMode="auto">
                    <a:xfrm>
                      <a:off x="0" y="0"/>
                      <a:ext cx="3957752" cy="2112507"/>
                    </a:xfrm>
                    <a:prstGeom prst="rect">
                      <a:avLst/>
                    </a:prstGeom>
                    <a:ln>
                      <a:noFill/>
                    </a:ln>
                    <a:extLst>
                      <a:ext uri="{53640926-AAD7-44D8-BBD7-CCE9431645EC}">
                        <a14:shadowObscured xmlns:a14="http://schemas.microsoft.com/office/drawing/2010/main"/>
                      </a:ext>
                    </a:extLst>
                  </pic:spPr>
                </pic:pic>
              </a:graphicData>
            </a:graphic>
          </wp:inline>
        </w:drawing>
      </w:r>
    </w:p>
    <w:p w14:paraId="2CC21FC2" w14:textId="7924ED84" w:rsidR="004B12F3" w:rsidRDefault="00BC599D" w:rsidP="00BC599D">
      <w:pPr>
        <w:pStyle w:val="Caption"/>
        <w:rPr>
          <w:b w:val="0"/>
        </w:rPr>
      </w:pPr>
      <w:bookmarkStart w:id="167" w:name="_Toc449965012"/>
      <w:r w:rsidRPr="00E73E07">
        <w:t xml:space="preserve">Figure </w:t>
      </w:r>
      <w:fldSimple w:instr=" STYLEREF &quot;Chapter&quot; \s ">
        <w:r w:rsidR="00463F52">
          <w:rPr>
            <w:noProof/>
          </w:rPr>
          <w:t>6</w:t>
        </w:r>
      </w:fldSimple>
      <w:r w:rsidRPr="00E73E07">
        <w:t>.</w:t>
      </w:r>
      <w:fldSimple w:instr=" SEQ Figure \* ARABIC \s 1 ">
        <w:r w:rsidR="00463F52">
          <w:rPr>
            <w:noProof/>
          </w:rPr>
          <w:t>4</w:t>
        </w:r>
      </w:fldSimple>
      <w:r w:rsidRPr="00E73E07">
        <w:rPr>
          <w:noProof/>
        </w:rPr>
        <w:t>.</w:t>
      </w:r>
      <w:r w:rsidRPr="0087215B">
        <w:t xml:space="preserve"> </w:t>
      </w:r>
      <w:r w:rsidR="004B12F3">
        <w:rPr>
          <w:b w:val="0"/>
        </w:rPr>
        <w:t>U</w:t>
      </w:r>
      <w:r w:rsidRPr="00BC599D">
        <w:rPr>
          <w:b w:val="0"/>
        </w:rPr>
        <w:t>ronic acids vs. esterified ferulates in the</w:t>
      </w:r>
      <w:r w:rsidR="004B12F3">
        <w:rPr>
          <w:b w:val="0"/>
        </w:rPr>
        <w:t xml:space="preserve"> association panel.</w:t>
      </w:r>
      <w:bookmarkEnd w:id="167"/>
    </w:p>
    <w:p w14:paraId="3BBF3FB0" w14:textId="2E492EB8" w:rsidR="00421DB3" w:rsidRDefault="00BC599D" w:rsidP="00BC599D">
      <w:pPr>
        <w:pStyle w:val="Caption"/>
        <w:rPr>
          <w:b w:val="0"/>
        </w:rPr>
      </w:pPr>
      <w:r w:rsidRPr="00BC599D">
        <w:rPr>
          <w:b w:val="0"/>
        </w:rPr>
        <w:t>In (a), a strong inverse relationship and similar functional role implies a competitive relationship between these components of the biomass in crosslinking lignin to hemicelluloses. (b) and (c), the unincorporated ferulates, do not show a strong correlation with the uronic acids.</w:t>
      </w:r>
    </w:p>
    <w:p w14:paraId="62CDD565" w14:textId="77777777" w:rsidR="00421DB3" w:rsidRDefault="00421DB3">
      <w:pPr>
        <w:rPr>
          <w:bCs/>
          <w:szCs w:val="18"/>
        </w:rPr>
      </w:pPr>
      <w:r>
        <w:rPr>
          <w:b/>
        </w:rPr>
        <w:br w:type="page"/>
      </w:r>
    </w:p>
    <w:p w14:paraId="5F17011E" w14:textId="77777777" w:rsidR="00421DB3" w:rsidRDefault="00421DB3" w:rsidP="00421DB3">
      <w:pPr>
        <w:pStyle w:val="Heading3"/>
      </w:pPr>
      <w:bookmarkStart w:id="168" w:name="_Toc449964894"/>
      <w:r>
        <w:lastRenderedPageBreak/>
        <w:t>Bad models – things we couldn’t predict</w:t>
      </w:r>
      <w:bookmarkEnd w:id="168"/>
    </w:p>
    <w:p w14:paraId="1092D583" w14:textId="71F326C7" w:rsidR="00421DB3" w:rsidRDefault="00421DB3" w:rsidP="00421DB3">
      <w:r>
        <w:t xml:space="preserve">The light oxygenate compound lump consists of molecules which result from secondary reactions of primary thermochemical products and radical species in the vapors or cracking </w:t>
      </w:r>
      <w:r w:rsidR="00AC354C">
        <w:t>via reactions with</w:t>
      </w:r>
      <w:r>
        <w:t xml:space="preserve"> inorganics present in char – e.g., a ‘model 2’ relationship between the composition and the thermochemical products. As the modeling approach used did not consider interaction terms (which would have increased the variables to fit from 64 to over 400), the inability to model the response of this lump for pyrolysis and for torrefaction is somewhat unsurprising.  Other models which had poor predictive ability were the torrefaction methoxyphenols and the pyrolysis furfurals, levoglucosan, pyran, and sugars. Further modeling work on these compound lumps may be possible by collecting data on more switchgrass samples.</w:t>
      </w:r>
    </w:p>
    <w:p w14:paraId="663C8FC8" w14:textId="18238620" w:rsidR="00421DB3" w:rsidRDefault="00421DB3" w:rsidP="00421DB3">
      <w:r w:rsidRPr="00421DB3">
        <w:t>While the predictive ability of the model with regards to torrefaction &amp; pyrolysis light gases and torrefaction sugars was good, the interpretability of the coefficients for these models was poor. The coefficients of these</w:t>
      </w:r>
      <w:r w:rsidR="00262484">
        <w:t xml:space="preserve"> three</w:t>
      </w:r>
      <w:r w:rsidRPr="00421DB3">
        <w:t xml:space="preserve"> models are shown in </w:t>
      </w:r>
      <w:r w:rsidR="008377C7">
        <w:t>6.5 and 6.6</w:t>
      </w:r>
      <w:r w:rsidRPr="00421DB3">
        <w:t>; of these, the pyrolysis light gas model is the only one with coefficients which have been demonstrated or theorized by other work in the literature to contribute to the product lump’s formation; however, it also includes components which do not reflect observations extant in the literature. This plus the high number of included predictors suggests that this model may be over-fitted to the data and is rejected on those grounds. The other two models (torrefaction light gas &amp; torrefaction sugars) do not include any relationships suggested by other literature. These are therefore likely non</w:t>
      </w:r>
      <w:r w:rsidR="003762F5">
        <w:t>-</w:t>
      </w:r>
      <w:r w:rsidRPr="00421DB3">
        <w:t xml:space="preserve">causal correlations, or artifacts of the implemented modeling methodology. Like the light </w:t>
      </w:r>
      <w:r w:rsidRPr="00421DB3">
        <w:lastRenderedPageBreak/>
        <w:t>oxygenates above, further data collection to improve the modeling process could shed more light on relationships between compound lumps and the biomass composition.</w:t>
      </w:r>
    </w:p>
    <w:p w14:paraId="1645F733" w14:textId="77777777" w:rsidR="003762F5" w:rsidRDefault="003762F5" w:rsidP="00B52899">
      <w:pPr>
        <w:pStyle w:val="Heading3"/>
      </w:pPr>
      <w:bookmarkStart w:id="169" w:name="_Toc449964895"/>
      <w:r>
        <w:t>Prediction of larger association panel population</w:t>
      </w:r>
      <w:bookmarkEnd w:id="169"/>
    </w:p>
    <w:p w14:paraId="152922E4" w14:textId="77777777" w:rsidR="003762F5" w:rsidRPr="00533EA4" w:rsidRDefault="003762F5" w:rsidP="00533EA4">
      <w:pPr>
        <w:pStyle w:val="Heading4"/>
      </w:pPr>
      <w:r w:rsidRPr="00533EA4">
        <w:t>Torrefaction predictions</w:t>
      </w:r>
    </w:p>
    <w:p w14:paraId="662C439E" w14:textId="03898679" w:rsidR="003762F5" w:rsidRDefault="003762F5" w:rsidP="003762F5">
      <w:r>
        <w:t xml:space="preserve">Following the development and evaluation of the predictive models, the four torrefaction models with good predictive ability – acetic acid, alkyl phenols, furfurals, and pyrans – were used to predict the yield of </w:t>
      </w:r>
      <w:r w:rsidR="00804762">
        <w:t>1,096 complete cases (i.e., no missing predictor data) from the approximately 1300 member association panel</w:t>
      </w:r>
      <w:r>
        <w:t xml:space="preserve">. Histograms showing the distributions of the predicted values are shown in </w:t>
      </w:r>
      <w:r w:rsidR="00262484" w:rsidRPr="00262484">
        <w:t>figure 6.5</w:t>
      </w:r>
      <w:r>
        <w:t>. These figures indicate that the test samples used captured the predicted diversity of the association panel’s thermochemical product distribution well, as the test samples’ observed yields span the predicted yield distributions.</w:t>
      </w:r>
    </w:p>
    <w:p w14:paraId="63F07FFA" w14:textId="3F75D76E" w:rsidR="00810696" w:rsidRDefault="00533EA4" w:rsidP="0000478D">
      <w:pPr>
        <w:pStyle w:val="NoSpacing"/>
        <w:jc w:val="center"/>
      </w:pPr>
      <w:r w:rsidRPr="003772E4">
        <w:rPr>
          <w:noProof/>
        </w:rPr>
        <w:drawing>
          <wp:inline distT="0" distB="0" distL="0" distR="0" wp14:anchorId="2CC8E798" wp14:editId="361759B5">
            <wp:extent cx="5394960" cy="393944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5394960" cy="3939445"/>
                    </a:xfrm>
                    <a:prstGeom prst="rect">
                      <a:avLst/>
                    </a:prstGeom>
                  </pic:spPr>
                </pic:pic>
              </a:graphicData>
            </a:graphic>
          </wp:inline>
        </w:drawing>
      </w:r>
    </w:p>
    <w:p w14:paraId="34225481" w14:textId="50B02497" w:rsidR="001B3EEC" w:rsidRDefault="00533EA4" w:rsidP="00810696">
      <w:pPr>
        <w:pStyle w:val="Caption"/>
        <w:rPr>
          <w:b w:val="0"/>
        </w:rPr>
      </w:pPr>
      <w:bookmarkStart w:id="170" w:name="_Toc449965013"/>
      <w:r w:rsidRPr="00E73E07">
        <w:lastRenderedPageBreak/>
        <w:t xml:space="preserve">Figure </w:t>
      </w:r>
      <w:fldSimple w:instr=" STYLEREF &quot;Chapter&quot; \s ">
        <w:r w:rsidR="00463F52">
          <w:rPr>
            <w:noProof/>
          </w:rPr>
          <w:t>6</w:t>
        </w:r>
      </w:fldSimple>
      <w:r w:rsidRPr="00E73E07">
        <w:t>.</w:t>
      </w:r>
      <w:fldSimple w:instr=" SEQ Figure \* ARABIC \s 1 ">
        <w:r w:rsidR="00463F52">
          <w:rPr>
            <w:noProof/>
          </w:rPr>
          <w:t>5</w:t>
        </w:r>
      </w:fldSimple>
      <w:r w:rsidRPr="00E73E07">
        <w:rPr>
          <w:noProof/>
        </w:rPr>
        <w:t>.</w:t>
      </w:r>
      <w:r w:rsidRPr="0087215B">
        <w:t xml:space="preserve"> </w:t>
      </w:r>
      <w:r w:rsidRPr="00810696">
        <w:rPr>
          <w:b w:val="0"/>
        </w:rPr>
        <w:t xml:space="preserve">Histograms of the predicted yield values of the indicated compound lumps for the </w:t>
      </w:r>
      <w:r w:rsidR="001B3EEC">
        <w:rPr>
          <w:b w:val="0"/>
        </w:rPr>
        <w:t xml:space="preserve">1,096 </w:t>
      </w:r>
      <w:r w:rsidR="00804762">
        <w:rPr>
          <w:b w:val="0"/>
        </w:rPr>
        <w:t>complete cases of the approximately 1</w:t>
      </w:r>
      <w:r w:rsidR="003B0781">
        <w:rPr>
          <w:b w:val="0"/>
        </w:rPr>
        <w:t>,</w:t>
      </w:r>
      <w:r w:rsidR="00804762">
        <w:rPr>
          <w:b w:val="0"/>
        </w:rPr>
        <w:t xml:space="preserve">300 </w:t>
      </w:r>
      <w:r w:rsidR="001B3EEC">
        <w:rPr>
          <w:b w:val="0"/>
        </w:rPr>
        <w:t>member association panel.</w:t>
      </w:r>
      <w:bookmarkEnd w:id="170"/>
    </w:p>
    <w:p w14:paraId="0D2CBB50" w14:textId="241099C1" w:rsidR="003762F5" w:rsidRPr="00421DB3" w:rsidRDefault="00533EA4" w:rsidP="00810696">
      <w:pPr>
        <w:pStyle w:val="Caption"/>
      </w:pPr>
      <w:r w:rsidRPr="00810696">
        <w:rPr>
          <w:b w:val="0"/>
        </w:rPr>
        <w:t>Red bars indicate the observed values of the test set, with their height increased for visibility purposes. The observed values span almost the full range of the predicted values for all four models.</w:t>
      </w:r>
    </w:p>
    <w:p w14:paraId="462EDED2" w14:textId="77777777" w:rsidR="001C6665" w:rsidRDefault="001C6665" w:rsidP="00421DB3"/>
    <w:p w14:paraId="2FCAEB4D" w14:textId="0EC55583" w:rsidR="00B75A1D" w:rsidRDefault="00B75A1D" w:rsidP="00B75A1D">
      <w:r w:rsidRPr="00B75A1D">
        <w:t xml:space="preserve">To simplify the predicted lumps for further exploration of the predictions (specifically, that three-variable graphs are more easily interpretable than four-variable graphs), the furfurals &amp; pyrans lumps were combined into a single lump, leaving us with three lumps – acetic acid, alkyl phenols, and furfurals/pyrans. These three predicted lumps are plotted together </w:t>
      </w:r>
      <w:r w:rsidR="00262484">
        <w:t>in figure</w:t>
      </w:r>
      <w:r w:rsidRPr="00B75A1D">
        <w:t xml:space="preserve"> </w:t>
      </w:r>
      <w:r w:rsidR="00262484">
        <w:t>6.6</w:t>
      </w:r>
      <w:r w:rsidRPr="00B75A1D">
        <w:t xml:space="preserve">. The predicted yields of these three lumps show some mild </w:t>
      </w:r>
      <w:r w:rsidR="00262484">
        <w:t>correlation</w:t>
      </w:r>
      <w:r w:rsidRPr="00B75A1D">
        <w:t xml:space="preserve">, with high yields of the alkyl phenols generally correlating with high yields of acetic acid and generally higher levels of the combined furfurals &amp; </w:t>
      </w:r>
      <w:r w:rsidR="00262484">
        <w:t>pyrans.</w:t>
      </w:r>
      <w:r w:rsidRPr="00B75A1D">
        <w:t xml:space="preserve"> </w:t>
      </w:r>
    </w:p>
    <w:p w14:paraId="7B7846A6" w14:textId="5578C5BC" w:rsidR="00ED7F30" w:rsidRPr="008C2261" w:rsidRDefault="00B75A1D" w:rsidP="00FA073A">
      <w:r>
        <w:br w:type="page"/>
      </w:r>
    </w:p>
    <w:p w14:paraId="69B550EE" w14:textId="43F9BE02" w:rsidR="00B0491E" w:rsidRDefault="00FA073A" w:rsidP="0000478D">
      <w:pPr>
        <w:pStyle w:val="NoSpacing"/>
      </w:pPr>
      <w:r>
        <w:rPr>
          <w:noProof/>
        </w:rPr>
        <w:lastRenderedPageBreak/>
        <w:drawing>
          <wp:inline distT="0" distB="0" distL="0" distR="0" wp14:anchorId="4F191010" wp14:editId="702CC863">
            <wp:extent cx="7498080" cy="5355898"/>
            <wp:effectExtent l="4445" t="0" r="0" b="0"/>
            <wp:docPr id="42" name="Picture 42" descr="../../../../Dropbox/Biomass%20Pyrolysis/Manuscripts/Switchgrass%20modeling/Data/torrefaction/Figure%20xx%20-%20Colorful%20torrefactin%20p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ropbox/Biomass%20Pyrolysis/Manuscripts/Switchgrass%20modeling/Data/torrefaction/Figure%20xx%20-%20Colorful%20torrefactin%20pre"/>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rot="16200000">
                      <a:off x="0" y="0"/>
                      <a:ext cx="7498080" cy="5355898"/>
                    </a:xfrm>
                    <a:prstGeom prst="rect">
                      <a:avLst/>
                    </a:prstGeom>
                    <a:noFill/>
                    <a:ln>
                      <a:noFill/>
                    </a:ln>
                  </pic:spPr>
                </pic:pic>
              </a:graphicData>
            </a:graphic>
          </wp:inline>
        </w:drawing>
      </w:r>
    </w:p>
    <w:p w14:paraId="6194029C" w14:textId="384EFBF4" w:rsidR="001B3EEC" w:rsidRDefault="00FA073A" w:rsidP="000D521D">
      <w:pPr>
        <w:pStyle w:val="Caption"/>
        <w:rPr>
          <w:b w:val="0"/>
        </w:rPr>
      </w:pPr>
      <w:bookmarkStart w:id="171" w:name="_Toc449965014"/>
      <w:r w:rsidRPr="00E73E07">
        <w:t xml:space="preserve">Figure </w:t>
      </w:r>
      <w:fldSimple w:instr=" STYLEREF &quot;Chapter&quot; \s ">
        <w:r w:rsidR="00463F52">
          <w:rPr>
            <w:noProof/>
          </w:rPr>
          <w:t>6</w:t>
        </w:r>
      </w:fldSimple>
      <w:r w:rsidRPr="00E73E07">
        <w:t>.</w:t>
      </w:r>
      <w:fldSimple w:instr=" SEQ Figure \* ARABIC \s 1 ">
        <w:r w:rsidR="00463F52">
          <w:rPr>
            <w:noProof/>
          </w:rPr>
          <w:t>6</w:t>
        </w:r>
      </w:fldSimple>
      <w:r w:rsidRPr="00E73E07">
        <w:rPr>
          <w:noProof/>
        </w:rPr>
        <w:t>.</w:t>
      </w:r>
      <w:r w:rsidRPr="0087215B">
        <w:t xml:space="preserve"> </w:t>
      </w:r>
      <w:r w:rsidRPr="00FA073A">
        <w:rPr>
          <w:b w:val="0"/>
        </w:rPr>
        <w:t xml:space="preserve">Predicted torrefaction compound lump yields for the </w:t>
      </w:r>
      <w:r w:rsidR="003B0781">
        <w:rPr>
          <w:b w:val="0"/>
        </w:rPr>
        <w:t>1,096 complete cases of the approximately 1,300 member association panel</w:t>
      </w:r>
      <w:r w:rsidR="001B3EEC">
        <w:rPr>
          <w:b w:val="0"/>
        </w:rPr>
        <w:t>.</w:t>
      </w:r>
      <w:bookmarkEnd w:id="171"/>
    </w:p>
    <w:p w14:paraId="51577FF5" w14:textId="06350599" w:rsidR="006A5689" w:rsidRDefault="00FA073A" w:rsidP="000D521D">
      <w:pPr>
        <w:pStyle w:val="Caption"/>
      </w:pPr>
      <w:r>
        <w:rPr>
          <w:b w:val="0"/>
        </w:rPr>
        <w:t>Pyrans and furfurals have been combined for simplicity.</w:t>
      </w:r>
      <w:r w:rsidR="006A5689">
        <w:br w:type="page"/>
      </w:r>
    </w:p>
    <w:p w14:paraId="450AEF52" w14:textId="77777777" w:rsidR="000D521D" w:rsidRDefault="006A5689" w:rsidP="0000478D">
      <w:pPr>
        <w:pStyle w:val="NoSpacing"/>
      </w:pPr>
      <w:r>
        <w:rPr>
          <w:noProof/>
        </w:rPr>
        <w:lastRenderedPageBreak/>
        <w:drawing>
          <wp:inline distT="0" distB="0" distL="0" distR="0" wp14:anchorId="39F9B863" wp14:editId="6C410A1F">
            <wp:extent cx="7468675" cy="5394906"/>
            <wp:effectExtent l="0" t="4445" r="0" b="0"/>
            <wp:docPr id="43" name="Picture 43" descr="../../../../Dropbox/Biomass%20Pyrolysis/Manuscripts/Switchgrass%20modeling/Data/torrefaction/Figure%20xx%20-%20Colorful%20UP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ropbox/Biomass%20Pyrolysis/Manuscripts/Switchgrass%20modeling/Data/torrefaction/Figure%20xx%20-%20Colorful%20UPPER"/>
                    <pic:cNvPicPr>
                      <a:picLocks noChangeAspect="1" noChangeArrowheads="1"/>
                    </pic:cNvPicPr>
                  </pic:nvPicPr>
                  <pic:blipFill rotWithShape="1">
                    <a:blip r:embed="rId81">
                      <a:extLst>
                        <a:ext uri="{28A0092B-C50C-407E-A947-70E740481C1C}">
                          <a14:useLocalDpi xmlns:a14="http://schemas.microsoft.com/office/drawing/2010/main" val="0"/>
                        </a:ext>
                      </a:extLst>
                    </a:blip>
                    <a:srcRect l="1112"/>
                    <a:stretch/>
                  </pic:blipFill>
                  <pic:spPr bwMode="auto">
                    <a:xfrm rot="16200000">
                      <a:off x="0" y="0"/>
                      <a:ext cx="7468750" cy="5394960"/>
                    </a:xfrm>
                    <a:prstGeom prst="rect">
                      <a:avLst/>
                    </a:prstGeom>
                    <a:noFill/>
                    <a:ln>
                      <a:noFill/>
                    </a:ln>
                    <a:extLst>
                      <a:ext uri="{53640926-AAD7-44D8-BBD7-CCE9431645EC}">
                        <a14:shadowObscured xmlns:a14="http://schemas.microsoft.com/office/drawing/2010/main"/>
                      </a:ext>
                    </a:extLst>
                  </pic:spPr>
                </pic:pic>
              </a:graphicData>
            </a:graphic>
          </wp:inline>
        </w:drawing>
      </w:r>
    </w:p>
    <w:p w14:paraId="6F102890" w14:textId="027B0F0C" w:rsidR="001B3EEC" w:rsidRDefault="000D521D" w:rsidP="000D521D">
      <w:pPr>
        <w:pStyle w:val="Caption"/>
        <w:rPr>
          <w:b w:val="0"/>
        </w:rPr>
      </w:pPr>
      <w:bookmarkStart w:id="172" w:name="_Toc449965015"/>
      <w:r w:rsidRPr="00E73E07">
        <w:t xml:space="preserve">Figure </w:t>
      </w:r>
      <w:fldSimple w:instr=" STYLEREF &quot;Chapter&quot; \s ">
        <w:r w:rsidR="00463F52">
          <w:rPr>
            <w:noProof/>
          </w:rPr>
          <w:t>6</w:t>
        </w:r>
      </w:fldSimple>
      <w:r w:rsidRPr="00E73E07">
        <w:t>.</w:t>
      </w:r>
      <w:fldSimple w:instr=" SEQ Figure \* ARABIC \s 1 ">
        <w:r w:rsidR="00463F52">
          <w:rPr>
            <w:noProof/>
          </w:rPr>
          <w:t>7</w:t>
        </w:r>
      </w:fldSimple>
      <w:r w:rsidRPr="00E73E07">
        <w:rPr>
          <w:noProof/>
        </w:rPr>
        <w:t>.</w:t>
      </w:r>
      <w:r w:rsidRPr="0087215B">
        <w:t xml:space="preserve"> </w:t>
      </w:r>
      <w:r w:rsidRPr="00FA073A">
        <w:rPr>
          <w:b w:val="0"/>
        </w:rPr>
        <w:t xml:space="preserve">Predicted torrefaction compound lump yields for the </w:t>
      </w:r>
      <w:r w:rsidR="00AE15D7">
        <w:rPr>
          <w:b w:val="0"/>
        </w:rPr>
        <w:t>1,096 complete cases of the approximately 1,300 member association panel</w:t>
      </w:r>
      <w:r>
        <w:rPr>
          <w:b w:val="0"/>
        </w:rPr>
        <w:t xml:space="preserve">, replotted to show </w:t>
      </w:r>
      <w:r w:rsidR="00262484">
        <w:rPr>
          <w:b w:val="0"/>
        </w:rPr>
        <w:t xml:space="preserve">only </w:t>
      </w:r>
      <w:r>
        <w:rPr>
          <w:b w:val="0"/>
        </w:rPr>
        <w:t xml:space="preserve">the upper quadrant of </w:t>
      </w:r>
      <w:r w:rsidRPr="00262484">
        <w:rPr>
          <w:b w:val="0"/>
        </w:rPr>
        <w:t xml:space="preserve">figure </w:t>
      </w:r>
      <w:r w:rsidR="00262484">
        <w:rPr>
          <w:b w:val="0"/>
        </w:rPr>
        <w:t>6.6</w:t>
      </w:r>
      <w:r w:rsidR="001B3EEC">
        <w:rPr>
          <w:b w:val="0"/>
        </w:rPr>
        <w:t>.</w:t>
      </w:r>
      <w:bookmarkEnd w:id="172"/>
    </w:p>
    <w:p w14:paraId="790AD809" w14:textId="59F10836" w:rsidR="000D521D" w:rsidRDefault="000D521D" w:rsidP="000D521D">
      <w:pPr>
        <w:pStyle w:val="Caption"/>
      </w:pPr>
      <w:r>
        <w:rPr>
          <w:b w:val="0"/>
        </w:rPr>
        <w:t>Pyrans and furfurals have been combined for simplicity.</w:t>
      </w:r>
      <w:r>
        <w:br w:type="page"/>
      </w:r>
    </w:p>
    <w:p w14:paraId="639C888F" w14:textId="34400C3A" w:rsidR="00F04EC4" w:rsidRPr="00F04EC4" w:rsidRDefault="00F04EC4" w:rsidP="00F04EC4">
      <w:r w:rsidRPr="00F04EC4">
        <w:lastRenderedPageBreak/>
        <w:t>The composition of the switchgrasses in this upper quadrant (</w:t>
      </w:r>
      <w:r w:rsidR="00262484">
        <w:t>figure 6.6</w:t>
      </w:r>
      <w:r w:rsidRPr="00F04EC4">
        <w:t xml:space="preserve">) are of particular interest for improving the staged thermal fractionation process as discussed in </w:t>
      </w:r>
      <w:r w:rsidRPr="00262484">
        <w:t xml:space="preserve">chapter </w:t>
      </w:r>
      <w:r w:rsidR="00262484">
        <w:t>5</w:t>
      </w:r>
      <w:r w:rsidRPr="00F04EC4">
        <w:t xml:space="preserve">. Higher yields of acetic acid, furfurals, and pyrans at these torrefaction conditions is desirable, as this implies better thermal segregation of these compounds into the two lower temperature stages. </w:t>
      </w:r>
      <w:r w:rsidR="00262484" w:rsidRPr="00262484">
        <w:t>Figure 6.8</w:t>
      </w:r>
      <w:r w:rsidRPr="00F04EC4">
        <w:t xml:space="preserve"> shows the underlying compositional features for these four predictive models, with overlaid highlights of the high and low phenolics yields for switchgrasses which appear in the upper quadrant plot (</w:t>
      </w:r>
      <w:r w:rsidR="00262484">
        <w:t>figure 6.7</w:t>
      </w:r>
      <w:r w:rsidRPr="00F04EC4">
        <w:t xml:space="preserve">). From these distributions, it appears that the pCA and esterified ferulates are predicted to have the most influence over the yield of the alkyl phenols for the switchgrasses with high predicted acetic acid, furfurals, and pyrans yields. In consideration of the optimal segregation strategy recommended in </w:t>
      </w:r>
      <w:r w:rsidR="00262484">
        <w:t>chapter 5</w:t>
      </w:r>
      <w:r w:rsidRPr="00F04EC4">
        <w:t>, switchgrasses with higher amounts of esterified ferulates and pCA may be desirable feedstocks for torrefaction.</w:t>
      </w:r>
      <w:r w:rsidR="00E54C4F" w:rsidRPr="00E54C4F">
        <w:t xml:space="preserve"> </w:t>
      </w:r>
      <w:r w:rsidR="00E54C4F">
        <w:br w:type="page"/>
      </w:r>
    </w:p>
    <w:p w14:paraId="11517CA2" w14:textId="7F12DC66" w:rsidR="006A5689" w:rsidRDefault="00E54C4F" w:rsidP="0000478D">
      <w:pPr>
        <w:pStyle w:val="NoSpacing"/>
      </w:pPr>
      <w:r>
        <w:rPr>
          <w:noProof/>
        </w:rPr>
        <w:lastRenderedPageBreak/>
        <w:drawing>
          <wp:inline distT="0" distB="0" distL="0" distR="0" wp14:anchorId="26560DFF" wp14:editId="1EB0A69D">
            <wp:extent cx="7315200" cy="4441865"/>
            <wp:effectExtent l="0" t="11113" r="0" b="0"/>
            <wp:docPr id="47" name="Picture 47" descr="../../../../Dropbox/Biomass%20Pyrolysis/Manuscripts/Switchgrass%20modeling/Data/torrefaction/Figure%20xx%20-%20upper%20quad%20dist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ropbox/Biomass%20Pyrolysis/Manuscripts/Switchgrass%20modeling/Data/torrefaction/Figure%20xx%20-%20upper%20quad%20distri"/>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rot="16200000">
                      <a:off x="0" y="0"/>
                      <a:ext cx="7315200" cy="4441865"/>
                    </a:xfrm>
                    <a:prstGeom prst="rect">
                      <a:avLst/>
                    </a:prstGeom>
                    <a:noFill/>
                    <a:ln>
                      <a:noFill/>
                    </a:ln>
                  </pic:spPr>
                </pic:pic>
              </a:graphicData>
            </a:graphic>
          </wp:inline>
        </w:drawing>
      </w:r>
      <w:r w:rsidRPr="006644F6">
        <w:rPr>
          <w:noProof/>
        </w:rPr>
        <w:drawing>
          <wp:inline distT="0" distB="0" distL="0" distR="0" wp14:anchorId="119E2AFF" wp14:editId="1B68729C">
            <wp:extent cx="6751558" cy="610870"/>
            <wp:effectExtent l="0" t="3175" r="190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3"/>
                    <a:srcRect l="-25034"/>
                    <a:stretch/>
                  </pic:blipFill>
                  <pic:spPr bwMode="auto">
                    <a:xfrm rot="16200000">
                      <a:off x="0" y="0"/>
                      <a:ext cx="6763251" cy="611928"/>
                    </a:xfrm>
                    <a:prstGeom prst="rect">
                      <a:avLst/>
                    </a:prstGeom>
                    <a:ln>
                      <a:noFill/>
                    </a:ln>
                    <a:extLst>
                      <a:ext uri="{53640926-AAD7-44D8-BBD7-CCE9431645EC}">
                        <a14:shadowObscured xmlns:a14="http://schemas.microsoft.com/office/drawing/2010/main"/>
                      </a:ex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
                      </a:ext>
                    </a:extLst>
                  </pic:spPr>
                </pic:pic>
              </a:graphicData>
            </a:graphic>
          </wp:inline>
        </w:drawing>
      </w:r>
    </w:p>
    <w:p w14:paraId="15DDF83B" w14:textId="195FC5EA" w:rsidR="001B3EEC" w:rsidRDefault="00322520" w:rsidP="00322520">
      <w:pPr>
        <w:pStyle w:val="Caption"/>
        <w:rPr>
          <w:b w:val="0"/>
        </w:rPr>
      </w:pPr>
      <w:bookmarkStart w:id="173" w:name="_Toc449965016"/>
      <w:r w:rsidRPr="00E73E07">
        <w:t xml:space="preserve">Figure </w:t>
      </w:r>
      <w:fldSimple w:instr=" STYLEREF &quot;Chapter&quot; \s ">
        <w:r w:rsidR="00463F52">
          <w:rPr>
            <w:noProof/>
          </w:rPr>
          <w:t>6</w:t>
        </w:r>
      </w:fldSimple>
      <w:r w:rsidRPr="00E73E07">
        <w:t>.</w:t>
      </w:r>
      <w:fldSimple w:instr=" SEQ Figure \* ARABIC \s 1 ">
        <w:r w:rsidR="00463F52">
          <w:rPr>
            <w:noProof/>
          </w:rPr>
          <w:t>8</w:t>
        </w:r>
      </w:fldSimple>
      <w:r w:rsidRPr="00E73E07">
        <w:rPr>
          <w:noProof/>
        </w:rPr>
        <w:t>.</w:t>
      </w:r>
      <w:r w:rsidRPr="0087215B">
        <w:t xml:space="preserve"> </w:t>
      </w:r>
      <w:r w:rsidRPr="00322520">
        <w:rPr>
          <w:b w:val="0"/>
        </w:rPr>
        <w:t xml:space="preserve">Compositional feature distributions from the </w:t>
      </w:r>
      <w:r w:rsidR="004C76A8">
        <w:rPr>
          <w:b w:val="0"/>
        </w:rPr>
        <w:t>1,096 complete cases of the approximately 1,300 member association panel</w:t>
      </w:r>
      <w:r w:rsidR="0011188A">
        <w:rPr>
          <w:b w:val="0"/>
        </w:rPr>
        <w:t xml:space="preserve"> </w:t>
      </w:r>
      <w:r w:rsidRPr="00322520">
        <w:rPr>
          <w:b w:val="0"/>
        </w:rPr>
        <w:t>which are use</w:t>
      </w:r>
      <w:r w:rsidR="001B3EEC">
        <w:rPr>
          <w:b w:val="0"/>
        </w:rPr>
        <w:t>d in the 4 predictive models.</w:t>
      </w:r>
      <w:bookmarkEnd w:id="173"/>
    </w:p>
    <w:p w14:paraId="205DF73C" w14:textId="05FB75F4" w:rsidR="00322520" w:rsidRDefault="00322520" w:rsidP="00322520">
      <w:pPr>
        <w:pStyle w:val="Caption"/>
      </w:pPr>
      <w:r w:rsidRPr="00322520">
        <w:rPr>
          <w:b w:val="0"/>
        </w:rPr>
        <w:t xml:space="preserve">The colored shaded areas are the panel members predicted to be in the upper quadrant of </w:t>
      </w:r>
      <w:r w:rsidRPr="00262484">
        <w:rPr>
          <w:b w:val="0"/>
        </w:rPr>
        <w:t xml:space="preserve">figure </w:t>
      </w:r>
      <w:r w:rsidR="00262484" w:rsidRPr="00262484">
        <w:rPr>
          <w:b w:val="0"/>
        </w:rPr>
        <w:t>6.6</w:t>
      </w:r>
      <w:r w:rsidRPr="00262484">
        <w:rPr>
          <w:b w:val="0"/>
        </w:rPr>
        <w:t xml:space="preserve"> (e.g., in figure </w:t>
      </w:r>
      <w:r w:rsidR="00262484" w:rsidRPr="00262484">
        <w:rPr>
          <w:b w:val="0"/>
        </w:rPr>
        <w:t>6.7</w:t>
      </w:r>
      <w:r w:rsidRPr="00262484">
        <w:rPr>
          <w:b w:val="0"/>
        </w:rPr>
        <w:t>).</w:t>
      </w:r>
      <w:r>
        <w:br w:type="page"/>
      </w:r>
    </w:p>
    <w:p w14:paraId="757C25D8" w14:textId="77777777" w:rsidR="00E902FE" w:rsidRDefault="00E902FE" w:rsidP="00E902FE">
      <w:pPr>
        <w:pStyle w:val="Heading4"/>
      </w:pPr>
      <w:r>
        <w:lastRenderedPageBreak/>
        <w:t>Pyrolysis predictions</w:t>
      </w:r>
    </w:p>
    <w:p w14:paraId="36C4B72C" w14:textId="6172D988" w:rsidR="00E902FE" w:rsidRDefault="00E902FE" w:rsidP="00E902FE">
      <w:r>
        <w:t xml:space="preserve">In the same fashion, the yields of the 1,096 member association panel are predicted for the three pyrolysis models with good predictive ability. Histograms showing the distributions of the predicted values are shown in </w:t>
      </w:r>
      <w:r w:rsidR="00076741" w:rsidRPr="00076741">
        <w:t>figure 6.9</w:t>
      </w:r>
      <w:r>
        <w:t>. Similar to the torrefaction models, these figures indicate that the test samples used captured the predicted diversity of the association panel’s thermochemical product distribution well.</w:t>
      </w:r>
    </w:p>
    <w:p w14:paraId="1678753A" w14:textId="2635FCB3" w:rsidR="002066A7" w:rsidRDefault="002066A7" w:rsidP="0000478D">
      <w:pPr>
        <w:pStyle w:val="NoSpacing"/>
      </w:pPr>
      <w:r w:rsidRPr="00D03E5B">
        <w:rPr>
          <w:noProof/>
        </w:rPr>
        <w:drawing>
          <wp:inline distT="0" distB="0" distL="0" distR="0" wp14:anchorId="002C3593" wp14:editId="482F8DA7">
            <wp:extent cx="5394960" cy="2839847"/>
            <wp:effectExtent l="0" t="0" r="0" b="508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5394960" cy="2839847"/>
                    </a:xfrm>
                    <a:prstGeom prst="rect">
                      <a:avLst/>
                    </a:prstGeom>
                  </pic:spPr>
                </pic:pic>
              </a:graphicData>
            </a:graphic>
          </wp:inline>
        </w:drawing>
      </w:r>
    </w:p>
    <w:p w14:paraId="38563689" w14:textId="315643A3" w:rsidR="001B3EEC" w:rsidRDefault="002066A7" w:rsidP="002066A7">
      <w:pPr>
        <w:pStyle w:val="Caption"/>
        <w:rPr>
          <w:b w:val="0"/>
        </w:rPr>
      </w:pPr>
      <w:bookmarkStart w:id="174" w:name="_Toc449965017"/>
      <w:r w:rsidRPr="00E73E07">
        <w:t xml:space="preserve">Figure </w:t>
      </w:r>
      <w:fldSimple w:instr=" STYLEREF &quot;Chapter&quot; \s ">
        <w:r w:rsidR="00463F52">
          <w:rPr>
            <w:noProof/>
          </w:rPr>
          <w:t>6</w:t>
        </w:r>
      </w:fldSimple>
      <w:r w:rsidRPr="00E73E07">
        <w:t>.</w:t>
      </w:r>
      <w:fldSimple w:instr=" SEQ Figure \* ARABIC \s 1 ">
        <w:r w:rsidR="00463F52">
          <w:rPr>
            <w:noProof/>
          </w:rPr>
          <w:t>9</w:t>
        </w:r>
      </w:fldSimple>
      <w:r w:rsidRPr="00E73E07">
        <w:rPr>
          <w:noProof/>
        </w:rPr>
        <w:t>.</w:t>
      </w:r>
      <w:r w:rsidRPr="0087215B">
        <w:t xml:space="preserve"> </w:t>
      </w:r>
      <w:r w:rsidR="00F24ED3" w:rsidRPr="00F24ED3">
        <w:rPr>
          <w:b w:val="0"/>
        </w:rPr>
        <w:t xml:space="preserve">Histograms of the predicted yield values of the indicated compound lumps for the </w:t>
      </w:r>
      <w:r w:rsidR="0011188A">
        <w:rPr>
          <w:b w:val="0"/>
        </w:rPr>
        <w:t>1,096 complete cases of the approximately 1,300 member association panel</w:t>
      </w:r>
      <w:r w:rsidR="001B3EEC">
        <w:rPr>
          <w:b w:val="0"/>
        </w:rPr>
        <w:t>.</w:t>
      </w:r>
      <w:bookmarkEnd w:id="174"/>
    </w:p>
    <w:p w14:paraId="1DBE86FA" w14:textId="5E76EBD3" w:rsidR="002066A7" w:rsidRDefault="00F24ED3" w:rsidP="002066A7">
      <w:pPr>
        <w:pStyle w:val="Caption"/>
        <w:rPr>
          <w:b w:val="0"/>
        </w:rPr>
      </w:pPr>
      <w:r w:rsidRPr="00F24ED3">
        <w:rPr>
          <w:b w:val="0"/>
        </w:rPr>
        <w:t>Red bars indicate the observed values of the test set, with their height increased for visibility purposes. The observed values span almost the full range of the predicted values for all four models.</w:t>
      </w:r>
    </w:p>
    <w:p w14:paraId="48E90222" w14:textId="77777777" w:rsidR="00F24ED3" w:rsidRPr="00F24ED3" w:rsidRDefault="00F24ED3" w:rsidP="00F24ED3"/>
    <w:p w14:paraId="31B91327" w14:textId="48819DB3" w:rsidR="00F24ED3" w:rsidRPr="00F24ED3" w:rsidRDefault="00F24ED3" w:rsidP="00F24ED3">
      <w:r w:rsidRPr="00F24ED3">
        <w:t xml:space="preserve">Similar to the torrefaction models, the two phenolic lumps’ yields are combined and plotted against the acetic acid yields in </w:t>
      </w:r>
      <w:r w:rsidR="00076741" w:rsidRPr="00076741">
        <w:t>figure 6.10</w:t>
      </w:r>
      <w:r w:rsidRPr="00F24ED3">
        <w:t xml:space="preserve">, with the potassium content (the only compositional features which promote both phenolics and acetic acid yields) as the color axis. These yields show a high degree of </w:t>
      </w:r>
      <w:r w:rsidR="00CC53CA">
        <w:t>correlation</w:t>
      </w:r>
      <w:r w:rsidRPr="00F24ED3">
        <w:t xml:space="preserve"> and suggest that there </w:t>
      </w:r>
      <w:r w:rsidR="00AC354C">
        <w:t>are no</w:t>
      </w:r>
      <w:r w:rsidRPr="00F24ED3">
        <w:t xml:space="preserve"> trade</w:t>
      </w:r>
      <w:r w:rsidR="00AC354C">
        <w:t>-</w:t>
      </w:r>
      <w:r w:rsidRPr="00F24ED3">
        <w:t>off</w:t>
      </w:r>
      <w:r w:rsidR="00AC354C">
        <w:t>s</w:t>
      </w:r>
      <w:r w:rsidRPr="00F24ED3">
        <w:t xml:space="preserve"> between phenolic and acetic acid yield</w:t>
      </w:r>
      <w:r w:rsidR="001B3EEC">
        <w:t>s for pyrolysis of switchgrass.</w:t>
      </w:r>
    </w:p>
    <w:p w14:paraId="1174D694" w14:textId="77777777" w:rsidR="00C011F8" w:rsidRDefault="00F24ED3" w:rsidP="0000478D">
      <w:pPr>
        <w:pStyle w:val="NoSpacing"/>
      </w:pPr>
      <w:r>
        <w:rPr>
          <w:noProof/>
        </w:rPr>
        <w:lastRenderedPageBreak/>
        <w:drawing>
          <wp:inline distT="0" distB="0" distL="0" distR="0" wp14:anchorId="070F0B20" wp14:editId="3D13641E">
            <wp:extent cx="7235798" cy="5394906"/>
            <wp:effectExtent l="6032" t="0" r="9843" b="9842"/>
            <wp:docPr id="50" name="Picture 50" descr="../../../../Dropbox/Biomass%20Pyrolysis/Manuscripts/Switchgrass%20modeling/Data/pyrolysis/Figure%20xx%20-%20pyrolysis%20pred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ropbox/Biomass%20Pyrolysis/Manuscripts/Switchgrass%20modeling/Data/pyrolysis/Figure%20xx%20-%20pyrolysis%20predic"/>
                    <pic:cNvPicPr>
                      <a:picLocks noChangeAspect="1" noChangeArrowheads="1"/>
                    </pic:cNvPicPr>
                  </pic:nvPicPr>
                  <pic:blipFill rotWithShape="1">
                    <a:blip r:embed="rId85">
                      <a:extLst>
                        <a:ext uri="{28A0092B-C50C-407E-A947-70E740481C1C}">
                          <a14:useLocalDpi xmlns:a14="http://schemas.microsoft.com/office/drawing/2010/main" val="0"/>
                        </a:ext>
                      </a:extLst>
                    </a:blip>
                    <a:srcRect r="4196"/>
                    <a:stretch/>
                  </pic:blipFill>
                  <pic:spPr bwMode="auto">
                    <a:xfrm rot="16200000">
                      <a:off x="0" y="0"/>
                      <a:ext cx="7235871" cy="5394960"/>
                    </a:xfrm>
                    <a:prstGeom prst="rect">
                      <a:avLst/>
                    </a:prstGeom>
                    <a:noFill/>
                    <a:ln>
                      <a:noFill/>
                    </a:ln>
                    <a:extLst>
                      <a:ext uri="{53640926-AAD7-44D8-BBD7-CCE9431645EC}">
                        <a14:shadowObscured xmlns:a14="http://schemas.microsoft.com/office/drawing/2010/main"/>
                      </a:ext>
                    </a:extLst>
                  </pic:spPr>
                </pic:pic>
              </a:graphicData>
            </a:graphic>
          </wp:inline>
        </w:drawing>
      </w:r>
    </w:p>
    <w:p w14:paraId="794D53EF" w14:textId="76F45287" w:rsidR="00F24ED3" w:rsidRPr="00F24ED3" w:rsidRDefault="00F24ED3" w:rsidP="00F24ED3">
      <w:pPr>
        <w:pStyle w:val="Caption"/>
        <w:rPr>
          <w:b w:val="0"/>
        </w:rPr>
      </w:pPr>
      <w:bookmarkStart w:id="175" w:name="_Toc449965018"/>
      <w:r w:rsidRPr="00E73E07">
        <w:t xml:space="preserve">Figure </w:t>
      </w:r>
      <w:fldSimple w:instr=" STYLEREF &quot;Chapter&quot; \s ">
        <w:r w:rsidR="00463F52">
          <w:rPr>
            <w:noProof/>
          </w:rPr>
          <w:t>6</w:t>
        </w:r>
      </w:fldSimple>
      <w:r w:rsidRPr="00E73E07">
        <w:t>.</w:t>
      </w:r>
      <w:fldSimple w:instr=" SEQ Figure \* ARABIC \s 1 ">
        <w:r w:rsidR="00463F52">
          <w:rPr>
            <w:noProof/>
          </w:rPr>
          <w:t>10</w:t>
        </w:r>
      </w:fldSimple>
      <w:r w:rsidRPr="00E73E07">
        <w:rPr>
          <w:noProof/>
        </w:rPr>
        <w:t>.</w:t>
      </w:r>
      <w:r w:rsidRPr="0087215B">
        <w:t xml:space="preserve"> </w:t>
      </w:r>
      <w:r w:rsidRPr="00F24ED3">
        <w:rPr>
          <w:b w:val="0"/>
        </w:rPr>
        <w:t xml:space="preserve">Predicted pyrolysis compound lump yields for the </w:t>
      </w:r>
      <w:r w:rsidR="007454CA">
        <w:rPr>
          <w:b w:val="0"/>
        </w:rPr>
        <w:t>1,096 complete cases of the approximately 1,300 member association panel</w:t>
      </w:r>
      <w:r w:rsidRPr="00F24ED3">
        <w:rPr>
          <w:b w:val="0"/>
        </w:rPr>
        <w:t>.</w:t>
      </w:r>
      <w:bookmarkEnd w:id="175"/>
      <w:r>
        <w:rPr>
          <w:b w:val="0"/>
        </w:rPr>
        <w:br w:type="page"/>
      </w:r>
    </w:p>
    <w:p w14:paraId="1866F606" w14:textId="77777777" w:rsidR="00F24ED3" w:rsidRPr="00F24ED3" w:rsidRDefault="00F24ED3" w:rsidP="005C7E19">
      <w:pPr>
        <w:pStyle w:val="Heading2"/>
      </w:pPr>
      <w:bookmarkStart w:id="176" w:name="_Toc449964896"/>
      <w:r w:rsidRPr="00F24ED3">
        <w:lastRenderedPageBreak/>
        <w:t>Conclusions</w:t>
      </w:r>
      <w:bookmarkEnd w:id="176"/>
    </w:p>
    <w:p w14:paraId="40F9072A" w14:textId="52AB0898" w:rsidR="00F24ED3" w:rsidRPr="00F24ED3" w:rsidRDefault="00F24ED3" w:rsidP="001A7CFA">
      <w:r w:rsidRPr="00F24ED3">
        <w:t xml:space="preserve">As discussed in the experimental section, these models linking compositional features to thermochemical product distribution were developed in such a way as to preserve the interpretability of the models, and not necessarily to have the best predictive ability. Of the ten models with good predictive ability developed (for torrefaction: acetic acid, alkyl phenols, furfurals, light gases, pyran derivatives, and sugars; and for pyrolysis: acetic acid, alkyl phenols, light gases, and methoxyphenols), seven were found to incorporate compositional features whose behavior is in agreement with the literature (dis-including torrefaction light gases &amp; sugars, and pyrolysis light gases). This combination of good predictive ability and agreement with the literature </w:t>
      </w:r>
      <w:r w:rsidR="00D40F20">
        <w:t>have led</w:t>
      </w:r>
      <w:r w:rsidRPr="00F24ED3">
        <w:t xml:space="preserve"> us to conclude that these seven models are likely to be modeling actual phenomena, especially given the feature elimination steps performed to avoid over-fitting.</w:t>
      </w:r>
    </w:p>
    <w:p w14:paraId="2C94BEEF" w14:textId="6CE55802" w:rsidR="00F24ED3" w:rsidRPr="00F24ED3" w:rsidRDefault="00F24ED3" w:rsidP="001A7CFA">
      <w:r w:rsidRPr="00F24ED3">
        <w:t xml:space="preserve">Understanding how biomass compositional features impact the thermochemical product distribution is challenging due to a variety of factors. Some thermochemical products can be formed by multiple source biopolymers (ex: furfurals from hemicellulose &amp; cellulose), obscuring the relative contribution from each (competing schema 1 relationships). Even the known primary decomposition products (e.g., levoglucosan or phenolics) can interact with others, creating secondary reaction products which can be similar to other primary products (e.g., schema 2 relationships, such as cellulose decomposition intermediates forming furfurals by reacting with inorganics, or calcium cracking low molecular-weight species further to light gases). These overlapping products and interactions prohibit some of the most straightforward analysis techniques, such as direct correlation analysis. Compounding the issue, many studies in the </w:t>
      </w:r>
      <w:r w:rsidRPr="00F24ED3">
        <w:lastRenderedPageBreak/>
        <w:t>literature on this topic have used segregated biopolymers (i.e., extracted cellulose/hemicellulose/lignin), which do not reveal the possible interactions between these components</w:t>
      </w:r>
      <w:r w:rsidR="00D40F20">
        <w:t xml:space="preserve"> (e.g., schema 3 relationships)</w:t>
      </w:r>
      <w:r w:rsidRPr="00F24ED3">
        <w:t xml:space="preserve"> that</w:t>
      </w:r>
      <w:r w:rsidR="00D40F20">
        <w:t xml:space="preserve"> have</w:t>
      </w:r>
      <w:r w:rsidRPr="00F24ED3">
        <w:t xml:space="preserve"> been shown to occur in true biomass feedstocks</w:t>
      </w:r>
      <w:r w:rsidR="006D0A00">
        <w:t xml:space="preserve"> </w:t>
      </w:r>
      <w:r w:rsidR="006D0A00">
        <w:fldChar w:fldCharType="begin"/>
      </w:r>
      <w:r w:rsidR="00807999">
        <w:instrText xml:space="preserve"> ADDIN PAPERS2_CITATIONS &lt;citation&gt;&lt;uuid&gt;CBC9D4A3-1A8D-49A0-8B51-DA13D8A67BD0&lt;/uuid&gt;&lt;priority&gt;0&lt;/priority&gt;&lt;publications&gt;&lt;publication&gt;&lt;uuid&gt;8C2ADF41-026D-47AB-854F-669E372CB698&lt;/uuid&gt;&lt;volume&gt;3&lt;/volume&gt;&lt;doi&gt;10.1021/sc500664h&lt;/doi&gt;&lt;startpage&gt;293&lt;/startpage&gt;&lt;publication_date&gt;99201502021200000000222000&lt;/publication_date&gt;&lt;url&gt;http://pubs.acs.org/doi/abs/10.1021/sc500664h&lt;/url&gt;&lt;citekey&gt;Zhang:2015hk&lt;/citekey&gt;&lt;type&gt;400&lt;/type&gt;&lt;title&gt;Cellulose–Hemicellulose and Cellulose–Lignin Interactions during Fast Pyrolysis&lt;/title&gt;&lt;number&gt;2&lt;/number&gt;&lt;subtype&gt;400&lt;/subtype&gt;&lt;endpage&gt;301&lt;/endpage&gt;&lt;bundle&gt;&lt;publication&gt;&lt;title&gt;ACS Sustainable Chemistry &amp;amp; Engineering&lt;/title&gt;&lt;type&gt;-100&lt;/type&gt;&lt;subtype&gt;-100&lt;/subtype&gt;&lt;uuid&gt;61752E7A-637B-4FE6-98F0-DCDDB2AB584A&lt;/uuid&gt;&lt;/publication&gt;&lt;/bundle&gt;&lt;authors&gt;&lt;author&gt;&lt;firstName&gt;Jing&lt;/firstName&gt;&lt;lastName&gt;Zhang&lt;/lastName&gt;&lt;/author&gt;&lt;author&gt;&lt;firstName&gt;Yong&lt;/firstName&gt;&lt;middleNames&gt;S&lt;/middleNames&gt;&lt;lastName&gt;Choi&lt;/lastName&gt;&lt;/author&gt;&lt;author&gt;&lt;firstName&gt;Chang&lt;/firstName&gt;&lt;middleNames&gt;G&lt;/middleNames&gt;&lt;lastName&gt;Yoo&lt;/lastName&gt;&lt;/author&gt;&lt;author&gt;&lt;firstName&gt;Tae&lt;/firstName&gt;&lt;middleNames&gt;H&lt;/middleNames&gt;&lt;lastName&gt;Kim&lt;/lastName&gt;&lt;/author&gt;&lt;author&gt;&lt;firstName&gt;Robert&lt;/firstName&gt;&lt;middleNames&gt;C&lt;/middleNames&gt;&lt;lastName&gt;Brown&lt;/lastName&gt;&lt;/author&gt;&lt;author&gt;&lt;firstName&gt;Brent&lt;/firstName&gt;&lt;middleNames&gt;H&lt;/middleNames&gt;&lt;lastName&gt;Shanks&lt;/lastName&gt;&lt;/author&gt;&lt;/authors&gt;&lt;/publication&gt;&lt;/publications&gt;&lt;cites&gt;&lt;/cites&gt;&lt;/citation&gt;</w:instrText>
      </w:r>
      <w:r w:rsidR="006D0A00">
        <w:fldChar w:fldCharType="separate"/>
      </w:r>
      <w:r w:rsidR="001C1AAC">
        <w:t>(</w:t>
      </w:r>
      <w:r w:rsidR="001C1AAC">
        <w:rPr>
          <w:i/>
          <w:iCs/>
        </w:rPr>
        <w:t>92</w:t>
      </w:r>
      <w:r w:rsidR="001C1AAC">
        <w:t>)</w:t>
      </w:r>
      <w:r w:rsidR="006D0A00">
        <w:fldChar w:fldCharType="end"/>
      </w:r>
      <w:r w:rsidRPr="00F24ED3">
        <w:t xml:space="preserve">. </w:t>
      </w:r>
    </w:p>
    <w:p w14:paraId="616DA725" w14:textId="77777777" w:rsidR="00F24ED3" w:rsidRPr="00F84315" w:rsidRDefault="00F24ED3" w:rsidP="00F84315">
      <w:r w:rsidRPr="00F24ED3">
        <w:t xml:space="preserve">This screening of a well-characterized single species is the first of its kind in the literature to our knowledge. While the aggregate analysis of the products of biomasses of known composition can mitigate some of the issues mentioned above, this type of approach presents its own set of challenges, primarily related to the amount of compositional data involved and the limitations of the thermochemical experimental methods. With 64 compositional features which could have been considered, the number of observations would ideally be in the hundreds to permit a ‘traditional’ linear modeling approach, but time and equipment constraints on the thermochemical data collection approach restricted us to 22 samples. This prompted the need for the somewhat sophisticated automatic feature selection techniques used, and prohibited the development of models which take into account interaction terms between thermochemical products and compositional features, limiting the degree to which secondary reaction effects can be explored. This is likely the reason that we were unable to model the light oxygenates </w:t>
      </w:r>
      <w:r w:rsidRPr="00F84315">
        <w:t>and light gases well, as discussed above.</w:t>
      </w:r>
    </w:p>
    <w:p w14:paraId="01718E5E" w14:textId="4D1B5596" w:rsidR="00F84315" w:rsidRDefault="00F84315" w:rsidP="00F84315">
      <w:r w:rsidRPr="00F84315">
        <w:t>The compositional diversity of the switchgrasses was initially hypothesized to result in a broad range of outcomes for the thermochemical product distribution; in both the test set observations and the predicted association panel yields, we observed this to be correct (</w:t>
      </w:r>
      <w:r w:rsidRPr="00CC53CA">
        <w:t xml:space="preserve">Figure </w:t>
      </w:r>
      <w:r w:rsidR="00CC53CA">
        <w:t>6.11</w:t>
      </w:r>
      <w:r w:rsidRPr="00F84315">
        <w:t>). These large differences in the product distributions, attributable to differences in the underlying compositions</w:t>
      </w:r>
      <w:r w:rsidR="002946FD">
        <w:t xml:space="preserve"> (or structures)</w:t>
      </w:r>
      <w:r w:rsidRPr="00F84315">
        <w:t xml:space="preserve">, suggest that compositionally </w:t>
      </w:r>
      <w:r w:rsidRPr="00F84315">
        <w:lastRenderedPageBreak/>
        <w:t xml:space="preserve">tuning feedstocks for specific catalytic upgrading strategies could result in greatly enhanced process performance, and underscores the need for further research into compositional influences on product yields. </w:t>
      </w:r>
    </w:p>
    <w:p w14:paraId="73EF9CA8" w14:textId="26C8DEB9" w:rsidR="00F84315" w:rsidRPr="00F84315" w:rsidRDefault="00AB3D1A" w:rsidP="0000478D">
      <w:pPr>
        <w:pStyle w:val="NoSpacing"/>
      </w:pPr>
      <w:r>
        <w:rPr>
          <w:noProof/>
        </w:rPr>
        <w:drawing>
          <wp:inline distT="0" distB="0" distL="0" distR="0" wp14:anchorId="7EEB00C6" wp14:editId="7276CAF4">
            <wp:extent cx="5394960" cy="3123714"/>
            <wp:effectExtent l="0" t="0" r="0" b="635"/>
            <wp:docPr id="55" name="Picture 55" descr="../../../../Dropbox/Biomass%20Pyrolysis/Manuscripts/Switchgrass%20modeling/Data/torr%20minma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ropbox/Biomass%20Pyrolysis/Manuscripts/Switchgrass%20modeling/Data/torr%20minmax."/>
                    <pic:cNvPicPr>
                      <a:picLocks noChangeAspect="1" noChangeArrowheads="1"/>
                    </pic:cNvPicPr>
                  </pic:nvPicPr>
                  <pic:blipFill rotWithShape="1">
                    <a:blip r:embed="rId86">
                      <a:extLst>
                        <a:ext uri="{28A0092B-C50C-407E-A947-70E740481C1C}">
                          <a14:useLocalDpi xmlns:a14="http://schemas.microsoft.com/office/drawing/2010/main" val="0"/>
                        </a:ext>
                      </a:extLst>
                    </a:blip>
                    <a:srcRect l="13841" t="19941" r="14026" b="25984"/>
                    <a:stretch/>
                  </pic:blipFill>
                  <pic:spPr bwMode="auto">
                    <a:xfrm>
                      <a:off x="0" y="0"/>
                      <a:ext cx="5394960" cy="3123714"/>
                    </a:xfrm>
                    <a:prstGeom prst="rect">
                      <a:avLst/>
                    </a:prstGeom>
                    <a:noFill/>
                    <a:ln>
                      <a:noFill/>
                    </a:ln>
                    <a:extLst>
                      <a:ext uri="{53640926-AAD7-44D8-BBD7-CCE9431645EC}">
                        <a14:shadowObscured xmlns:a14="http://schemas.microsoft.com/office/drawing/2010/main"/>
                      </a:ext>
                    </a:extLst>
                  </pic:spPr>
                </pic:pic>
              </a:graphicData>
            </a:graphic>
          </wp:inline>
        </w:drawing>
      </w:r>
    </w:p>
    <w:p w14:paraId="637F4667" w14:textId="745412A3" w:rsidR="00F24ED3" w:rsidRDefault="00F84CEE" w:rsidP="0000478D">
      <w:pPr>
        <w:pStyle w:val="NoSpacing"/>
      </w:pPr>
      <w:r>
        <w:rPr>
          <w:noProof/>
        </w:rPr>
        <w:drawing>
          <wp:inline distT="0" distB="0" distL="0" distR="0" wp14:anchorId="7D4E129A" wp14:editId="2A960958">
            <wp:extent cx="5394960" cy="2824295"/>
            <wp:effectExtent l="0" t="0" r="0" b="0"/>
            <wp:docPr id="56" name="Picture 56" descr="../../../../Dropbox/Biomass%20Pyrolysis/Manuscripts/Switchgrass%20modeling/Data/pyro%20minma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ropbox/Biomass%20Pyrolysis/Manuscripts/Switchgrass%20modeling/Data/pyro%20minmax."/>
                    <pic:cNvPicPr>
                      <a:picLocks noChangeAspect="1" noChangeArrowheads="1"/>
                    </pic:cNvPicPr>
                  </pic:nvPicPr>
                  <pic:blipFill rotWithShape="1">
                    <a:blip r:embed="rId87">
                      <a:extLst>
                        <a:ext uri="{28A0092B-C50C-407E-A947-70E740481C1C}">
                          <a14:useLocalDpi xmlns:a14="http://schemas.microsoft.com/office/drawing/2010/main" val="0"/>
                        </a:ext>
                      </a:extLst>
                    </a:blip>
                    <a:srcRect l="7144" t="10694" r="7120" b="31197"/>
                    <a:stretch/>
                  </pic:blipFill>
                  <pic:spPr bwMode="auto">
                    <a:xfrm>
                      <a:off x="0" y="0"/>
                      <a:ext cx="5394960" cy="2824295"/>
                    </a:xfrm>
                    <a:prstGeom prst="rect">
                      <a:avLst/>
                    </a:prstGeom>
                    <a:noFill/>
                    <a:ln>
                      <a:noFill/>
                    </a:ln>
                    <a:extLst>
                      <a:ext uri="{53640926-AAD7-44D8-BBD7-CCE9431645EC}">
                        <a14:shadowObscured xmlns:a14="http://schemas.microsoft.com/office/drawing/2010/main"/>
                      </a:ext>
                    </a:extLst>
                  </pic:spPr>
                </pic:pic>
              </a:graphicData>
            </a:graphic>
          </wp:inline>
        </w:drawing>
      </w:r>
    </w:p>
    <w:p w14:paraId="5FFC2AE8" w14:textId="77777777" w:rsidR="001B3EEC" w:rsidRDefault="000A550A" w:rsidP="000A550A">
      <w:pPr>
        <w:pStyle w:val="Caption"/>
        <w:rPr>
          <w:b w:val="0"/>
        </w:rPr>
      </w:pPr>
      <w:bookmarkStart w:id="177" w:name="_Toc449965019"/>
      <w:r w:rsidRPr="00E73E07">
        <w:t xml:space="preserve">Figure </w:t>
      </w:r>
      <w:fldSimple w:instr=" STYLEREF &quot;Chapter&quot; \s ">
        <w:r w:rsidR="00463F52">
          <w:rPr>
            <w:noProof/>
          </w:rPr>
          <w:t>6</w:t>
        </w:r>
      </w:fldSimple>
      <w:r w:rsidRPr="00E73E07">
        <w:t>.</w:t>
      </w:r>
      <w:fldSimple w:instr=" SEQ Figure \* ARABIC \s 1 ">
        <w:r w:rsidR="00463F52">
          <w:rPr>
            <w:noProof/>
          </w:rPr>
          <w:t>11</w:t>
        </w:r>
      </w:fldSimple>
      <w:r w:rsidRPr="00E73E07">
        <w:rPr>
          <w:noProof/>
        </w:rPr>
        <w:t>.</w:t>
      </w:r>
      <w:r w:rsidRPr="0087215B">
        <w:t xml:space="preserve"> </w:t>
      </w:r>
      <w:r w:rsidRPr="000A550A">
        <w:rPr>
          <w:b w:val="0"/>
        </w:rPr>
        <w:t>Minimum values of the observation set as a percentage of the maximum values of the observation set for torrefaction and</w:t>
      </w:r>
      <w:r w:rsidR="001B3EEC">
        <w:rPr>
          <w:b w:val="0"/>
        </w:rPr>
        <w:t xml:space="preserve"> pyrolysis thermochemical data.</w:t>
      </w:r>
      <w:bookmarkEnd w:id="177"/>
    </w:p>
    <w:p w14:paraId="24048F5C" w14:textId="6806E656" w:rsidR="000A550A" w:rsidRDefault="000A550A" w:rsidP="000A550A">
      <w:pPr>
        <w:pStyle w:val="Caption"/>
        <w:rPr>
          <w:b w:val="0"/>
        </w:rPr>
      </w:pPr>
      <w:r w:rsidRPr="000A550A">
        <w:rPr>
          <w:b w:val="0"/>
        </w:rPr>
        <w:t>Large differences in the yield distributions were observed for most of the compound lumps.</w:t>
      </w:r>
    </w:p>
    <w:p w14:paraId="2ED66331" w14:textId="77777777" w:rsidR="00A9408D" w:rsidRDefault="00A9408D" w:rsidP="000A550A">
      <w:pPr>
        <w:pStyle w:val="Caption"/>
        <w:rPr>
          <w:b w:val="0"/>
        </w:rPr>
      </w:pPr>
    </w:p>
    <w:p w14:paraId="71A82929" w14:textId="77777777" w:rsidR="00A9408D" w:rsidRDefault="00A9408D" w:rsidP="005C7E19">
      <w:pPr>
        <w:pStyle w:val="Heading2"/>
      </w:pPr>
      <w:bookmarkStart w:id="178" w:name="_Toc449964897"/>
      <w:r>
        <w:lastRenderedPageBreak/>
        <w:t>Acknowledgements</w:t>
      </w:r>
      <w:bookmarkEnd w:id="178"/>
    </w:p>
    <w:p w14:paraId="29708942" w14:textId="61DE3026" w:rsidR="008D4E97" w:rsidRDefault="00305C32" w:rsidP="008D4E97">
      <w:r w:rsidRPr="00305C32">
        <w:t>The work has been financially supported by the NIFA-USDA Sun Grant Initiative (AB-5-68110.OU1), the National Science Foundation (EPSCoR 0814361), and the US Department of Energy (DE-FG36GO88064). The help of Adam Stevens</w:t>
      </w:r>
      <w:r w:rsidR="001E2B57">
        <w:t xml:space="preserve"> &amp; Tim Pegg at OU</w:t>
      </w:r>
      <w:r w:rsidRPr="00305C32">
        <w:t xml:space="preserve"> and Malay Saha &amp; Charles Brummer of the Samuel Roberts Nobel Foundation was also instrumental in this work.</w:t>
      </w:r>
    </w:p>
    <w:p w14:paraId="33AB2579" w14:textId="320D7EAA" w:rsidR="000A550A" w:rsidRPr="008D4E97" w:rsidRDefault="000A550A" w:rsidP="008D4E97">
      <w:pPr>
        <w:rPr>
          <w:szCs w:val="18"/>
        </w:rPr>
      </w:pPr>
      <w:r>
        <w:br w:type="page"/>
      </w:r>
    </w:p>
    <w:p w14:paraId="6424D461" w14:textId="77777777" w:rsidR="006335B9" w:rsidRPr="006335B9" w:rsidRDefault="006335B9" w:rsidP="006335B9">
      <w:pPr>
        <w:pStyle w:val="Chapter"/>
      </w:pPr>
      <w:bookmarkStart w:id="179" w:name="_Toc449964898"/>
      <w:r w:rsidRPr="006335B9">
        <w:lastRenderedPageBreak/>
        <w:t>The effect of genetic modification of the lignin biosynthesis pathway on low temperature pyrolysis product yields</w:t>
      </w:r>
      <w:bookmarkEnd w:id="179"/>
    </w:p>
    <w:p w14:paraId="73F47A42" w14:textId="77777777" w:rsidR="006335B9" w:rsidRPr="006335B9" w:rsidRDefault="006335B9" w:rsidP="006335B9">
      <w:r w:rsidRPr="006335B9">
        <w:t>Extracted from a manuscript in preparation</w:t>
      </w:r>
    </w:p>
    <w:p w14:paraId="05031AD5" w14:textId="77777777" w:rsidR="006335B9" w:rsidRPr="006335B9" w:rsidRDefault="006335B9" w:rsidP="006335B9">
      <w:r w:rsidRPr="006335B9">
        <w:t>Christopher Waters, Fan Lin, Laura Bartley, Richard Mallinson, Lance Lobban</w:t>
      </w:r>
    </w:p>
    <w:p w14:paraId="0B501FA2" w14:textId="210D530F" w:rsidR="006335B9" w:rsidRDefault="006335B9" w:rsidP="005C7E19">
      <w:pPr>
        <w:pStyle w:val="Heading2"/>
      </w:pPr>
      <w:bookmarkStart w:id="180" w:name="_Toc449964899"/>
      <w:r>
        <w:t>Introduction</w:t>
      </w:r>
      <w:bookmarkEnd w:id="180"/>
    </w:p>
    <w:p w14:paraId="7504BF7D" w14:textId="4CB10958" w:rsidR="006335B9" w:rsidRPr="006335B9" w:rsidRDefault="006335B9" w:rsidP="006335B9">
      <w:pPr>
        <w:rPr>
          <w:lang w:bidi="en-US"/>
        </w:rPr>
      </w:pPr>
      <w:r w:rsidRPr="006335B9">
        <w:rPr>
          <w:lang w:bidi="en-US"/>
        </w:rPr>
        <w:t xml:space="preserve">In </w:t>
      </w:r>
      <w:r w:rsidR="00CC53CA" w:rsidRPr="00CC53CA">
        <w:rPr>
          <w:lang w:bidi="en-US"/>
        </w:rPr>
        <w:t>chapters 5 and 6</w:t>
      </w:r>
      <w:r w:rsidRPr="006335B9">
        <w:rPr>
          <w:lang w:bidi="en-US"/>
        </w:rPr>
        <w:t xml:space="preserve">, we have seen that there are means to exert control over the thermochemical degradation products via process and feedstock compositional factors. </w:t>
      </w:r>
      <w:r w:rsidR="00CC53CA">
        <w:rPr>
          <w:lang w:bidi="en-US"/>
        </w:rPr>
        <w:t>The study in chapter 5</w:t>
      </w:r>
      <w:r w:rsidRPr="006335B9">
        <w:rPr>
          <w:lang w:bidi="en-US"/>
        </w:rPr>
        <w:t xml:space="preserve"> showed that it is possible to achieve segregation of thermochemical products into separate product streams, which can then have catalytic valorization strategies appropriately tailored in order to improve desirable outcomes (e.g., maximizing carbon yield, improving process economics, etc.). Compl</w:t>
      </w:r>
      <w:r w:rsidR="00082B12">
        <w:rPr>
          <w:lang w:bidi="en-US"/>
        </w:rPr>
        <w:t>e</w:t>
      </w:r>
      <w:r w:rsidRPr="006335B9">
        <w:rPr>
          <w:lang w:bidi="en-US"/>
        </w:rPr>
        <w:t xml:space="preserve">menting this, the </w:t>
      </w:r>
      <w:r w:rsidR="00CC53CA">
        <w:rPr>
          <w:lang w:bidi="en-US"/>
        </w:rPr>
        <w:t>study in chapter 6</w:t>
      </w:r>
      <w:r w:rsidRPr="006335B9">
        <w:rPr>
          <w:lang w:bidi="en-US"/>
        </w:rPr>
        <w:t xml:space="preserve"> showed that not only do different organisms within a single species have different thermochemical product distributions but also revealed the compositional factors which may be responsible for the observable differences. However, the role of heritable traits in the biomass was not studied in the previous study with switchgrass, and may be another area in which thermochemical biomass feedstock improvements may be realized.</w:t>
      </w:r>
    </w:p>
    <w:p w14:paraId="24E69FF1" w14:textId="44707D25" w:rsidR="006335B9" w:rsidRPr="006335B9" w:rsidRDefault="006335B9" w:rsidP="006335B9">
      <w:r w:rsidRPr="006335B9">
        <w:t xml:space="preserve">One of the desirable segregations to achieve via staged thermal fractionation was the ‘clean’ removal of hemicellulose via a low-temperature first stage treatment. At the conditions used in that study (270°C, 20 minutes), small amounts of both cellulose and lignin were decomposed and volatilized in addition to the hemicellulose. This initial low temperature treatment can likely be optimized to minimize cellulose degradation using solely time and temperature parameters, but TGA studies of lignin decomposition indicate that some lignin decomposition will be unavoidable at conditions which </w:t>
      </w:r>
      <w:r w:rsidRPr="006335B9">
        <w:lastRenderedPageBreak/>
        <w:t>decompose hemicellulose</w:t>
      </w:r>
      <w:r w:rsidR="00EC60A2">
        <w:t xml:space="preserve"> </w:t>
      </w:r>
      <w:r w:rsidR="00862BC3">
        <w:fldChar w:fldCharType="begin"/>
      </w:r>
      <w:r w:rsidR="00807999">
        <w:instrText xml:space="preserve"> ADDIN PAPERS2_CITATIONS &lt;citation&gt;&lt;uuid&gt;B659B0C4-0AA7-4480-83B7-7D7E730F61DC&lt;/uuid&gt;&lt;priority&gt;0&lt;/priority&gt;&lt;publications&gt;&lt;publication&gt;&lt;uuid&gt;E6BB8F68-703A-472B-9E06-7A7127C33EF5&lt;/uuid&gt;&lt;volume&gt;86&lt;/volume&gt;&lt;doi&gt;10.1016/j.fuel.2006.12.013&lt;/doi&gt;&lt;startpage&gt;1781&lt;/startpage&gt;&lt;publication_date&gt;99200700001200000000200000&lt;/publication_date&gt;&lt;url&gt;http://linkinghub.elsevier.com/retrieve/pii/S001623610600490X&lt;/url&gt;&lt;citekey&gt;Yang2007&lt;/citekey&gt;&lt;type&gt;400&lt;/type&gt;&lt;title&gt;Characteristics of hemicellulose, cellulose and lignin pyrolysis&lt;/title&gt;&lt;number&gt;12-13&lt;/number&gt;&lt;subtype&gt;400&lt;/subtype&gt;&lt;endpage&gt;1788&lt;/endpage&gt;&lt;bundle&gt;&lt;publication&gt;&lt;publisher&gt;Elsevier Ltd&lt;/publisher&gt;&lt;title&gt;Fuel&lt;/title&gt;&lt;type&gt;-100&lt;/type&gt;&lt;subtype&gt;-100&lt;/subtype&gt;&lt;uuid&gt;E286CABA-D6F1-4A09-A385-6AFE55FAD8F4&lt;/uuid&gt;&lt;/publication&gt;&lt;/bundle&gt;&lt;authors&gt;&lt;author&gt;&lt;firstName&gt;Haiping&lt;/firstName&gt;&lt;lastName&gt;Yang&lt;/lastName&gt;&lt;/author&gt;&lt;author&gt;&lt;firstName&gt;Rong&lt;/firstName&gt;&lt;lastName&gt;Yan&lt;/lastName&gt;&lt;/author&gt;&lt;author&gt;&lt;firstName&gt;Hanping&lt;/firstName&gt;&lt;lastName&gt;Chen&lt;/lastName&gt;&lt;/author&gt;&lt;author&gt;&lt;firstName&gt;Dong&lt;/firstName&gt;&lt;middleNames&gt;Ho&lt;/middleNames&gt;&lt;lastName&gt;Lee&lt;/lastName&gt;&lt;/author&gt;&lt;author&gt;&lt;firstName&gt;Chuguang&lt;/firstName&gt;&lt;lastName&gt;Zheng&lt;/lastName&gt;&lt;/author&gt;&lt;/authors&gt;&lt;/publication&gt;&lt;publication&gt;&lt;uuid&gt;F12CBAA5-F02D-4CC3-95F8-2308E3CB048F&lt;/uuid&gt;&lt;volume&gt;34&lt;/volume&gt;&lt;doi&gt;10.1021/ie00042a001&lt;/doi&gt;&lt;startpage&gt;703&lt;/startpage&gt;&lt;publication_date&gt;99199500001200000000200000&lt;/publication_date&gt;&lt;url&gt;http://pubs.acs.org/doi/abs/10.1021/ie00042a001&lt;/url&gt;&lt;citekey&gt;Antal1995&lt;/citekey&gt;&lt;type&gt;400&lt;/type&gt;&lt;title&gt;Cellulose Pyrolysis Kinetics: The Current State of Knowledge&lt;/title&gt;&lt;number&gt;3&lt;/number&gt;&lt;subtype&gt;400&lt;/subtype&gt;&lt;endpage&gt;717&lt;/endpage&gt;&lt;bundle&gt;&lt;publication&gt;&lt;publisher&gt;&lt;/publisher&gt;&lt;title&gt;Industrial &amp;amp; Engineering Chemistry Research&lt;/title&gt;&lt;type&gt;-100&lt;/type&gt;&lt;subtype&gt;-100&lt;/subtype&gt;&lt;uuid&gt;3EB2AD93-F0E9-43F2-A1C5-49893E3B73E3&lt;/uuid&gt;&lt;/publication&gt;&lt;/bundle&gt;&lt;authors&gt;&lt;author&gt;&lt;lastName&gt;Antal&lt;/lastName&gt;&lt;firstName&gt;Michael&lt;/firstName&gt;&lt;middleNames&gt;Jerry&lt;/middleNames&gt;&lt;suffix&gt;Jr.&lt;/suffix&gt;&lt;/author&gt;&lt;author&gt;&lt;firstName&gt;Gabor&lt;/firstName&gt;&lt;lastName&gt;Varhegyi&lt;/lastName&gt;&lt;/author&gt;&lt;/authors&gt;&lt;/publication&gt;&lt;publication&gt;&lt;uuid&gt;7F3CA580-4D61-4466-9A72-A59E23E92DD8&lt;/uuid&gt;&lt;volume&gt;42&lt;/volume&gt;&lt;doi&gt;10.1016/S0165-2370(96)00971-0&lt;/doi&gt;&lt;startpage&gt;73&lt;/startpage&gt;&lt;publication_date&gt;99199706001200000000220000&lt;/publication_date&gt;&lt;url&gt;http://linkinghub.elsevier.com/retrieve/pii/S0165237096009710&lt;/url&gt;&lt;citekey&gt;Varhegyi:1997wx&lt;/citekey&gt;&lt;type&gt;400&lt;/type&gt;&lt;title&gt;Kinetic modeling of biomass pyrolysis&lt;/title&gt;&lt;number&gt;1&lt;/number&gt;&lt;subtype&gt;400&lt;/subtype&gt;&lt;endpage&gt;87&lt;/endpage&gt;&lt;bundle&gt;&lt;publication&gt;&lt;publisher&gt;Elsevier B.V.&lt;/publisher&gt;&lt;title&gt;Journal of Analytical and Applied Pyrolysis&lt;/title&gt;&lt;type&gt;-100&lt;/type&gt;&lt;subtype&gt;-100&lt;/subtype&gt;&lt;uuid&gt;D2B451F2-ABD5-4B2D-92A4-9DB1FFA0C21E&lt;/uuid&gt;&lt;/publication&gt;&lt;/bundle&gt;&lt;authors&gt;&lt;author&gt;&lt;firstName&gt;Gabor&lt;/firstName&gt;&lt;lastName&gt;Varhegyi&lt;/lastName&gt;&lt;/author&gt;&lt;author&gt;&lt;lastName&gt;Antal&lt;/lastName&gt;&lt;firstName&gt;Michael&lt;/firstName&gt;&lt;middleNames&gt;Jerry&lt;/middleNames&gt;&lt;suffix&gt;Jr.&lt;/suffix&gt;&lt;/author&gt;&lt;author&gt;&lt;firstName&gt;Emma&lt;/firstName&gt;&lt;lastName&gt;Jakab&lt;/lastName&gt;&lt;/author&gt;&lt;author&gt;&lt;firstName&gt;Piroska&lt;/firstName&gt;&lt;lastName&gt;Szabó&lt;/lastName&gt;&lt;/author&gt;&lt;/authors&gt;&lt;/publication&gt;&lt;/publications&gt;&lt;cites&gt;&lt;/cites&gt;&lt;/citation&gt;</w:instrText>
      </w:r>
      <w:r w:rsidR="00862BC3">
        <w:fldChar w:fldCharType="separate"/>
      </w:r>
      <w:r w:rsidR="00980B82">
        <w:t>(</w:t>
      </w:r>
      <w:r w:rsidR="00980B82">
        <w:rPr>
          <w:i/>
          <w:iCs/>
        </w:rPr>
        <w:t>27</w:t>
      </w:r>
      <w:r w:rsidR="00980B82">
        <w:t>-</w:t>
      </w:r>
      <w:r w:rsidR="00980B82">
        <w:rPr>
          <w:i/>
          <w:iCs/>
        </w:rPr>
        <w:t>29</w:t>
      </w:r>
      <w:r w:rsidR="00980B82">
        <w:t>)</w:t>
      </w:r>
      <w:r w:rsidR="00862BC3">
        <w:fldChar w:fldCharType="end"/>
      </w:r>
      <w:r w:rsidRPr="006335B9">
        <w:t xml:space="preserve">. While the use of a low-lignin feedstock could help to minimize the selectivity to lignin-derived phenolics in a first stage product stream, </w:t>
      </w:r>
      <w:r w:rsidRPr="0012222F">
        <w:t>high amounts of lignin-derived phenolics are desirable from a whole-process viewpoint</w:t>
      </w:r>
      <w:r w:rsidR="0012222F">
        <w:t xml:space="preserve"> as the high C:O ratio and profligate C-C bonds could lead to relatively low-input fuel range molecules</w:t>
      </w:r>
      <w:r w:rsidRPr="006335B9">
        <w:t xml:space="preserve">. However, if the thermal stability of the lignin could be altered to suppress decomposition at lower temperatures, especially without reducing the total lignin amount, both of these desirable outcomes could be achieved. </w:t>
      </w:r>
    </w:p>
    <w:p w14:paraId="3BDA821F" w14:textId="77777777" w:rsidR="00807999" w:rsidRDefault="006335B9" w:rsidP="0012222F">
      <w:r w:rsidRPr="006335B9">
        <w:t xml:space="preserve">As discussed in </w:t>
      </w:r>
      <w:r w:rsidRPr="00CC53CA">
        <w:t xml:space="preserve">section </w:t>
      </w:r>
      <w:r w:rsidR="00CC53CA" w:rsidRPr="00CC53CA">
        <w:t>2.1</w:t>
      </w:r>
      <w:r w:rsidRPr="006335B9">
        <w:t>, lignin is a complex, cross-linked polymer comprised primarily of three monomer (</w:t>
      </w:r>
      <w:r w:rsidRPr="006335B9">
        <w:rPr>
          <w:b/>
          <w:i/>
        </w:rPr>
        <w:t>H</w:t>
      </w:r>
      <w:r w:rsidRPr="006335B9">
        <w:t xml:space="preserve">, </w:t>
      </w:r>
      <w:r w:rsidRPr="006335B9">
        <w:rPr>
          <w:b/>
          <w:i/>
        </w:rPr>
        <w:t>G</w:t>
      </w:r>
      <w:r w:rsidRPr="006335B9">
        <w:t xml:space="preserve">, and </w:t>
      </w:r>
      <w:r w:rsidRPr="006335B9">
        <w:rPr>
          <w:b/>
          <w:i/>
        </w:rPr>
        <w:t>S</w:t>
      </w:r>
      <w:r w:rsidRPr="006335B9">
        <w:t>) units cross-coupled via oxidative reactions during incorporation in the cell wall</w:t>
      </w:r>
      <w:r w:rsidR="0012222F">
        <w:t xml:space="preserve"> </w:t>
      </w:r>
      <w:r w:rsidR="0012222F">
        <w:fldChar w:fldCharType="begin"/>
      </w:r>
      <w:r w:rsidR="00807999">
        <w:instrText xml:space="preserve"> ADDIN PAPERS2_CITATIONS &lt;citation&gt;&lt;uuid&gt;C3B3A011-8D85-4505-BB6C-014AED6974F0&lt;/uuid&gt;&lt;priority&gt;0&lt;/priority&gt;&lt;publications&gt;&lt;publication&gt;&lt;uuid&gt;0BBB86C2-AEA9-44B5-B628-5035F5735D51&lt;/uuid&gt;&lt;volume&gt;54&lt;/volume&gt;&lt;doi&gt;10.1146/annurev.arplant.54.031902.134938&lt;/doi&gt;&lt;startpage&gt;519&lt;/startpage&gt;&lt;publication_date&gt;99200300001200000000200000&lt;/publication_date&gt;&lt;url&gt;http://www.annualreviews.org/doi/abs/10.1146/annurev.arplant.54.031902.134938&lt;/url&gt;&lt;citekey&gt;Boerjan:2003hk&lt;/citekey&gt;&lt;type&gt;400&lt;/type&gt;&lt;title&gt;Lignin biosynthesis&lt;/title&gt;&lt;institution&gt;Boerjan, W</w:instrText>
      </w:r>
    </w:p>
    <w:p w14:paraId="546BD32C" w14:textId="77777777" w:rsidR="00807999" w:rsidRDefault="00807999" w:rsidP="0012222F">
      <w:r>
        <w:instrText>State Univ Ghent VIB, Dept Plant Syst Biol, K L Ledeganckstr 35, B-9000 Ghent, Belgium</w:instrText>
      </w:r>
    </w:p>
    <w:p w14:paraId="26EA8BE0" w14:textId="77777777" w:rsidR="00807999" w:rsidRDefault="00807999" w:rsidP="0012222F">
      <w:r>
        <w:instrText>State Univ Ghent VIB, Dept Plant Syst Biol, K L Ledeganckstr 35, B-9000 Ghent, Belgium</w:instrText>
      </w:r>
    </w:p>
    <w:p w14:paraId="6CDF8D23" w14:textId="77777777" w:rsidR="00807999" w:rsidRDefault="00807999" w:rsidP="0012222F">
      <w:r>
        <w:instrText>State Univ Ghent VIB, Dept Plant Syst Biol, B-9000 Ghent, Belgium</w:instrText>
      </w:r>
    </w:p>
    <w:p w14:paraId="5C9E06FB" w14:textId="77777777" w:rsidR="00807999" w:rsidRDefault="00807999" w:rsidP="0012222F">
      <w:r>
        <w:instrText>USDA ARS, US Dairy Forage Res Ctr, Madison, WI 53706 USA</w:instrText>
      </w:r>
    </w:p>
    <w:p w14:paraId="08075A23" w14:textId="77777777" w:rsidR="00807999" w:rsidRDefault="00807999" w:rsidP="0012222F">
      <w:r>
        <w:instrText>Free Univ Brussels, Lab Biotechnol Vegetale, B-1160 Brussels, Belgium&lt;/institution&gt;&lt;subtype&gt;400&lt;/subtype&gt;&lt;endpage&gt;546&lt;/endpage&gt;&lt;bundle&gt;&lt;publication&gt;&lt;title&gt;Annual review of plant biology&lt;/title&gt;&lt;type&gt;-100&lt;/type&gt;&lt;subtype&gt;-100&lt;/subtype&gt;&lt;uuid&gt;4CDB0732-FE75-4F56-9627-A14F8E94872D&lt;/uuid&gt;&lt;/publication&gt;&lt;/bundle&gt;&lt;authors&gt;&lt;author&gt;&lt;firstName&gt;Wout&lt;/firstName&gt;&lt;lastName&gt;Boerjan&lt;/lastName&gt;&lt;/author&gt;&lt;author&gt;&lt;firstName&gt;John&lt;/firstName&gt;&lt;lastName&gt;Ralph&lt;/lastName&gt;&lt;/author&gt;&lt;author&gt;&lt;firstName&gt;Marie&lt;/firstName&gt;&lt;lastName&gt;Baucher&lt;/lastName&gt;&lt;/author&gt;&lt;/authors&gt;&lt;/publication&gt;&lt;/publications&gt;&lt;cites&gt;&lt;/cites&gt;&lt;/citation&gt;</w:instrText>
      </w:r>
      <w:r w:rsidR="0012222F">
        <w:fldChar w:fldCharType="separate"/>
      </w:r>
      <w:r w:rsidR="001C1AAC">
        <w:t>(</w:t>
      </w:r>
      <w:r w:rsidR="001C1AAC">
        <w:rPr>
          <w:i/>
          <w:iCs/>
        </w:rPr>
        <w:t>55</w:t>
      </w:r>
      <w:r w:rsidR="001C1AAC">
        <w:t>)</w:t>
      </w:r>
      <w:r w:rsidR="0012222F">
        <w:fldChar w:fldCharType="end"/>
      </w:r>
      <w:r w:rsidR="006335B9" w:rsidRPr="006335B9">
        <w:t xml:space="preserve">. </w:t>
      </w:r>
      <w:r w:rsidR="006335B9" w:rsidRPr="00CC53CA">
        <w:t xml:space="preserve">Figure </w:t>
      </w:r>
      <w:r w:rsidR="00CC53CA" w:rsidRPr="00CC53CA">
        <w:t>7.</w:t>
      </w:r>
      <w:r w:rsidR="006335B9" w:rsidRPr="00CC53CA">
        <w:t>1</w:t>
      </w:r>
      <w:r w:rsidR="006335B9" w:rsidRPr="006335B9">
        <w:t xml:space="preserve"> shows an overview of these three lignin monomers and their resulting structures in the polymer. The most frequently occurring polymer unit is the β–O–4 structure (</w:t>
      </w:r>
      <w:r w:rsidR="006335B9" w:rsidRPr="006335B9">
        <w:rPr>
          <w:b/>
        </w:rPr>
        <w:t>A</w:t>
      </w:r>
      <w:r w:rsidR="006335B9" w:rsidRPr="006335B9">
        <w:t>), accounting for more than half of the inter-unit linkages; other commonly occurring units are β–5 (</w:t>
      </w:r>
      <w:r w:rsidR="006335B9" w:rsidRPr="006335B9">
        <w:rPr>
          <w:b/>
        </w:rPr>
        <w:t>B</w:t>
      </w:r>
      <w:r w:rsidR="006335B9" w:rsidRPr="006335B9">
        <w:t>), β–β (</w:t>
      </w:r>
      <w:r w:rsidR="006335B9" w:rsidRPr="006335B9">
        <w:rPr>
          <w:b/>
        </w:rPr>
        <w:t>C</w:t>
      </w:r>
      <w:r w:rsidR="006335B9" w:rsidRPr="006335B9">
        <w:t>), 5–5 (</w:t>
      </w:r>
      <w:r w:rsidR="006335B9" w:rsidRPr="006335B9">
        <w:rPr>
          <w:b/>
        </w:rPr>
        <w:t>D</w:t>
      </w:r>
      <w:r w:rsidR="006335B9" w:rsidRPr="006335B9">
        <w:t>), 5–O–4 (</w:t>
      </w:r>
      <w:r w:rsidR="006335B9" w:rsidRPr="006335B9">
        <w:rPr>
          <w:b/>
        </w:rPr>
        <w:t>E</w:t>
      </w:r>
      <w:r w:rsidR="006335B9" w:rsidRPr="006335B9">
        <w:t>), and β–1 (</w:t>
      </w:r>
      <w:r w:rsidR="006335B9" w:rsidRPr="006335B9">
        <w:rPr>
          <w:b/>
        </w:rPr>
        <w:t>F</w:t>
      </w:r>
      <w:r w:rsidR="006335B9" w:rsidRPr="006335B9">
        <w:t xml:space="preserve">) (other units are various special cases, and are included by the author for completeness). Increased production of </w:t>
      </w:r>
      <w:r w:rsidR="006335B9" w:rsidRPr="006335B9">
        <w:rPr>
          <w:b/>
          <w:i/>
        </w:rPr>
        <w:t>G</w:t>
      </w:r>
      <w:r w:rsidR="006335B9" w:rsidRPr="006335B9">
        <w:t xml:space="preserve"> monomers over </w:t>
      </w:r>
      <w:r w:rsidR="006335B9" w:rsidRPr="006335B9">
        <w:rPr>
          <w:b/>
          <w:i/>
        </w:rPr>
        <w:t>S</w:t>
      </w:r>
      <w:r w:rsidR="006335B9" w:rsidRPr="006335B9">
        <w:t xml:space="preserve"> monomers (i.e., a lower </w:t>
      </w:r>
      <w:r w:rsidR="006335B9" w:rsidRPr="006335B9">
        <w:rPr>
          <w:b/>
          <w:i/>
        </w:rPr>
        <w:t>S</w:t>
      </w:r>
      <w:r w:rsidR="006335B9" w:rsidRPr="006335B9">
        <w:t>/</w:t>
      </w:r>
      <w:r w:rsidR="006335B9" w:rsidRPr="006335B9">
        <w:rPr>
          <w:b/>
          <w:i/>
        </w:rPr>
        <w:t>G</w:t>
      </w:r>
      <w:r w:rsidR="006335B9" w:rsidRPr="006335B9">
        <w:t xml:space="preserve"> ratio) leads to an increased prevalence of β–5, 5-5, and 5-O-4 linkages in the lignin polymer over β–O–4, β–β, and β–1 linkages due to the increased availability of the 5 position as a reaction site</w:t>
      </w:r>
      <w:r w:rsidR="0012222F">
        <w:t xml:space="preserve"> </w:t>
      </w:r>
      <w:r w:rsidR="0012222F">
        <w:fldChar w:fldCharType="begin"/>
      </w:r>
      <w:r>
        <w:instrText xml:space="preserve"> ADDIN PAPERS2_CITATIONS &lt;citation&gt;&lt;uuid&gt;84C57D68-910A-4B71-90CC-1F1EEC1E4D0D&lt;/uuid&gt;&lt;priority&gt;0&lt;/priority&gt;&lt;publications&gt;&lt;publication&gt;&lt;uuid&gt;0BBB86C2-AEA9-44B5-B628-5035F5735D51&lt;/uuid&gt;&lt;volume&gt;54&lt;/volume&gt;&lt;doi&gt;10.1146/annurev.arplant.54.031902.134938&lt;/doi&gt;&lt;startpage&gt;519&lt;/startpage&gt;&lt;publication_date&gt;99200300001200000000200000&lt;/publication_date&gt;&lt;url&gt;http://www.annualreviews.org/doi/abs/10.1146/annurev.arplant.54.031902.134938&lt;/url&gt;&lt;citekey&gt;Boerjan:2003hk&lt;/citekey&gt;&lt;type&gt;400&lt;/type&gt;&lt;title&gt;Lignin biosynthesis&lt;/title&gt;&lt;institution&gt;Boerjan, W</w:instrText>
      </w:r>
    </w:p>
    <w:p w14:paraId="7ABCE8FB" w14:textId="77777777" w:rsidR="00807999" w:rsidRDefault="00807999" w:rsidP="0012222F">
      <w:r>
        <w:instrText>State Univ Ghent VIB, Dept Plant Syst Biol, K L Ledeganckstr 35, B-9000 Ghent, Belgium</w:instrText>
      </w:r>
    </w:p>
    <w:p w14:paraId="6ACED682" w14:textId="77777777" w:rsidR="00807999" w:rsidRDefault="00807999" w:rsidP="0012222F">
      <w:r>
        <w:instrText>State Univ Ghent VIB, Dept Plant Syst Biol, K L Ledeganckstr 35, B-9000 Ghent, Belgium</w:instrText>
      </w:r>
    </w:p>
    <w:p w14:paraId="67FFD306" w14:textId="77777777" w:rsidR="00807999" w:rsidRDefault="00807999" w:rsidP="0012222F">
      <w:r>
        <w:instrText>State Univ Ghent VIB, Dept Plant Syst Biol, B-9000 Ghent, Belgium</w:instrText>
      </w:r>
    </w:p>
    <w:p w14:paraId="700A271A" w14:textId="77777777" w:rsidR="00807999" w:rsidRDefault="00807999" w:rsidP="0012222F">
      <w:r>
        <w:instrText>USDA ARS, US Dairy Forage Res Ctr, Madison, WI 53706 USA</w:instrText>
      </w:r>
    </w:p>
    <w:p w14:paraId="64E180AD" w14:textId="3EC059F9" w:rsidR="00807999" w:rsidRDefault="00807999" w:rsidP="0012222F">
      <w:r>
        <w:instrText>Free Univ Brussels, Lab Biotechnol Vegetale, B-1160 Brussels, Belgium&lt;/institution&gt;&lt;subtype&gt;400&lt;/subtype&gt;&lt;endpage&gt;546&lt;/endpage&gt;&lt;bundle&gt;&lt;publication&gt;&lt;title&gt;Annual review of plant biology&lt;/title&gt;&lt;type&gt;-100&lt;/type&gt;&lt;subtype&gt;-100&lt;/subtype&gt;&lt;uuid&gt;4CDB0732-FE75-4F56-9627-A14F8E94872D&lt;/uuid&gt;&lt;/publication&gt;&lt;/bundle&gt;&lt;authors&gt;&lt;author&gt;&lt;firstName&gt;Wout&lt;/firstName&gt;&lt;lastName&gt;Boerjan&lt;/lastName&gt;&lt;/author&gt;&lt;author&gt;&lt;firstName&gt;John&lt;/firstName&gt;&lt;lastName&gt;Ralph&lt;/lastName&gt;&lt;/author&gt;&lt;author&gt;&lt;firstName&gt;Marie&lt;/firstName&gt;&lt;lastName&gt;Baucher&lt;/lastName&gt;&lt;/author&gt;&lt;/authors&gt;&lt;/publication&gt;&lt;/publications&gt;&lt;cites&gt;&lt;/cites&gt;&lt;/citation&gt;</w:instrText>
      </w:r>
      <w:r w:rsidR="0012222F">
        <w:fldChar w:fldCharType="separate"/>
      </w:r>
      <w:r w:rsidR="001C1AAC">
        <w:t>(</w:t>
      </w:r>
      <w:r w:rsidR="001C1AAC">
        <w:rPr>
          <w:i/>
          <w:iCs/>
        </w:rPr>
        <w:t>55</w:t>
      </w:r>
      <w:r w:rsidR="001C1AAC">
        <w:t>)</w:t>
      </w:r>
      <w:r w:rsidR="0012222F">
        <w:fldChar w:fldCharType="end"/>
      </w:r>
      <w:r w:rsidR="006335B9" w:rsidRPr="006335B9">
        <w:t xml:space="preserve">. </w:t>
      </w:r>
      <w:r w:rsidR="006335B9" w:rsidRPr="008D52D9">
        <w:t xml:space="preserve">Table </w:t>
      </w:r>
      <w:r w:rsidR="008D52D9" w:rsidRPr="008D52D9">
        <w:t>7.</w:t>
      </w:r>
      <w:r w:rsidR="006335B9" w:rsidRPr="008D52D9">
        <w:t>1</w:t>
      </w:r>
      <w:r w:rsidR="006335B9" w:rsidRPr="006335B9">
        <w:t xml:space="preserve"> summarizes the results from DFT calculations of the enthalpy of dissociation for these six bonds. These suggest that, in general, we should expect the initiation of the radical depolymerization reactions of the lignin biopolymer to be less favorable at lower temperatures for lower </w:t>
      </w:r>
      <w:r w:rsidR="006335B9" w:rsidRPr="006335B9">
        <w:rPr>
          <w:b/>
          <w:i/>
        </w:rPr>
        <w:t>S</w:t>
      </w:r>
      <w:r w:rsidR="006335B9" w:rsidRPr="006335B9">
        <w:t>/</w:t>
      </w:r>
      <w:r w:rsidR="006335B9" w:rsidRPr="006335B9">
        <w:rPr>
          <w:b/>
          <w:i/>
        </w:rPr>
        <w:t>G</w:t>
      </w:r>
      <w:r w:rsidR="006335B9" w:rsidRPr="006335B9">
        <w:t xml:space="preserve"> ratios. This would result in lower selectivity to lignin decomposition products at lower temperatures. As lignin synthesis is a regulated biological process</w:t>
      </w:r>
      <w:r w:rsidR="001A2A3F">
        <w:t xml:space="preserve"> </w:t>
      </w:r>
      <w:r w:rsidR="0012222F">
        <w:fldChar w:fldCharType="begin"/>
      </w:r>
      <w:r>
        <w:instrText xml:space="preserve"> ADDIN PAPERS2_CITATIONS &lt;citation&gt;&lt;uuid&gt;1EF82511-D118-48D5-9381-34CA8FEB67B0&lt;/uuid&gt;&lt;priority&gt;0&lt;/priority&gt;&lt;publications&gt;&lt;publication&gt;&lt;uuid&gt;0BBB86C2-AEA9-44B5-B628-5035F5735D51&lt;/uuid&gt;&lt;volume&gt;54&lt;/volume&gt;&lt;doi&gt;10.1146/annurev.arplant.54.031902.134938&lt;/doi&gt;&lt;startpage&gt;519&lt;/startpage&gt;&lt;publication_date&gt;99200300001200000000200000&lt;/publication_date&gt;&lt;url&gt;http://www.annualreviews.org/doi/abs/10.1146/annurev.arplant.54.031902.134938&lt;/url&gt;&lt;citekey&gt;Boerjan:2003hk&lt;/citekey&gt;&lt;type&gt;400&lt;/type&gt;&lt;title&gt;Lignin biosynthesis&lt;/title&gt;&lt;institution&gt;Boerjan, W</w:instrText>
      </w:r>
    </w:p>
    <w:p w14:paraId="6C5686C7" w14:textId="77777777" w:rsidR="00807999" w:rsidRDefault="00807999" w:rsidP="0012222F">
      <w:r>
        <w:instrText>State Univ Ghent VIB, Dept Plant Syst Biol, K L Ledeganckstr 35, B-9000 Ghent, Belgium</w:instrText>
      </w:r>
    </w:p>
    <w:p w14:paraId="3C0E440B" w14:textId="77777777" w:rsidR="00807999" w:rsidRDefault="00807999" w:rsidP="0012222F">
      <w:r>
        <w:instrText>State Univ Ghent VIB, Dept Plant Syst Biol, K L Ledeganckstr 35, B-9000 Ghent, Belgium</w:instrText>
      </w:r>
    </w:p>
    <w:p w14:paraId="7D575D4A" w14:textId="77777777" w:rsidR="00807999" w:rsidRDefault="00807999" w:rsidP="0012222F">
      <w:r>
        <w:instrText>State Univ Ghent VIB, Dept Plant Syst Biol, B-9000 Ghent, Belgium</w:instrText>
      </w:r>
    </w:p>
    <w:p w14:paraId="50706C34" w14:textId="77777777" w:rsidR="00807999" w:rsidRDefault="00807999" w:rsidP="0012222F">
      <w:r>
        <w:instrText>USDA ARS, US Dairy Forage Res Ctr, Madison, WI 53706 USA</w:instrText>
      </w:r>
    </w:p>
    <w:p w14:paraId="56CE0B39" w14:textId="14612BC1" w:rsidR="006335B9" w:rsidRDefault="00807999" w:rsidP="0012222F">
      <w:r>
        <w:instrText>Free Univ Brussels, Lab Biotechnol Vegetale, B-1160 Brussels, Belgium&lt;/institution&gt;&lt;subtype&gt;400&lt;/subtype&gt;&lt;endpage&gt;546&lt;/endpage&gt;&lt;bundle&gt;&lt;publication&gt;&lt;title&gt;Annual review of plant biology&lt;/title&gt;&lt;type&gt;-100&lt;/type&gt;&lt;subtype&gt;-100&lt;/subtype&gt;&lt;uuid&gt;4CDB0732-FE75-4F56-9627-A14F8E94872D&lt;/uuid&gt;&lt;/publication&gt;&lt;/bundle&gt;&lt;authors&gt;&lt;author&gt;&lt;firstName&gt;Wout&lt;/firstName&gt;&lt;lastName&gt;Boerjan&lt;/lastName&gt;&lt;/author&gt;&lt;author&gt;&lt;firstName&gt;John&lt;/firstName&gt;&lt;lastName&gt;Ralph&lt;/lastName&gt;&lt;/author&gt;&lt;author&gt;&lt;firstName&gt;Marie&lt;/firstName&gt;&lt;lastName&gt;Baucher&lt;/lastName&gt;&lt;/author&gt;&lt;/authors&gt;&lt;/publication&gt;&lt;/publications&gt;&lt;cites&gt;&lt;/cites&gt;&lt;/citation&gt;</w:instrText>
      </w:r>
      <w:r w:rsidR="0012222F">
        <w:fldChar w:fldCharType="separate"/>
      </w:r>
      <w:r w:rsidR="001C1AAC">
        <w:t>(</w:t>
      </w:r>
      <w:r w:rsidR="001C1AAC">
        <w:rPr>
          <w:i/>
          <w:iCs/>
        </w:rPr>
        <w:t>55</w:t>
      </w:r>
      <w:r w:rsidR="001C1AAC">
        <w:t>)</w:t>
      </w:r>
      <w:r w:rsidR="0012222F">
        <w:fldChar w:fldCharType="end"/>
      </w:r>
      <w:r w:rsidR="006335B9" w:rsidRPr="006335B9">
        <w:t xml:space="preserve">, the production </w:t>
      </w:r>
      <w:r w:rsidR="006335B9" w:rsidRPr="006335B9">
        <w:lastRenderedPageBreak/>
        <w:t xml:space="preserve">of all three monomers has been demonstrated to be impacted by heritable traits. </w:t>
      </w:r>
      <w:r w:rsidR="006335B9" w:rsidRPr="008D52D9">
        <w:t xml:space="preserve">Figure </w:t>
      </w:r>
      <w:r w:rsidR="008D52D9">
        <w:t>7.</w:t>
      </w:r>
      <w:r w:rsidR="006335B9" w:rsidRPr="008D52D9">
        <w:t>2</w:t>
      </w:r>
      <w:r w:rsidR="006335B9" w:rsidRPr="006335B9">
        <w:t xml:space="preserve"> shows an overview of the lignin biosynthesis pathways established and the enzymes (when known) that catalyze various steps in the process. </w:t>
      </w:r>
    </w:p>
    <w:p w14:paraId="2857B985" w14:textId="77777777" w:rsidR="009B77F6" w:rsidRDefault="009B77F6" w:rsidP="0000478D">
      <w:pPr>
        <w:pStyle w:val="NoSpacing"/>
      </w:pPr>
      <w:r>
        <w:rPr>
          <w:noProof/>
        </w:rPr>
        <w:lastRenderedPageBreak/>
        <w:drawing>
          <wp:inline distT="0" distB="0" distL="0" distR="0" wp14:anchorId="20A2A155" wp14:editId="0814FDC2">
            <wp:extent cx="5394960" cy="7305423"/>
            <wp:effectExtent l="0" t="0" r="0" b="10160"/>
            <wp:docPr id="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8">
                      <a:extLst>
                        <a:ext uri="{28A0092B-C50C-407E-A947-70E740481C1C}">
                          <a14:useLocalDpi xmlns:a14="http://schemas.microsoft.com/office/drawing/2010/main" val="0"/>
                        </a:ext>
                      </a:extLst>
                    </a:blip>
                    <a:srcRect l="7805" t="5055" r="6090" b="8658"/>
                    <a:stretch/>
                  </pic:blipFill>
                  <pic:spPr bwMode="auto">
                    <a:xfrm>
                      <a:off x="0" y="0"/>
                      <a:ext cx="5394960" cy="7305423"/>
                    </a:xfrm>
                    <a:prstGeom prst="rect">
                      <a:avLst/>
                    </a:prstGeom>
                    <a:noFill/>
                    <a:ln>
                      <a:noFill/>
                    </a:ln>
                    <a:extLst>
                      <a:ext uri="{53640926-AAD7-44d8-BBD7-CCE9431645EC}">
                        <a14:shadowObscured xmlns=""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0ED8B87B" w14:textId="77777777" w:rsidR="00807999" w:rsidRDefault="009B77F6" w:rsidP="0012222F">
      <w:pPr>
        <w:pStyle w:val="Caption"/>
        <w:rPr>
          <w:b w:val="0"/>
          <w:bCs w:val="0"/>
          <w:szCs w:val="24"/>
        </w:rPr>
      </w:pPr>
      <w:bookmarkStart w:id="181" w:name="_Toc449965020"/>
      <w:r w:rsidRPr="0012222F">
        <w:t xml:space="preserve">Figure </w:t>
      </w:r>
      <w:fldSimple w:instr=" STYLEREF &quot;Chapter&quot; \s ">
        <w:r w:rsidR="00463F52">
          <w:rPr>
            <w:noProof/>
          </w:rPr>
          <w:t>7</w:t>
        </w:r>
      </w:fldSimple>
      <w:r w:rsidRPr="0012222F">
        <w:t>.</w:t>
      </w:r>
      <w:r w:rsidRPr="0012222F">
        <w:rPr>
          <w:b w:val="0"/>
        </w:rPr>
        <w:fldChar w:fldCharType="begin"/>
      </w:r>
      <w:r w:rsidRPr="0012222F">
        <w:instrText xml:space="preserve"> SEQ Figure </w:instrText>
      </w:r>
      <w:r w:rsidR="000330AD" w:rsidRPr="0012222F">
        <w:instrText xml:space="preserve">\r 1 </w:instrText>
      </w:r>
      <w:r w:rsidRPr="0012222F">
        <w:instrText xml:space="preserve">\* ARABIC \s 1 </w:instrText>
      </w:r>
      <w:r w:rsidRPr="0012222F">
        <w:rPr>
          <w:b w:val="0"/>
        </w:rPr>
        <w:fldChar w:fldCharType="separate"/>
      </w:r>
      <w:r w:rsidR="00463F52">
        <w:rPr>
          <w:noProof/>
        </w:rPr>
        <w:t>1</w:t>
      </w:r>
      <w:r w:rsidRPr="0012222F">
        <w:rPr>
          <w:b w:val="0"/>
          <w:noProof/>
        </w:rPr>
        <w:fldChar w:fldCharType="end"/>
      </w:r>
      <w:r w:rsidRPr="0012222F">
        <w:rPr>
          <w:noProof/>
        </w:rPr>
        <w:t>.</w:t>
      </w:r>
      <w:r w:rsidRPr="0012222F">
        <w:t xml:space="preserve"> </w:t>
      </w:r>
      <w:r w:rsidRPr="008D4E97">
        <w:rPr>
          <w:b w:val="0"/>
        </w:rPr>
        <w:t>Lignin monomers and structures in the polymer. From</w:t>
      </w:r>
      <w:bookmarkEnd w:id="181"/>
      <w:r w:rsidRPr="008D4E97">
        <w:rPr>
          <w:b w:val="0"/>
        </w:rPr>
        <w:t xml:space="preserve"> </w:t>
      </w:r>
      <w:r w:rsidR="0012222F" w:rsidRPr="008D4E97">
        <w:rPr>
          <w:b w:val="0"/>
          <w:bCs w:val="0"/>
          <w:szCs w:val="24"/>
        </w:rPr>
        <w:fldChar w:fldCharType="begin"/>
      </w:r>
      <w:r w:rsidR="00807999">
        <w:rPr>
          <w:b w:val="0"/>
          <w:bCs w:val="0"/>
          <w:szCs w:val="24"/>
        </w:rPr>
        <w:instrText xml:space="preserve"> ADDIN PAPERS2_CITATIONS &lt;citation&gt;&lt;uuid&gt;91456338-9E65-4883-89AE-853E2B47F6EF&lt;/uuid&gt;&lt;priority&gt;0&lt;/priority&gt;&lt;publications&gt;&lt;publication&gt;&lt;uuid&gt;0BBB86C2-AEA9-44B5-B628-5035F5735D51&lt;/uuid&gt;&lt;volume&gt;54&lt;/volume&gt;&lt;doi&gt;10.1146/annurev.arplant.54.031902.134938&lt;/doi&gt;&lt;startpage&gt;519&lt;/startpage&gt;&lt;publication_date&gt;99200300001200000000200000&lt;/publication_date&gt;&lt;url&gt;http://www.annualreviews.org/doi/abs/10.1146/annurev.arplant.54.031902.134938&lt;/url&gt;&lt;citekey&gt;Boerjan:2003hk&lt;/citekey&gt;&lt;type&gt;400&lt;/type&gt;&lt;title&gt;Lignin biosynthesis&lt;/title&gt;&lt;institution&gt;Boerjan, W</w:instrText>
      </w:r>
    </w:p>
    <w:p w14:paraId="0793A45C" w14:textId="77777777" w:rsidR="00807999" w:rsidRDefault="00807999" w:rsidP="0012222F">
      <w:pPr>
        <w:pStyle w:val="Caption"/>
        <w:rPr>
          <w:b w:val="0"/>
          <w:bCs w:val="0"/>
          <w:szCs w:val="24"/>
        </w:rPr>
      </w:pPr>
      <w:r>
        <w:rPr>
          <w:b w:val="0"/>
          <w:bCs w:val="0"/>
          <w:szCs w:val="24"/>
        </w:rPr>
        <w:instrText>State Univ Ghent VIB, Dept Plant Syst Biol, K L Ledeganckstr 35, B-9000 Ghent, Belgium</w:instrText>
      </w:r>
    </w:p>
    <w:p w14:paraId="30B1DF2D" w14:textId="77777777" w:rsidR="00807999" w:rsidRDefault="00807999" w:rsidP="0012222F">
      <w:pPr>
        <w:pStyle w:val="Caption"/>
        <w:rPr>
          <w:b w:val="0"/>
          <w:bCs w:val="0"/>
          <w:szCs w:val="24"/>
        </w:rPr>
      </w:pPr>
      <w:r>
        <w:rPr>
          <w:b w:val="0"/>
          <w:bCs w:val="0"/>
          <w:szCs w:val="24"/>
        </w:rPr>
        <w:instrText>State Univ Ghent VIB, Dept Plant Syst Biol, K L Ledeganckstr 35, B-9000 Ghent, Belgium</w:instrText>
      </w:r>
    </w:p>
    <w:p w14:paraId="402CF17F" w14:textId="77777777" w:rsidR="00807999" w:rsidRDefault="00807999" w:rsidP="0012222F">
      <w:pPr>
        <w:pStyle w:val="Caption"/>
        <w:rPr>
          <w:b w:val="0"/>
          <w:bCs w:val="0"/>
          <w:szCs w:val="24"/>
        </w:rPr>
      </w:pPr>
      <w:r>
        <w:rPr>
          <w:b w:val="0"/>
          <w:bCs w:val="0"/>
          <w:szCs w:val="24"/>
        </w:rPr>
        <w:instrText>State Univ Ghent VIB, Dept Plant Syst Biol, B-9000 Ghent, Belgium</w:instrText>
      </w:r>
    </w:p>
    <w:p w14:paraId="1360079B" w14:textId="77777777" w:rsidR="00807999" w:rsidRDefault="00807999" w:rsidP="0012222F">
      <w:pPr>
        <w:pStyle w:val="Caption"/>
        <w:rPr>
          <w:b w:val="0"/>
          <w:bCs w:val="0"/>
          <w:szCs w:val="24"/>
        </w:rPr>
      </w:pPr>
      <w:r>
        <w:rPr>
          <w:b w:val="0"/>
          <w:bCs w:val="0"/>
          <w:szCs w:val="24"/>
        </w:rPr>
        <w:instrText>USDA ARS, US Dairy Forage Res Ctr, Madison, WI 53706 USA</w:instrText>
      </w:r>
    </w:p>
    <w:p w14:paraId="5D268163" w14:textId="1353671D" w:rsidR="009B77F6" w:rsidRPr="0012222F" w:rsidRDefault="00807999" w:rsidP="0012222F">
      <w:pPr>
        <w:pStyle w:val="Caption"/>
      </w:pPr>
      <w:r>
        <w:rPr>
          <w:b w:val="0"/>
          <w:bCs w:val="0"/>
          <w:szCs w:val="24"/>
        </w:rPr>
        <w:instrText>Free Univ Brussels, Lab Biotechnol Vegetale, B-1160 Brussels, Belgium&lt;/institution&gt;&lt;subtype&gt;400&lt;/subtype&gt;&lt;endpage&gt;546&lt;/endpage&gt;&lt;bundle&gt;&lt;publication&gt;&lt;title&gt;Annual review of plant biology&lt;/title&gt;&lt;type&gt;-100&lt;/type&gt;&lt;subtype&gt;-100&lt;/subtype&gt;&lt;uuid&gt;4CDB0732-FE75-4F56-9627-A14F8E94872D&lt;/uuid&gt;&lt;/publication&gt;&lt;/bundle&gt;&lt;authors&gt;&lt;author&gt;&lt;firstName&gt;Wout&lt;/firstName&gt;&lt;lastName&gt;Boerjan&lt;/lastName&gt;&lt;/author&gt;&lt;author&gt;&lt;firstName&gt;John&lt;/firstName&gt;&lt;lastName&gt;Ralph&lt;/lastName&gt;&lt;/author&gt;&lt;author&gt;&lt;firstName&gt;Marie&lt;/firstName&gt;&lt;lastName&gt;Baucher&lt;/lastName&gt;&lt;/author&gt;&lt;/authors&gt;&lt;/publication&gt;&lt;/publications&gt;&lt;cites&gt;&lt;/cites&gt;&lt;/citation&gt;</w:instrText>
      </w:r>
      <w:r w:rsidR="0012222F" w:rsidRPr="008D4E97">
        <w:rPr>
          <w:b w:val="0"/>
        </w:rPr>
        <w:fldChar w:fldCharType="separate"/>
      </w:r>
      <w:r w:rsidR="001C1AAC" w:rsidRPr="008D4E97">
        <w:rPr>
          <w:b w:val="0"/>
        </w:rPr>
        <w:t>(</w:t>
      </w:r>
      <w:r w:rsidR="001C1AAC" w:rsidRPr="008D4E97">
        <w:rPr>
          <w:b w:val="0"/>
          <w:i/>
          <w:iCs/>
        </w:rPr>
        <w:t>55</w:t>
      </w:r>
      <w:r w:rsidR="001C1AAC" w:rsidRPr="008D4E97">
        <w:rPr>
          <w:b w:val="0"/>
        </w:rPr>
        <w:t>)</w:t>
      </w:r>
      <w:r w:rsidR="0012222F" w:rsidRPr="008D4E97">
        <w:rPr>
          <w:b w:val="0"/>
        </w:rPr>
        <w:fldChar w:fldCharType="end"/>
      </w:r>
      <w:r w:rsidR="009B77F6" w:rsidRPr="008D4E97">
        <w:rPr>
          <w:b w:val="0"/>
        </w:rPr>
        <w:t>.</w:t>
      </w:r>
      <w:r w:rsidR="009B77F6" w:rsidRPr="0012222F">
        <w:br w:type="page"/>
      </w:r>
    </w:p>
    <w:tbl>
      <w:tblPr>
        <w:tblStyle w:val="LightList"/>
        <w:tblW w:w="8406" w:type="dxa"/>
        <w:tblLayout w:type="fixed"/>
        <w:tblLook w:val="04A0" w:firstRow="1" w:lastRow="0" w:firstColumn="1" w:lastColumn="0" w:noHBand="0" w:noVBand="1"/>
      </w:tblPr>
      <w:tblGrid>
        <w:gridCol w:w="1505"/>
        <w:gridCol w:w="2719"/>
        <w:gridCol w:w="2692"/>
        <w:gridCol w:w="1490"/>
      </w:tblGrid>
      <w:tr w:rsidR="00526E25" w:rsidRPr="00B13718" w14:paraId="371961AC" w14:textId="77777777" w:rsidTr="00526E2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5" w:type="dxa"/>
            <w:tcBorders>
              <w:bottom w:val="single" w:sz="8" w:space="0" w:color="000000" w:themeColor="text1"/>
            </w:tcBorders>
          </w:tcPr>
          <w:p w14:paraId="5A321771" w14:textId="77777777" w:rsidR="00876BBC" w:rsidRPr="0048469E" w:rsidRDefault="00876BBC" w:rsidP="003D7D2C">
            <w:pPr>
              <w:pStyle w:val="NoSpacing"/>
              <w:jc w:val="center"/>
            </w:pPr>
            <w:r>
              <w:lastRenderedPageBreak/>
              <w:t>Bond</w:t>
            </w:r>
          </w:p>
        </w:tc>
        <w:tc>
          <w:tcPr>
            <w:tcW w:w="2719" w:type="dxa"/>
            <w:tcBorders>
              <w:bottom w:val="single" w:sz="8" w:space="0" w:color="000000" w:themeColor="text1"/>
            </w:tcBorders>
          </w:tcPr>
          <w:p w14:paraId="4EBA1EF2" w14:textId="77777777" w:rsidR="00876BBC" w:rsidRPr="00B13718" w:rsidRDefault="00876BBC" w:rsidP="003D7D2C">
            <w:pPr>
              <w:pStyle w:val="NoSpacing"/>
              <w:jc w:val="center"/>
              <w:cnfStyle w:val="100000000000" w:firstRow="1" w:lastRow="0" w:firstColumn="0" w:lastColumn="0" w:oddVBand="0" w:evenVBand="0" w:oddHBand="0" w:evenHBand="0" w:firstRowFirstColumn="0" w:firstRowLastColumn="0" w:lastRowFirstColumn="0" w:lastRowLastColumn="0"/>
              <w:rPr>
                <w:noProof/>
              </w:rPr>
            </w:pPr>
            <w:r w:rsidRPr="00B13718">
              <w:rPr>
                <w:noProof/>
              </w:rPr>
              <w:t>Structure</w:t>
            </w:r>
          </w:p>
        </w:tc>
        <w:tc>
          <w:tcPr>
            <w:tcW w:w="2692" w:type="dxa"/>
            <w:tcBorders>
              <w:bottom w:val="single" w:sz="8" w:space="0" w:color="000000" w:themeColor="text1"/>
            </w:tcBorders>
          </w:tcPr>
          <w:p w14:paraId="5541FC09" w14:textId="77777777" w:rsidR="00876BBC" w:rsidRPr="00B13718" w:rsidRDefault="00876BBC" w:rsidP="003D7D2C">
            <w:pPr>
              <w:pStyle w:val="NoSpacing"/>
              <w:jc w:val="center"/>
              <w:cnfStyle w:val="100000000000" w:firstRow="1" w:lastRow="0" w:firstColumn="0" w:lastColumn="0" w:oddVBand="0" w:evenVBand="0" w:oddHBand="0" w:evenHBand="0" w:firstRowFirstColumn="0" w:firstRowLastColumn="0" w:lastRowFirstColumn="0" w:lastRowLastColumn="0"/>
            </w:pPr>
            <w:r>
              <w:t>ΔH</w:t>
            </w:r>
            <w:r w:rsidRPr="009763EE">
              <w:rPr>
                <w:vertAlign w:val="subscript"/>
              </w:rPr>
              <w:t>diss</w:t>
            </w:r>
            <w:r>
              <w:t xml:space="preserve"> , kcal/mol, 298K</w:t>
            </w:r>
          </w:p>
        </w:tc>
        <w:tc>
          <w:tcPr>
            <w:tcW w:w="1490" w:type="dxa"/>
            <w:tcBorders>
              <w:bottom w:val="single" w:sz="8" w:space="0" w:color="000000" w:themeColor="text1"/>
            </w:tcBorders>
          </w:tcPr>
          <w:p w14:paraId="5F6EC21B" w14:textId="77777777" w:rsidR="00876BBC" w:rsidRPr="00B13718" w:rsidRDefault="00876BBC" w:rsidP="003D7D2C">
            <w:pPr>
              <w:pStyle w:val="NoSpacing"/>
              <w:jc w:val="center"/>
              <w:cnfStyle w:val="100000000000" w:firstRow="1" w:lastRow="0" w:firstColumn="0" w:lastColumn="0" w:oddVBand="0" w:evenVBand="0" w:oddHBand="0" w:evenHBand="0" w:firstRowFirstColumn="0" w:firstRowLastColumn="0" w:lastRowFirstColumn="0" w:lastRowLastColumn="0"/>
            </w:pPr>
            <w:r w:rsidRPr="00B13718">
              <w:t>Reference</w:t>
            </w:r>
          </w:p>
        </w:tc>
      </w:tr>
      <w:tr w:rsidR="00526E25" w:rsidRPr="00CD2D8D" w14:paraId="4DB47828" w14:textId="77777777" w:rsidTr="00526E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5" w:type="dxa"/>
            <w:tcBorders>
              <w:bottom w:val="single" w:sz="4" w:space="0" w:color="auto"/>
              <w:right w:val="single" w:sz="4" w:space="0" w:color="auto"/>
            </w:tcBorders>
            <w:vAlign w:val="center"/>
          </w:tcPr>
          <w:p w14:paraId="63C4D17C" w14:textId="77777777" w:rsidR="00876BBC" w:rsidRPr="0048469E" w:rsidRDefault="00876BBC" w:rsidP="003D7D2C">
            <w:pPr>
              <w:pStyle w:val="NoSpacing"/>
              <w:jc w:val="center"/>
            </w:pPr>
            <w:r w:rsidRPr="0048469E">
              <w:t>β-5</w:t>
            </w:r>
          </w:p>
        </w:tc>
        <w:tc>
          <w:tcPr>
            <w:tcW w:w="2719" w:type="dxa"/>
            <w:tcBorders>
              <w:left w:val="single" w:sz="4" w:space="0" w:color="auto"/>
              <w:bottom w:val="single" w:sz="4" w:space="0" w:color="auto"/>
              <w:right w:val="single" w:sz="4" w:space="0" w:color="auto"/>
            </w:tcBorders>
          </w:tcPr>
          <w:p w14:paraId="10A55F43" w14:textId="77777777" w:rsidR="00876BBC" w:rsidRDefault="00876BBC" w:rsidP="003D7D2C">
            <w:pPr>
              <w:pStyle w:val="NoSpacing"/>
              <w:jc w:val="center"/>
              <w:cnfStyle w:val="000000100000" w:firstRow="0" w:lastRow="0" w:firstColumn="0" w:lastColumn="0" w:oddVBand="0" w:evenVBand="0" w:oddHBand="1" w:evenHBand="0" w:firstRowFirstColumn="0" w:firstRowLastColumn="0" w:lastRowFirstColumn="0" w:lastRowLastColumn="0"/>
            </w:pPr>
            <w:r>
              <w:rPr>
                <w:noProof/>
              </w:rPr>
              <w:drawing>
                <wp:inline distT="0" distB="0" distL="0" distR="0" wp14:anchorId="753DF627" wp14:editId="65193C36">
                  <wp:extent cx="1053743" cy="1143000"/>
                  <wp:effectExtent l="0" t="0" r="0" b="0"/>
                  <wp:docPr id="26" name="Picture 26" descr="Macintosh HD:Users:cwaters:Pictures:iPhoto Library:Masters:2014:10:23:20141023-135835:IMG_02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cintosh HD:Users:cwaters:Pictures:iPhoto Library:Masters:2014:10:23:20141023-135835:IMG_0239.PNG"/>
                          <pic:cNvPicPr>
                            <a:picLocks noChangeAspect="1" noChangeArrowheads="1"/>
                          </pic:cNvPicPr>
                        </pic:nvPicPr>
                        <pic:blipFill rotWithShape="1">
                          <a:blip r:embed="rId89" cstate="print">
                            <a:extLst>
                              <a:ext uri="{28A0092B-C50C-407E-A947-70E740481C1C}">
                                <a14:useLocalDpi xmlns:a14="http://schemas.microsoft.com/office/drawing/2010/main" val="0"/>
                              </a:ext>
                            </a:extLst>
                          </a:blip>
                          <a:srcRect t="12974"/>
                          <a:stretch/>
                        </pic:blipFill>
                        <pic:spPr bwMode="auto">
                          <a:xfrm>
                            <a:off x="0" y="0"/>
                            <a:ext cx="1053743" cy="1143000"/>
                          </a:xfrm>
                          <a:prstGeom prst="rect">
                            <a:avLst/>
                          </a:prstGeom>
                          <a:noFill/>
                          <a:ln>
                            <a:noFill/>
                          </a:ln>
                          <a:extLst>
                            <a:ext uri="{53640926-AAD7-44d8-BBD7-CCE9431645EC}">
                              <a14:shadowObscured xmlns=""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tc>
        <w:tc>
          <w:tcPr>
            <w:tcW w:w="2692" w:type="dxa"/>
            <w:tcBorders>
              <w:left w:val="single" w:sz="4" w:space="0" w:color="auto"/>
              <w:bottom w:val="single" w:sz="4" w:space="0" w:color="auto"/>
              <w:right w:val="single" w:sz="4" w:space="0" w:color="auto"/>
            </w:tcBorders>
            <w:vAlign w:val="center"/>
          </w:tcPr>
          <w:p w14:paraId="33443F51" w14:textId="77777777" w:rsidR="00876BBC" w:rsidRDefault="00876BBC" w:rsidP="003D7D2C">
            <w:pPr>
              <w:pStyle w:val="NoSpacing"/>
              <w:jc w:val="center"/>
              <w:cnfStyle w:val="000000100000" w:firstRow="0" w:lastRow="0" w:firstColumn="0" w:lastColumn="0" w:oddVBand="0" w:evenVBand="0" w:oddHBand="1" w:evenHBand="0" w:firstRowFirstColumn="0" w:firstRowLastColumn="0" w:lastRowFirstColumn="0" w:lastRowLastColumn="0"/>
            </w:pPr>
            <w:r>
              <w:t xml:space="preserve">101.6 – </w:t>
            </w:r>
            <w:r w:rsidRPr="00B4037C">
              <w:t>10</w:t>
            </w:r>
            <w:r>
              <w:t>7.1</w:t>
            </w:r>
          </w:p>
        </w:tc>
        <w:tc>
          <w:tcPr>
            <w:tcW w:w="1490" w:type="dxa"/>
            <w:tcBorders>
              <w:left w:val="single" w:sz="4" w:space="0" w:color="auto"/>
              <w:bottom w:val="single" w:sz="4" w:space="0" w:color="auto"/>
            </w:tcBorders>
            <w:vAlign w:val="center"/>
          </w:tcPr>
          <w:p w14:paraId="5C3DE62F" w14:textId="7C93163C" w:rsidR="00876BBC" w:rsidRPr="006B55FD" w:rsidRDefault="0012222F" w:rsidP="003D7D2C">
            <w:pPr>
              <w:pStyle w:val="NoSpacing"/>
              <w:jc w:val="center"/>
              <w:cnfStyle w:val="000000100000" w:firstRow="0" w:lastRow="0" w:firstColumn="0" w:lastColumn="0" w:oddVBand="0" w:evenVBand="0" w:oddHBand="1" w:evenHBand="0" w:firstRowFirstColumn="0" w:firstRowLastColumn="0" w:lastRowFirstColumn="0" w:lastRowLastColumn="0"/>
              <w:rPr>
                <w:i/>
                <w:highlight w:val="yellow"/>
              </w:rPr>
            </w:pPr>
            <w:r>
              <w:rPr>
                <w:i/>
                <w:highlight w:val="yellow"/>
              </w:rPr>
              <w:fldChar w:fldCharType="begin"/>
            </w:r>
            <w:r w:rsidR="00807999">
              <w:rPr>
                <w:i/>
                <w:highlight w:val="yellow"/>
              </w:rPr>
              <w:instrText xml:space="preserve"> ADDIN PAPERS2_CITATIONS &lt;citation&gt;&lt;uuid&gt;2BE8D61A-494A-4DC5-8D02-113F36EFE253&lt;/uuid&gt;&lt;priority&gt;0&lt;/priority&gt;&lt;publications&gt;&lt;publication&gt;&lt;volume&gt;2&lt;/volume&gt;&lt;publication_date&gt;99201111171200000000222000&lt;/publication_date&gt;&lt;number&gt;22&lt;/number&gt;&lt;doi&gt;10.1021/jz201182w&lt;/doi&gt;&lt;startpage&gt;2846&lt;/startpage&gt;&lt;title&gt;Computational Study of Bond Dissociation Enthalpies for a Large Range of Native and Modified Lignins&lt;/title&gt;&lt;uuid&gt;EC3E9B6F-16F7-4A30-8B28-238FA6229E86&lt;/uuid&gt;&lt;subtype&gt;400&lt;/subtype&gt;&lt;endpage&gt;2852&lt;/endpage&gt;&lt;type&gt;400&lt;/type&gt;&lt;url&gt;http://www.researchgate.net/profile/Robert_Paton/publication/230766950_Computational_Study_of_Bond_Dissociation_Enthalpies_for_a_Large_Range_of_Native_and_Modified_Lignins/links/09e415041324130b3b000000&lt;/url&gt;&lt;bundle&gt;&lt;publication&gt;&lt;title&gt;The Journal of Physical Chemistry Letters&lt;/title&gt;&lt;type&gt;-100&lt;/type&gt;&lt;subtype&gt;-100&lt;/subtype&gt;&lt;uuid&gt;15CC16EC-37DA-44E0-ACE0-24C23F7CA10F&lt;/uuid&gt;&lt;/publication&gt;&lt;/bundle&gt;&lt;authors&gt;&lt;author&gt;&lt;firstName&gt;Seonah&lt;/firstName&gt;&lt;lastName&gt;Kim&lt;/lastName&gt;&lt;/author&gt;&lt;author&gt;&lt;firstName&gt;Stephen&lt;/firstName&gt;&lt;middleNames&gt;C&lt;/middleNames&gt;&lt;lastName&gt;Chmely&lt;/lastName&gt;&lt;/author&gt;&lt;author&gt;&lt;firstName&gt;Mark&lt;/firstName&gt;&lt;middleNames&gt;R&lt;/middleNames&gt;&lt;lastName&gt;Nimlos&lt;/lastName&gt;&lt;/author&gt;&lt;author&gt;&lt;firstName&gt;Yannick&lt;/firstName&gt;&lt;middleNames&gt;J&lt;/middleNames&gt;&lt;lastName&gt;Bomble&lt;/lastName&gt;&lt;/author&gt;&lt;author&gt;&lt;firstName&gt;Thomas&lt;/firstName&gt;&lt;middleNames&gt;D&lt;/middleNames&gt;&lt;lastName&gt;Foust&lt;/lastName&gt;&lt;/author&gt;&lt;author&gt;&lt;firstName&gt;Robert&lt;/firstName&gt;&lt;middleNames&gt;S&lt;/middleNames&gt;&lt;lastName&gt;Paton&lt;/lastName&gt;&lt;/author&gt;&lt;author&gt;&lt;firstName&gt;Gregg&lt;/firstName&gt;&lt;middleNames&gt;T&lt;/middleNames&gt;&lt;lastName&gt;Beckham&lt;/lastName&gt;&lt;/author&gt;&lt;/authors&gt;&lt;/publication&gt;&lt;/publications&gt;&lt;cites&gt;&lt;/cites&gt;&lt;/citation&gt;</w:instrText>
            </w:r>
            <w:r>
              <w:rPr>
                <w:i/>
                <w:highlight w:val="yellow"/>
              </w:rPr>
              <w:fldChar w:fldCharType="separate"/>
            </w:r>
            <w:r w:rsidR="001C1AAC">
              <w:t>(</w:t>
            </w:r>
            <w:r w:rsidR="001C1AAC">
              <w:rPr>
                <w:i/>
                <w:iCs/>
              </w:rPr>
              <w:t>186</w:t>
            </w:r>
            <w:r w:rsidR="001C1AAC">
              <w:t>)</w:t>
            </w:r>
            <w:r>
              <w:rPr>
                <w:i/>
                <w:highlight w:val="yellow"/>
              </w:rPr>
              <w:fldChar w:fldCharType="end"/>
            </w:r>
          </w:p>
        </w:tc>
      </w:tr>
      <w:tr w:rsidR="00526E25" w14:paraId="22D07B17" w14:textId="77777777" w:rsidTr="00526E25">
        <w:tc>
          <w:tcPr>
            <w:cnfStyle w:val="001000000000" w:firstRow="0" w:lastRow="0" w:firstColumn="1" w:lastColumn="0" w:oddVBand="0" w:evenVBand="0" w:oddHBand="0" w:evenHBand="0" w:firstRowFirstColumn="0" w:firstRowLastColumn="0" w:lastRowFirstColumn="0" w:lastRowLastColumn="0"/>
            <w:tcW w:w="1505" w:type="dxa"/>
            <w:tcBorders>
              <w:top w:val="single" w:sz="4" w:space="0" w:color="auto"/>
              <w:bottom w:val="single" w:sz="4" w:space="0" w:color="auto"/>
              <w:right w:val="single" w:sz="4" w:space="0" w:color="auto"/>
            </w:tcBorders>
            <w:vAlign w:val="center"/>
          </w:tcPr>
          <w:p w14:paraId="1F7283A1" w14:textId="77777777" w:rsidR="00876BBC" w:rsidRPr="0048469E" w:rsidRDefault="00876BBC" w:rsidP="003D7D2C">
            <w:pPr>
              <w:pStyle w:val="NoSpacing"/>
              <w:jc w:val="center"/>
            </w:pPr>
            <w:r w:rsidRPr="0048469E">
              <w:t>5-5</w:t>
            </w:r>
          </w:p>
        </w:tc>
        <w:tc>
          <w:tcPr>
            <w:tcW w:w="2719" w:type="dxa"/>
            <w:tcBorders>
              <w:top w:val="single" w:sz="4" w:space="0" w:color="auto"/>
              <w:left w:val="single" w:sz="4" w:space="0" w:color="auto"/>
              <w:bottom w:val="single" w:sz="4" w:space="0" w:color="auto"/>
              <w:right w:val="single" w:sz="4" w:space="0" w:color="auto"/>
            </w:tcBorders>
          </w:tcPr>
          <w:p w14:paraId="07307CF3" w14:textId="77777777" w:rsidR="00876BBC" w:rsidRDefault="00876BBC" w:rsidP="003D7D2C">
            <w:pPr>
              <w:pStyle w:val="NoSpacing"/>
              <w:jc w:val="center"/>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1427E22D" wp14:editId="591C83CE">
                  <wp:extent cx="1143000" cy="884945"/>
                  <wp:effectExtent l="0" t="0" r="0" b="4445"/>
                  <wp:docPr id="27" name="Picture 27" descr="Macintosh HD:Users:cwaters:Pictures:iPhoto Library:Masters:2014:10:23:20141023-135813:IMG_02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cintosh HD:Users:cwaters:Pictures:iPhoto Library:Masters:2014:10:23:20141023-135813:IMG_0238.PNG"/>
                          <pic:cNvPicPr>
                            <a:picLocks noChangeAspect="1" noChangeArrowheads="1"/>
                          </pic:cNvPicPr>
                        </pic:nvPicPr>
                        <pic:blipFill rotWithShape="1">
                          <a:blip r:embed="rId90" cstate="print">
                            <a:extLst>
                              <a:ext uri="{28A0092B-C50C-407E-A947-70E740481C1C}">
                                <a14:useLocalDpi xmlns:a14="http://schemas.microsoft.com/office/drawing/2010/main" val="0"/>
                              </a:ext>
                            </a:extLst>
                          </a:blip>
                          <a:srcRect t="8935"/>
                          <a:stretch/>
                        </pic:blipFill>
                        <pic:spPr bwMode="auto">
                          <a:xfrm>
                            <a:off x="0" y="0"/>
                            <a:ext cx="1143000" cy="884945"/>
                          </a:xfrm>
                          <a:prstGeom prst="rect">
                            <a:avLst/>
                          </a:prstGeom>
                          <a:noFill/>
                          <a:ln>
                            <a:noFill/>
                          </a:ln>
                          <a:extLst>
                            <a:ext uri="{53640926-AAD7-44d8-BBD7-CCE9431645EC}">
                              <a14:shadowObscured xmlns=""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tc>
        <w:tc>
          <w:tcPr>
            <w:tcW w:w="2692" w:type="dxa"/>
            <w:tcBorders>
              <w:top w:val="single" w:sz="4" w:space="0" w:color="auto"/>
              <w:left w:val="single" w:sz="4" w:space="0" w:color="auto"/>
              <w:bottom w:val="single" w:sz="4" w:space="0" w:color="auto"/>
              <w:right w:val="single" w:sz="4" w:space="0" w:color="auto"/>
            </w:tcBorders>
            <w:vAlign w:val="center"/>
          </w:tcPr>
          <w:p w14:paraId="6A36385D" w14:textId="77777777" w:rsidR="00876BBC" w:rsidRDefault="00876BBC" w:rsidP="003D7D2C">
            <w:pPr>
              <w:pStyle w:val="NoSpacing"/>
              <w:jc w:val="center"/>
              <w:cnfStyle w:val="000000000000" w:firstRow="0" w:lastRow="0" w:firstColumn="0" w:lastColumn="0" w:oddVBand="0" w:evenVBand="0" w:oddHBand="0" w:evenHBand="0" w:firstRowFirstColumn="0" w:firstRowLastColumn="0" w:lastRowFirstColumn="0" w:lastRowLastColumn="0"/>
            </w:pPr>
            <w:r w:rsidRPr="00994A53">
              <w:t>111.8</w:t>
            </w:r>
            <w:r>
              <w:t xml:space="preserve"> – </w:t>
            </w:r>
            <w:r w:rsidRPr="00994A53">
              <w:t>118.1</w:t>
            </w:r>
          </w:p>
        </w:tc>
        <w:tc>
          <w:tcPr>
            <w:tcW w:w="1490" w:type="dxa"/>
            <w:tcBorders>
              <w:top w:val="single" w:sz="4" w:space="0" w:color="auto"/>
              <w:left w:val="single" w:sz="4" w:space="0" w:color="auto"/>
              <w:bottom w:val="single" w:sz="4" w:space="0" w:color="auto"/>
            </w:tcBorders>
            <w:vAlign w:val="center"/>
          </w:tcPr>
          <w:p w14:paraId="3D1D2991" w14:textId="7A69D452" w:rsidR="00876BBC" w:rsidRPr="006B55FD" w:rsidRDefault="0012222F" w:rsidP="003D7D2C">
            <w:pPr>
              <w:pStyle w:val="NoSpacing"/>
              <w:jc w:val="center"/>
              <w:cnfStyle w:val="000000000000" w:firstRow="0" w:lastRow="0" w:firstColumn="0" w:lastColumn="0" w:oddVBand="0" w:evenVBand="0" w:oddHBand="0" w:evenHBand="0" w:firstRowFirstColumn="0" w:firstRowLastColumn="0" w:lastRowFirstColumn="0" w:lastRowLastColumn="0"/>
              <w:rPr>
                <w:highlight w:val="yellow"/>
              </w:rPr>
            </w:pPr>
            <w:r>
              <w:rPr>
                <w:i/>
                <w:highlight w:val="yellow"/>
              </w:rPr>
              <w:fldChar w:fldCharType="begin"/>
            </w:r>
            <w:r w:rsidR="00807999">
              <w:rPr>
                <w:i/>
                <w:highlight w:val="yellow"/>
              </w:rPr>
              <w:instrText xml:space="preserve"> ADDIN PAPERS2_CITATIONS &lt;citation&gt;&lt;uuid&gt;8DC49F47-AD43-442D-AA92-28B7719D35F1&lt;/uuid&gt;&lt;priority&gt;0&lt;/priority&gt;&lt;publications&gt;&lt;publication&gt;&lt;volume&gt;2&lt;/volume&gt;&lt;publication_date&gt;99201111171200000000222000&lt;/publication_date&gt;&lt;number&gt;22&lt;/number&gt;&lt;doi&gt;10.1021/jz201182w&lt;/doi&gt;&lt;startpage&gt;2846&lt;/startpage&gt;&lt;title&gt;Computational Study of Bond Dissociation Enthalpies for a Large Range of Native and Modified Lignins&lt;/title&gt;&lt;uuid&gt;EC3E9B6F-16F7-4A30-8B28-238FA6229E86&lt;/uuid&gt;&lt;subtype&gt;400&lt;/subtype&gt;&lt;endpage&gt;2852&lt;/endpage&gt;&lt;type&gt;400&lt;/type&gt;&lt;url&gt;http://www.researchgate.net/profile/Robert_Paton/publication/230766950_Computational_Study_of_Bond_Dissociation_Enthalpies_for_a_Large_Range_of_Native_and_Modified_Lignins/links/09e415041324130b3b000000&lt;/url&gt;&lt;bundle&gt;&lt;publication&gt;&lt;title&gt;The Journal of Physical Chemistry Letters&lt;/title&gt;&lt;type&gt;-100&lt;/type&gt;&lt;subtype&gt;-100&lt;/subtype&gt;&lt;uuid&gt;15CC16EC-37DA-44E0-ACE0-24C23F7CA10F&lt;/uuid&gt;&lt;/publication&gt;&lt;/bundle&gt;&lt;authors&gt;&lt;author&gt;&lt;firstName&gt;Seonah&lt;/firstName&gt;&lt;lastName&gt;Kim&lt;/lastName&gt;&lt;/author&gt;&lt;author&gt;&lt;firstName&gt;Stephen&lt;/firstName&gt;&lt;middleNames&gt;C&lt;/middleNames&gt;&lt;lastName&gt;Chmely&lt;/lastName&gt;&lt;/author&gt;&lt;author&gt;&lt;firstName&gt;Mark&lt;/firstName&gt;&lt;middleNames&gt;R&lt;/middleNames&gt;&lt;lastName&gt;Nimlos&lt;/lastName&gt;&lt;/author&gt;&lt;author&gt;&lt;firstName&gt;Yannick&lt;/firstName&gt;&lt;middleNames&gt;J&lt;/middleNames&gt;&lt;lastName&gt;Bomble&lt;/lastName&gt;&lt;/author&gt;&lt;author&gt;&lt;firstName&gt;Thomas&lt;/firstName&gt;&lt;middleNames&gt;D&lt;/middleNames&gt;&lt;lastName&gt;Foust&lt;/lastName&gt;&lt;/author&gt;&lt;author&gt;&lt;firstName&gt;Robert&lt;/firstName&gt;&lt;middleNames&gt;S&lt;/middleNames&gt;&lt;lastName&gt;Paton&lt;/lastName&gt;&lt;/author&gt;&lt;author&gt;&lt;firstName&gt;Gregg&lt;/firstName&gt;&lt;middleNames&gt;T&lt;/middleNames&gt;&lt;lastName&gt;Beckham&lt;/lastName&gt;&lt;/author&gt;&lt;/authors&gt;&lt;/publication&gt;&lt;/publications&gt;&lt;cites&gt;&lt;/cites&gt;&lt;/citation&gt;</w:instrText>
            </w:r>
            <w:r>
              <w:rPr>
                <w:i/>
                <w:highlight w:val="yellow"/>
              </w:rPr>
              <w:fldChar w:fldCharType="separate"/>
            </w:r>
            <w:r w:rsidR="001C1AAC">
              <w:t>(</w:t>
            </w:r>
            <w:r w:rsidR="001C1AAC">
              <w:rPr>
                <w:i/>
                <w:iCs/>
              </w:rPr>
              <w:t>186</w:t>
            </w:r>
            <w:r w:rsidR="001C1AAC">
              <w:t>)</w:t>
            </w:r>
            <w:r>
              <w:rPr>
                <w:i/>
                <w:highlight w:val="yellow"/>
              </w:rPr>
              <w:fldChar w:fldCharType="end"/>
            </w:r>
          </w:p>
        </w:tc>
      </w:tr>
      <w:tr w:rsidR="00526E25" w:rsidRPr="00CD2D8D" w14:paraId="3DB4E13F" w14:textId="77777777" w:rsidTr="00526E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5" w:type="dxa"/>
            <w:tcBorders>
              <w:top w:val="single" w:sz="4" w:space="0" w:color="auto"/>
              <w:bottom w:val="single" w:sz="4" w:space="0" w:color="auto"/>
              <w:right w:val="single" w:sz="4" w:space="0" w:color="auto"/>
            </w:tcBorders>
            <w:vAlign w:val="center"/>
          </w:tcPr>
          <w:p w14:paraId="330EEBE9" w14:textId="77777777" w:rsidR="00876BBC" w:rsidRPr="0048469E" w:rsidRDefault="00876BBC" w:rsidP="003D7D2C">
            <w:pPr>
              <w:pStyle w:val="NoSpacing"/>
              <w:jc w:val="center"/>
            </w:pPr>
            <w:r w:rsidRPr="0048469E">
              <w:t>5-O-4</w:t>
            </w:r>
          </w:p>
        </w:tc>
        <w:tc>
          <w:tcPr>
            <w:tcW w:w="2719" w:type="dxa"/>
            <w:tcBorders>
              <w:top w:val="single" w:sz="4" w:space="0" w:color="auto"/>
              <w:left w:val="single" w:sz="4" w:space="0" w:color="auto"/>
              <w:bottom w:val="single" w:sz="4" w:space="0" w:color="auto"/>
              <w:right w:val="single" w:sz="4" w:space="0" w:color="auto"/>
            </w:tcBorders>
          </w:tcPr>
          <w:p w14:paraId="5E7D1938" w14:textId="77777777" w:rsidR="00876BBC" w:rsidRDefault="00876BBC" w:rsidP="003D7D2C">
            <w:pPr>
              <w:pStyle w:val="NoSpacing"/>
              <w:jc w:val="center"/>
              <w:cnfStyle w:val="000000100000" w:firstRow="0" w:lastRow="0" w:firstColumn="0" w:lastColumn="0" w:oddVBand="0" w:evenVBand="0" w:oddHBand="1" w:evenHBand="0" w:firstRowFirstColumn="0" w:firstRowLastColumn="0" w:lastRowFirstColumn="0" w:lastRowLastColumn="0"/>
            </w:pPr>
            <w:r>
              <w:rPr>
                <w:noProof/>
              </w:rPr>
              <w:drawing>
                <wp:inline distT="0" distB="0" distL="0" distR="0" wp14:anchorId="35F95D2A" wp14:editId="3A77DA3E">
                  <wp:extent cx="1143000" cy="643538"/>
                  <wp:effectExtent l="0" t="0" r="0" b="0"/>
                  <wp:docPr id="28" name="Picture 28" descr="Macintosh HD:Users:cwaters:Pictures:iPhoto Library:Masters:2014:10:23:20141023-140507:IMG_02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acintosh HD:Users:cwaters:Pictures:iPhoto Library:Masters:2014:10:23:20141023-140507:IMG_0244.PNG"/>
                          <pic:cNvPicPr>
                            <a:picLocks noChangeAspect="1" noChangeArrowheads="1"/>
                          </pic:cNvPicPr>
                        </pic:nvPicPr>
                        <pic:blipFill rotWithShape="1">
                          <a:blip r:embed="rId91" cstate="print">
                            <a:extLst>
                              <a:ext uri="{28A0092B-C50C-407E-A947-70E740481C1C}">
                                <a14:useLocalDpi xmlns:a14="http://schemas.microsoft.com/office/drawing/2010/main" val="0"/>
                              </a:ext>
                            </a:extLst>
                          </a:blip>
                          <a:srcRect l="6488" t="18164" r="7683" b="17754"/>
                          <a:stretch/>
                        </pic:blipFill>
                        <pic:spPr bwMode="auto">
                          <a:xfrm>
                            <a:off x="0" y="0"/>
                            <a:ext cx="1143000" cy="643538"/>
                          </a:xfrm>
                          <a:prstGeom prst="rect">
                            <a:avLst/>
                          </a:prstGeom>
                          <a:noFill/>
                          <a:ln>
                            <a:noFill/>
                          </a:ln>
                          <a:extLst>
                            <a:ext uri="{53640926-AAD7-44d8-BBD7-CCE9431645EC}">
                              <a14:shadowObscured xmlns=""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tc>
        <w:tc>
          <w:tcPr>
            <w:tcW w:w="2692" w:type="dxa"/>
            <w:tcBorders>
              <w:top w:val="single" w:sz="4" w:space="0" w:color="auto"/>
              <w:left w:val="single" w:sz="4" w:space="0" w:color="auto"/>
              <w:bottom w:val="single" w:sz="4" w:space="0" w:color="auto"/>
              <w:right w:val="single" w:sz="4" w:space="0" w:color="auto"/>
            </w:tcBorders>
            <w:vAlign w:val="center"/>
          </w:tcPr>
          <w:p w14:paraId="003D4F71" w14:textId="77777777" w:rsidR="00876BBC" w:rsidRDefault="00876BBC" w:rsidP="003D7D2C">
            <w:pPr>
              <w:pStyle w:val="NoSpacing"/>
              <w:jc w:val="center"/>
              <w:cnfStyle w:val="000000100000" w:firstRow="0" w:lastRow="0" w:firstColumn="0" w:lastColumn="0" w:oddVBand="0" w:evenVBand="0" w:oddHBand="1" w:evenHBand="0" w:firstRowFirstColumn="0" w:firstRowLastColumn="0" w:lastRowFirstColumn="0" w:lastRowLastColumn="0"/>
            </w:pPr>
            <w:r>
              <w:t>77.7 – 82.5</w:t>
            </w:r>
          </w:p>
        </w:tc>
        <w:tc>
          <w:tcPr>
            <w:tcW w:w="1490" w:type="dxa"/>
            <w:tcBorders>
              <w:top w:val="single" w:sz="4" w:space="0" w:color="auto"/>
              <w:left w:val="single" w:sz="4" w:space="0" w:color="auto"/>
              <w:bottom w:val="single" w:sz="4" w:space="0" w:color="auto"/>
            </w:tcBorders>
            <w:vAlign w:val="center"/>
          </w:tcPr>
          <w:p w14:paraId="4B1D4A36" w14:textId="66A328D7" w:rsidR="00876BBC" w:rsidRPr="006B55FD" w:rsidRDefault="0012222F" w:rsidP="003D7D2C">
            <w:pPr>
              <w:pStyle w:val="NoSpacing"/>
              <w:jc w:val="center"/>
              <w:cnfStyle w:val="000000100000" w:firstRow="0" w:lastRow="0" w:firstColumn="0" w:lastColumn="0" w:oddVBand="0" w:evenVBand="0" w:oddHBand="1" w:evenHBand="0" w:firstRowFirstColumn="0" w:firstRowLastColumn="0" w:lastRowFirstColumn="0" w:lastRowLastColumn="0"/>
              <w:rPr>
                <w:i/>
                <w:highlight w:val="yellow"/>
              </w:rPr>
            </w:pPr>
            <w:r>
              <w:rPr>
                <w:i/>
                <w:highlight w:val="yellow"/>
              </w:rPr>
              <w:fldChar w:fldCharType="begin"/>
            </w:r>
            <w:r w:rsidR="00807999">
              <w:rPr>
                <w:i/>
                <w:highlight w:val="yellow"/>
              </w:rPr>
              <w:instrText xml:space="preserve"> ADDIN PAPERS2_CITATIONS &lt;citation&gt;&lt;uuid&gt;5F099D87-610B-4B37-8E3F-63D5F4040A41&lt;/uuid&gt;&lt;priority&gt;0&lt;/priority&gt;&lt;publications&gt;&lt;publication&gt;&lt;volume&gt;2&lt;/volume&gt;&lt;publication_date&gt;99201110201200000000222000&lt;/publication_date&gt;&lt;number&gt;20&lt;/number&gt;&lt;doi&gt;10.1021/jz201201q&lt;/doi&gt;&lt;startpage&gt;2660&lt;/startpage&gt;&lt;title&gt;Theoretical Study of the Remarkably Diverse Linkages in Lignin&lt;/title&gt;&lt;uuid&gt;69F8A604-BD2F-4837-9880-6B1E720872D0&lt;/uuid&gt;&lt;subtype&gt;400&lt;/subtype&gt;&lt;endpage&gt;2666&lt;/endpage&gt;&lt;type&gt;400&lt;/type&gt;&lt;url&gt;http://pubs.acs.org.ezproxy.lib.ou.edu/doi/pdf/10.1021/jz201201q&lt;/url&gt;&lt;bundle&gt;&lt;publication&gt;&lt;title&gt;The Journal of Physical Chemistry Letters&lt;/title&gt;&lt;type&gt;-100&lt;/type&gt;&lt;subtype&gt;-100&lt;/subtype&gt;&lt;uuid&gt;15CC16EC-37DA-44E0-ACE0-24C23F7CA10F&lt;/uuid&gt;&lt;/publication&gt;&lt;/bundle&gt;&lt;authors&gt;&lt;author&gt;&lt;firstName&gt;R&lt;/firstName&gt;&lt;lastName&gt;Parthasarathi&lt;/lastName&gt;&lt;/author&gt;&lt;author&gt;&lt;firstName&gt;Raymond&lt;/firstName&gt;&lt;middleNames&gt;A&lt;/middleNames&gt;&lt;lastName&gt;Romero&lt;/lastName&gt;&lt;/author&gt;&lt;author&gt;&lt;firstName&gt;Antonio&lt;/firstName&gt;&lt;lastName&gt;Redondo&lt;/lastName&gt;&lt;/author&gt;&lt;author&gt;&lt;firstName&gt;S&lt;/firstName&gt;&lt;lastName&gt;Gnanakaran&lt;/lastName&gt;&lt;/author&gt;&lt;/authors&gt;&lt;/publication&gt;&lt;/publications&gt;&lt;cites&gt;&lt;/cites&gt;&lt;/citation&gt;</w:instrText>
            </w:r>
            <w:r>
              <w:rPr>
                <w:i/>
                <w:highlight w:val="yellow"/>
              </w:rPr>
              <w:fldChar w:fldCharType="separate"/>
            </w:r>
            <w:r w:rsidR="001C1AAC">
              <w:t>(</w:t>
            </w:r>
            <w:r w:rsidR="001C1AAC">
              <w:rPr>
                <w:i/>
                <w:iCs/>
              </w:rPr>
              <w:t>187</w:t>
            </w:r>
            <w:r w:rsidR="001C1AAC">
              <w:t>)</w:t>
            </w:r>
            <w:r>
              <w:rPr>
                <w:i/>
                <w:highlight w:val="yellow"/>
              </w:rPr>
              <w:fldChar w:fldCharType="end"/>
            </w:r>
          </w:p>
        </w:tc>
      </w:tr>
      <w:tr w:rsidR="00526E25" w14:paraId="39B541F4" w14:textId="77777777" w:rsidTr="00526E25">
        <w:tc>
          <w:tcPr>
            <w:cnfStyle w:val="001000000000" w:firstRow="0" w:lastRow="0" w:firstColumn="1" w:lastColumn="0" w:oddVBand="0" w:evenVBand="0" w:oddHBand="0" w:evenHBand="0" w:firstRowFirstColumn="0" w:firstRowLastColumn="0" w:lastRowFirstColumn="0" w:lastRowLastColumn="0"/>
            <w:tcW w:w="1505" w:type="dxa"/>
            <w:tcBorders>
              <w:top w:val="single" w:sz="4" w:space="0" w:color="auto"/>
              <w:bottom w:val="single" w:sz="4" w:space="0" w:color="auto"/>
              <w:right w:val="single" w:sz="4" w:space="0" w:color="auto"/>
            </w:tcBorders>
            <w:vAlign w:val="center"/>
          </w:tcPr>
          <w:p w14:paraId="5F31F7C4" w14:textId="77777777" w:rsidR="00876BBC" w:rsidRPr="0048469E" w:rsidRDefault="00876BBC" w:rsidP="003D7D2C">
            <w:pPr>
              <w:pStyle w:val="NoSpacing"/>
              <w:jc w:val="center"/>
            </w:pPr>
            <w:r w:rsidRPr="0048469E">
              <w:t>β–O–4</w:t>
            </w:r>
          </w:p>
        </w:tc>
        <w:tc>
          <w:tcPr>
            <w:tcW w:w="2719" w:type="dxa"/>
            <w:tcBorders>
              <w:top w:val="single" w:sz="4" w:space="0" w:color="auto"/>
              <w:left w:val="single" w:sz="4" w:space="0" w:color="auto"/>
              <w:bottom w:val="single" w:sz="4" w:space="0" w:color="auto"/>
              <w:right w:val="single" w:sz="4" w:space="0" w:color="auto"/>
            </w:tcBorders>
          </w:tcPr>
          <w:p w14:paraId="1AFAF7CB" w14:textId="77777777" w:rsidR="00876BBC" w:rsidRDefault="00876BBC" w:rsidP="003D7D2C">
            <w:pPr>
              <w:pStyle w:val="NoSpacing"/>
              <w:jc w:val="center"/>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22FC4907" wp14:editId="438A567A">
                  <wp:extent cx="1192131" cy="1143000"/>
                  <wp:effectExtent l="0" t="0" r="1905" b="0"/>
                  <wp:docPr id="35" name="Picture 35" descr="Macintosh HD:Users:cwaters:Pictures:iPhoto Library:Masters:2014:10:23:20141023-140100:IMG_02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acintosh HD:Users:cwaters:Pictures:iPhoto Library:Masters:2014:10:23:20141023-140100:IMG_0242.PNG"/>
                          <pic:cNvPicPr>
                            <a:picLocks noChangeAspect="1" noChangeArrowheads="1"/>
                          </pic:cNvPicPr>
                        </pic:nvPicPr>
                        <pic:blipFill rotWithShape="1">
                          <a:blip r:embed="rId92" cstate="print">
                            <a:extLst>
                              <a:ext uri="{28A0092B-C50C-407E-A947-70E740481C1C}">
                                <a14:useLocalDpi xmlns:a14="http://schemas.microsoft.com/office/drawing/2010/main" val="0"/>
                              </a:ext>
                            </a:extLst>
                          </a:blip>
                          <a:srcRect l="17501" t="1658" r="11949" b="8642"/>
                          <a:stretch/>
                        </pic:blipFill>
                        <pic:spPr bwMode="auto">
                          <a:xfrm>
                            <a:off x="0" y="0"/>
                            <a:ext cx="1192131" cy="1143000"/>
                          </a:xfrm>
                          <a:prstGeom prst="rect">
                            <a:avLst/>
                          </a:prstGeom>
                          <a:noFill/>
                          <a:ln>
                            <a:noFill/>
                          </a:ln>
                          <a:extLst>
                            <a:ext uri="{53640926-AAD7-44d8-BBD7-CCE9431645EC}">
                              <a14:shadowObscured xmlns=""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tc>
        <w:tc>
          <w:tcPr>
            <w:tcW w:w="2692" w:type="dxa"/>
            <w:tcBorders>
              <w:top w:val="single" w:sz="4" w:space="0" w:color="auto"/>
              <w:left w:val="single" w:sz="4" w:space="0" w:color="auto"/>
              <w:bottom w:val="single" w:sz="4" w:space="0" w:color="auto"/>
              <w:right w:val="single" w:sz="4" w:space="0" w:color="auto"/>
            </w:tcBorders>
            <w:vAlign w:val="center"/>
          </w:tcPr>
          <w:p w14:paraId="2900D534" w14:textId="77777777" w:rsidR="00876BBC" w:rsidRDefault="00876BBC" w:rsidP="003D7D2C">
            <w:pPr>
              <w:pStyle w:val="NoSpacing"/>
              <w:jc w:val="center"/>
              <w:cnfStyle w:val="000000000000" w:firstRow="0" w:lastRow="0" w:firstColumn="0" w:lastColumn="0" w:oddVBand="0" w:evenVBand="0" w:oddHBand="0" w:evenHBand="0" w:firstRowFirstColumn="0" w:firstRowLastColumn="0" w:lastRowFirstColumn="0" w:lastRowLastColumn="0"/>
            </w:pPr>
            <w:r>
              <w:t>67.7 – 71.3</w:t>
            </w:r>
          </w:p>
        </w:tc>
        <w:tc>
          <w:tcPr>
            <w:tcW w:w="1490" w:type="dxa"/>
            <w:tcBorders>
              <w:top w:val="single" w:sz="4" w:space="0" w:color="auto"/>
              <w:left w:val="single" w:sz="4" w:space="0" w:color="auto"/>
              <w:bottom w:val="single" w:sz="4" w:space="0" w:color="auto"/>
            </w:tcBorders>
            <w:vAlign w:val="center"/>
          </w:tcPr>
          <w:p w14:paraId="1FFFF70C" w14:textId="06EF3C52" w:rsidR="00876BBC" w:rsidRPr="006B55FD" w:rsidRDefault="0012222F" w:rsidP="003D7D2C">
            <w:pPr>
              <w:pStyle w:val="NoSpacing"/>
              <w:jc w:val="center"/>
              <w:cnfStyle w:val="000000000000" w:firstRow="0" w:lastRow="0" w:firstColumn="0" w:lastColumn="0" w:oddVBand="0" w:evenVBand="0" w:oddHBand="0" w:evenHBand="0" w:firstRowFirstColumn="0" w:firstRowLastColumn="0" w:lastRowFirstColumn="0" w:lastRowLastColumn="0"/>
              <w:rPr>
                <w:highlight w:val="yellow"/>
              </w:rPr>
            </w:pPr>
            <w:r>
              <w:rPr>
                <w:i/>
                <w:highlight w:val="yellow"/>
              </w:rPr>
              <w:fldChar w:fldCharType="begin"/>
            </w:r>
            <w:r w:rsidR="00807999">
              <w:rPr>
                <w:i/>
                <w:highlight w:val="yellow"/>
              </w:rPr>
              <w:instrText xml:space="preserve"> ADDIN PAPERS2_CITATIONS &lt;citation&gt;&lt;uuid&gt;C8A249DE-74CD-46F2-BD03-ED81B9ED7730&lt;/uuid&gt;&lt;priority&gt;0&lt;/priority&gt;&lt;publications&gt;&lt;publication&gt;&lt;volume&gt;2&lt;/volume&gt;&lt;publication_date&gt;99201111171200000000222000&lt;/publication_date&gt;&lt;number&gt;22&lt;/number&gt;&lt;doi&gt;10.1021/jz201182w&lt;/doi&gt;&lt;startpage&gt;2846&lt;/startpage&gt;&lt;title&gt;Computational Study of Bond Dissociation Enthalpies for a Large Range of Native and Modified Lignins&lt;/title&gt;&lt;uuid&gt;EC3E9B6F-16F7-4A30-8B28-238FA6229E86&lt;/uuid&gt;&lt;subtype&gt;400&lt;/subtype&gt;&lt;endpage&gt;2852&lt;/endpage&gt;&lt;type&gt;400&lt;/type&gt;&lt;url&gt;http://www.researchgate.net/profile/Robert_Paton/publication/230766950_Computational_Study_of_Bond_Dissociation_Enthalpies_for_a_Large_Range_of_Native_and_Modified_Lignins/links/09e415041324130b3b000000&lt;/url&gt;&lt;bundle&gt;&lt;publication&gt;&lt;title&gt;The Journal of Physical Chemistry Letters&lt;/title&gt;&lt;type&gt;-100&lt;/type&gt;&lt;subtype&gt;-100&lt;/subtype&gt;&lt;uuid&gt;15CC16EC-37DA-44E0-ACE0-24C23F7CA10F&lt;/uuid&gt;&lt;/publication&gt;&lt;/bundle&gt;&lt;authors&gt;&lt;author&gt;&lt;firstName&gt;Seonah&lt;/firstName&gt;&lt;lastName&gt;Kim&lt;/lastName&gt;&lt;/author&gt;&lt;author&gt;&lt;firstName&gt;Stephen&lt;/firstName&gt;&lt;middleNames&gt;C&lt;/middleNames&gt;&lt;lastName&gt;Chmely&lt;/lastName&gt;&lt;/author&gt;&lt;author&gt;&lt;firstName&gt;Mark&lt;/firstName&gt;&lt;middleNames&gt;R&lt;/middleNames&gt;&lt;lastName&gt;Nimlos&lt;/lastName&gt;&lt;/author&gt;&lt;author&gt;&lt;firstName&gt;Yannick&lt;/firstName&gt;&lt;middleNames&gt;J&lt;/middleNames&gt;&lt;lastName&gt;Bomble&lt;/lastName&gt;&lt;/author&gt;&lt;author&gt;&lt;firstName&gt;Thomas&lt;/firstName&gt;&lt;middleNames&gt;D&lt;/middleNames&gt;&lt;lastName&gt;Foust&lt;/lastName&gt;&lt;/author&gt;&lt;author&gt;&lt;firstName&gt;Robert&lt;/firstName&gt;&lt;middleNames&gt;S&lt;/middleNames&gt;&lt;lastName&gt;Paton&lt;/lastName&gt;&lt;/author&gt;&lt;author&gt;&lt;firstName&gt;Gregg&lt;/firstName&gt;&lt;middleNames&gt;T&lt;/middleNames&gt;&lt;lastName&gt;Beckham&lt;/lastName&gt;&lt;/author&gt;&lt;/authors&gt;&lt;/publication&gt;&lt;/publications&gt;&lt;cites&gt;&lt;/cites&gt;&lt;/citation&gt;</w:instrText>
            </w:r>
            <w:r>
              <w:rPr>
                <w:i/>
                <w:highlight w:val="yellow"/>
              </w:rPr>
              <w:fldChar w:fldCharType="separate"/>
            </w:r>
            <w:r w:rsidR="001C1AAC">
              <w:t>(</w:t>
            </w:r>
            <w:r w:rsidR="001C1AAC">
              <w:rPr>
                <w:i/>
                <w:iCs/>
              </w:rPr>
              <w:t>186</w:t>
            </w:r>
            <w:r w:rsidR="001C1AAC">
              <w:t>)</w:t>
            </w:r>
            <w:r>
              <w:rPr>
                <w:i/>
                <w:highlight w:val="yellow"/>
              </w:rPr>
              <w:fldChar w:fldCharType="end"/>
            </w:r>
          </w:p>
        </w:tc>
      </w:tr>
      <w:tr w:rsidR="00526E25" w14:paraId="12C2491C" w14:textId="77777777" w:rsidTr="00526E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5" w:type="dxa"/>
            <w:tcBorders>
              <w:top w:val="single" w:sz="4" w:space="0" w:color="auto"/>
              <w:bottom w:val="single" w:sz="4" w:space="0" w:color="auto"/>
              <w:right w:val="single" w:sz="4" w:space="0" w:color="auto"/>
            </w:tcBorders>
            <w:vAlign w:val="center"/>
          </w:tcPr>
          <w:p w14:paraId="79B00920" w14:textId="77777777" w:rsidR="00876BBC" w:rsidRPr="0048469E" w:rsidRDefault="00876BBC" w:rsidP="003D7D2C">
            <w:pPr>
              <w:pStyle w:val="NoSpacing"/>
              <w:jc w:val="center"/>
            </w:pPr>
            <w:r w:rsidRPr="0048469E">
              <w:t>β-β</w:t>
            </w:r>
          </w:p>
        </w:tc>
        <w:tc>
          <w:tcPr>
            <w:tcW w:w="2719" w:type="dxa"/>
            <w:tcBorders>
              <w:top w:val="single" w:sz="4" w:space="0" w:color="auto"/>
              <w:left w:val="single" w:sz="4" w:space="0" w:color="auto"/>
              <w:bottom w:val="single" w:sz="4" w:space="0" w:color="auto"/>
              <w:right w:val="single" w:sz="4" w:space="0" w:color="auto"/>
            </w:tcBorders>
          </w:tcPr>
          <w:p w14:paraId="715B0882" w14:textId="77777777" w:rsidR="00876BBC" w:rsidRDefault="00876BBC" w:rsidP="003D7D2C">
            <w:pPr>
              <w:pStyle w:val="NoSpacing"/>
              <w:jc w:val="center"/>
              <w:cnfStyle w:val="000000100000" w:firstRow="0" w:lastRow="0" w:firstColumn="0" w:lastColumn="0" w:oddVBand="0" w:evenVBand="0" w:oddHBand="1" w:evenHBand="0" w:firstRowFirstColumn="0" w:firstRowLastColumn="0" w:lastRowFirstColumn="0" w:lastRowLastColumn="0"/>
            </w:pPr>
            <w:r>
              <w:rPr>
                <w:noProof/>
              </w:rPr>
              <w:drawing>
                <wp:inline distT="0" distB="0" distL="0" distR="0" wp14:anchorId="2D24645B" wp14:editId="682ACF52">
                  <wp:extent cx="1203434" cy="1143000"/>
                  <wp:effectExtent l="0" t="0" r="0" b="0"/>
                  <wp:docPr id="36" name="Picture 36" descr="Macintosh HD:Users:cwaters:Pictures:iPhoto Library:Masters:2014:10:23:20141023-140409:IMG_02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acintosh HD:Users:cwaters:Pictures:iPhoto Library:Masters:2014:10:23:20141023-140409:IMG_0243.PNG"/>
                          <pic:cNvPicPr>
                            <a:picLocks noChangeAspect="1" noChangeArrowheads="1"/>
                          </pic:cNvPicPr>
                        </pic:nvPicPr>
                        <pic:blipFill rotWithShape="1">
                          <a:blip r:embed="rId93" cstate="print">
                            <a:extLst>
                              <a:ext uri="{28A0092B-C50C-407E-A947-70E740481C1C}">
                                <a14:useLocalDpi xmlns:a14="http://schemas.microsoft.com/office/drawing/2010/main" val="0"/>
                              </a:ext>
                            </a:extLst>
                          </a:blip>
                          <a:srcRect l="16250" t="6814" r="20141" b="13070"/>
                          <a:stretch/>
                        </pic:blipFill>
                        <pic:spPr bwMode="auto">
                          <a:xfrm>
                            <a:off x="0" y="0"/>
                            <a:ext cx="1203434" cy="1143000"/>
                          </a:xfrm>
                          <a:prstGeom prst="rect">
                            <a:avLst/>
                          </a:prstGeom>
                          <a:noFill/>
                          <a:ln>
                            <a:noFill/>
                          </a:ln>
                          <a:extLst>
                            <a:ext uri="{53640926-AAD7-44d8-BBD7-CCE9431645EC}">
                              <a14:shadowObscured xmlns=""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tc>
        <w:tc>
          <w:tcPr>
            <w:tcW w:w="2692" w:type="dxa"/>
            <w:tcBorders>
              <w:top w:val="single" w:sz="4" w:space="0" w:color="auto"/>
              <w:left w:val="single" w:sz="4" w:space="0" w:color="auto"/>
              <w:bottom w:val="single" w:sz="4" w:space="0" w:color="auto"/>
              <w:right w:val="single" w:sz="4" w:space="0" w:color="auto"/>
            </w:tcBorders>
            <w:vAlign w:val="center"/>
          </w:tcPr>
          <w:p w14:paraId="4C62550B" w14:textId="77777777" w:rsidR="00876BBC" w:rsidRDefault="00876BBC" w:rsidP="003D7D2C">
            <w:pPr>
              <w:pStyle w:val="NoSpacing"/>
              <w:jc w:val="center"/>
              <w:cnfStyle w:val="000000100000" w:firstRow="0" w:lastRow="0" w:firstColumn="0" w:lastColumn="0" w:oddVBand="0" w:evenVBand="0" w:oddHBand="1" w:evenHBand="0" w:firstRowFirstColumn="0" w:firstRowLastColumn="0" w:lastRowFirstColumn="0" w:lastRowLastColumn="0"/>
            </w:pPr>
            <w:r>
              <w:t>81.1 – 82.6</w:t>
            </w:r>
          </w:p>
        </w:tc>
        <w:tc>
          <w:tcPr>
            <w:tcW w:w="1490" w:type="dxa"/>
            <w:tcBorders>
              <w:top w:val="single" w:sz="4" w:space="0" w:color="auto"/>
              <w:left w:val="single" w:sz="4" w:space="0" w:color="auto"/>
              <w:bottom w:val="single" w:sz="4" w:space="0" w:color="auto"/>
            </w:tcBorders>
            <w:vAlign w:val="center"/>
          </w:tcPr>
          <w:p w14:paraId="73655D89" w14:textId="3B484806" w:rsidR="00876BBC" w:rsidRPr="006B55FD" w:rsidRDefault="0012222F" w:rsidP="003D7D2C">
            <w:pPr>
              <w:pStyle w:val="NoSpacing"/>
              <w:jc w:val="center"/>
              <w:cnfStyle w:val="000000100000" w:firstRow="0" w:lastRow="0" w:firstColumn="0" w:lastColumn="0" w:oddVBand="0" w:evenVBand="0" w:oddHBand="1" w:evenHBand="0" w:firstRowFirstColumn="0" w:firstRowLastColumn="0" w:lastRowFirstColumn="0" w:lastRowLastColumn="0"/>
              <w:rPr>
                <w:highlight w:val="yellow"/>
              </w:rPr>
            </w:pPr>
            <w:r>
              <w:rPr>
                <w:i/>
                <w:highlight w:val="yellow"/>
              </w:rPr>
              <w:fldChar w:fldCharType="begin"/>
            </w:r>
            <w:r w:rsidR="00807999">
              <w:rPr>
                <w:i/>
                <w:highlight w:val="yellow"/>
              </w:rPr>
              <w:instrText xml:space="preserve"> ADDIN PAPERS2_CITATIONS &lt;citation&gt;&lt;uuid&gt;2ACF5049-1176-43C7-B096-7871BB01E50A&lt;/uuid&gt;&lt;priority&gt;0&lt;/priority&gt;&lt;publications&gt;&lt;publication&gt;&lt;publication_date&gt;99201400001200000000200000&lt;/publication_date&gt;&lt;doi&gt;10.1021/ef402310h&lt;/doi&gt;&lt;title&gt;Bond Dissociation Enthalpies of a Pinoresinol Lignin Model Compound&lt;/title&gt;&lt;uuid&gt;3277C465-D2CC-44B3-AA90-EC913BB4C4BF&lt;/uuid&gt;&lt;subtype&gt;400&lt;/subtype&gt;&lt;type&gt;400&lt;/type&gt;&lt;url&gt;http://pubs.acs.org/doi/abs/10.1021/ef402310h&lt;/url&gt;&lt;bundle&gt;&lt;publication&gt;&lt;publisher&gt;American Chemical Society&lt;/publisher&gt;&lt;title&gt;Energy &amp;amp; Fuels&lt;/title&gt;&lt;type&gt;-100&lt;/type&gt;&lt;subtype&gt;-100&lt;/subtype&gt;&lt;uuid&gt;DCD2A25C-F261-4333-B749-6E6DAB1F820E&lt;/uuid&gt;&lt;/publication&gt;&lt;/bundle&gt;&lt;authors&gt;&lt;author&gt;&lt;firstName&gt;Thomas&lt;/firstName&gt;&lt;lastName&gt;Elder&lt;/lastName&gt;&lt;/author&gt;&lt;/authors&gt;&lt;/publication&gt;&lt;/publications&gt;&lt;cites&gt;&lt;/cites&gt;&lt;/citation&gt;</w:instrText>
            </w:r>
            <w:r>
              <w:rPr>
                <w:i/>
                <w:highlight w:val="yellow"/>
              </w:rPr>
              <w:fldChar w:fldCharType="separate"/>
            </w:r>
            <w:r w:rsidR="001C1AAC">
              <w:t>(</w:t>
            </w:r>
            <w:r w:rsidR="001C1AAC">
              <w:rPr>
                <w:i/>
                <w:iCs/>
              </w:rPr>
              <w:t>188</w:t>
            </w:r>
            <w:r w:rsidR="001C1AAC">
              <w:t>)</w:t>
            </w:r>
            <w:r>
              <w:rPr>
                <w:i/>
                <w:highlight w:val="yellow"/>
              </w:rPr>
              <w:fldChar w:fldCharType="end"/>
            </w:r>
          </w:p>
        </w:tc>
      </w:tr>
      <w:tr w:rsidR="00526E25" w14:paraId="0C460517" w14:textId="77777777" w:rsidTr="00526E25">
        <w:tc>
          <w:tcPr>
            <w:cnfStyle w:val="001000000000" w:firstRow="0" w:lastRow="0" w:firstColumn="1" w:lastColumn="0" w:oddVBand="0" w:evenVBand="0" w:oddHBand="0" w:evenHBand="0" w:firstRowFirstColumn="0" w:firstRowLastColumn="0" w:lastRowFirstColumn="0" w:lastRowLastColumn="0"/>
            <w:tcW w:w="1505" w:type="dxa"/>
            <w:tcBorders>
              <w:top w:val="single" w:sz="4" w:space="0" w:color="auto"/>
              <w:bottom w:val="single" w:sz="8" w:space="0" w:color="000000" w:themeColor="text1"/>
              <w:right w:val="single" w:sz="4" w:space="0" w:color="auto"/>
            </w:tcBorders>
            <w:vAlign w:val="center"/>
          </w:tcPr>
          <w:p w14:paraId="427B5FDC" w14:textId="77777777" w:rsidR="00876BBC" w:rsidRPr="0048469E" w:rsidRDefault="00876BBC" w:rsidP="003D7D2C">
            <w:pPr>
              <w:pStyle w:val="NoSpacing"/>
              <w:jc w:val="center"/>
            </w:pPr>
            <w:r w:rsidRPr="0048469E">
              <w:t>β-1</w:t>
            </w:r>
          </w:p>
        </w:tc>
        <w:tc>
          <w:tcPr>
            <w:tcW w:w="2719" w:type="dxa"/>
            <w:tcBorders>
              <w:top w:val="single" w:sz="4" w:space="0" w:color="auto"/>
              <w:left w:val="single" w:sz="4" w:space="0" w:color="auto"/>
              <w:bottom w:val="single" w:sz="8" w:space="0" w:color="000000" w:themeColor="text1"/>
              <w:right w:val="single" w:sz="4" w:space="0" w:color="auto"/>
            </w:tcBorders>
          </w:tcPr>
          <w:p w14:paraId="1219469A" w14:textId="77777777" w:rsidR="00876BBC" w:rsidRDefault="00876BBC" w:rsidP="003D7D2C">
            <w:pPr>
              <w:pStyle w:val="NoSpacing"/>
              <w:jc w:val="center"/>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4D607BF1" wp14:editId="097FAFC2">
                  <wp:extent cx="1184462" cy="1143000"/>
                  <wp:effectExtent l="0" t="0" r="9525" b="0"/>
                  <wp:docPr id="37" name="Picture 37" descr="Macintosh HD:Users:cwaters:Pictures:iPhoto Library:Masters:2014:10:23:20141023-135813:IMG_02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acintosh HD:Users:cwaters:Pictures:iPhoto Library:Masters:2014:10:23:20141023-135813:IMG_0241.PNG"/>
                          <pic:cNvPicPr>
                            <a:picLocks noChangeAspect="1" noChangeArrowheads="1"/>
                          </pic:cNvPicPr>
                        </pic:nvPicPr>
                        <pic:blipFill rotWithShape="1">
                          <a:blip r:embed="rId94" cstate="print">
                            <a:extLst>
                              <a:ext uri="{28A0092B-C50C-407E-A947-70E740481C1C}">
                                <a14:useLocalDpi xmlns:a14="http://schemas.microsoft.com/office/drawing/2010/main" val="0"/>
                              </a:ext>
                            </a:extLst>
                          </a:blip>
                          <a:srcRect l="26652" t="12982" r="11374" b="7710"/>
                          <a:stretch/>
                        </pic:blipFill>
                        <pic:spPr bwMode="auto">
                          <a:xfrm>
                            <a:off x="0" y="0"/>
                            <a:ext cx="1184462" cy="1143000"/>
                          </a:xfrm>
                          <a:prstGeom prst="rect">
                            <a:avLst/>
                          </a:prstGeom>
                          <a:noFill/>
                          <a:ln>
                            <a:noFill/>
                          </a:ln>
                          <a:extLst>
                            <a:ext uri="{53640926-AAD7-44d8-BBD7-CCE9431645EC}">
                              <a14:shadowObscured xmlns=""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tc>
        <w:tc>
          <w:tcPr>
            <w:tcW w:w="2692" w:type="dxa"/>
            <w:tcBorders>
              <w:top w:val="single" w:sz="4" w:space="0" w:color="auto"/>
              <w:left w:val="single" w:sz="4" w:space="0" w:color="auto"/>
              <w:bottom w:val="single" w:sz="8" w:space="0" w:color="000000" w:themeColor="text1"/>
              <w:right w:val="single" w:sz="4" w:space="0" w:color="auto"/>
            </w:tcBorders>
            <w:vAlign w:val="center"/>
          </w:tcPr>
          <w:p w14:paraId="6EB646F4" w14:textId="77777777" w:rsidR="00876BBC" w:rsidRDefault="00876BBC" w:rsidP="003D7D2C">
            <w:pPr>
              <w:pStyle w:val="NoSpacing"/>
              <w:jc w:val="center"/>
              <w:cnfStyle w:val="000000000000" w:firstRow="0" w:lastRow="0" w:firstColumn="0" w:lastColumn="0" w:oddVBand="0" w:evenVBand="0" w:oddHBand="0" w:evenHBand="0" w:firstRowFirstColumn="0" w:firstRowLastColumn="0" w:lastRowFirstColumn="0" w:lastRowLastColumn="0"/>
            </w:pPr>
            <w:r w:rsidRPr="007E701B">
              <w:t xml:space="preserve">64.7 </w:t>
            </w:r>
            <w:r>
              <w:t>–</w:t>
            </w:r>
            <w:r w:rsidRPr="007E701B">
              <w:t xml:space="preserve"> 69.1</w:t>
            </w:r>
          </w:p>
        </w:tc>
        <w:tc>
          <w:tcPr>
            <w:tcW w:w="1490" w:type="dxa"/>
            <w:tcBorders>
              <w:top w:val="single" w:sz="4" w:space="0" w:color="auto"/>
              <w:left w:val="single" w:sz="4" w:space="0" w:color="auto"/>
              <w:bottom w:val="single" w:sz="8" w:space="0" w:color="000000" w:themeColor="text1"/>
            </w:tcBorders>
            <w:vAlign w:val="center"/>
          </w:tcPr>
          <w:p w14:paraId="61CCE3A4" w14:textId="2E4B3970" w:rsidR="00876BBC" w:rsidRPr="006B55FD" w:rsidRDefault="0012222F" w:rsidP="003D7D2C">
            <w:pPr>
              <w:pStyle w:val="NoSpacing"/>
              <w:jc w:val="center"/>
              <w:cnfStyle w:val="000000000000" w:firstRow="0" w:lastRow="0" w:firstColumn="0" w:lastColumn="0" w:oddVBand="0" w:evenVBand="0" w:oddHBand="0" w:evenHBand="0" w:firstRowFirstColumn="0" w:firstRowLastColumn="0" w:lastRowFirstColumn="0" w:lastRowLastColumn="0"/>
              <w:rPr>
                <w:highlight w:val="yellow"/>
              </w:rPr>
            </w:pPr>
            <w:r>
              <w:rPr>
                <w:i/>
                <w:highlight w:val="yellow"/>
              </w:rPr>
              <w:fldChar w:fldCharType="begin"/>
            </w:r>
            <w:r w:rsidR="00807999">
              <w:rPr>
                <w:i/>
                <w:highlight w:val="yellow"/>
              </w:rPr>
              <w:instrText xml:space="preserve"> ADDIN PAPERS2_CITATIONS &lt;citation&gt;&lt;uuid&gt;F8F0C999-51B5-437F-A5D4-95418D54B32D&lt;/uuid&gt;&lt;priority&gt;0&lt;/priority&gt;&lt;publications&gt;&lt;publication&gt;&lt;volume&gt;2&lt;/volume&gt;&lt;publication_date&gt;99201110201200000000222000&lt;/publication_date&gt;&lt;number&gt;20&lt;/number&gt;&lt;doi&gt;10.1021/jz201201q&lt;/doi&gt;&lt;startpage&gt;2660&lt;/startpage&gt;&lt;title&gt;Theoretical Study of the Remarkably Diverse Linkages in Lignin&lt;/title&gt;&lt;uuid&gt;69F8A604-BD2F-4837-9880-6B1E720872D0&lt;/uuid&gt;&lt;subtype&gt;400&lt;/subtype&gt;&lt;endpage&gt;2666&lt;/endpage&gt;&lt;type&gt;400&lt;/type&gt;&lt;url&gt;http://pubs.acs.org.ezproxy.lib.ou.edu/doi/pdf/10.1021/jz201201q&lt;/url&gt;&lt;bundle&gt;&lt;publication&gt;&lt;title&gt;The Journal of Physical Chemistry Letters&lt;/title&gt;&lt;type&gt;-100&lt;/type&gt;&lt;subtype&gt;-100&lt;/subtype&gt;&lt;uuid&gt;15CC16EC-37DA-44E0-ACE0-24C23F7CA10F&lt;/uuid&gt;&lt;/publication&gt;&lt;/bundle&gt;&lt;authors&gt;&lt;author&gt;&lt;firstName&gt;R&lt;/firstName&gt;&lt;lastName&gt;Parthasarathi&lt;/lastName&gt;&lt;/author&gt;&lt;author&gt;&lt;firstName&gt;Raymond&lt;/firstName&gt;&lt;middleNames&gt;A&lt;/middleNames&gt;&lt;lastName&gt;Romero&lt;/lastName&gt;&lt;/author&gt;&lt;author&gt;&lt;firstName&gt;Antonio&lt;/firstName&gt;&lt;lastName&gt;Redondo&lt;/lastName&gt;&lt;/author&gt;&lt;author&gt;&lt;firstName&gt;S&lt;/firstName&gt;&lt;lastName&gt;Gnanakaran&lt;/lastName&gt;&lt;/author&gt;&lt;/authors&gt;&lt;/publication&gt;&lt;/publications&gt;&lt;cites&gt;&lt;/cites&gt;&lt;/citation&gt;</w:instrText>
            </w:r>
            <w:r>
              <w:rPr>
                <w:i/>
                <w:highlight w:val="yellow"/>
              </w:rPr>
              <w:fldChar w:fldCharType="separate"/>
            </w:r>
            <w:r w:rsidR="001C1AAC">
              <w:t>(</w:t>
            </w:r>
            <w:r w:rsidR="001C1AAC">
              <w:rPr>
                <w:i/>
                <w:iCs/>
              </w:rPr>
              <w:t>187</w:t>
            </w:r>
            <w:r w:rsidR="001C1AAC">
              <w:t>)</w:t>
            </w:r>
            <w:r>
              <w:rPr>
                <w:i/>
                <w:highlight w:val="yellow"/>
              </w:rPr>
              <w:fldChar w:fldCharType="end"/>
            </w:r>
          </w:p>
        </w:tc>
      </w:tr>
    </w:tbl>
    <w:p w14:paraId="4013932F" w14:textId="25C3E8D9" w:rsidR="00876BBC" w:rsidRDefault="00876BBC" w:rsidP="00876BBC">
      <w:pPr>
        <w:pStyle w:val="Caption"/>
        <w:rPr>
          <w:b w:val="0"/>
        </w:rPr>
      </w:pPr>
      <w:bookmarkStart w:id="182" w:name="_Toc449964946"/>
      <w:r>
        <w:t xml:space="preserve">Table </w:t>
      </w:r>
      <w:fldSimple w:instr=" STYLEREF &quot;Chapter&quot; \s ">
        <w:r w:rsidR="00463F52">
          <w:rPr>
            <w:noProof/>
          </w:rPr>
          <w:t>7</w:t>
        </w:r>
      </w:fldSimple>
      <w:r>
        <w:t>.</w:t>
      </w:r>
      <w:r>
        <w:fldChar w:fldCharType="begin"/>
      </w:r>
      <w:r>
        <w:instrText xml:space="preserve"> SEQ Table </w:instrText>
      </w:r>
      <w:r w:rsidR="000330AD">
        <w:instrText xml:space="preserve">\r 1 </w:instrText>
      </w:r>
      <w:r>
        <w:instrText xml:space="preserve">\* ARABIC \s 1 </w:instrText>
      </w:r>
      <w:r>
        <w:fldChar w:fldCharType="separate"/>
      </w:r>
      <w:r w:rsidR="00463F52">
        <w:rPr>
          <w:noProof/>
        </w:rPr>
        <w:t>1</w:t>
      </w:r>
      <w:r>
        <w:rPr>
          <w:noProof/>
        </w:rPr>
        <w:fldChar w:fldCharType="end"/>
      </w:r>
      <w:r>
        <w:t>.</w:t>
      </w:r>
      <w:r w:rsidRPr="008E2374">
        <w:t xml:space="preserve"> </w:t>
      </w:r>
      <w:r w:rsidRPr="00876BBC">
        <w:rPr>
          <w:b w:val="0"/>
        </w:rPr>
        <w:t>Summarized results from DFT calculations of the enthalpy of dissociation for six common lignin crosslinks</w:t>
      </w:r>
      <w:r w:rsidRPr="00ED7A8D">
        <w:rPr>
          <w:b w:val="0"/>
        </w:rPr>
        <w:t>.</w:t>
      </w:r>
      <w:bookmarkEnd w:id="182"/>
    </w:p>
    <w:p w14:paraId="267F0736" w14:textId="77777777" w:rsidR="00876BBC" w:rsidRDefault="00876BBC">
      <w:pPr>
        <w:rPr>
          <w:bCs/>
          <w:szCs w:val="18"/>
        </w:rPr>
      </w:pPr>
      <w:r>
        <w:rPr>
          <w:b/>
        </w:rPr>
        <w:br w:type="page"/>
      </w:r>
    </w:p>
    <w:p w14:paraId="4DEA7A46" w14:textId="3761ABE4" w:rsidR="009B77F6" w:rsidRDefault="009B77F6" w:rsidP="0000478D">
      <w:pPr>
        <w:pStyle w:val="NoSpacing"/>
      </w:pPr>
      <w:r>
        <w:rPr>
          <w:noProof/>
        </w:rPr>
        <w:lastRenderedPageBreak/>
        <w:drawing>
          <wp:inline distT="0" distB="0" distL="0" distR="0" wp14:anchorId="390C2936" wp14:editId="52F57B9C">
            <wp:extent cx="5394960" cy="6969643"/>
            <wp:effectExtent l="0" t="0" r="0" b="0"/>
            <wp:docPr id="25" name="Picture 25" descr="boerjan%20pathway%20diagram.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oerjan%20pathway%20diagram.pdf"/>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394960" cy="6969643"/>
                    </a:xfrm>
                    <a:prstGeom prst="rect">
                      <a:avLst/>
                    </a:prstGeom>
                    <a:noFill/>
                    <a:ln>
                      <a:noFill/>
                    </a:ln>
                  </pic:spPr>
                </pic:pic>
              </a:graphicData>
            </a:graphic>
          </wp:inline>
        </w:drawing>
      </w:r>
    </w:p>
    <w:p w14:paraId="145EA582" w14:textId="77777777" w:rsidR="00807999" w:rsidRDefault="009B77F6" w:rsidP="009B77F6">
      <w:pPr>
        <w:pStyle w:val="Caption"/>
        <w:rPr>
          <w:b w:val="0"/>
        </w:rPr>
      </w:pPr>
      <w:bookmarkStart w:id="183" w:name="_Toc449965021"/>
      <w:r w:rsidRPr="00E73E07">
        <w:t xml:space="preserve">Figure </w:t>
      </w:r>
      <w:fldSimple w:instr=" STYLEREF &quot;Chapter&quot; \s ">
        <w:r w:rsidR="00463F52">
          <w:rPr>
            <w:noProof/>
          </w:rPr>
          <w:t>7</w:t>
        </w:r>
      </w:fldSimple>
      <w:r w:rsidRPr="00E73E07">
        <w:t>.</w:t>
      </w:r>
      <w:fldSimple w:instr=" SEQ Figure \* ARABIC \s 1 ">
        <w:r w:rsidR="00463F52">
          <w:rPr>
            <w:noProof/>
          </w:rPr>
          <w:t>2</w:t>
        </w:r>
      </w:fldSimple>
      <w:r w:rsidRPr="00E73E07">
        <w:rPr>
          <w:noProof/>
        </w:rPr>
        <w:t>.</w:t>
      </w:r>
      <w:r w:rsidRPr="0087215B">
        <w:t xml:space="preserve"> </w:t>
      </w:r>
      <w:r w:rsidRPr="009B77F6">
        <w:rPr>
          <w:b w:val="0"/>
        </w:rPr>
        <w:t xml:space="preserve">Phenylpropanoid and monolignol biosynthetic pathways. </w:t>
      </w:r>
      <w:r w:rsidRPr="001A2A3F">
        <w:rPr>
          <w:b w:val="0"/>
        </w:rPr>
        <w:t>From</w:t>
      </w:r>
      <w:bookmarkEnd w:id="183"/>
      <w:r w:rsidRPr="001A2A3F">
        <w:rPr>
          <w:b w:val="0"/>
        </w:rPr>
        <w:t xml:space="preserve"> </w:t>
      </w:r>
      <w:r w:rsidR="00980B82" w:rsidRPr="001A2A3F">
        <w:rPr>
          <w:b w:val="0"/>
        </w:rPr>
        <w:fldChar w:fldCharType="begin"/>
      </w:r>
      <w:r w:rsidR="00807999">
        <w:rPr>
          <w:b w:val="0"/>
        </w:rPr>
        <w:instrText xml:space="preserve"> ADDIN PAPERS2_CITATIONS &lt;citation&gt;&lt;uuid&gt;A2C36C01-8715-44D6-B8C3-38FA24B2C8F1&lt;/uuid&gt;&lt;priority&gt;306&lt;/priority&gt;&lt;publications&gt;&lt;publication&gt;&lt;uuid&gt;0BBB86C2-AEA9-44B5-B628-5035F5735D51&lt;/uuid&gt;&lt;volume&gt;54&lt;/volume&gt;&lt;doi&gt;10.1146/annurev.arplant.54.031902.134938&lt;/doi&gt;&lt;startpage&gt;519&lt;/startpage&gt;&lt;publication_date&gt;99200300001200000000200000&lt;/publication_date&gt;&lt;url&gt;http://www.annualreviews.org/doi/abs/10.1146/annurev.arplant.54.031902.134938&lt;/url&gt;&lt;citekey&gt;Boerjan:2003hk&lt;/citekey&gt;&lt;type&gt;400&lt;/type&gt;&lt;title&gt;Lignin biosynthesis&lt;/title&gt;&lt;institution&gt;Boerjan, W</w:instrText>
      </w:r>
    </w:p>
    <w:p w14:paraId="39A9E193" w14:textId="77777777" w:rsidR="00807999" w:rsidRDefault="00807999" w:rsidP="009B77F6">
      <w:pPr>
        <w:pStyle w:val="Caption"/>
        <w:rPr>
          <w:b w:val="0"/>
        </w:rPr>
      </w:pPr>
      <w:r>
        <w:rPr>
          <w:b w:val="0"/>
        </w:rPr>
        <w:instrText>State Univ Ghent VIB, Dept Plant Syst Biol, K L Ledeganckstr 35, B-9000 Ghent, Belgium</w:instrText>
      </w:r>
    </w:p>
    <w:p w14:paraId="34DA3FDE" w14:textId="77777777" w:rsidR="00807999" w:rsidRDefault="00807999" w:rsidP="009B77F6">
      <w:pPr>
        <w:pStyle w:val="Caption"/>
        <w:rPr>
          <w:b w:val="0"/>
        </w:rPr>
      </w:pPr>
      <w:r>
        <w:rPr>
          <w:b w:val="0"/>
        </w:rPr>
        <w:instrText>State Univ Ghent VIB, Dept Plant Syst Biol, K L Ledeganckstr 35, B-9000 Ghent, Belgium</w:instrText>
      </w:r>
    </w:p>
    <w:p w14:paraId="6FFE95F4" w14:textId="77777777" w:rsidR="00807999" w:rsidRDefault="00807999" w:rsidP="009B77F6">
      <w:pPr>
        <w:pStyle w:val="Caption"/>
        <w:rPr>
          <w:b w:val="0"/>
        </w:rPr>
      </w:pPr>
      <w:r>
        <w:rPr>
          <w:b w:val="0"/>
        </w:rPr>
        <w:instrText>State Univ Ghent VIB, Dept Plant Syst Biol, B-9000 Ghent, Belgium</w:instrText>
      </w:r>
    </w:p>
    <w:p w14:paraId="654A3F06" w14:textId="77777777" w:rsidR="00807999" w:rsidRDefault="00807999" w:rsidP="009B77F6">
      <w:pPr>
        <w:pStyle w:val="Caption"/>
        <w:rPr>
          <w:b w:val="0"/>
        </w:rPr>
      </w:pPr>
      <w:r>
        <w:rPr>
          <w:b w:val="0"/>
        </w:rPr>
        <w:instrText>USDA ARS, US Dairy Forage Res Ctr, Madison, WI 53706 USA</w:instrText>
      </w:r>
    </w:p>
    <w:p w14:paraId="11B04707" w14:textId="1CAEF128" w:rsidR="009B77F6" w:rsidRPr="001A2A3F" w:rsidRDefault="00807999" w:rsidP="009B77F6">
      <w:pPr>
        <w:pStyle w:val="Caption"/>
        <w:rPr>
          <w:b w:val="0"/>
        </w:rPr>
      </w:pPr>
      <w:r>
        <w:rPr>
          <w:b w:val="0"/>
        </w:rPr>
        <w:instrText>Free Univ Brussels, Lab Biotechnol Vegetale, B-1160 Brussels, Belgium&lt;/institution&gt;&lt;subtype&gt;400&lt;/subtype&gt;&lt;endpage&gt;546&lt;/endpage&gt;&lt;bundle&gt;&lt;publication&gt;&lt;title&gt;Annual review of plant biology&lt;/title&gt;&lt;type&gt;-100&lt;/type&gt;&lt;subtype&gt;-100&lt;/subtype&gt;&lt;uuid&gt;4CDB0732-FE75-4F56-9627-A14F8E94872D&lt;/uuid&gt;&lt;/publication&gt;&lt;/bundle&gt;&lt;authors&gt;&lt;author&gt;&lt;firstName&gt;Wout&lt;/firstName&gt;&lt;lastName&gt;Boerjan&lt;/lastName&gt;&lt;/author&gt;&lt;author&gt;&lt;firstName&gt;John&lt;/firstName&gt;&lt;lastName&gt;Ralph&lt;/lastName&gt;&lt;/author&gt;&lt;author&gt;&lt;firstName&gt;Marie&lt;/firstName&gt;&lt;lastName&gt;Baucher&lt;/lastName&gt;&lt;/author&gt;&lt;/authors&gt;&lt;/publication&gt;&lt;/publications&gt;&lt;cites&gt;&lt;/cites&gt;&lt;/citation&gt;</w:instrText>
      </w:r>
      <w:r w:rsidR="00980B82" w:rsidRPr="001A2A3F">
        <w:rPr>
          <w:b w:val="0"/>
        </w:rPr>
        <w:fldChar w:fldCharType="separate"/>
      </w:r>
      <w:r w:rsidR="001C1AAC" w:rsidRPr="001A2A3F">
        <w:rPr>
          <w:b w:val="0"/>
        </w:rPr>
        <w:t>(</w:t>
      </w:r>
      <w:r w:rsidR="001C1AAC" w:rsidRPr="001A2A3F">
        <w:rPr>
          <w:b w:val="0"/>
          <w:i/>
          <w:iCs/>
        </w:rPr>
        <w:t>55</w:t>
      </w:r>
      <w:r w:rsidR="001C1AAC" w:rsidRPr="001A2A3F">
        <w:rPr>
          <w:b w:val="0"/>
        </w:rPr>
        <w:t>)</w:t>
      </w:r>
      <w:r w:rsidR="00980B82" w:rsidRPr="001A2A3F">
        <w:rPr>
          <w:b w:val="0"/>
        </w:rPr>
        <w:fldChar w:fldCharType="end"/>
      </w:r>
    </w:p>
    <w:p w14:paraId="64447F2A" w14:textId="77777777" w:rsidR="0012222F" w:rsidRPr="0012222F" w:rsidRDefault="0012222F" w:rsidP="0012222F"/>
    <w:p w14:paraId="3E78CF16" w14:textId="77777777" w:rsidR="00807999" w:rsidRDefault="006335B9" w:rsidP="006335B9">
      <w:r w:rsidRPr="006335B9">
        <w:t>In this study, we compare the low-temperature thermochemical products of a genetically modified switchgrass variant to those of the unmodified wild</w:t>
      </w:r>
      <w:r>
        <w:t>-</w:t>
      </w:r>
      <w:r w:rsidRPr="006335B9">
        <w:t xml:space="preserve">type. The </w:t>
      </w:r>
      <w:r w:rsidRPr="006335B9">
        <w:lastRenderedPageBreak/>
        <w:t xml:space="preserve">genetic modification down-regulates the production of Caffeic acid O-methyltransferase (COMT), an enzyme which </w:t>
      </w:r>
      <w:r w:rsidR="004F27F0" w:rsidRPr="006335B9">
        <w:t>catalyzes</w:t>
      </w:r>
      <w:r w:rsidRPr="006335B9">
        <w:t xml:space="preserve"> the production of </w:t>
      </w:r>
      <w:r w:rsidRPr="006335B9">
        <w:rPr>
          <w:b/>
          <w:i/>
        </w:rPr>
        <w:t>S</w:t>
      </w:r>
      <w:r w:rsidRPr="006335B9">
        <w:t xml:space="preserve"> monomers (</w:t>
      </w:r>
      <w:r w:rsidRPr="008D52D9">
        <w:t xml:space="preserve">figure </w:t>
      </w:r>
      <w:r w:rsidR="008D52D9" w:rsidRPr="008D52D9">
        <w:t>7.</w:t>
      </w:r>
      <w:r w:rsidRPr="008D52D9">
        <w:t>2</w:t>
      </w:r>
      <w:r w:rsidRPr="006335B9">
        <w:t>)</w:t>
      </w:r>
      <w:r w:rsidR="00484655">
        <w:t xml:space="preserve"> </w:t>
      </w:r>
      <w:r w:rsidR="00484655">
        <w:fldChar w:fldCharType="begin"/>
      </w:r>
      <w:r w:rsidR="00807999">
        <w:instrText xml:space="preserve"> ADDIN PAPERS2_CITATIONS &lt;citation&gt;&lt;uuid&gt;81F017CA-D416-43B1-B1E7-1D72F5B688E2&lt;/uuid&gt;&lt;priority&gt;0&lt;/priority&gt;&lt;publications&gt;&lt;publication&gt;&lt;uuid&gt;0BBB86C2-AEA9-44B5-B628-5035F5735D51&lt;/uuid&gt;&lt;volume&gt;54&lt;/volume&gt;&lt;doi&gt;10.1146/annurev.arplant.54.031902.134938&lt;/doi&gt;&lt;startpage&gt;519&lt;/startpage&gt;&lt;publication_date&gt;99200300001200000000200000&lt;/publication_date&gt;&lt;url&gt;http://www.annualreviews.org/doi/abs/10.1146/annurev.arplant.54.031902.134938&lt;/url&gt;&lt;citekey&gt;Boerjan:2003hk&lt;/citekey&gt;&lt;type&gt;400&lt;/type&gt;&lt;title&gt;Lignin biosynthesis&lt;/title&gt;&lt;institution&gt;Boerjan, W</w:instrText>
      </w:r>
    </w:p>
    <w:p w14:paraId="00F6FA6E" w14:textId="77777777" w:rsidR="00807999" w:rsidRDefault="00807999" w:rsidP="006335B9">
      <w:r>
        <w:instrText>State Univ Ghent VIB, Dept Plant Syst Biol, K L Ledeganckstr 35, B-9000 Ghent, Belgium</w:instrText>
      </w:r>
    </w:p>
    <w:p w14:paraId="685ED529" w14:textId="77777777" w:rsidR="00807999" w:rsidRDefault="00807999" w:rsidP="006335B9">
      <w:r>
        <w:instrText>State Univ Ghent VIB, Dept Plant Syst Biol, K L Ledeganckstr 35, B-9000 Ghent, Belgium</w:instrText>
      </w:r>
    </w:p>
    <w:p w14:paraId="6760E6B0" w14:textId="77777777" w:rsidR="00807999" w:rsidRDefault="00807999" w:rsidP="006335B9">
      <w:r>
        <w:instrText>State Univ Ghent VIB, Dept Plant Syst Biol, B-9000 Ghent, Belgium</w:instrText>
      </w:r>
    </w:p>
    <w:p w14:paraId="1CFBE9DA" w14:textId="77777777" w:rsidR="00807999" w:rsidRDefault="00807999" w:rsidP="006335B9">
      <w:r>
        <w:instrText>USDA ARS, US Dairy Forage Res Ctr, Madison, WI 53706 USA</w:instrText>
      </w:r>
    </w:p>
    <w:p w14:paraId="5828879C" w14:textId="77E7EC10" w:rsidR="006335B9" w:rsidRPr="006335B9" w:rsidRDefault="00807999" w:rsidP="006335B9">
      <w:r>
        <w:instrText>Free Univ Brussels, Lab Biotechnol Vegetale, B-1160 Brussels, Belgium&lt;/institution&gt;&lt;subtype&gt;400&lt;/subtype&gt;&lt;endpage&gt;546&lt;/endpage&gt;&lt;bundle&gt;&lt;publication&gt;&lt;title&gt;Annual review of plant biology&lt;/title&gt;&lt;type&gt;-100&lt;/type&gt;&lt;subtype&gt;-100&lt;/subtype&gt;&lt;uuid&gt;4CDB0732-FE75-4F56-9627-A14F8E94872D&lt;/uuid&gt;&lt;/publication&gt;&lt;/bundle&gt;&lt;authors&gt;&lt;author&gt;&lt;firstName&gt;Wout&lt;/firstName&gt;&lt;lastName&gt;Boerjan&lt;/lastName&gt;&lt;/author&gt;&lt;author&gt;&lt;firstName&gt;John&lt;/firstName&gt;&lt;lastName&gt;Ralph&lt;/lastName&gt;&lt;/author&gt;&lt;author&gt;&lt;firstName&gt;Marie&lt;/firstName&gt;&lt;lastName&gt;Baucher&lt;/lastName&gt;&lt;/author&gt;&lt;/authors&gt;&lt;/publication&gt;&lt;/publications&gt;&lt;cites&gt;&lt;/cites&gt;&lt;/citation&gt;</w:instrText>
      </w:r>
      <w:r w:rsidR="00484655">
        <w:fldChar w:fldCharType="separate"/>
      </w:r>
      <w:r w:rsidR="001C1AAC">
        <w:t>(</w:t>
      </w:r>
      <w:r w:rsidR="001C1AAC">
        <w:rPr>
          <w:i/>
          <w:iCs/>
        </w:rPr>
        <w:t>55</w:t>
      </w:r>
      <w:r w:rsidR="001C1AAC">
        <w:t>)</w:t>
      </w:r>
      <w:r w:rsidR="00484655">
        <w:fldChar w:fldCharType="end"/>
      </w:r>
      <w:r w:rsidR="006335B9" w:rsidRPr="006335B9">
        <w:t xml:space="preserve">. This lowers the </w:t>
      </w:r>
      <w:r w:rsidR="006335B9" w:rsidRPr="006335B9">
        <w:rPr>
          <w:b/>
          <w:i/>
        </w:rPr>
        <w:t>S</w:t>
      </w:r>
      <w:r w:rsidR="006335B9" w:rsidRPr="006335B9">
        <w:t>/</w:t>
      </w:r>
      <w:r w:rsidR="006335B9" w:rsidRPr="006335B9">
        <w:rPr>
          <w:b/>
          <w:i/>
        </w:rPr>
        <w:t>G</w:t>
      </w:r>
      <w:r w:rsidR="006335B9" w:rsidRPr="006335B9">
        <w:t xml:space="preserve"> ratio of the resulting lignin which is incorporated into the cell wall. We hypothesize that this modification will result in lower phenolic product yield for the down-regulated mutants as compared with their unmodified wild</w:t>
      </w:r>
      <w:r w:rsidR="006335B9">
        <w:t>-</w:t>
      </w:r>
      <w:r w:rsidR="006335B9" w:rsidRPr="006335B9">
        <w:t>type. To our knowledge, this is the first reported study of the effect of genetic modification to modify a major cell wall biopolymer on thermochemical product distributions.</w:t>
      </w:r>
    </w:p>
    <w:p w14:paraId="0C0B77EF" w14:textId="6B7D2B1B" w:rsidR="00F24ED3" w:rsidRPr="00F24ED3" w:rsidRDefault="009B77F6" w:rsidP="005C7E19">
      <w:pPr>
        <w:pStyle w:val="Heading2"/>
      </w:pPr>
      <w:bookmarkStart w:id="184" w:name="_Toc449964900"/>
      <w:r>
        <w:t>Experimental</w:t>
      </w:r>
      <w:bookmarkEnd w:id="184"/>
    </w:p>
    <w:p w14:paraId="51FBAA77" w14:textId="76A19D0A" w:rsidR="009B77F6" w:rsidRDefault="009B77F6" w:rsidP="009B77F6">
      <w:r w:rsidRPr="009B77F6">
        <w:t xml:space="preserve">C. N. Stewart and associates generously provided </w:t>
      </w:r>
      <w:r>
        <w:t>e</w:t>
      </w:r>
      <w:r w:rsidRPr="009B77F6">
        <w:t>ight samples (four wild</w:t>
      </w:r>
      <w:r>
        <w:t>-</w:t>
      </w:r>
      <w:r w:rsidRPr="009B77F6">
        <w:t xml:space="preserve">types and four mutants) from the COMT2-RNAi knock down line of transgenic switchgrass as described and characterized in </w:t>
      </w:r>
      <w:r w:rsidRPr="00484655">
        <w:t>Baxter et. al</w:t>
      </w:r>
      <w:r w:rsidRPr="009B77F6">
        <w:t>.</w:t>
      </w:r>
      <w:r w:rsidR="00484655">
        <w:t xml:space="preserve"> </w:t>
      </w:r>
      <w:r w:rsidR="00484655">
        <w:fldChar w:fldCharType="begin"/>
      </w:r>
      <w:r w:rsidR="00807999">
        <w:instrText xml:space="preserve"> ADDIN PAPERS2_CITATIONS &lt;citation&gt;&lt;uuid&gt;8CEB9EAB-4C4C-4A20-921A-0AF4DA638BE4&lt;/uuid&gt;&lt;priority&gt;0&lt;/priority&gt;&lt;publications&gt;&lt;publication&gt;&lt;uuid&gt;4F43DF83-A400-4C0E-9DEF-9920207ACBBC&lt;/uuid&gt;&lt;volume&gt;12&lt;/volume&gt;&lt;doi&gt;10.1111/pbi.12195&lt;/doi&gt;&lt;startpage&gt;914&lt;/startpage&gt;&lt;publication_date&gt;99201404211200000000222000&lt;/publication_date&gt;&lt;url&gt;http://doi.wiley.com/10.1111/pbi.12195&lt;/url&gt;&lt;citekey&gt;Baxter:2014bk&lt;/citekey&gt;&lt;type&gt;400&lt;/type&gt;&lt;title&gt;Two-year field analysis of reduced recalcitrance transgenic switchgrass&lt;/title&gt;&lt;number&gt;7&lt;/number&gt;&lt;subtype&gt;400&lt;/subtype&gt;&lt;endpage&gt;924&lt;/endpage&gt;&lt;bundle&gt;&lt;publication&gt;&lt;title&gt;Plant Biotechnology Journal&lt;/title&gt;&lt;type&gt;-100&lt;/type&gt;&lt;subtype&gt;-100&lt;/subtype&gt;&lt;uuid&gt;14FDD847-5EC1-4E33-9A3E-8C68E290860B&lt;/uuid&gt;&lt;/publication&gt;&lt;/bundle&gt;&lt;authors&gt;&lt;author&gt;&lt;firstName&gt;Holly&lt;/firstName&gt;&lt;middleNames&gt;L&lt;/middleNames&gt;&lt;lastName&gt;Baxter&lt;/lastName&gt;&lt;/author&gt;&lt;author&gt;&lt;firstName&gt;Mitra&lt;/firstName&gt;&lt;lastName&gt;Mazarei&lt;/lastName&gt;&lt;/author&gt;&lt;author&gt;&lt;firstName&gt;Nicole&lt;/firstName&gt;&lt;lastName&gt;Labbé&lt;/lastName&gt;&lt;/author&gt;&lt;author&gt;&lt;firstName&gt;Lindsey&lt;/firstName&gt;&lt;middleNames&gt;M&lt;/middleNames&gt;&lt;lastName&gt;Kline&lt;/lastName&gt;&lt;/author&gt;&lt;author&gt;&lt;firstName&gt;Qunkang&lt;/firstName&gt;&lt;lastName&gt;Cheng&lt;/lastName&gt;&lt;/author&gt;&lt;author&gt;&lt;firstName&gt;Mark&lt;/firstName&gt;&lt;middleNames&gt;T&lt;/middleNames&gt;&lt;lastName&gt;Windham&lt;/lastName&gt;&lt;/author&gt;&lt;author&gt;&lt;firstName&gt;David&lt;/firstName&gt;&lt;middleNames&gt;G J&lt;/middleNames&gt;&lt;lastName&gt;Mann&lt;/lastName&gt;&lt;/author&gt;&lt;author&gt;&lt;firstName&gt;Chunxiang&lt;/firstName&gt;&lt;lastName&gt;Fu&lt;/lastName&gt;&lt;/author&gt;&lt;author&gt;&lt;firstName&gt;Angela&lt;/firstName&gt;&lt;lastName&gt;Ziebell&lt;/lastName&gt;&lt;/author&gt;&lt;author&gt;&lt;firstName&gt;Robert&lt;/firstName&gt;&lt;middleNames&gt;W&lt;/middleNames&gt;&lt;lastName&gt;Sykes&lt;/lastName&gt;&lt;/author&gt;&lt;author&gt;&lt;firstName&gt;Miguel&lt;/firstName&gt;&lt;suffix&gt;Jr&lt;/suffix&gt;&lt;lastName&gt;Rodriguez&lt;/lastName&gt;&lt;/author&gt;&lt;author&gt;&lt;firstName&gt;Mark&lt;/firstName&gt;&lt;middleNames&gt;F&lt;/middleNames&gt;&lt;lastName&gt;Davis&lt;/lastName&gt;&lt;/author&gt;&lt;author&gt;&lt;firstName&gt;Jonathan&lt;/firstName&gt;&lt;middleNames&gt;R&lt;/middleNames&gt;&lt;lastName&gt;Mielenz&lt;/lastName&gt;&lt;/author&gt;&lt;author&gt;&lt;firstName&gt;Richard&lt;/firstName&gt;&lt;middleNames&gt;A&lt;/middleNames&gt;&lt;lastName&gt;Dixon&lt;/lastName&gt;&lt;/author&gt;&lt;author&gt;&lt;firstName&gt;Zeng-Yu&lt;/firstName&gt;&lt;lastName&gt;Wang&lt;/lastName&gt;&lt;/author&gt;&lt;author&gt;&lt;lastName&gt;Stewart&lt;/lastName&gt;&lt;firstName&gt;C&lt;/firstName&gt;&lt;middleNames&gt;Neal&lt;/middleNames&gt;&lt;suffix&gt;Jr&lt;/suffix&gt;&lt;/author&gt;&lt;/authors&gt;&lt;/publication&gt;&lt;/publications&gt;&lt;cites&gt;&lt;/cites&gt;&lt;/citation&gt;</w:instrText>
      </w:r>
      <w:r w:rsidR="00484655">
        <w:fldChar w:fldCharType="separate"/>
      </w:r>
      <w:r w:rsidR="001C1AAC">
        <w:t>(</w:t>
      </w:r>
      <w:r w:rsidR="001C1AAC">
        <w:rPr>
          <w:i/>
          <w:iCs/>
        </w:rPr>
        <w:t>126</w:t>
      </w:r>
      <w:r w:rsidR="001C1AAC">
        <w:t>)</w:t>
      </w:r>
      <w:r w:rsidR="00484655">
        <w:fldChar w:fldCharType="end"/>
      </w:r>
      <w:r>
        <w:t>,</w:t>
      </w:r>
      <w:r w:rsidRPr="009B77F6">
        <w:t xml:space="preserve"> along with their corresponding biochemical characterization data. </w:t>
      </w:r>
      <w:r w:rsidRPr="008D52D9">
        <w:t xml:space="preserve">Table </w:t>
      </w:r>
      <w:r w:rsidR="008D52D9" w:rsidRPr="008D52D9">
        <w:t>7.</w:t>
      </w:r>
      <w:r w:rsidRPr="008D52D9">
        <w:t>2</w:t>
      </w:r>
      <w:r w:rsidRPr="009B77F6">
        <w:t xml:space="preserve"> lists the compositional information for these samples. The wild</w:t>
      </w:r>
      <w:r>
        <w:t>-</w:t>
      </w:r>
      <w:r w:rsidRPr="009B77F6">
        <w:t xml:space="preserve">types and mutants exhibit significant differences in their </w:t>
      </w:r>
      <w:r w:rsidRPr="009B77F6">
        <w:rPr>
          <w:b/>
          <w:i/>
        </w:rPr>
        <w:t>S</w:t>
      </w:r>
      <w:r w:rsidRPr="009B77F6">
        <w:t>/</w:t>
      </w:r>
      <w:r w:rsidRPr="009B77F6">
        <w:rPr>
          <w:b/>
          <w:i/>
        </w:rPr>
        <w:t>G</w:t>
      </w:r>
      <w:r w:rsidRPr="009B77F6">
        <w:t xml:space="preserve"> ratios, while the total lignin content is only slightly lower in the mutants. The four wild</w:t>
      </w:r>
      <w:r w:rsidR="00AC32D8">
        <w:t>-</w:t>
      </w:r>
      <w:r w:rsidRPr="009B77F6">
        <w:t>types and four mutants are all from cloned plant</w:t>
      </w:r>
      <w:r>
        <w:t>s of their respective category.</w:t>
      </w:r>
    </w:p>
    <w:p w14:paraId="6C52D8AD" w14:textId="74487999" w:rsidR="00DE00FA" w:rsidRDefault="009B77F6" w:rsidP="009B77F6">
      <w:r w:rsidRPr="009B77F6">
        <w:t xml:space="preserve">Each sample was prepared for thermal decomposition in the method described in </w:t>
      </w:r>
      <w:r w:rsidRPr="008D52D9">
        <w:t xml:space="preserve">section </w:t>
      </w:r>
      <w:r w:rsidR="008D52D9" w:rsidRPr="008D52D9">
        <w:t>3.2</w:t>
      </w:r>
      <w:r w:rsidR="008D52D9">
        <w:t>.1</w:t>
      </w:r>
      <w:r w:rsidRPr="008D52D9">
        <w:t>.</w:t>
      </w:r>
      <w:r w:rsidRPr="009B77F6">
        <w:t xml:space="preserve"> Each biological replicate was run with three technical replicates in the pyroprobe apparatus. The average sample size was 1038</w:t>
      </w:r>
      <w:r w:rsidR="00082B12">
        <w:t xml:space="preserve"> </w:t>
      </w:r>
      <w:r w:rsidRPr="009B77F6">
        <w:t xml:space="preserve">mg with a 5.04% standard deviation. The pyrolysis temperature was 290°C with a hold time of 120 seconds. Vapors were collected &amp; analyzed as described in </w:t>
      </w:r>
      <w:r w:rsidR="008D52D9" w:rsidRPr="008D52D9">
        <w:t>section 3.2</w:t>
      </w:r>
      <w:r w:rsidRPr="008D52D9">
        <w:t>.</w:t>
      </w:r>
      <w:r w:rsidRPr="009B77F6">
        <w:t xml:space="preserve"> </w:t>
      </w:r>
      <w:r w:rsidR="008D52D9">
        <w:t>T</w:t>
      </w:r>
      <w:r w:rsidR="008D52D9" w:rsidRPr="008D52D9">
        <w:t>he identified compounds and t</w:t>
      </w:r>
      <w:r w:rsidR="008D52D9">
        <w:t>heir lumps as used in this work</w:t>
      </w:r>
      <w:r w:rsidRPr="009B77F6">
        <w:t xml:space="preserve"> are listed in </w:t>
      </w:r>
      <w:r w:rsidRPr="008D52D9">
        <w:t xml:space="preserve">table </w:t>
      </w:r>
      <w:r w:rsidR="008D52D9">
        <w:t>7.3</w:t>
      </w:r>
      <w:r w:rsidRPr="009B77F6">
        <w:t>.</w:t>
      </w:r>
    </w:p>
    <w:p w14:paraId="53DA2C0B" w14:textId="34F0C83D" w:rsidR="009B77F6" w:rsidRDefault="00DE00FA" w:rsidP="00DE00FA">
      <w:pPr>
        <w:spacing w:line="240" w:lineRule="auto"/>
      </w:pPr>
      <w:r>
        <w:br w:type="page"/>
      </w:r>
    </w:p>
    <w:tbl>
      <w:tblPr>
        <w:tblStyle w:val="PlainTable11"/>
        <w:tblW w:w="0" w:type="auto"/>
        <w:tblCellMar>
          <w:top w:w="115" w:type="dxa"/>
          <w:left w:w="0" w:type="dxa"/>
          <w:bottom w:w="115" w:type="dxa"/>
          <w:right w:w="0" w:type="dxa"/>
        </w:tblCellMar>
        <w:tblLook w:val="0480" w:firstRow="0" w:lastRow="0" w:firstColumn="1" w:lastColumn="0" w:noHBand="0" w:noVBand="1"/>
      </w:tblPr>
      <w:tblGrid>
        <w:gridCol w:w="568"/>
        <w:gridCol w:w="292"/>
        <w:gridCol w:w="246"/>
        <w:gridCol w:w="246"/>
        <w:gridCol w:w="246"/>
        <w:gridCol w:w="246"/>
        <w:gridCol w:w="246"/>
        <w:gridCol w:w="246"/>
        <w:gridCol w:w="246"/>
      </w:tblGrid>
      <w:tr w:rsidR="00C3299F" w:rsidRPr="00C3299F" w14:paraId="5C7E5A19" w14:textId="77777777" w:rsidTr="00942005">
        <w:trPr>
          <w:cnfStyle w:val="000000100000" w:firstRow="0" w:lastRow="0" w:firstColumn="0" w:lastColumn="0" w:oddVBand="0" w:evenVBand="0" w:oddHBand="1" w:evenHBand="0" w:firstRowFirstColumn="0" w:firstRowLastColumn="0" w:lastRowFirstColumn="0" w:lastRowLastColumn="0"/>
          <w:cantSplit/>
          <w:trHeight w:val="442"/>
        </w:trPr>
        <w:tc>
          <w:tcPr>
            <w:cnfStyle w:val="001000000000" w:firstRow="0" w:lastRow="0" w:firstColumn="1" w:lastColumn="0" w:oddVBand="0" w:evenVBand="0" w:oddHBand="0" w:evenHBand="0" w:firstRowFirstColumn="0" w:firstRowLastColumn="0" w:lastRowFirstColumn="0" w:lastRowLastColumn="0"/>
            <w:tcW w:w="568" w:type="dxa"/>
            <w:shd w:val="clear" w:color="auto" w:fill="auto"/>
            <w:noWrap/>
            <w:textDirection w:val="btLr"/>
            <w:vAlign w:val="center"/>
            <w:hideMark/>
          </w:tcPr>
          <w:p w14:paraId="1BB60CB1" w14:textId="77777777" w:rsidR="00C3299F" w:rsidRPr="00C3299F" w:rsidRDefault="00C3299F" w:rsidP="00942005">
            <w:pPr>
              <w:pStyle w:val="Tables"/>
              <w:jc w:val="center"/>
              <w:rPr>
                <w:rFonts w:ascii="Times New Roman" w:eastAsia="Times New Roman" w:hAnsi="Times New Roman" w:cs="Times New Roman"/>
                <w:sz w:val="20"/>
                <w:szCs w:val="20"/>
              </w:rPr>
            </w:pPr>
            <w:r w:rsidRPr="00C3299F">
              <w:rPr>
                <w:rFonts w:ascii="Times New Roman" w:eastAsia="Times New Roman" w:hAnsi="Times New Roman" w:cs="Times New Roman"/>
                <w:sz w:val="20"/>
                <w:szCs w:val="20"/>
              </w:rPr>
              <w:lastRenderedPageBreak/>
              <w:t>S/G ratio</w:t>
            </w:r>
          </w:p>
        </w:tc>
        <w:tc>
          <w:tcPr>
            <w:tcW w:w="292" w:type="dxa"/>
            <w:shd w:val="clear" w:color="auto" w:fill="auto"/>
            <w:noWrap/>
            <w:textDirection w:val="btLr"/>
            <w:hideMark/>
          </w:tcPr>
          <w:p w14:paraId="3211A643" w14:textId="77777777" w:rsidR="00C3299F" w:rsidRPr="00C3299F" w:rsidRDefault="00C3299F" w:rsidP="00C3299F">
            <w:pPr>
              <w:pStyle w:val="Table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3299F">
              <w:rPr>
                <w:rFonts w:ascii="Times New Roman" w:eastAsia="Times New Roman" w:hAnsi="Times New Roman" w:cs="Times New Roman"/>
                <w:sz w:val="20"/>
                <w:szCs w:val="20"/>
              </w:rPr>
              <w:t>0.69</w:t>
            </w:r>
          </w:p>
        </w:tc>
        <w:tc>
          <w:tcPr>
            <w:tcW w:w="246" w:type="dxa"/>
            <w:shd w:val="clear" w:color="auto" w:fill="auto"/>
            <w:noWrap/>
            <w:textDirection w:val="btLr"/>
            <w:hideMark/>
          </w:tcPr>
          <w:p w14:paraId="6A242883" w14:textId="77777777" w:rsidR="00C3299F" w:rsidRPr="00C3299F" w:rsidRDefault="00C3299F" w:rsidP="00C3299F">
            <w:pPr>
              <w:pStyle w:val="Table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3299F">
              <w:rPr>
                <w:rFonts w:ascii="Times New Roman" w:eastAsia="Times New Roman" w:hAnsi="Times New Roman" w:cs="Times New Roman"/>
                <w:sz w:val="20"/>
                <w:szCs w:val="20"/>
              </w:rPr>
              <w:t>0.76</w:t>
            </w:r>
          </w:p>
        </w:tc>
        <w:tc>
          <w:tcPr>
            <w:tcW w:w="0" w:type="auto"/>
            <w:shd w:val="clear" w:color="auto" w:fill="auto"/>
            <w:noWrap/>
            <w:textDirection w:val="btLr"/>
            <w:hideMark/>
          </w:tcPr>
          <w:p w14:paraId="08331112" w14:textId="77777777" w:rsidR="00C3299F" w:rsidRPr="00C3299F" w:rsidRDefault="00C3299F" w:rsidP="00C3299F">
            <w:pPr>
              <w:pStyle w:val="Table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3299F">
              <w:rPr>
                <w:rFonts w:ascii="Times New Roman" w:eastAsia="Times New Roman" w:hAnsi="Times New Roman" w:cs="Times New Roman"/>
                <w:sz w:val="20"/>
                <w:szCs w:val="20"/>
              </w:rPr>
              <w:t>0.68</w:t>
            </w:r>
          </w:p>
        </w:tc>
        <w:tc>
          <w:tcPr>
            <w:tcW w:w="0" w:type="auto"/>
            <w:tcBorders>
              <w:right w:val="single" w:sz="4" w:space="0" w:color="auto"/>
            </w:tcBorders>
            <w:shd w:val="clear" w:color="auto" w:fill="auto"/>
            <w:noWrap/>
            <w:textDirection w:val="btLr"/>
            <w:hideMark/>
          </w:tcPr>
          <w:p w14:paraId="2A228D19" w14:textId="77777777" w:rsidR="00C3299F" w:rsidRPr="00C3299F" w:rsidRDefault="00C3299F" w:rsidP="00C3299F">
            <w:pPr>
              <w:pStyle w:val="Table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3299F">
              <w:rPr>
                <w:rFonts w:ascii="Times New Roman" w:eastAsia="Times New Roman" w:hAnsi="Times New Roman" w:cs="Times New Roman"/>
                <w:sz w:val="20"/>
                <w:szCs w:val="20"/>
              </w:rPr>
              <w:t>0.77</w:t>
            </w:r>
          </w:p>
        </w:tc>
        <w:tc>
          <w:tcPr>
            <w:tcW w:w="0" w:type="auto"/>
            <w:tcBorders>
              <w:left w:val="single" w:sz="4" w:space="0" w:color="auto"/>
            </w:tcBorders>
            <w:shd w:val="clear" w:color="auto" w:fill="auto"/>
            <w:noWrap/>
            <w:textDirection w:val="btLr"/>
            <w:hideMark/>
          </w:tcPr>
          <w:p w14:paraId="0A8BBC58" w14:textId="77777777" w:rsidR="00C3299F" w:rsidRPr="00C3299F" w:rsidRDefault="00C3299F" w:rsidP="00C3299F">
            <w:pPr>
              <w:pStyle w:val="Table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3299F">
              <w:rPr>
                <w:rFonts w:ascii="Times New Roman" w:eastAsia="Times New Roman" w:hAnsi="Times New Roman" w:cs="Times New Roman"/>
                <w:sz w:val="20"/>
                <w:szCs w:val="20"/>
              </w:rPr>
              <w:t>0.42</w:t>
            </w:r>
          </w:p>
        </w:tc>
        <w:tc>
          <w:tcPr>
            <w:tcW w:w="0" w:type="auto"/>
            <w:shd w:val="clear" w:color="auto" w:fill="auto"/>
            <w:noWrap/>
            <w:textDirection w:val="btLr"/>
            <w:hideMark/>
          </w:tcPr>
          <w:p w14:paraId="2DC541A7" w14:textId="77777777" w:rsidR="00C3299F" w:rsidRPr="00C3299F" w:rsidRDefault="00C3299F" w:rsidP="00C3299F">
            <w:pPr>
              <w:pStyle w:val="Table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3299F">
              <w:rPr>
                <w:rFonts w:ascii="Times New Roman" w:eastAsia="Times New Roman" w:hAnsi="Times New Roman" w:cs="Times New Roman"/>
                <w:sz w:val="20"/>
                <w:szCs w:val="20"/>
              </w:rPr>
              <w:t>0.45</w:t>
            </w:r>
          </w:p>
        </w:tc>
        <w:tc>
          <w:tcPr>
            <w:tcW w:w="0" w:type="auto"/>
            <w:shd w:val="clear" w:color="auto" w:fill="auto"/>
            <w:noWrap/>
            <w:textDirection w:val="btLr"/>
            <w:hideMark/>
          </w:tcPr>
          <w:p w14:paraId="03747AAA" w14:textId="77777777" w:rsidR="00C3299F" w:rsidRPr="00C3299F" w:rsidRDefault="00C3299F" w:rsidP="00C3299F">
            <w:pPr>
              <w:pStyle w:val="Table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3299F">
              <w:rPr>
                <w:rFonts w:ascii="Times New Roman" w:eastAsia="Times New Roman" w:hAnsi="Times New Roman" w:cs="Times New Roman"/>
                <w:sz w:val="20"/>
                <w:szCs w:val="20"/>
              </w:rPr>
              <w:t>0.44</w:t>
            </w:r>
          </w:p>
        </w:tc>
        <w:tc>
          <w:tcPr>
            <w:tcW w:w="0" w:type="auto"/>
            <w:shd w:val="clear" w:color="auto" w:fill="auto"/>
            <w:noWrap/>
            <w:textDirection w:val="btLr"/>
            <w:hideMark/>
          </w:tcPr>
          <w:p w14:paraId="26927AD1" w14:textId="77777777" w:rsidR="00C3299F" w:rsidRPr="00C3299F" w:rsidRDefault="00C3299F" w:rsidP="00C3299F">
            <w:pPr>
              <w:pStyle w:val="Table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3299F">
              <w:rPr>
                <w:rFonts w:ascii="Times New Roman" w:eastAsia="Times New Roman" w:hAnsi="Times New Roman" w:cs="Times New Roman"/>
                <w:sz w:val="20"/>
                <w:szCs w:val="20"/>
              </w:rPr>
              <w:t>0.48</w:t>
            </w:r>
          </w:p>
        </w:tc>
      </w:tr>
      <w:tr w:rsidR="00C3299F" w:rsidRPr="00C3299F" w14:paraId="219783C0" w14:textId="77777777" w:rsidTr="00942005">
        <w:trPr>
          <w:cantSplit/>
          <w:trHeight w:val="730"/>
        </w:trPr>
        <w:tc>
          <w:tcPr>
            <w:cnfStyle w:val="001000000000" w:firstRow="0" w:lastRow="0" w:firstColumn="1" w:lastColumn="0" w:oddVBand="0" w:evenVBand="0" w:oddHBand="0" w:evenHBand="0" w:firstRowFirstColumn="0" w:firstRowLastColumn="0" w:lastRowFirstColumn="0" w:lastRowLastColumn="0"/>
            <w:tcW w:w="568" w:type="dxa"/>
            <w:shd w:val="clear" w:color="auto" w:fill="auto"/>
            <w:noWrap/>
            <w:textDirection w:val="btLr"/>
            <w:vAlign w:val="center"/>
            <w:hideMark/>
          </w:tcPr>
          <w:p w14:paraId="764E1BCE" w14:textId="77777777" w:rsidR="00C3299F" w:rsidRPr="00C3299F" w:rsidRDefault="00C3299F" w:rsidP="00942005">
            <w:pPr>
              <w:pStyle w:val="Tables"/>
              <w:jc w:val="center"/>
              <w:rPr>
                <w:rFonts w:ascii="Times New Roman" w:eastAsia="Times New Roman" w:hAnsi="Times New Roman" w:cs="Times New Roman"/>
                <w:sz w:val="20"/>
                <w:szCs w:val="20"/>
              </w:rPr>
            </w:pPr>
            <w:r w:rsidRPr="00C3299F">
              <w:rPr>
                <w:rFonts w:ascii="Times New Roman" w:eastAsia="Times New Roman" w:hAnsi="Times New Roman" w:cs="Times New Roman"/>
                <w:sz w:val="20"/>
                <w:szCs w:val="20"/>
              </w:rPr>
              <w:t>Mannan</w:t>
            </w:r>
          </w:p>
        </w:tc>
        <w:tc>
          <w:tcPr>
            <w:tcW w:w="292" w:type="dxa"/>
            <w:shd w:val="clear" w:color="auto" w:fill="auto"/>
            <w:noWrap/>
            <w:textDirection w:val="btLr"/>
            <w:hideMark/>
          </w:tcPr>
          <w:p w14:paraId="2D8DAFFD" w14:textId="77777777" w:rsidR="00C3299F" w:rsidRPr="00C3299F" w:rsidRDefault="00C3299F" w:rsidP="00C3299F">
            <w:pPr>
              <w:pStyle w:val="Table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3299F">
              <w:rPr>
                <w:rFonts w:ascii="Times New Roman" w:eastAsia="Times New Roman" w:hAnsi="Times New Roman" w:cs="Times New Roman"/>
                <w:sz w:val="20"/>
                <w:szCs w:val="20"/>
              </w:rPr>
              <w:t>0.3%</w:t>
            </w:r>
          </w:p>
        </w:tc>
        <w:tc>
          <w:tcPr>
            <w:tcW w:w="246" w:type="dxa"/>
            <w:shd w:val="clear" w:color="auto" w:fill="auto"/>
            <w:noWrap/>
            <w:textDirection w:val="btLr"/>
            <w:hideMark/>
          </w:tcPr>
          <w:p w14:paraId="2FA54405" w14:textId="77777777" w:rsidR="00C3299F" w:rsidRPr="00C3299F" w:rsidRDefault="00C3299F" w:rsidP="00C3299F">
            <w:pPr>
              <w:pStyle w:val="Table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3299F">
              <w:rPr>
                <w:rFonts w:ascii="Times New Roman" w:eastAsia="Times New Roman" w:hAnsi="Times New Roman" w:cs="Times New Roman"/>
                <w:sz w:val="20"/>
                <w:szCs w:val="20"/>
              </w:rPr>
              <w:t>0.2%</w:t>
            </w:r>
          </w:p>
        </w:tc>
        <w:tc>
          <w:tcPr>
            <w:tcW w:w="0" w:type="auto"/>
            <w:shd w:val="clear" w:color="auto" w:fill="auto"/>
            <w:noWrap/>
            <w:textDirection w:val="btLr"/>
            <w:hideMark/>
          </w:tcPr>
          <w:p w14:paraId="722F35C0" w14:textId="77777777" w:rsidR="00C3299F" w:rsidRPr="00C3299F" w:rsidRDefault="00C3299F" w:rsidP="00C3299F">
            <w:pPr>
              <w:pStyle w:val="Table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3299F">
              <w:rPr>
                <w:rFonts w:ascii="Times New Roman" w:eastAsia="Times New Roman" w:hAnsi="Times New Roman" w:cs="Times New Roman"/>
                <w:sz w:val="20"/>
                <w:szCs w:val="20"/>
              </w:rPr>
              <w:t>0.1%</w:t>
            </w:r>
          </w:p>
        </w:tc>
        <w:tc>
          <w:tcPr>
            <w:tcW w:w="0" w:type="auto"/>
            <w:tcBorders>
              <w:right w:val="single" w:sz="4" w:space="0" w:color="auto"/>
            </w:tcBorders>
            <w:shd w:val="clear" w:color="auto" w:fill="auto"/>
            <w:noWrap/>
            <w:textDirection w:val="btLr"/>
            <w:hideMark/>
          </w:tcPr>
          <w:p w14:paraId="182E00F6" w14:textId="77777777" w:rsidR="00C3299F" w:rsidRPr="00C3299F" w:rsidRDefault="00C3299F" w:rsidP="00C3299F">
            <w:pPr>
              <w:pStyle w:val="Table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3299F">
              <w:rPr>
                <w:rFonts w:ascii="Times New Roman" w:eastAsia="Times New Roman" w:hAnsi="Times New Roman" w:cs="Times New Roman"/>
                <w:sz w:val="20"/>
                <w:szCs w:val="20"/>
              </w:rPr>
              <w:t>0.0%</w:t>
            </w:r>
          </w:p>
        </w:tc>
        <w:tc>
          <w:tcPr>
            <w:tcW w:w="0" w:type="auto"/>
            <w:tcBorders>
              <w:left w:val="single" w:sz="4" w:space="0" w:color="auto"/>
            </w:tcBorders>
            <w:shd w:val="clear" w:color="auto" w:fill="auto"/>
            <w:noWrap/>
            <w:textDirection w:val="btLr"/>
            <w:hideMark/>
          </w:tcPr>
          <w:p w14:paraId="37E79ABC" w14:textId="77777777" w:rsidR="00C3299F" w:rsidRPr="00C3299F" w:rsidRDefault="00C3299F" w:rsidP="00C3299F">
            <w:pPr>
              <w:pStyle w:val="Table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3299F">
              <w:rPr>
                <w:rFonts w:ascii="Times New Roman" w:eastAsia="Times New Roman" w:hAnsi="Times New Roman" w:cs="Times New Roman"/>
                <w:sz w:val="20"/>
                <w:szCs w:val="20"/>
              </w:rPr>
              <w:t>0.2%</w:t>
            </w:r>
          </w:p>
        </w:tc>
        <w:tc>
          <w:tcPr>
            <w:tcW w:w="0" w:type="auto"/>
            <w:shd w:val="clear" w:color="auto" w:fill="auto"/>
            <w:noWrap/>
            <w:textDirection w:val="btLr"/>
            <w:hideMark/>
          </w:tcPr>
          <w:p w14:paraId="4B27EF12" w14:textId="77777777" w:rsidR="00C3299F" w:rsidRPr="00C3299F" w:rsidRDefault="00C3299F" w:rsidP="00C3299F">
            <w:pPr>
              <w:pStyle w:val="Table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3299F">
              <w:rPr>
                <w:rFonts w:ascii="Times New Roman" w:eastAsia="Times New Roman" w:hAnsi="Times New Roman" w:cs="Times New Roman"/>
                <w:sz w:val="20"/>
                <w:szCs w:val="20"/>
              </w:rPr>
              <w:t>0.0%</w:t>
            </w:r>
          </w:p>
        </w:tc>
        <w:tc>
          <w:tcPr>
            <w:tcW w:w="0" w:type="auto"/>
            <w:shd w:val="clear" w:color="auto" w:fill="auto"/>
            <w:noWrap/>
            <w:textDirection w:val="btLr"/>
            <w:hideMark/>
          </w:tcPr>
          <w:p w14:paraId="560B5809" w14:textId="77777777" w:rsidR="00C3299F" w:rsidRPr="00C3299F" w:rsidRDefault="00C3299F" w:rsidP="00C3299F">
            <w:pPr>
              <w:pStyle w:val="Table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3299F">
              <w:rPr>
                <w:rFonts w:ascii="Times New Roman" w:eastAsia="Times New Roman" w:hAnsi="Times New Roman" w:cs="Times New Roman"/>
                <w:sz w:val="20"/>
                <w:szCs w:val="20"/>
              </w:rPr>
              <w:t>0.1%</w:t>
            </w:r>
          </w:p>
        </w:tc>
        <w:tc>
          <w:tcPr>
            <w:tcW w:w="0" w:type="auto"/>
            <w:shd w:val="clear" w:color="auto" w:fill="auto"/>
            <w:noWrap/>
            <w:textDirection w:val="btLr"/>
            <w:hideMark/>
          </w:tcPr>
          <w:p w14:paraId="0C3D2A96" w14:textId="77777777" w:rsidR="00C3299F" w:rsidRPr="00C3299F" w:rsidRDefault="00C3299F" w:rsidP="00C3299F">
            <w:pPr>
              <w:pStyle w:val="Table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3299F">
              <w:rPr>
                <w:rFonts w:ascii="Times New Roman" w:eastAsia="Times New Roman" w:hAnsi="Times New Roman" w:cs="Times New Roman"/>
                <w:sz w:val="20"/>
                <w:szCs w:val="20"/>
              </w:rPr>
              <w:t>0.4%</w:t>
            </w:r>
          </w:p>
        </w:tc>
      </w:tr>
      <w:tr w:rsidR="00C3299F" w:rsidRPr="00C3299F" w14:paraId="7DE22FFE" w14:textId="77777777" w:rsidTr="00942005">
        <w:trPr>
          <w:cnfStyle w:val="000000100000" w:firstRow="0" w:lastRow="0" w:firstColumn="0" w:lastColumn="0" w:oddVBand="0" w:evenVBand="0" w:oddHBand="1" w:evenHBand="0" w:firstRowFirstColumn="0" w:firstRowLastColumn="0" w:lastRowFirstColumn="0" w:lastRowLastColumn="0"/>
          <w:cantSplit/>
          <w:trHeight w:val="847"/>
        </w:trPr>
        <w:tc>
          <w:tcPr>
            <w:cnfStyle w:val="001000000000" w:firstRow="0" w:lastRow="0" w:firstColumn="1" w:lastColumn="0" w:oddVBand="0" w:evenVBand="0" w:oddHBand="0" w:evenHBand="0" w:firstRowFirstColumn="0" w:firstRowLastColumn="0" w:lastRowFirstColumn="0" w:lastRowLastColumn="0"/>
            <w:tcW w:w="568" w:type="dxa"/>
            <w:shd w:val="clear" w:color="auto" w:fill="auto"/>
            <w:noWrap/>
            <w:textDirection w:val="btLr"/>
            <w:vAlign w:val="center"/>
            <w:hideMark/>
          </w:tcPr>
          <w:p w14:paraId="1E0AC1BB" w14:textId="77777777" w:rsidR="00C3299F" w:rsidRPr="00C3299F" w:rsidRDefault="00C3299F" w:rsidP="00942005">
            <w:pPr>
              <w:pStyle w:val="Tables"/>
              <w:jc w:val="center"/>
              <w:rPr>
                <w:rFonts w:ascii="Times New Roman" w:eastAsia="Times New Roman" w:hAnsi="Times New Roman" w:cs="Times New Roman"/>
                <w:sz w:val="20"/>
                <w:szCs w:val="20"/>
              </w:rPr>
            </w:pPr>
            <w:r w:rsidRPr="00C3299F">
              <w:rPr>
                <w:rFonts w:ascii="Times New Roman" w:eastAsia="Times New Roman" w:hAnsi="Times New Roman" w:cs="Times New Roman"/>
                <w:sz w:val="20"/>
                <w:szCs w:val="20"/>
              </w:rPr>
              <w:t>Arabinan</w:t>
            </w:r>
          </w:p>
        </w:tc>
        <w:tc>
          <w:tcPr>
            <w:tcW w:w="292" w:type="dxa"/>
            <w:shd w:val="clear" w:color="auto" w:fill="auto"/>
            <w:noWrap/>
            <w:textDirection w:val="btLr"/>
            <w:hideMark/>
          </w:tcPr>
          <w:p w14:paraId="1DB6E0FA" w14:textId="77777777" w:rsidR="00C3299F" w:rsidRPr="00C3299F" w:rsidRDefault="00C3299F" w:rsidP="00C3299F">
            <w:pPr>
              <w:pStyle w:val="Table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3299F">
              <w:rPr>
                <w:rFonts w:ascii="Times New Roman" w:eastAsia="Times New Roman" w:hAnsi="Times New Roman" w:cs="Times New Roman"/>
                <w:sz w:val="20"/>
                <w:szCs w:val="20"/>
              </w:rPr>
              <w:t>2.6%</w:t>
            </w:r>
          </w:p>
        </w:tc>
        <w:tc>
          <w:tcPr>
            <w:tcW w:w="246" w:type="dxa"/>
            <w:shd w:val="clear" w:color="auto" w:fill="auto"/>
            <w:noWrap/>
            <w:textDirection w:val="btLr"/>
            <w:hideMark/>
          </w:tcPr>
          <w:p w14:paraId="0BE19996" w14:textId="77777777" w:rsidR="00C3299F" w:rsidRPr="00C3299F" w:rsidRDefault="00C3299F" w:rsidP="00C3299F">
            <w:pPr>
              <w:pStyle w:val="Table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3299F">
              <w:rPr>
                <w:rFonts w:ascii="Times New Roman" w:eastAsia="Times New Roman" w:hAnsi="Times New Roman" w:cs="Times New Roman"/>
                <w:sz w:val="20"/>
                <w:szCs w:val="20"/>
              </w:rPr>
              <w:t>2.5%</w:t>
            </w:r>
          </w:p>
        </w:tc>
        <w:tc>
          <w:tcPr>
            <w:tcW w:w="0" w:type="auto"/>
            <w:shd w:val="clear" w:color="auto" w:fill="auto"/>
            <w:noWrap/>
            <w:textDirection w:val="btLr"/>
            <w:hideMark/>
          </w:tcPr>
          <w:p w14:paraId="68CDBCE6" w14:textId="77777777" w:rsidR="00C3299F" w:rsidRPr="00C3299F" w:rsidRDefault="00C3299F" w:rsidP="00C3299F">
            <w:pPr>
              <w:pStyle w:val="Table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3299F">
              <w:rPr>
                <w:rFonts w:ascii="Times New Roman" w:eastAsia="Times New Roman" w:hAnsi="Times New Roman" w:cs="Times New Roman"/>
                <w:sz w:val="20"/>
                <w:szCs w:val="20"/>
              </w:rPr>
              <w:t>3.1%</w:t>
            </w:r>
          </w:p>
        </w:tc>
        <w:tc>
          <w:tcPr>
            <w:tcW w:w="0" w:type="auto"/>
            <w:tcBorders>
              <w:right w:val="single" w:sz="4" w:space="0" w:color="auto"/>
            </w:tcBorders>
            <w:shd w:val="clear" w:color="auto" w:fill="auto"/>
            <w:noWrap/>
            <w:textDirection w:val="btLr"/>
            <w:hideMark/>
          </w:tcPr>
          <w:p w14:paraId="37D4A03E" w14:textId="77777777" w:rsidR="00C3299F" w:rsidRPr="00C3299F" w:rsidRDefault="00C3299F" w:rsidP="00C3299F">
            <w:pPr>
              <w:pStyle w:val="Table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3299F">
              <w:rPr>
                <w:rFonts w:ascii="Times New Roman" w:eastAsia="Times New Roman" w:hAnsi="Times New Roman" w:cs="Times New Roman"/>
                <w:sz w:val="20"/>
                <w:szCs w:val="20"/>
              </w:rPr>
              <w:t>2.6%</w:t>
            </w:r>
          </w:p>
        </w:tc>
        <w:tc>
          <w:tcPr>
            <w:tcW w:w="0" w:type="auto"/>
            <w:tcBorders>
              <w:left w:val="single" w:sz="4" w:space="0" w:color="auto"/>
            </w:tcBorders>
            <w:shd w:val="clear" w:color="auto" w:fill="auto"/>
            <w:noWrap/>
            <w:textDirection w:val="btLr"/>
            <w:hideMark/>
          </w:tcPr>
          <w:p w14:paraId="73143872" w14:textId="77777777" w:rsidR="00C3299F" w:rsidRPr="00C3299F" w:rsidRDefault="00C3299F" w:rsidP="00C3299F">
            <w:pPr>
              <w:pStyle w:val="Table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3299F">
              <w:rPr>
                <w:rFonts w:ascii="Times New Roman" w:eastAsia="Times New Roman" w:hAnsi="Times New Roman" w:cs="Times New Roman"/>
                <w:sz w:val="20"/>
                <w:szCs w:val="20"/>
              </w:rPr>
              <w:t>2.6%</w:t>
            </w:r>
          </w:p>
        </w:tc>
        <w:tc>
          <w:tcPr>
            <w:tcW w:w="0" w:type="auto"/>
            <w:shd w:val="clear" w:color="auto" w:fill="auto"/>
            <w:noWrap/>
            <w:textDirection w:val="btLr"/>
            <w:hideMark/>
          </w:tcPr>
          <w:p w14:paraId="69C66A05" w14:textId="77777777" w:rsidR="00C3299F" w:rsidRPr="00C3299F" w:rsidRDefault="00C3299F" w:rsidP="00C3299F">
            <w:pPr>
              <w:pStyle w:val="Table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3299F">
              <w:rPr>
                <w:rFonts w:ascii="Times New Roman" w:eastAsia="Times New Roman" w:hAnsi="Times New Roman" w:cs="Times New Roman"/>
                <w:sz w:val="20"/>
                <w:szCs w:val="20"/>
              </w:rPr>
              <w:t>2.8%</w:t>
            </w:r>
          </w:p>
        </w:tc>
        <w:tc>
          <w:tcPr>
            <w:tcW w:w="0" w:type="auto"/>
            <w:shd w:val="clear" w:color="auto" w:fill="auto"/>
            <w:noWrap/>
            <w:textDirection w:val="btLr"/>
            <w:hideMark/>
          </w:tcPr>
          <w:p w14:paraId="7BDE1E59" w14:textId="77777777" w:rsidR="00C3299F" w:rsidRPr="00C3299F" w:rsidRDefault="00C3299F" w:rsidP="00C3299F">
            <w:pPr>
              <w:pStyle w:val="Table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3299F">
              <w:rPr>
                <w:rFonts w:ascii="Times New Roman" w:eastAsia="Times New Roman" w:hAnsi="Times New Roman" w:cs="Times New Roman"/>
                <w:sz w:val="20"/>
                <w:szCs w:val="20"/>
              </w:rPr>
              <w:t>3.2%</w:t>
            </w:r>
          </w:p>
        </w:tc>
        <w:tc>
          <w:tcPr>
            <w:tcW w:w="0" w:type="auto"/>
            <w:shd w:val="clear" w:color="auto" w:fill="auto"/>
            <w:noWrap/>
            <w:textDirection w:val="btLr"/>
            <w:hideMark/>
          </w:tcPr>
          <w:p w14:paraId="133F490D" w14:textId="77777777" w:rsidR="00C3299F" w:rsidRPr="00C3299F" w:rsidRDefault="00C3299F" w:rsidP="00C3299F">
            <w:pPr>
              <w:pStyle w:val="Table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3299F">
              <w:rPr>
                <w:rFonts w:ascii="Times New Roman" w:eastAsia="Times New Roman" w:hAnsi="Times New Roman" w:cs="Times New Roman"/>
                <w:sz w:val="20"/>
                <w:szCs w:val="20"/>
              </w:rPr>
              <w:t>2.7%</w:t>
            </w:r>
          </w:p>
        </w:tc>
      </w:tr>
      <w:tr w:rsidR="00C3299F" w:rsidRPr="00C3299F" w14:paraId="524B1965" w14:textId="77777777" w:rsidTr="00942005">
        <w:trPr>
          <w:cantSplit/>
          <w:trHeight w:val="793"/>
        </w:trPr>
        <w:tc>
          <w:tcPr>
            <w:cnfStyle w:val="001000000000" w:firstRow="0" w:lastRow="0" w:firstColumn="1" w:lastColumn="0" w:oddVBand="0" w:evenVBand="0" w:oddHBand="0" w:evenHBand="0" w:firstRowFirstColumn="0" w:firstRowLastColumn="0" w:lastRowFirstColumn="0" w:lastRowLastColumn="0"/>
            <w:tcW w:w="568" w:type="dxa"/>
            <w:shd w:val="clear" w:color="auto" w:fill="auto"/>
            <w:noWrap/>
            <w:textDirection w:val="btLr"/>
            <w:vAlign w:val="center"/>
            <w:hideMark/>
          </w:tcPr>
          <w:p w14:paraId="71F49811" w14:textId="77777777" w:rsidR="00C3299F" w:rsidRPr="00C3299F" w:rsidRDefault="00C3299F" w:rsidP="00942005">
            <w:pPr>
              <w:pStyle w:val="Tables"/>
              <w:jc w:val="center"/>
              <w:rPr>
                <w:rFonts w:ascii="Times New Roman" w:eastAsia="Times New Roman" w:hAnsi="Times New Roman" w:cs="Times New Roman"/>
                <w:sz w:val="20"/>
                <w:szCs w:val="20"/>
              </w:rPr>
            </w:pPr>
            <w:r w:rsidRPr="00C3299F">
              <w:rPr>
                <w:rFonts w:ascii="Times New Roman" w:eastAsia="Times New Roman" w:hAnsi="Times New Roman" w:cs="Times New Roman"/>
                <w:sz w:val="20"/>
                <w:szCs w:val="20"/>
              </w:rPr>
              <w:t>Galactan</w:t>
            </w:r>
          </w:p>
        </w:tc>
        <w:tc>
          <w:tcPr>
            <w:tcW w:w="292" w:type="dxa"/>
            <w:shd w:val="clear" w:color="auto" w:fill="auto"/>
            <w:noWrap/>
            <w:textDirection w:val="btLr"/>
            <w:hideMark/>
          </w:tcPr>
          <w:p w14:paraId="4F7AB850" w14:textId="77777777" w:rsidR="00C3299F" w:rsidRPr="00C3299F" w:rsidRDefault="00C3299F" w:rsidP="00C3299F">
            <w:pPr>
              <w:pStyle w:val="Table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3299F">
              <w:rPr>
                <w:rFonts w:ascii="Times New Roman" w:eastAsia="Times New Roman" w:hAnsi="Times New Roman" w:cs="Times New Roman"/>
                <w:sz w:val="20"/>
                <w:szCs w:val="20"/>
              </w:rPr>
              <w:t>0.5%</w:t>
            </w:r>
          </w:p>
        </w:tc>
        <w:tc>
          <w:tcPr>
            <w:tcW w:w="246" w:type="dxa"/>
            <w:shd w:val="clear" w:color="auto" w:fill="auto"/>
            <w:noWrap/>
            <w:textDirection w:val="btLr"/>
            <w:hideMark/>
          </w:tcPr>
          <w:p w14:paraId="31FDC3E2" w14:textId="77777777" w:rsidR="00C3299F" w:rsidRPr="00C3299F" w:rsidRDefault="00C3299F" w:rsidP="00C3299F">
            <w:pPr>
              <w:pStyle w:val="Table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3299F">
              <w:rPr>
                <w:rFonts w:ascii="Times New Roman" w:eastAsia="Times New Roman" w:hAnsi="Times New Roman" w:cs="Times New Roman"/>
                <w:sz w:val="20"/>
                <w:szCs w:val="20"/>
              </w:rPr>
              <w:t>0.6%</w:t>
            </w:r>
          </w:p>
        </w:tc>
        <w:tc>
          <w:tcPr>
            <w:tcW w:w="0" w:type="auto"/>
            <w:shd w:val="clear" w:color="auto" w:fill="auto"/>
            <w:noWrap/>
            <w:textDirection w:val="btLr"/>
            <w:hideMark/>
          </w:tcPr>
          <w:p w14:paraId="6F508160" w14:textId="77777777" w:rsidR="00C3299F" w:rsidRPr="00C3299F" w:rsidRDefault="00C3299F" w:rsidP="00C3299F">
            <w:pPr>
              <w:pStyle w:val="Table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3299F">
              <w:rPr>
                <w:rFonts w:ascii="Times New Roman" w:eastAsia="Times New Roman" w:hAnsi="Times New Roman" w:cs="Times New Roman"/>
                <w:sz w:val="20"/>
                <w:szCs w:val="20"/>
              </w:rPr>
              <w:t>1.3%</w:t>
            </w:r>
          </w:p>
        </w:tc>
        <w:tc>
          <w:tcPr>
            <w:tcW w:w="0" w:type="auto"/>
            <w:tcBorders>
              <w:right w:val="single" w:sz="4" w:space="0" w:color="auto"/>
            </w:tcBorders>
            <w:shd w:val="clear" w:color="auto" w:fill="auto"/>
            <w:noWrap/>
            <w:textDirection w:val="btLr"/>
            <w:hideMark/>
          </w:tcPr>
          <w:p w14:paraId="7E803CA1" w14:textId="77777777" w:rsidR="00C3299F" w:rsidRPr="00C3299F" w:rsidRDefault="00C3299F" w:rsidP="00C3299F">
            <w:pPr>
              <w:pStyle w:val="Table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3299F">
              <w:rPr>
                <w:rFonts w:ascii="Times New Roman" w:eastAsia="Times New Roman" w:hAnsi="Times New Roman" w:cs="Times New Roman"/>
                <w:sz w:val="20"/>
                <w:szCs w:val="20"/>
              </w:rPr>
              <w:t>1.1%</w:t>
            </w:r>
          </w:p>
        </w:tc>
        <w:tc>
          <w:tcPr>
            <w:tcW w:w="0" w:type="auto"/>
            <w:tcBorders>
              <w:left w:val="single" w:sz="4" w:space="0" w:color="auto"/>
            </w:tcBorders>
            <w:shd w:val="clear" w:color="auto" w:fill="auto"/>
            <w:noWrap/>
            <w:textDirection w:val="btLr"/>
            <w:hideMark/>
          </w:tcPr>
          <w:p w14:paraId="18A2D6F7" w14:textId="77777777" w:rsidR="00C3299F" w:rsidRPr="00C3299F" w:rsidRDefault="00C3299F" w:rsidP="00C3299F">
            <w:pPr>
              <w:pStyle w:val="Table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3299F">
              <w:rPr>
                <w:rFonts w:ascii="Times New Roman" w:eastAsia="Times New Roman" w:hAnsi="Times New Roman" w:cs="Times New Roman"/>
                <w:sz w:val="20"/>
                <w:szCs w:val="20"/>
              </w:rPr>
              <w:t>0.6%</w:t>
            </w:r>
          </w:p>
        </w:tc>
        <w:tc>
          <w:tcPr>
            <w:tcW w:w="0" w:type="auto"/>
            <w:shd w:val="clear" w:color="auto" w:fill="auto"/>
            <w:noWrap/>
            <w:textDirection w:val="btLr"/>
            <w:hideMark/>
          </w:tcPr>
          <w:p w14:paraId="3A1D798E" w14:textId="77777777" w:rsidR="00C3299F" w:rsidRPr="00C3299F" w:rsidRDefault="00C3299F" w:rsidP="00C3299F">
            <w:pPr>
              <w:pStyle w:val="Table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3299F">
              <w:rPr>
                <w:rFonts w:ascii="Times New Roman" w:eastAsia="Times New Roman" w:hAnsi="Times New Roman" w:cs="Times New Roman"/>
                <w:sz w:val="20"/>
                <w:szCs w:val="20"/>
              </w:rPr>
              <w:t>1.2%</w:t>
            </w:r>
          </w:p>
        </w:tc>
        <w:tc>
          <w:tcPr>
            <w:tcW w:w="0" w:type="auto"/>
            <w:shd w:val="clear" w:color="auto" w:fill="auto"/>
            <w:noWrap/>
            <w:textDirection w:val="btLr"/>
            <w:hideMark/>
          </w:tcPr>
          <w:p w14:paraId="17CCFC6D" w14:textId="77777777" w:rsidR="00C3299F" w:rsidRPr="00C3299F" w:rsidRDefault="00C3299F" w:rsidP="00C3299F">
            <w:pPr>
              <w:pStyle w:val="Table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3299F">
              <w:rPr>
                <w:rFonts w:ascii="Times New Roman" w:eastAsia="Times New Roman" w:hAnsi="Times New Roman" w:cs="Times New Roman"/>
                <w:sz w:val="20"/>
                <w:szCs w:val="20"/>
              </w:rPr>
              <w:t>1.2%</w:t>
            </w:r>
          </w:p>
        </w:tc>
        <w:tc>
          <w:tcPr>
            <w:tcW w:w="0" w:type="auto"/>
            <w:shd w:val="clear" w:color="auto" w:fill="auto"/>
            <w:noWrap/>
            <w:textDirection w:val="btLr"/>
            <w:hideMark/>
          </w:tcPr>
          <w:p w14:paraId="2DFCB226" w14:textId="77777777" w:rsidR="00C3299F" w:rsidRPr="00C3299F" w:rsidRDefault="00C3299F" w:rsidP="00C3299F">
            <w:pPr>
              <w:pStyle w:val="Table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3299F">
              <w:rPr>
                <w:rFonts w:ascii="Times New Roman" w:eastAsia="Times New Roman" w:hAnsi="Times New Roman" w:cs="Times New Roman"/>
                <w:sz w:val="20"/>
                <w:szCs w:val="20"/>
              </w:rPr>
              <w:t>0.7%</w:t>
            </w:r>
          </w:p>
        </w:tc>
      </w:tr>
      <w:tr w:rsidR="00C3299F" w:rsidRPr="00C3299F" w14:paraId="0E698297" w14:textId="77777777" w:rsidTr="00942005">
        <w:trPr>
          <w:cnfStyle w:val="000000100000" w:firstRow="0" w:lastRow="0" w:firstColumn="0" w:lastColumn="0" w:oddVBand="0" w:evenVBand="0" w:oddHBand="1" w:evenHBand="0" w:firstRowFirstColumn="0" w:firstRowLastColumn="0" w:lastRowFirstColumn="0" w:lastRowLastColumn="0"/>
          <w:cantSplit/>
          <w:trHeight w:val="541"/>
        </w:trPr>
        <w:tc>
          <w:tcPr>
            <w:cnfStyle w:val="001000000000" w:firstRow="0" w:lastRow="0" w:firstColumn="1" w:lastColumn="0" w:oddVBand="0" w:evenVBand="0" w:oddHBand="0" w:evenHBand="0" w:firstRowFirstColumn="0" w:firstRowLastColumn="0" w:lastRowFirstColumn="0" w:lastRowLastColumn="0"/>
            <w:tcW w:w="568" w:type="dxa"/>
            <w:shd w:val="clear" w:color="auto" w:fill="auto"/>
            <w:noWrap/>
            <w:textDirection w:val="btLr"/>
            <w:vAlign w:val="center"/>
            <w:hideMark/>
          </w:tcPr>
          <w:p w14:paraId="52E58BA5" w14:textId="77777777" w:rsidR="00C3299F" w:rsidRPr="00C3299F" w:rsidRDefault="00C3299F" w:rsidP="00942005">
            <w:pPr>
              <w:pStyle w:val="Tables"/>
              <w:jc w:val="center"/>
              <w:rPr>
                <w:rFonts w:ascii="Times New Roman" w:eastAsia="Times New Roman" w:hAnsi="Times New Roman" w:cs="Times New Roman"/>
                <w:sz w:val="20"/>
                <w:szCs w:val="20"/>
              </w:rPr>
            </w:pPr>
            <w:r w:rsidRPr="00C3299F">
              <w:rPr>
                <w:rFonts w:ascii="Times New Roman" w:eastAsia="Times New Roman" w:hAnsi="Times New Roman" w:cs="Times New Roman"/>
                <w:sz w:val="20"/>
                <w:szCs w:val="20"/>
              </w:rPr>
              <w:t>Xylan</w:t>
            </w:r>
          </w:p>
        </w:tc>
        <w:tc>
          <w:tcPr>
            <w:tcW w:w="292" w:type="dxa"/>
            <w:shd w:val="clear" w:color="auto" w:fill="auto"/>
            <w:noWrap/>
            <w:textDirection w:val="btLr"/>
            <w:hideMark/>
          </w:tcPr>
          <w:p w14:paraId="4B2B1361" w14:textId="77777777" w:rsidR="00C3299F" w:rsidRPr="00C3299F" w:rsidRDefault="00C3299F" w:rsidP="00C3299F">
            <w:pPr>
              <w:pStyle w:val="Table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3299F">
              <w:rPr>
                <w:rFonts w:ascii="Times New Roman" w:eastAsia="Times New Roman" w:hAnsi="Times New Roman" w:cs="Times New Roman"/>
                <w:sz w:val="20"/>
                <w:szCs w:val="20"/>
              </w:rPr>
              <w:t>26.7%</w:t>
            </w:r>
          </w:p>
        </w:tc>
        <w:tc>
          <w:tcPr>
            <w:tcW w:w="246" w:type="dxa"/>
            <w:shd w:val="clear" w:color="auto" w:fill="auto"/>
            <w:noWrap/>
            <w:textDirection w:val="btLr"/>
            <w:hideMark/>
          </w:tcPr>
          <w:p w14:paraId="4E93534B" w14:textId="77777777" w:rsidR="00C3299F" w:rsidRPr="00C3299F" w:rsidRDefault="00C3299F" w:rsidP="00C3299F">
            <w:pPr>
              <w:pStyle w:val="Table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3299F">
              <w:rPr>
                <w:rFonts w:ascii="Times New Roman" w:eastAsia="Times New Roman" w:hAnsi="Times New Roman" w:cs="Times New Roman"/>
                <w:sz w:val="20"/>
                <w:szCs w:val="20"/>
              </w:rPr>
              <w:t>26.0%</w:t>
            </w:r>
          </w:p>
        </w:tc>
        <w:tc>
          <w:tcPr>
            <w:tcW w:w="0" w:type="auto"/>
            <w:shd w:val="clear" w:color="auto" w:fill="auto"/>
            <w:noWrap/>
            <w:textDirection w:val="btLr"/>
            <w:hideMark/>
          </w:tcPr>
          <w:p w14:paraId="04EF4309" w14:textId="77777777" w:rsidR="00C3299F" w:rsidRPr="00C3299F" w:rsidRDefault="00C3299F" w:rsidP="00C3299F">
            <w:pPr>
              <w:pStyle w:val="Table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3299F">
              <w:rPr>
                <w:rFonts w:ascii="Times New Roman" w:eastAsia="Times New Roman" w:hAnsi="Times New Roman" w:cs="Times New Roman"/>
                <w:sz w:val="20"/>
                <w:szCs w:val="20"/>
              </w:rPr>
              <w:t>25.3%</w:t>
            </w:r>
          </w:p>
        </w:tc>
        <w:tc>
          <w:tcPr>
            <w:tcW w:w="0" w:type="auto"/>
            <w:tcBorders>
              <w:right w:val="single" w:sz="4" w:space="0" w:color="auto"/>
            </w:tcBorders>
            <w:shd w:val="clear" w:color="auto" w:fill="auto"/>
            <w:noWrap/>
            <w:textDirection w:val="btLr"/>
            <w:hideMark/>
          </w:tcPr>
          <w:p w14:paraId="69EB5B20" w14:textId="77777777" w:rsidR="00C3299F" w:rsidRPr="00C3299F" w:rsidRDefault="00C3299F" w:rsidP="00C3299F">
            <w:pPr>
              <w:pStyle w:val="Table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3299F">
              <w:rPr>
                <w:rFonts w:ascii="Times New Roman" w:eastAsia="Times New Roman" w:hAnsi="Times New Roman" w:cs="Times New Roman"/>
                <w:sz w:val="20"/>
                <w:szCs w:val="20"/>
              </w:rPr>
              <w:t>26.0%</w:t>
            </w:r>
          </w:p>
        </w:tc>
        <w:tc>
          <w:tcPr>
            <w:tcW w:w="0" w:type="auto"/>
            <w:tcBorders>
              <w:left w:val="single" w:sz="4" w:space="0" w:color="auto"/>
            </w:tcBorders>
            <w:shd w:val="clear" w:color="auto" w:fill="auto"/>
            <w:noWrap/>
            <w:textDirection w:val="btLr"/>
            <w:hideMark/>
          </w:tcPr>
          <w:p w14:paraId="0513D6EF" w14:textId="77777777" w:rsidR="00C3299F" w:rsidRPr="00C3299F" w:rsidRDefault="00C3299F" w:rsidP="00C3299F">
            <w:pPr>
              <w:pStyle w:val="Table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3299F">
              <w:rPr>
                <w:rFonts w:ascii="Times New Roman" w:eastAsia="Times New Roman" w:hAnsi="Times New Roman" w:cs="Times New Roman"/>
                <w:sz w:val="20"/>
                <w:szCs w:val="20"/>
              </w:rPr>
              <w:t>29.2%</w:t>
            </w:r>
          </w:p>
        </w:tc>
        <w:tc>
          <w:tcPr>
            <w:tcW w:w="0" w:type="auto"/>
            <w:shd w:val="clear" w:color="auto" w:fill="auto"/>
            <w:noWrap/>
            <w:textDirection w:val="btLr"/>
            <w:hideMark/>
          </w:tcPr>
          <w:p w14:paraId="65294F69" w14:textId="77777777" w:rsidR="00C3299F" w:rsidRPr="00C3299F" w:rsidRDefault="00C3299F" w:rsidP="00C3299F">
            <w:pPr>
              <w:pStyle w:val="Table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3299F">
              <w:rPr>
                <w:rFonts w:ascii="Times New Roman" w:eastAsia="Times New Roman" w:hAnsi="Times New Roman" w:cs="Times New Roman"/>
                <w:sz w:val="20"/>
                <w:szCs w:val="20"/>
              </w:rPr>
              <w:t>28.4%</w:t>
            </w:r>
          </w:p>
        </w:tc>
        <w:tc>
          <w:tcPr>
            <w:tcW w:w="0" w:type="auto"/>
            <w:shd w:val="clear" w:color="auto" w:fill="auto"/>
            <w:noWrap/>
            <w:textDirection w:val="btLr"/>
            <w:hideMark/>
          </w:tcPr>
          <w:p w14:paraId="7CD85F02" w14:textId="77777777" w:rsidR="00C3299F" w:rsidRPr="00C3299F" w:rsidRDefault="00C3299F" w:rsidP="00C3299F">
            <w:pPr>
              <w:pStyle w:val="Table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3299F">
              <w:rPr>
                <w:rFonts w:ascii="Times New Roman" w:eastAsia="Times New Roman" w:hAnsi="Times New Roman" w:cs="Times New Roman"/>
                <w:sz w:val="20"/>
                <w:szCs w:val="20"/>
              </w:rPr>
              <w:t>28.2%</w:t>
            </w:r>
          </w:p>
        </w:tc>
        <w:tc>
          <w:tcPr>
            <w:tcW w:w="0" w:type="auto"/>
            <w:shd w:val="clear" w:color="auto" w:fill="auto"/>
            <w:noWrap/>
            <w:textDirection w:val="btLr"/>
            <w:hideMark/>
          </w:tcPr>
          <w:p w14:paraId="13C1D733" w14:textId="77777777" w:rsidR="00C3299F" w:rsidRPr="00C3299F" w:rsidRDefault="00C3299F" w:rsidP="00C3299F">
            <w:pPr>
              <w:pStyle w:val="Table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3299F">
              <w:rPr>
                <w:rFonts w:ascii="Times New Roman" w:eastAsia="Times New Roman" w:hAnsi="Times New Roman" w:cs="Times New Roman"/>
                <w:sz w:val="20"/>
                <w:szCs w:val="20"/>
              </w:rPr>
              <w:t>26.3%</w:t>
            </w:r>
          </w:p>
        </w:tc>
      </w:tr>
      <w:tr w:rsidR="00C3299F" w:rsidRPr="00C3299F" w14:paraId="49378DB8" w14:textId="77777777" w:rsidTr="00942005">
        <w:trPr>
          <w:cantSplit/>
          <w:trHeight w:val="739"/>
        </w:trPr>
        <w:tc>
          <w:tcPr>
            <w:cnfStyle w:val="001000000000" w:firstRow="0" w:lastRow="0" w:firstColumn="1" w:lastColumn="0" w:oddVBand="0" w:evenVBand="0" w:oddHBand="0" w:evenHBand="0" w:firstRowFirstColumn="0" w:firstRowLastColumn="0" w:lastRowFirstColumn="0" w:lastRowLastColumn="0"/>
            <w:tcW w:w="568" w:type="dxa"/>
            <w:shd w:val="clear" w:color="auto" w:fill="auto"/>
            <w:noWrap/>
            <w:textDirection w:val="btLr"/>
            <w:vAlign w:val="center"/>
            <w:hideMark/>
          </w:tcPr>
          <w:p w14:paraId="6C7C9EEA" w14:textId="77777777" w:rsidR="00C3299F" w:rsidRPr="00C3299F" w:rsidRDefault="00C3299F" w:rsidP="00942005">
            <w:pPr>
              <w:pStyle w:val="Tables"/>
              <w:jc w:val="center"/>
              <w:rPr>
                <w:rFonts w:ascii="Times New Roman" w:eastAsia="Times New Roman" w:hAnsi="Times New Roman" w:cs="Times New Roman"/>
                <w:sz w:val="20"/>
                <w:szCs w:val="20"/>
              </w:rPr>
            </w:pPr>
            <w:r w:rsidRPr="00C3299F">
              <w:rPr>
                <w:rFonts w:ascii="Times New Roman" w:eastAsia="Times New Roman" w:hAnsi="Times New Roman" w:cs="Times New Roman"/>
                <w:sz w:val="20"/>
                <w:szCs w:val="20"/>
              </w:rPr>
              <w:t>Hemi-cellulose</w:t>
            </w:r>
          </w:p>
        </w:tc>
        <w:tc>
          <w:tcPr>
            <w:tcW w:w="292" w:type="dxa"/>
            <w:shd w:val="clear" w:color="auto" w:fill="auto"/>
            <w:noWrap/>
            <w:textDirection w:val="btLr"/>
            <w:hideMark/>
          </w:tcPr>
          <w:p w14:paraId="03E96CCD" w14:textId="77777777" w:rsidR="00C3299F" w:rsidRPr="00C3299F" w:rsidRDefault="00C3299F" w:rsidP="00C3299F">
            <w:pPr>
              <w:pStyle w:val="Table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3299F">
              <w:rPr>
                <w:rFonts w:ascii="Times New Roman" w:eastAsia="Times New Roman" w:hAnsi="Times New Roman" w:cs="Times New Roman"/>
                <w:sz w:val="20"/>
                <w:szCs w:val="20"/>
              </w:rPr>
              <w:t>30.1%</w:t>
            </w:r>
          </w:p>
        </w:tc>
        <w:tc>
          <w:tcPr>
            <w:tcW w:w="246" w:type="dxa"/>
            <w:shd w:val="clear" w:color="auto" w:fill="auto"/>
            <w:noWrap/>
            <w:textDirection w:val="btLr"/>
            <w:hideMark/>
          </w:tcPr>
          <w:p w14:paraId="2CFFA1CE" w14:textId="77777777" w:rsidR="00C3299F" w:rsidRPr="00C3299F" w:rsidRDefault="00C3299F" w:rsidP="00C3299F">
            <w:pPr>
              <w:pStyle w:val="Table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3299F">
              <w:rPr>
                <w:rFonts w:ascii="Times New Roman" w:eastAsia="Times New Roman" w:hAnsi="Times New Roman" w:cs="Times New Roman"/>
                <w:sz w:val="20"/>
                <w:szCs w:val="20"/>
              </w:rPr>
              <w:t>29.2%</w:t>
            </w:r>
          </w:p>
        </w:tc>
        <w:tc>
          <w:tcPr>
            <w:tcW w:w="0" w:type="auto"/>
            <w:shd w:val="clear" w:color="auto" w:fill="auto"/>
            <w:noWrap/>
            <w:textDirection w:val="btLr"/>
            <w:hideMark/>
          </w:tcPr>
          <w:p w14:paraId="65EF318D" w14:textId="77777777" w:rsidR="00C3299F" w:rsidRPr="00C3299F" w:rsidRDefault="00C3299F" w:rsidP="00C3299F">
            <w:pPr>
              <w:pStyle w:val="Table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3299F">
              <w:rPr>
                <w:rFonts w:ascii="Times New Roman" w:eastAsia="Times New Roman" w:hAnsi="Times New Roman" w:cs="Times New Roman"/>
                <w:sz w:val="20"/>
                <w:szCs w:val="20"/>
              </w:rPr>
              <w:t>29.8%</w:t>
            </w:r>
          </w:p>
        </w:tc>
        <w:tc>
          <w:tcPr>
            <w:tcW w:w="0" w:type="auto"/>
            <w:tcBorders>
              <w:right w:val="single" w:sz="4" w:space="0" w:color="auto"/>
            </w:tcBorders>
            <w:shd w:val="clear" w:color="auto" w:fill="auto"/>
            <w:noWrap/>
            <w:textDirection w:val="btLr"/>
            <w:hideMark/>
          </w:tcPr>
          <w:p w14:paraId="244CE6A2" w14:textId="77777777" w:rsidR="00C3299F" w:rsidRPr="00C3299F" w:rsidRDefault="00C3299F" w:rsidP="00C3299F">
            <w:pPr>
              <w:pStyle w:val="Table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3299F">
              <w:rPr>
                <w:rFonts w:ascii="Times New Roman" w:eastAsia="Times New Roman" w:hAnsi="Times New Roman" w:cs="Times New Roman"/>
                <w:sz w:val="20"/>
                <w:szCs w:val="20"/>
              </w:rPr>
              <w:t>29.7%</w:t>
            </w:r>
          </w:p>
        </w:tc>
        <w:tc>
          <w:tcPr>
            <w:tcW w:w="0" w:type="auto"/>
            <w:tcBorders>
              <w:left w:val="single" w:sz="4" w:space="0" w:color="auto"/>
            </w:tcBorders>
            <w:shd w:val="clear" w:color="auto" w:fill="auto"/>
            <w:noWrap/>
            <w:textDirection w:val="btLr"/>
            <w:hideMark/>
          </w:tcPr>
          <w:p w14:paraId="3538AAB8" w14:textId="77777777" w:rsidR="00C3299F" w:rsidRPr="00C3299F" w:rsidRDefault="00C3299F" w:rsidP="00C3299F">
            <w:pPr>
              <w:pStyle w:val="Table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3299F">
              <w:rPr>
                <w:rFonts w:ascii="Times New Roman" w:eastAsia="Times New Roman" w:hAnsi="Times New Roman" w:cs="Times New Roman"/>
                <w:sz w:val="20"/>
                <w:szCs w:val="20"/>
              </w:rPr>
              <w:t>32.6%</w:t>
            </w:r>
          </w:p>
        </w:tc>
        <w:tc>
          <w:tcPr>
            <w:tcW w:w="0" w:type="auto"/>
            <w:shd w:val="clear" w:color="auto" w:fill="auto"/>
            <w:noWrap/>
            <w:textDirection w:val="btLr"/>
            <w:hideMark/>
          </w:tcPr>
          <w:p w14:paraId="59FA34D3" w14:textId="77777777" w:rsidR="00C3299F" w:rsidRPr="00C3299F" w:rsidRDefault="00C3299F" w:rsidP="00C3299F">
            <w:pPr>
              <w:pStyle w:val="Table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3299F">
              <w:rPr>
                <w:rFonts w:ascii="Times New Roman" w:eastAsia="Times New Roman" w:hAnsi="Times New Roman" w:cs="Times New Roman"/>
                <w:sz w:val="20"/>
                <w:szCs w:val="20"/>
              </w:rPr>
              <w:t>32.4%</w:t>
            </w:r>
          </w:p>
        </w:tc>
        <w:tc>
          <w:tcPr>
            <w:tcW w:w="0" w:type="auto"/>
            <w:shd w:val="clear" w:color="auto" w:fill="auto"/>
            <w:noWrap/>
            <w:textDirection w:val="btLr"/>
            <w:hideMark/>
          </w:tcPr>
          <w:p w14:paraId="6EC976A4" w14:textId="77777777" w:rsidR="00C3299F" w:rsidRPr="00C3299F" w:rsidRDefault="00C3299F" w:rsidP="00C3299F">
            <w:pPr>
              <w:pStyle w:val="Table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3299F">
              <w:rPr>
                <w:rFonts w:ascii="Times New Roman" w:eastAsia="Times New Roman" w:hAnsi="Times New Roman" w:cs="Times New Roman"/>
                <w:sz w:val="20"/>
                <w:szCs w:val="20"/>
              </w:rPr>
              <w:t>32.7%</w:t>
            </w:r>
          </w:p>
        </w:tc>
        <w:tc>
          <w:tcPr>
            <w:tcW w:w="0" w:type="auto"/>
            <w:shd w:val="clear" w:color="auto" w:fill="auto"/>
            <w:noWrap/>
            <w:textDirection w:val="btLr"/>
            <w:hideMark/>
          </w:tcPr>
          <w:p w14:paraId="41D95250" w14:textId="77777777" w:rsidR="00C3299F" w:rsidRPr="00C3299F" w:rsidRDefault="00C3299F" w:rsidP="00C3299F">
            <w:pPr>
              <w:pStyle w:val="Table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3299F">
              <w:rPr>
                <w:rFonts w:ascii="Times New Roman" w:eastAsia="Times New Roman" w:hAnsi="Times New Roman" w:cs="Times New Roman"/>
                <w:sz w:val="20"/>
                <w:szCs w:val="20"/>
              </w:rPr>
              <w:t>30.0%</w:t>
            </w:r>
          </w:p>
        </w:tc>
      </w:tr>
      <w:tr w:rsidR="00C3299F" w:rsidRPr="00C3299F" w14:paraId="60D15E50" w14:textId="77777777" w:rsidTr="00942005">
        <w:trPr>
          <w:cnfStyle w:val="000000100000" w:firstRow="0" w:lastRow="0" w:firstColumn="0" w:lastColumn="0" w:oddVBand="0" w:evenVBand="0" w:oddHBand="1" w:evenHBand="0" w:firstRowFirstColumn="0" w:firstRowLastColumn="0" w:lastRowFirstColumn="0" w:lastRowLastColumn="0"/>
          <w:cantSplit/>
          <w:trHeight w:val="793"/>
        </w:trPr>
        <w:tc>
          <w:tcPr>
            <w:cnfStyle w:val="001000000000" w:firstRow="0" w:lastRow="0" w:firstColumn="1" w:lastColumn="0" w:oddVBand="0" w:evenVBand="0" w:oddHBand="0" w:evenHBand="0" w:firstRowFirstColumn="0" w:firstRowLastColumn="0" w:lastRowFirstColumn="0" w:lastRowLastColumn="0"/>
            <w:tcW w:w="568" w:type="dxa"/>
            <w:shd w:val="clear" w:color="auto" w:fill="auto"/>
            <w:noWrap/>
            <w:textDirection w:val="btLr"/>
            <w:vAlign w:val="center"/>
            <w:hideMark/>
          </w:tcPr>
          <w:p w14:paraId="2D3B893D" w14:textId="77777777" w:rsidR="00C3299F" w:rsidRPr="00C3299F" w:rsidRDefault="00C3299F" w:rsidP="00942005">
            <w:pPr>
              <w:pStyle w:val="Tables"/>
              <w:jc w:val="center"/>
              <w:rPr>
                <w:rFonts w:ascii="Times New Roman" w:eastAsia="Times New Roman" w:hAnsi="Times New Roman" w:cs="Times New Roman"/>
                <w:sz w:val="20"/>
                <w:szCs w:val="20"/>
              </w:rPr>
            </w:pPr>
            <w:r w:rsidRPr="00C3299F">
              <w:rPr>
                <w:rFonts w:ascii="Times New Roman" w:eastAsia="Times New Roman" w:hAnsi="Times New Roman" w:cs="Times New Roman"/>
                <w:sz w:val="20"/>
                <w:szCs w:val="20"/>
              </w:rPr>
              <w:t>Cellulose</w:t>
            </w:r>
          </w:p>
        </w:tc>
        <w:tc>
          <w:tcPr>
            <w:tcW w:w="292" w:type="dxa"/>
            <w:shd w:val="clear" w:color="auto" w:fill="auto"/>
            <w:noWrap/>
            <w:textDirection w:val="btLr"/>
            <w:hideMark/>
          </w:tcPr>
          <w:p w14:paraId="600CA447" w14:textId="77777777" w:rsidR="00C3299F" w:rsidRPr="00C3299F" w:rsidRDefault="00C3299F" w:rsidP="00C3299F">
            <w:pPr>
              <w:pStyle w:val="Table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3299F">
              <w:rPr>
                <w:rFonts w:ascii="Times New Roman" w:eastAsia="Times New Roman" w:hAnsi="Times New Roman" w:cs="Times New Roman"/>
                <w:sz w:val="20"/>
                <w:szCs w:val="20"/>
              </w:rPr>
              <w:t>38.2%</w:t>
            </w:r>
          </w:p>
        </w:tc>
        <w:tc>
          <w:tcPr>
            <w:tcW w:w="246" w:type="dxa"/>
            <w:shd w:val="clear" w:color="auto" w:fill="auto"/>
            <w:noWrap/>
            <w:textDirection w:val="btLr"/>
            <w:hideMark/>
          </w:tcPr>
          <w:p w14:paraId="60071DB2" w14:textId="77777777" w:rsidR="00C3299F" w:rsidRPr="00C3299F" w:rsidRDefault="00C3299F" w:rsidP="00C3299F">
            <w:pPr>
              <w:pStyle w:val="Table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3299F">
              <w:rPr>
                <w:rFonts w:ascii="Times New Roman" w:eastAsia="Times New Roman" w:hAnsi="Times New Roman" w:cs="Times New Roman"/>
                <w:sz w:val="20"/>
                <w:szCs w:val="20"/>
              </w:rPr>
              <w:t>38.5%</w:t>
            </w:r>
          </w:p>
        </w:tc>
        <w:tc>
          <w:tcPr>
            <w:tcW w:w="0" w:type="auto"/>
            <w:shd w:val="clear" w:color="auto" w:fill="auto"/>
            <w:noWrap/>
            <w:textDirection w:val="btLr"/>
            <w:hideMark/>
          </w:tcPr>
          <w:p w14:paraId="0C0B10B5" w14:textId="77777777" w:rsidR="00C3299F" w:rsidRPr="00C3299F" w:rsidRDefault="00C3299F" w:rsidP="00C3299F">
            <w:pPr>
              <w:pStyle w:val="Table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3299F">
              <w:rPr>
                <w:rFonts w:ascii="Times New Roman" w:eastAsia="Times New Roman" w:hAnsi="Times New Roman" w:cs="Times New Roman"/>
                <w:sz w:val="20"/>
                <w:szCs w:val="20"/>
              </w:rPr>
              <w:t>38.8%</w:t>
            </w:r>
          </w:p>
        </w:tc>
        <w:tc>
          <w:tcPr>
            <w:tcW w:w="0" w:type="auto"/>
            <w:tcBorders>
              <w:right w:val="single" w:sz="4" w:space="0" w:color="auto"/>
            </w:tcBorders>
            <w:shd w:val="clear" w:color="auto" w:fill="auto"/>
            <w:noWrap/>
            <w:textDirection w:val="btLr"/>
            <w:hideMark/>
          </w:tcPr>
          <w:p w14:paraId="1F8C9778" w14:textId="77777777" w:rsidR="00C3299F" w:rsidRPr="00C3299F" w:rsidRDefault="00C3299F" w:rsidP="00C3299F">
            <w:pPr>
              <w:pStyle w:val="Table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3299F">
              <w:rPr>
                <w:rFonts w:ascii="Times New Roman" w:eastAsia="Times New Roman" w:hAnsi="Times New Roman" w:cs="Times New Roman"/>
                <w:sz w:val="20"/>
                <w:szCs w:val="20"/>
              </w:rPr>
              <w:t>40.3%</w:t>
            </w:r>
          </w:p>
        </w:tc>
        <w:tc>
          <w:tcPr>
            <w:tcW w:w="0" w:type="auto"/>
            <w:tcBorders>
              <w:left w:val="single" w:sz="4" w:space="0" w:color="auto"/>
            </w:tcBorders>
            <w:shd w:val="clear" w:color="auto" w:fill="auto"/>
            <w:noWrap/>
            <w:textDirection w:val="btLr"/>
            <w:hideMark/>
          </w:tcPr>
          <w:p w14:paraId="6F9B9468" w14:textId="77777777" w:rsidR="00C3299F" w:rsidRPr="00C3299F" w:rsidRDefault="00C3299F" w:rsidP="00C3299F">
            <w:pPr>
              <w:pStyle w:val="Table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3299F">
              <w:rPr>
                <w:rFonts w:ascii="Times New Roman" w:eastAsia="Times New Roman" w:hAnsi="Times New Roman" w:cs="Times New Roman"/>
                <w:sz w:val="20"/>
                <w:szCs w:val="20"/>
              </w:rPr>
              <w:t>40.8%</w:t>
            </w:r>
          </w:p>
        </w:tc>
        <w:tc>
          <w:tcPr>
            <w:tcW w:w="0" w:type="auto"/>
            <w:shd w:val="clear" w:color="auto" w:fill="auto"/>
            <w:noWrap/>
            <w:textDirection w:val="btLr"/>
            <w:hideMark/>
          </w:tcPr>
          <w:p w14:paraId="3E99545D" w14:textId="77777777" w:rsidR="00C3299F" w:rsidRPr="00C3299F" w:rsidRDefault="00C3299F" w:rsidP="00C3299F">
            <w:pPr>
              <w:pStyle w:val="Table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3299F">
              <w:rPr>
                <w:rFonts w:ascii="Times New Roman" w:eastAsia="Times New Roman" w:hAnsi="Times New Roman" w:cs="Times New Roman"/>
                <w:sz w:val="20"/>
                <w:szCs w:val="20"/>
              </w:rPr>
              <w:t>40.7%</w:t>
            </w:r>
          </w:p>
        </w:tc>
        <w:tc>
          <w:tcPr>
            <w:tcW w:w="0" w:type="auto"/>
            <w:shd w:val="clear" w:color="auto" w:fill="auto"/>
            <w:noWrap/>
            <w:textDirection w:val="btLr"/>
            <w:hideMark/>
          </w:tcPr>
          <w:p w14:paraId="1B4653EC" w14:textId="77777777" w:rsidR="00C3299F" w:rsidRPr="00C3299F" w:rsidRDefault="00C3299F" w:rsidP="00C3299F">
            <w:pPr>
              <w:pStyle w:val="Table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3299F">
              <w:rPr>
                <w:rFonts w:ascii="Times New Roman" w:eastAsia="Times New Roman" w:hAnsi="Times New Roman" w:cs="Times New Roman"/>
                <w:sz w:val="20"/>
                <w:szCs w:val="20"/>
              </w:rPr>
              <w:t>40.1%</w:t>
            </w:r>
          </w:p>
        </w:tc>
        <w:tc>
          <w:tcPr>
            <w:tcW w:w="0" w:type="auto"/>
            <w:shd w:val="clear" w:color="auto" w:fill="auto"/>
            <w:noWrap/>
            <w:textDirection w:val="btLr"/>
            <w:hideMark/>
          </w:tcPr>
          <w:p w14:paraId="740E39EE" w14:textId="77777777" w:rsidR="00C3299F" w:rsidRPr="00C3299F" w:rsidRDefault="00C3299F" w:rsidP="00C3299F">
            <w:pPr>
              <w:pStyle w:val="Table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3299F">
              <w:rPr>
                <w:rFonts w:ascii="Times New Roman" w:eastAsia="Times New Roman" w:hAnsi="Times New Roman" w:cs="Times New Roman"/>
                <w:sz w:val="20"/>
                <w:szCs w:val="20"/>
              </w:rPr>
              <w:t>37.6%</w:t>
            </w:r>
          </w:p>
        </w:tc>
      </w:tr>
      <w:tr w:rsidR="00C3299F" w:rsidRPr="00C3299F" w14:paraId="51AFC637" w14:textId="77777777" w:rsidTr="00942005">
        <w:trPr>
          <w:cantSplit/>
          <w:trHeight w:val="919"/>
        </w:trPr>
        <w:tc>
          <w:tcPr>
            <w:cnfStyle w:val="001000000000" w:firstRow="0" w:lastRow="0" w:firstColumn="1" w:lastColumn="0" w:oddVBand="0" w:evenVBand="0" w:oddHBand="0" w:evenHBand="0" w:firstRowFirstColumn="0" w:firstRowLastColumn="0" w:lastRowFirstColumn="0" w:lastRowLastColumn="0"/>
            <w:tcW w:w="568" w:type="dxa"/>
            <w:shd w:val="clear" w:color="auto" w:fill="auto"/>
            <w:noWrap/>
            <w:textDirection w:val="btLr"/>
            <w:vAlign w:val="center"/>
            <w:hideMark/>
          </w:tcPr>
          <w:p w14:paraId="5EBE9930" w14:textId="77777777" w:rsidR="00C3299F" w:rsidRPr="00C3299F" w:rsidRDefault="00C3299F" w:rsidP="00942005">
            <w:pPr>
              <w:pStyle w:val="Tables"/>
              <w:jc w:val="center"/>
              <w:rPr>
                <w:rFonts w:ascii="Times New Roman" w:eastAsia="Times New Roman" w:hAnsi="Times New Roman" w:cs="Times New Roman"/>
                <w:sz w:val="20"/>
                <w:szCs w:val="20"/>
              </w:rPr>
            </w:pPr>
            <w:r w:rsidRPr="00C3299F">
              <w:rPr>
                <w:rFonts w:ascii="Times New Roman" w:eastAsia="Times New Roman" w:hAnsi="Times New Roman" w:cs="Times New Roman"/>
                <w:sz w:val="20"/>
                <w:szCs w:val="20"/>
              </w:rPr>
              <w:t>Total Carbohyd.</w:t>
            </w:r>
          </w:p>
        </w:tc>
        <w:tc>
          <w:tcPr>
            <w:tcW w:w="292" w:type="dxa"/>
            <w:shd w:val="clear" w:color="auto" w:fill="auto"/>
            <w:noWrap/>
            <w:textDirection w:val="btLr"/>
            <w:hideMark/>
          </w:tcPr>
          <w:p w14:paraId="5107B029" w14:textId="77777777" w:rsidR="00C3299F" w:rsidRPr="00C3299F" w:rsidRDefault="00C3299F" w:rsidP="00C3299F">
            <w:pPr>
              <w:pStyle w:val="Table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3299F">
              <w:rPr>
                <w:rFonts w:ascii="Times New Roman" w:eastAsia="Times New Roman" w:hAnsi="Times New Roman" w:cs="Times New Roman"/>
                <w:sz w:val="20"/>
                <w:szCs w:val="20"/>
              </w:rPr>
              <w:t>68.3%</w:t>
            </w:r>
          </w:p>
        </w:tc>
        <w:tc>
          <w:tcPr>
            <w:tcW w:w="246" w:type="dxa"/>
            <w:shd w:val="clear" w:color="auto" w:fill="auto"/>
            <w:noWrap/>
            <w:textDirection w:val="btLr"/>
            <w:hideMark/>
          </w:tcPr>
          <w:p w14:paraId="2EFDFA0D" w14:textId="77777777" w:rsidR="00C3299F" w:rsidRPr="00C3299F" w:rsidRDefault="00C3299F" w:rsidP="00C3299F">
            <w:pPr>
              <w:pStyle w:val="Table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3299F">
              <w:rPr>
                <w:rFonts w:ascii="Times New Roman" w:eastAsia="Times New Roman" w:hAnsi="Times New Roman" w:cs="Times New Roman"/>
                <w:sz w:val="20"/>
                <w:szCs w:val="20"/>
              </w:rPr>
              <w:t>67.7%</w:t>
            </w:r>
          </w:p>
        </w:tc>
        <w:tc>
          <w:tcPr>
            <w:tcW w:w="0" w:type="auto"/>
            <w:shd w:val="clear" w:color="auto" w:fill="auto"/>
            <w:noWrap/>
            <w:textDirection w:val="btLr"/>
            <w:hideMark/>
          </w:tcPr>
          <w:p w14:paraId="606E8070" w14:textId="77777777" w:rsidR="00C3299F" w:rsidRPr="00C3299F" w:rsidRDefault="00C3299F" w:rsidP="00C3299F">
            <w:pPr>
              <w:pStyle w:val="Table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3299F">
              <w:rPr>
                <w:rFonts w:ascii="Times New Roman" w:eastAsia="Times New Roman" w:hAnsi="Times New Roman" w:cs="Times New Roman"/>
                <w:sz w:val="20"/>
                <w:szCs w:val="20"/>
              </w:rPr>
              <w:t>68.6%</w:t>
            </w:r>
          </w:p>
        </w:tc>
        <w:tc>
          <w:tcPr>
            <w:tcW w:w="0" w:type="auto"/>
            <w:tcBorders>
              <w:right w:val="single" w:sz="4" w:space="0" w:color="auto"/>
            </w:tcBorders>
            <w:shd w:val="clear" w:color="auto" w:fill="auto"/>
            <w:noWrap/>
            <w:textDirection w:val="btLr"/>
            <w:hideMark/>
          </w:tcPr>
          <w:p w14:paraId="0A423FFA" w14:textId="77777777" w:rsidR="00C3299F" w:rsidRPr="00C3299F" w:rsidRDefault="00C3299F" w:rsidP="00C3299F">
            <w:pPr>
              <w:pStyle w:val="Table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3299F">
              <w:rPr>
                <w:rFonts w:ascii="Times New Roman" w:eastAsia="Times New Roman" w:hAnsi="Times New Roman" w:cs="Times New Roman"/>
                <w:sz w:val="20"/>
                <w:szCs w:val="20"/>
              </w:rPr>
              <w:t>70.0%</w:t>
            </w:r>
          </w:p>
        </w:tc>
        <w:tc>
          <w:tcPr>
            <w:tcW w:w="0" w:type="auto"/>
            <w:tcBorders>
              <w:left w:val="single" w:sz="4" w:space="0" w:color="auto"/>
            </w:tcBorders>
            <w:shd w:val="clear" w:color="auto" w:fill="auto"/>
            <w:noWrap/>
            <w:textDirection w:val="btLr"/>
            <w:hideMark/>
          </w:tcPr>
          <w:p w14:paraId="2A9D13E4" w14:textId="77777777" w:rsidR="00C3299F" w:rsidRPr="00C3299F" w:rsidRDefault="00C3299F" w:rsidP="00C3299F">
            <w:pPr>
              <w:pStyle w:val="Table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3299F">
              <w:rPr>
                <w:rFonts w:ascii="Times New Roman" w:eastAsia="Times New Roman" w:hAnsi="Times New Roman" w:cs="Times New Roman"/>
                <w:sz w:val="20"/>
                <w:szCs w:val="20"/>
              </w:rPr>
              <w:t>73.4%</w:t>
            </w:r>
          </w:p>
        </w:tc>
        <w:tc>
          <w:tcPr>
            <w:tcW w:w="0" w:type="auto"/>
            <w:shd w:val="clear" w:color="auto" w:fill="auto"/>
            <w:noWrap/>
            <w:textDirection w:val="btLr"/>
            <w:hideMark/>
          </w:tcPr>
          <w:p w14:paraId="6710E2E6" w14:textId="77777777" w:rsidR="00C3299F" w:rsidRPr="00C3299F" w:rsidRDefault="00C3299F" w:rsidP="00C3299F">
            <w:pPr>
              <w:pStyle w:val="Table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3299F">
              <w:rPr>
                <w:rFonts w:ascii="Times New Roman" w:eastAsia="Times New Roman" w:hAnsi="Times New Roman" w:cs="Times New Roman"/>
                <w:sz w:val="20"/>
                <w:szCs w:val="20"/>
              </w:rPr>
              <w:t>73.1%</w:t>
            </w:r>
          </w:p>
        </w:tc>
        <w:tc>
          <w:tcPr>
            <w:tcW w:w="0" w:type="auto"/>
            <w:shd w:val="clear" w:color="auto" w:fill="auto"/>
            <w:noWrap/>
            <w:textDirection w:val="btLr"/>
            <w:hideMark/>
          </w:tcPr>
          <w:p w14:paraId="0DDD7FED" w14:textId="77777777" w:rsidR="00C3299F" w:rsidRPr="00C3299F" w:rsidRDefault="00C3299F" w:rsidP="00C3299F">
            <w:pPr>
              <w:pStyle w:val="Table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3299F">
              <w:rPr>
                <w:rFonts w:ascii="Times New Roman" w:eastAsia="Times New Roman" w:hAnsi="Times New Roman" w:cs="Times New Roman"/>
                <w:sz w:val="20"/>
                <w:szCs w:val="20"/>
              </w:rPr>
              <w:t>72.7%</w:t>
            </w:r>
          </w:p>
        </w:tc>
        <w:tc>
          <w:tcPr>
            <w:tcW w:w="0" w:type="auto"/>
            <w:shd w:val="clear" w:color="auto" w:fill="auto"/>
            <w:noWrap/>
            <w:textDirection w:val="btLr"/>
            <w:hideMark/>
          </w:tcPr>
          <w:p w14:paraId="05816FEF" w14:textId="77777777" w:rsidR="00C3299F" w:rsidRPr="00C3299F" w:rsidRDefault="00C3299F" w:rsidP="00C3299F">
            <w:pPr>
              <w:pStyle w:val="Table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3299F">
              <w:rPr>
                <w:rFonts w:ascii="Times New Roman" w:eastAsia="Times New Roman" w:hAnsi="Times New Roman" w:cs="Times New Roman"/>
                <w:sz w:val="20"/>
                <w:szCs w:val="20"/>
              </w:rPr>
              <w:t>67.6%</w:t>
            </w:r>
          </w:p>
        </w:tc>
      </w:tr>
      <w:tr w:rsidR="00C3299F" w:rsidRPr="00C3299F" w14:paraId="4D1A6F47" w14:textId="77777777" w:rsidTr="00942005">
        <w:trPr>
          <w:cnfStyle w:val="000000100000" w:firstRow="0" w:lastRow="0" w:firstColumn="0" w:lastColumn="0" w:oddVBand="0" w:evenVBand="0" w:oddHBand="1" w:evenHBand="0" w:firstRowFirstColumn="0" w:firstRowLastColumn="0" w:lastRowFirstColumn="0" w:lastRowLastColumn="0"/>
          <w:cantSplit/>
          <w:trHeight w:val="550"/>
        </w:trPr>
        <w:tc>
          <w:tcPr>
            <w:cnfStyle w:val="001000000000" w:firstRow="0" w:lastRow="0" w:firstColumn="1" w:lastColumn="0" w:oddVBand="0" w:evenVBand="0" w:oddHBand="0" w:evenHBand="0" w:firstRowFirstColumn="0" w:firstRowLastColumn="0" w:lastRowFirstColumn="0" w:lastRowLastColumn="0"/>
            <w:tcW w:w="568" w:type="dxa"/>
            <w:shd w:val="clear" w:color="auto" w:fill="auto"/>
            <w:noWrap/>
            <w:textDirection w:val="btLr"/>
            <w:vAlign w:val="center"/>
            <w:hideMark/>
          </w:tcPr>
          <w:p w14:paraId="37952243" w14:textId="77777777" w:rsidR="00C3299F" w:rsidRPr="00C3299F" w:rsidRDefault="00C3299F" w:rsidP="00942005">
            <w:pPr>
              <w:pStyle w:val="Tables"/>
              <w:jc w:val="center"/>
              <w:rPr>
                <w:rFonts w:ascii="Times New Roman" w:eastAsia="Times New Roman" w:hAnsi="Times New Roman" w:cs="Times New Roman"/>
                <w:sz w:val="20"/>
                <w:szCs w:val="20"/>
              </w:rPr>
            </w:pPr>
            <w:r w:rsidRPr="00C3299F">
              <w:rPr>
                <w:rFonts w:ascii="Times New Roman" w:eastAsia="Times New Roman" w:hAnsi="Times New Roman" w:cs="Times New Roman"/>
                <w:sz w:val="20"/>
                <w:szCs w:val="20"/>
              </w:rPr>
              <w:t>Acetyl</w:t>
            </w:r>
          </w:p>
        </w:tc>
        <w:tc>
          <w:tcPr>
            <w:tcW w:w="292" w:type="dxa"/>
            <w:shd w:val="clear" w:color="auto" w:fill="auto"/>
            <w:noWrap/>
            <w:textDirection w:val="btLr"/>
            <w:hideMark/>
          </w:tcPr>
          <w:p w14:paraId="6F5029DF" w14:textId="77777777" w:rsidR="00C3299F" w:rsidRPr="00C3299F" w:rsidRDefault="00C3299F" w:rsidP="00C3299F">
            <w:pPr>
              <w:pStyle w:val="Table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3299F">
              <w:rPr>
                <w:rFonts w:ascii="Times New Roman" w:eastAsia="Times New Roman" w:hAnsi="Times New Roman" w:cs="Times New Roman"/>
                <w:sz w:val="20"/>
                <w:szCs w:val="20"/>
              </w:rPr>
              <w:t>4.6%</w:t>
            </w:r>
          </w:p>
        </w:tc>
        <w:tc>
          <w:tcPr>
            <w:tcW w:w="246" w:type="dxa"/>
            <w:shd w:val="clear" w:color="auto" w:fill="auto"/>
            <w:noWrap/>
            <w:textDirection w:val="btLr"/>
            <w:hideMark/>
          </w:tcPr>
          <w:p w14:paraId="71633F6D" w14:textId="77777777" w:rsidR="00C3299F" w:rsidRPr="00C3299F" w:rsidRDefault="00C3299F" w:rsidP="00C3299F">
            <w:pPr>
              <w:pStyle w:val="Table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3299F">
              <w:rPr>
                <w:rFonts w:ascii="Times New Roman" w:eastAsia="Times New Roman" w:hAnsi="Times New Roman" w:cs="Times New Roman"/>
                <w:sz w:val="20"/>
                <w:szCs w:val="20"/>
              </w:rPr>
              <w:t>4.7%</w:t>
            </w:r>
          </w:p>
        </w:tc>
        <w:tc>
          <w:tcPr>
            <w:tcW w:w="0" w:type="auto"/>
            <w:shd w:val="clear" w:color="auto" w:fill="auto"/>
            <w:noWrap/>
            <w:textDirection w:val="btLr"/>
            <w:hideMark/>
          </w:tcPr>
          <w:p w14:paraId="07853CB3" w14:textId="77777777" w:rsidR="00C3299F" w:rsidRPr="00C3299F" w:rsidRDefault="00C3299F" w:rsidP="00C3299F">
            <w:pPr>
              <w:pStyle w:val="Table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3299F">
              <w:rPr>
                <w:rFonts w:ascii="Times New Roman" w:eastAsia="Times New Roman" w:hAnsi="Times New Roman" w:cs="Times New Roman"/>
                <w:sz w:val="20"/>
                <w:szCs w:val="20"/>
              </w:rPr>
              <w:t>4.4%</w:t>
            </w:r>
          </w:p>
        </w:tc>
        <w:tc>
          <w:tcPr>
            <w:tcW w:w="0" w:type="auto"/>
            <w:tcBorders>
              <w:right w:val="single" w:sz="4" w:space="0" w:color="auto"/>
            </w:tcBorders>
            <w:shd w:val="clear" w:color="auto" w:fill="auto"/>
            <w:noWrap/>
            <w:textDirection w:val="btLr"/>
            <w:hideMark/>
          </w:tcPr>
          <w:p w14:paraId="1D765B7F" w14:textId="77777777" w:rsidR="00C3299F" w:rsidRPr="00C3299F" w:rsidRDefault="00C3299F" w:rsidP="00C3299F">
            <w:pPr>
              <w:pStyle w:val="Table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3299F">
              <w:rPr>
                <w:rFonts w:ascii="Times New Roman" w:eastAsia="Times New Roman" w:hAnsi="Times New Roman" w:cs="Times New Roman"/>
                <w:sz w:val="20"/>
                <w:szCs w:val="20"/>
              </w:rPr>
              <w:t>4.5%</w:t>
            </w:r>
          </w:p>
        </w:tc>
        <w:tc>
          <w:tcPr>
            <w:tcW w:w="0" w:type="auto"/>
            <w:tcBorders>
              <w:left w:val="single" w:sz="4" w:space="0" w:color="auto"/>
            </w:tcBorders>
            <w:shd w:val="clear" w:color="auto" w:fill="auto"/>
            <w:noWrap/>
            <w:textDirection w:val="btLr"/>
            <w:hideMark/>
          </w:tcPr>
          <w:p w14:paraId="60A0E104" w14:textId="77777777" w:rsidR="00C3299F" w:rsidRPr="00C3299F" w:rsidRDefault="00C3299F" w:rsidP="00C3299F">
            <w:pPr>
              <w:pStyle w:val="Table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3299F">
              <w:rPr>
                <w:rFonts w:ascii="Times New Roman" w:eastAsia="Times New Roman" w:hAnsi="Times New Roman" w:cs="Times New Roman"/>
                <w:sz w:val="20"/>
                <w:szCs w:val="20"/>
              </w:rPr>
              <w:t>4.7%</w:t>
            </w:r>
          </w:p>
        </w:tc>
        <w:tc>
          <w:tcPr>
            <w:tcW w:w="0" w:type="auto"/>
            <w:shd w:val="clear" w:color="auto" w:fill="auto"/>
            <w:noWrap/>
            <w:textDirection w:val="btLr"/>
            <w:hideMark/>
          </w:tcPr>
          <w:p w14:paraId="16E5340B" w14:textId="77777777" w:rsidR="00C3299F" w:rsidRPr="00C3299F" w:rsidRDefault="00C3299F" w:rsidP="00C3299F">
            <w:pPr>
              <w:pStyle w:val="Table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3299F">
              <w:rPr>
                <w:rFonts w:ascii="Times New Roman" w:eastAsia="Times New Roman" w:hAnsi="Times New Roman" w:cs="Times New Roman"/>
                <w:sz w:val="20"/>
                <w:szCs w:val="20"/>
              </w:rPr>
              <w:t>4.8%</w:t>
            </w:r>
          </w:p>
        </w:tc>
        <w:tc>
          <w:tcPr>
            <w:tcW w:w="0" w:type="auto"/>
            <w:shd w:val="clear" w:color="auto" w:fill="auto"/>
            <w:noWrap/>
            <w:textDirection w:val="btLr"/>
            <w:hideMark/>
          </w:tcPr>
          <w:p w14:paraId="720A3873" w14:textId="77777777" w:rsidR="00C3299F" w:rsidRPr="00C3299F" w:rsidRDefault="00C3299F" w:rsidP="00C3299F">
            <w:pPr>
              <w:pStyle w:val="Table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3299F">
              <w:rPr>
                <w:rFonts w:ascii="Times New Roman" w:eastAsia="Times New Roman" w:hAnsi="Times New Roman" w:cs="Times New Roman"/>
                <w:sz w:val="20"/>
                <w:szCs w:val="20"/>
              </w:rPr>
              <w:t>5.0%</w:t>
            </w:r>
          </w:p>
        </w:tc>
        <w:tc>
          <w:tcPr>
            <w:tcW w:w="0" w:type="auto"/>
            <w:shd w:val="clear" w:color="auto" w:fill="auto"/>
            <w:noWrap/>
            <w:textDirection w:val="btLr"/>
            <w:hideMark/>
          </w:tcPr>
          <w:p w14:paraId="0D24854C" w14:textId="77777777" w:rsidR="00C3299F" w:rsidRPr="00C3299F" w:rsidRDefault="00C3299F" w:rsidP="00C3299F">
            <w:pPr>
              <w:pStyle w:val="Table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3299F">
              <w:rPr>
                <w:rFonts w:ascii="Times New Roman" w:eastAsia="Times New Roman" w:hAnsi="Times New Roman" w:cs="Times New Roman"/>
                <w:sz w:val="20"/>
                <w:szCs w:val="20"/>
              </w:rPr>
              <w:t>4.7%</w:t>
            </w:r>
          </w:p>
        </w:tc>
      </w:tr>
      <w:tr w:rsidR="00C3299F" w:rsidRPr="00C3299F" w14:paraId="69E69EFC" w14:textId="77777777" w:rsidTr="00942005">
        <w:trPr>
          <w:cantSplit/>
          <w:trHeight w:val="577"/>
        </w:trPr>
        <w:tc>
          <w:tcPr>
            <w:cnfStyle w:val="001000000000" w:firstRow="0" w:lastRow="0" w:firstColumn="1" w:lastColumn="0" w:oddVBand="0" w:evenVBand="0" w:oddHBand="0" w:evenHBand="0" w:firstRowFirstColumn="0" w:firstRowLastColumn="0" w:lastRowFirstColumn="0" w:lastRowLastColumn="0"/>
            <w:tcW w:w="568" w:type="dxa"/>
            <w:shd w:val="clear" w:color="auto" w:fill="auto"/>
            <w:noWrap/>
            <w:textDirection w:val="btLr"/>
            <w:vAlign w:val="center"/>
            <w:hideMark/>
          </w:tcPr>
          <w:p w14:paraId="4F3A39A6" w14:textId="77777777" w:rsidR="00C3299F" w:rsidRPr="00C3299F" w:rsidRDefault="00C3299F" w:rsidP="00942005">
            <w:pPr>
              <w:pStyle w:val="Tables"/>
              <w:jc w:val="center"/>
              <w:rPr>
                <w:rFonts w:ascii="Times New Roman" w:eastAsia="Times New Roman" w:hAnsi="Times New Roman" w:cs="Times New Roman"/>
                <w:sz w:val="20"/>
                <w:szCs w:val="20"/>
              </w:rPr>
            </w:pPr>
            <w:r w:rsidRPr="00C3299F">
              <w:rPr>
                <w:rFonts w:ascii="Times New Roman" w:eastAsia="Times New Roman" w:hAnsi="Times New Roman" w:cs="Times New Roman"/>
                <w:sz w:val="20"/>
                <w:szCs w:val="20"/>
              </w:rPr>
              <w:t>Lignin</w:t>
            </w:r>
          </w:p>
        </w:tc>
        <w:tc>
          <w:tcPr>
            <w:tcW w:w="292" w:type="dxa"/>
            <w:shd w:val="clear" w:color="auto" w:fill="auto"/>
            <w:noWrap/>
            <w:textDirection w:val="btLr"/>
            <w:hideMark/>
          </w:tcPr>
          <w:p w14:paraId="07C28780" w14:textId="77777777" w:rsidR="00C3299F" w:rsidRPr="00C3299F" w:rsidRDefault="00C3299F" w:rsidP="00C3299F">
            <w:pPr>
              <w:pStyle w:val="Table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3299F">
              <w:rPr>
                <w:rFonts w:ascii="Times New Roman" w:eastAsia="Times New Roman" w:hAnsi="Times New Roman" w:cs="Times New Roman"/>
                <w:sz w:val="20"/>
                <w:szCs w:val="20"/>
              </w:rPr>
              <w:t>22.0%</w:t>
            </w:r>
          </w:p>
        </w:tc>
        <w:tc>
          <w:tcPr>
            <w:tcW w:w="246" w:type="dxa"/>
            <w:shd w:val="clear" w:color="auto" w:fill="auto"/>
            <w:noWrap/>
            <w:textDirection w:val="btLr"/>
            <w:hideMark/>
          </w:tcPr>
          <w:p w14:paraId="4CD4E615" w14:textId="77777777" w:rsidR="00C3299F" w:rsidRPr="00C3299F" w:rsidRDefault="00C3299F" w:rsidP="00C3299F">
            <w:pPr>
              <w:pStyle w:val="Table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3299F">
              <w:rPr>
                <w:rFonts w:ascii="Times New Roman" w:eastAsia="Times New Roman" w:hAnsi="Times New Roman" w:cs="Times New Roman"/>
                <w:sz w:val="20"/>
                <w:szCs w:val="20"/>
              </w:rPr>
              <w:t>22.1%</w:t>
            </w:r>
          </w:p>
        </w:tc>
        <w:tc>
          <w:tcPr>
            <w:tcW w:w="0" w:type="auto"/>
            <w:shd w:val="clear" w:color="auto" w:fill="auto"/>
            <w:noWrap/>
            <w:textDirection w:val="btLr"/>
            <w:hideMark/>
          </w:tcPr>
          <w:p w14:paraId="1E8B9064" w14:textId="77777777" w:rsidR="00C3299F" w:rsidRPr="00C3299F" w:rsidRDefault="00C3299F" w:rsidP="00C3299F">
            <w:pPr>
              <w:pStyle w:val="Table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3299F">
              <w:rPr>
                <w:rFonts w:ascii="Times New Roman" w:eastAsia="Times New Roman" w:hAnsi="Times New Roman" w:cs="Times New Roman"/>
                <w:sz w:val="20"/>
                <w:szCs w:val="20"/>
              </w:rPr>
              <w:t>21.9%</w:t>
            </w:r>
          </w:p>
        </w:tc>
        <w:tc>
          <w:tcPr>
            <w:tcW w:w="0" w:type="auto"/>
            <w:tcBorders>
              <w:right w:val="single" w:sz="4" w:space="0" w:color="auto"/>
            </w:tcBorders>
            <w:shd w:val="clear" w:color="auto" w:fill="auto"/>
            <w:noWrap/>
            <w:textDirection w:val="btLr"/>
            <w:hideMark/>
          </w:tcPr>
          <w:p w14:paraId="6B2F2138" w14:textId="77777777" w:rsidR="00C3299F" w:rsidRPr="00C3299F" w:rsidRDefault="00C3299F" w:rsidP="00C3299F">
            <w:pPr>
              <w:pStyle w:val="Table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3299F">
              <w:rPr>
                <w:rFonts w:ascii="Times New Roman" w:eastAsia="Times New Roman" w:hAnsi="Times New Roman" w:cs="Times New Roman"/>
                <w:sz w:val="20"/>
                <w:szCs w:val="20"/>
              </w:rPr>
              <w:t>22.4%</w:t>
            </w:r>
          </w:p>
        </w:tc>
        <w:tc>
          <w:tcPr>
            <w:tcW w:w="0" w:type="auto"/>
            <w:tcBorders>
              <w:left w:val="single" w:sz="4" w:space="0" w:color="auto"/>
            </w:tcBorders>
            <w:shd w:val="clear" w:color="auto" w:fill="auto"/>
            <w:noWrap/>
            <w:textDirection w:val="btLr"/>
            <w:hideMark/>
          </w:tcPr>
          <w:p w14:paraId="0A1A59D5" w14:textId="77777777" w:rsidR="00C3299F" w:rsidRPr="00C3299F" w:rsidRDefault="00C3299F" w:rsidP="00C3299F">
            <w:pPr>
              <w:pStyle w:val="Table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3299F">
              <w:rPr>
                <w:rFonts w:ascii="Times New Roman" w:eastAsia="Times New Roman" w:hAnsi="Times New Roman" w:cs="Times New Roman"/>
                <w:sz w:val="20"/>
                <w:szCs w:val="20"/>
              </w:rPr>
              <w:t>20.1%</w:t>
            </w:r>
          </w:p>
        </w:tc>
        <w:tc>
          <w:tcPr>
            <w:tcW w:w="0" w:type="auto"/>
            <w:shd w:val="clear" w:color="auto" w:fill="auto"/>
            <w:noWrap/>
            <w:textDirection w:val="btLr"/>
            <w:hideMark/>
          </w:tcPr>
          <w:p w14:paraId="2FF4F6DA" w14:textId="77777777" w:rsidR="00C3299F" w:rsidRPr="00C3299F" w:rsidRDefault="00C3299F" w:rsidP="00C3299F">
            <w:pPr>
              <w:pStyle w:val="Table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3299F">
              <w:rPr>
                <w:rFonts w:ascii="Times New Roman" w:eastAsia="Times New Roman" w:hAnsi="Times New Roman" w:cs="Times New Roman"/>
                <w:sz w:val="20"/>
                <w:szCs w:val="20"/>
              </w:rPr>
              <w:t>20.4%</w:t>
            </w:r>
          </w:p>
        </w:tc>
        <w:tc>
          <w:tcPr>
            <w:tcW w:w="0" w:type="auto"/>
            <w:shd w:val="clear" w:color="auto" w:fill="auto"/>
            <w:noWrap/>
            <w:textDirection w:val="btLr"/>
            <w:hideMark/>
          </w:tcPr>
          <w:p w14:paraId="63AEE50E" w14:textId="77777777" w:rsidR="00C3299F" w:rsidRPr="00C3299F" w:rsidRDefault="00C3299F" w:rsidP="00C3299F">
            <w:pPr>
              <w:pStyle w:val="Table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3299F">
              <w:rPr>
                <w:rFonts w:ascii="Times New Roman" w:eastAsia="Times New Roman" w:hAnsi="Times New Roman" w:cs="Times New Roman"/>
                <w:sz w:val="20"/>
                <w:szCs w:val="20"/>
              </w:rPr>
              <w:t>20.6%</w:t>
            </w:r>
          </w:p>
        </w:tc>
        <w:tc>
          <w:tcPr>
            <w:tcW w:w="0" w:type="auto"/>
            <w:shd w:val="clear" w:color="auto" w:fill="auto"/>
            <w:noWrap/>
            <w:textDirection w:val="btLr"/>
            <w:hideMark/>
          </w:tcPr>
          <w:p w14:paraId="47963E73" w14:textId="77777777" w:rsidR="00C3299F" w:rsidRPr="00C3299F" w:rsidRDefault="00C3299F" w:rsidP="00C3299F">
            <w:pPr>
              <w:pStyle w:val="Table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3299F">
              <w:rPr>
                <w:rFonts w:ascii="Times New Roman" w:eastAsia="Times New Roman" w:hAnsi="Times New Roman" w:cs="Times New Roman"/>
                <w:sz w:val="20"/>
                <w:szCs w:val="20"/>
              </w:rPr>
              <w:t>20.8%</w:t>
            </w:r>
          </w:p>
        </w:tc>
      </w:tr>
      <w:tr w:rsidR="00C3299F" w:rsidRPr="00C3299F" w14:paraId="7FE32EC2" w14:textId="77777777" w:rsidTr="00942005">
        <w:trPr>
          <w:cnfStyle w:val="000000100000" w:firstRow="0" w:lastRow="0" w:firstColumn="0" w:lastColumn="0" w:oddVBand="0" w:evenVBand="0" w:oddHBand="1" w:evenHBand="0" w:firstRowFirstColumn="0" w:firstRowLastColumn="0" w:lastRowFirstColumn="0" w:lastRowLastColumn="0"/>
          <w:cantSplit/>
          <w:trHeight w:val="595"/>
        </w:trPr>
        <w:tc>
          <w:tcPr>
            <w:cnfStyle w:val="001000000000" w:firstRow="0" w:lastRow="0" w:firstColumn="1" w:lastColumn="0" w:oddVBand="0" w:evenVBand="0" w:oddHBand="0" w:evenHBand="0" w:firstRowFirstColumn="0" w:firstRowLastColumn="0" w:lastRowFirstColumn="0" w:lastRowLastColumn="0"/>
            <w:tcW w:w="568" w:type="dxa"/>
            <w:shd w:val="clear" w:color="auto" w:fill="auto"/>
            <w:noWrap/>
            <w:textDirection w:val="btLr"/>
            <w:vAlign w:val="center"/>
            <w:hideMark/>
          </w:tcPr>
          <w:p w14:paraId="500AFF02" w14:textId="77777777" w:rsidR="00C3299F" w:rsidRPr="00C3299F" w:rsidRDefault="00C3299F" w:rsidP="00942005">
            <w:pPr>
              <w:pStyle w:val="Tables"/>
              <w:jc w:val="center"/>
              <w:rPr>
                <w:rFonts w:ascii="Times New Roman" w:eastAsia="Times New Roman" w:hAnsi="Times New Roman" w:cs="Times New Roman"/>
                <w:sz w:val="20"/>
                <w:szCs w:val="20"/>
              </w:rPr>
            </w:pPr>
            <w:r w:rsidRPr="00C3299F">
              <w:rPr>
                <w:rFonts w:ascii="Times New Roman" w:eastAsia="Times New Roman" w:hAnsi="Times New Roman" w:cs="Times New Roman"/>
                <w:sz w:val="20"/>
                <w:szCs w:val="20"/>
              </w:rPr>
              <w:t>Struct.</w:t>
            </w:r>
            <w:r w:rsidRPr="00C3299F">
              <w:rPr>
                <w:rFonts w:ascii="Times New Roman" w:eastAsia="Times New Roman" w:hAnsi="Times New Roman" w:cs="Times New Roman"/>
                <w:sz w:val="20"/>
                <w:szCs w:val="20"/>
              </w:rPr>
              <w:br/>
              <w:t>Ash</w:t>
            </w:r>
          </w:p>
        </w:tc>
        <w:tc>
          <w:tcPr>
            <w:tcW w:w="292" w:type="dxa"/>
            <w:shd w:val="clear" w:color="auto" w:fill="auto"/>
            <w:noWrap/>
            <w:textDirection w:val="btLr"/>
            <w:hideMark/>
          </w:tcPr>
          <w:p w14:paraId="50E5CECF" w14:textId="77777777" w:rsidR="00C3299F" w:rsidRPr="00C3299F" w:rsidRDefault="00C3299F" w:rsidP="00C3299F">
            <w:pPr>
              <w:pStyle w:val="Table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3299F">
              <w:rPr>
                <w:rFonts w:ascii="Times New Roman" w:eastAsia="Times New Roman" w:hAnsi="Times New Roman" w:cs="Times New Roman"/>
                <w:sz w:val="20"/>
                <w:szCs w:val="20"/>
              </w:rPr>
              <w:t>2.0%</w:t>
            </w:r>
          </w:p>
        </w:tc>
        <w:tc>
          <w:tcPr>
            <w:tcW w:w="246" w:type="dxa"/>
            <w:shd w:val="clear" w:color="auto" w:fill="auto"/>
            <w:noWrap/>
            <w:textDirection w:val="btLr"/>
            <w:hideMark/>
          </w:tcPr>
          <w:p w14:paraId="1B3BC84C" w14:textId="77777777" w:rsidR="00C3299F" w:rsidRPr="00C3299F" w:rsidRDefault="00C3299F" w:rsidP="00C3299F">
            <w:pPr>
              <w:pStyle w:val="Table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3299F">
              <w:rPr>
                <w:rFonts w:ascii="Times New Roman" w:eastAsia="Times New Roman" w:hAnsi="Times New Roman" w:cs="Times New Roman"/>
                <w:sz w:val="20"/>
                <w:szCs w:val="20"/>
              </w:rPr>
              <w:t>1.8%</w:t>
            </w:r>
          </w:p>
        </w:tc>
        <w:tc>
          <w:tcPr>
            <w:tcW w:w="0" w:type="auto"/>
            <w:shd w:val="clear" w:color="auto" w:fill="auto"/>
            <w:noWrap/>
            <w:textDirection w:val="btLr"/>
            <w:hideMark/>
          </w:tcPr>
          <w:p w14:paraId="5F7FD111" w14:textId="77777777" w:rsidR="00C3299F" w:rsidRPr="00C3299F" w:rsidRDefault="00C3299F" w:rsidP="00C3299F">
            <w:pPr>
              <w:pStyle w:val="Table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3299F">
              <w:rPr>
                <w:rFonts w:ascii="Times New Roman" w:eastAsia="Times New Roman" w:hAnsi="Times New Roman" w:cs="Times New Roman"/>
                <w:sz w:val="20"/>
                <w:szCs w:val="20"/>
              </w:rPr>
              <w:t>3.5%</w:t>
            </w:r>
          </w:p>
        </w:tc>
        <w:tc>
          <w:tcPr>
            <w:tcW w:w="0" w:type="auto"/>
            <w:tcBorders>
              <w:right w:val="single" w:sz="4" w:space="0" w:color="auto"/>
            </w:tcBorders>
            <w:shd w:val="clear" w:color="auto" w:fill="auto"/>
            <w:noWrap/>
            <w:textDirection w:val="btLr"/>
            <w:hideMark/>
          </w:tcPr>
          <w:p w14:paraId="458461A0" w14:textId="77777777" w:rsidR="00C3299F" w:rsidRPr="00C3299F" w:rsidRDefault="00C3299F" w:rsidP="00C3299F">
            <w:pPr>
              <w:pStyle w:val="Table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3299F">
              <w:rPr>
                <w:rFonts w:ascii="Times New Roman" w:eastAsia="Times New Roman" w:hAnsi="Times New Roman" w:cs="Times New Roman"/>
                <w:sz w:val="20"/>
                <w:szCs w:val="20"/>
              </w:rPr>
              <w:t>2.3%</w:t>
            </w:r>
          </w:p>
        </w:tc>
        <w:tc>
          <w:tcPr>
            <w:tcW w:w="0" w:type="auto"/>
            <w:tcBorders>
              <w:left w:val="single" w:sz="4" w:space="0" w:color="auto"/>
            </w:tcBorders>
            <w:shd w:val="clear" w:color="auto" w:fill="auto"/>
            <w:noWrap/>
            <w:textDirection w:val="btLr"/>
            <w:hideMark/>
          </w:tcPr>
          <w:p w14:paraId="02A218E9" w14:textId="77777777" w:rsidR="00C3299F" w:rsidRPr="00C3299F" w:rsidRDefault="00C3299F" w:rsidP="00C3299F">
            <w:pPr>
              <w:pStyle w:val="Table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3299F">
              <w:rPr>
                <w:rFonts w:ascii="Times New Roman" w:eastAsia="Times New Roman" w:hAnsi="Times New Roman" w:cs="Times New Roman"/>
                <w:sz w:val="20"/>
                <w:szCs w:val="20"/>
              </w:rPr>
              <w:t>1.9%</w:t>
            </w:r>
          </w:p>
        </w:tc>
        <w:tc>
          <w:tcPr>
            <w:tcW w:w="0" w:type="auto"/>
            <w:shd w:val="clear" w:color="auto" w:fill="auto"/>
            <w:noWrap/>
            <w:textDirection w:val="btLr"/>
            <w:hideMark/>
          </w:tcPr>
          <w:p w14:paraId="1FA257B2" w14:textId="77777777" w:rsidR="00C3299F" w:rsidRPr="00C3299F" w:rsidRDefault="00C3299F" w:rsidP="00C3299F">
            <w:pPr>
              <w:pStyle w:val="Table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3299F">
              <w:rPr>
                <w:rFonts w:ascii="Times New Roman" w:eastAsia="Times New Roman" w:hAnsi="Times New Roman" w:cs="Times New Roman"/>
                <w:sz w:val="20"/>
                <w:szCs w:val="20"/>
              </w:rPr>
              <w:t>1.6%</w:t>
            </w:r>
          </w:p>
        </w:tc>
        <w:tc>
          <w:tcPr>
            <w:tcW w:w="0" w:type="auto"/>
            <w:shd w:val="clear" w:color="auto" w:fill="auto"/>
            <w:noWrap/>
            <w:textDirection w:val="btLr"/>
            <w:hideMark/>
          </w:tcPr>
          <w:p w14:paraId="320B1239" w14:textId="77777777" w:rsidR="00C3299F" w:rsidRPr="00C3299F" w:rsidRDefault="00C3299F" w:rsidP="00C3299F">
            <w:pPr>
              <w:pStyle w:val="Table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3299F">
              <w:rPr>
                <w:rFonts w:ascii="Times New Roman" w:eastAsia="Times New Roman" w:hAnsi="Times New Roman" w:cs="Times New Roman"/>
                <w:sz w:val="20"/>
                <w:szCs w:val="20"/>
              </w:rPr>
              <w:t>2.5%</w:t>
            </w:r>
          </w:p>
        </w:tc>
        <w:tc>
          <w:tcPr>
            <w:tcW w:w="0" w:type="auto"/>
            <w:shd w:val="clear" w:color="auto" w:fill="auto"/>
            <w:noWrap/>
            <w:textDirection w:val="btLr"/>
            <w:hideMark/>
          </w:tcPr>
          <w:p w14:paraId="6DC6D4EB" w14:textId="77777777" w:rsidR="00C3299F" w:rsidRPr="00C3299F" w:rsidRDefault="00C3299F" w:rsidP="00C3299F">
            <w:pPr>
              <w:pStyle w:val="Table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3299F">
              <w:rPr>
                <w:rFonts w:ascii="Times New Roman" w:eastAsia="Times New Roman" w:hAnsi="Times New Roman" w:cs="Times New Roman"/>
                <w:sz w:val="20"/>
                <w:szCs w:val="20"/>
              </w:rPr>
              <w:t>2.3%</w:t>
            </w:r>
          </w:p>
        </w:tc>
      </w:tr>
      <w:tr w:rsidR="00C3299F" w:rsidRPr="00C3299F" w14:paraId="2D5D4DB6" w14:textId="77777777" w:rsidTr="00942005">
        <w:trPr>
          <w:cantSplit/>
          <w:trHeight w:val="658"/>
        </w:trPr>
        <w:tc>
          <w:tcPr>
            <w:cnfStyle w:val="001000000000" w:firstRow="0" w:lastRow="0" w:firstColumn="1" w:lastColumn="0" w:oddVBand="0" w:evenVBand="0" w:oddHBand="0" w:evenHBand="0" w:firstRowFirstColumn="0" w:firstRowLastColumn="0" w:lastRowFirstColumn="0" w:lastRowLastColumn="0"/>
            <w:tcW w:w="568" w:type="dxa"/>
            <w:shd w:val="clear" w:color="auto" w:fill="auto"/>
            <w:noWrap/>
            <w:textDirection w:val="btLr"/>
            <w:vAlign w:val="center"/>
            <w:hideMark/>
          </w:tcPr>
          <w:p w14:paraId="2ADE1F11" w14:textId="77777777" w:rsidR="00C3299F" w:rsidRPr="00C3299F" w:rsidRDefault="00C3299F" w:rsidP="00942005">
            <w:pPr>
              <w:pStyle w:val="Tables"/>
              <w:jc w:val="center"/>
              <w:rPr>
                <w:rFonts w:ascii="Times New Roman" w:eastAsia="Times New Roman" w:hAnsi="Times New Roman" w:cs="Times New Roman"/>
                <w:sz w:val="20"/>
                <w:szCs w:val="20"/>
              </w:rPr>
            </w:pPr>
            <w:r w:rsidRPr="00C3299F">
              <w:rPr>
                <w:rFonts w:ascii="Times New Roman" w:eastAsia="Times New Roman" w:hAnsi="Times New Roman" w:cs="Times New Roman"/>
                <w:sz w:val="20"/>
                <w:szCs w:val="20"/>
              </w:rPr>
              <w:t>Sample ID</w:t>
            </w:r>
          </w:p>
        </w:tc>
        <w:tc>
          <w:tcPr>
            <w:tcW w:w="292" w:type="dxa"/>
            <w:shd w:val="clear" w:color="auto" w:fill="auto"/>
            <w:noWrap/>
            <w:textDirection w:val="btLr"/>
            <w:hideMark/>
          </w:tcPr>
          <w:p w14:paraId="265A8AAC" w14:textId="77777777" w:rsidR="00C3299F" w:rsidRPr="00C3299F" w:rsidRDefault="00C3299F" w:rsidP="00C3299F">
            <w:pPr>
              <w:pStyle w:val="Table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3299F">
              <w:rPr>
                <w:rFonts w:ascii="Times New Roman" w:eastAsia="Times New Roman" w:hAnsi="Times New Roman" w:cs="Times New Roman"/>
                <w:sz w:val="20"/>
                <w:szCs w:val="20"/>
              </w:rPr>
              <w:t>3</w:t>
            </w:r>
          </w:p>
        </w:tc>
        <w:tc>
          <w:tcPr>
            <w:tcW w:w="246" w:type="dxa"/>
            <w:shd w:val="clear" w:color="auto" w:fill="auto"/>
            <w:noWrap/>
            <w:textDirection w:val="btLr"/>
            <w:hideMark/>
          </w:tcPr>
          <w:p w14:paraId="7A86A480" w14:textId="77777777" w:rsidR="00C3299F" w:rsidRPr="00C3299F" w:rsidRDefault="00C3299F" w:rsidP="00C3299F">
            <w:pPr>
              <w:pStyle w:val="Table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3299F">
              <w:rPr>
                <w:rFonts w:ascii="Times New Roman" w:eastAsia="Times New Roman" w:hAnsi="Times New Roman" w:cs="Times New Roman"/>
                <w:sz w:val="20"/>
                <w:szCs w:val="20"/>
              </w:rPr>
              <w:t>5</w:t>
            </w:r>
          </w:p>
        </w:tc>
        <w:tc>
          <w:tcPr>
            <w:tcW w:w="0" w:type="auto"/>
            <w:shd w:val="clear" w:color="auto" w:fill="auto"/>
            <w:noWrap/>
            <w:textDirection w:val="btLr"/>
            <w:hideMark/>
          </w:tcPr>
          <w:p w14:paraId="1A61AF4C" w14:textId="77777777" w:rsidR="00C3299F" w:rsidRPr="00C3299F" w:rsidRDefault="00C3299F" w:rsidP="00C3299F">
            <w:pPr>
              <w:pStyle w:val="Table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3299F">
              <w:rPr>
                <w:rFonts w:ascii="Times New Roman" w:eastAsia="Times New Roman" w:hAnsi="Times New Roman" w:cs="Times New Roman"/>
                <w:sz w:val="20"/>
                <w:szCs w:val="20"/>
              </w:rPr>
              <w:t>11</w:t>
            </w:r>
          </w:p>
        </w:tc>
        <w:tc>
          <w:tcPr>
            <w:tcW w:w="0" w:type="auto"/>
            <w:tcBorders>
              <w:right w:val="single" w:sz="4" w:space="0" w:color="auto"/>
            </w:tcBorders>
            <w:shd w:val="clear" w:color="auto" w:fill="auto"/>
            <w:noWrap/>
            <w:textDirection w:val="btLr"/>
            <w:hideMark/>
          </w:tcPr>
          <w:p w14:paraId="308EC68F" w14:textId="77777777" w:rsidR="00C3299F" w:rsidRPr="00C3299F" w:rsidRDefault="00C3299F" w:rsidP="00C3299F">
            <w:pPr>
              <w:pStyle w:val="Table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3299F">
              <w:rPr>
                <w:rFonts w:ascii="Times New Roman" w:eastAsia="Times New Roman" w:hAnsi="Times New Roman" w:cs="Times New Roman"/>
                <w:sz w:val="20"/>
                <w:szCs w:val="20"/>
              </w:rPr>
              <w:t>14</w:t>
            </w:r>
          </w:p>
        </w:tc>
        <w:tc>
          <w:tcPr>
            <w:tcW w:w="0" w:type="auto"/>
            <w:tcBorders>
              <w:left w:val="single" w:sz="4" w:space="0" w:color="auto"/>
            </w:tcBorders>
            <w:shd w:val="clear" w:color="auto" w:fill="auto"/>
            <w:noWrap/>
            <w:textDirection w:val="btLr"/>
            <w:hideMark/>
          </w:tcPr>
          <w:p w14:paraId="70642E84" w14:textId="77777777" w:rsidR="00C3299F" w:rsidRPr="00C3299F" w:rsidRDefault="00C3299F" w:rsidP="00C3299F">
            <w:pPr>
              <w:pStyle w:val="Table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3299F">
              <w:rPr>
                <w:rFonts w:ascii="Times New Roman" w:eastAsia="Times New Roman" w:hAnsi="Times New Roman" w:cs="Times New Roman"/>
                <w:sz w:val="20"/>
                <w:szCs w:val="20"/>
              </w:rPr>
              <w:t>4</w:t>
            </w:r>
          </w:p>
        </w:tc>
        <w:tc>
          <w:tcPr>
            <w:tcW w:w="0" w:type="auto"/>
            <w:shd w:val="clear" w:color="auto" w:fill="auto"/>
            <w:noWrap/>
            <w:textDirection w:val="btLr"/>
            <w:hideMark/>
          </w:tcPr>
          <w:p w14:paraId="4E598499" w14:textId="77777777" w:rsidR="00C3299F" w:rsidRPr="00C3299F" w:rsidRDefault="00C3299F" w:rsidP="00C3299F">
            <w:pPr>
              <w:pStyle w:val="Table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3299F">
              <w:rPr>
                <w:rFonts w:ascii="Times New Roman" w:eastAsia="Times New Roman" w:hAnsi="Times New Roman" w:cs="Times New Roman"/>
                <w:sz w:val="20"/>
                <w:szCs w:val="20"/>
              </w:rPr>
              <w:t>7</w:t>
            </w:r>
          </w:p>
        </w:tc>
        <w:tc>
          <w:tcPr>
            <w:tcW w:w="0" w:type="auto"/>
            <w:shd w:val="clear" w:color="auto" w:fill="auto"/>
            <w:noWrap/>
            <w:textDirection w:val="btLr"/>
            <w:hideMark/>
          </w:tcPr>
          <w:p w14:paraId="5B40CB28" w14:textId="77777777" w:rsidR="00C3299F" w:rsidRPr="00C3299F" w:rsidRDefault="00C3299F" w:rsidP="00C3299F">
            <w:pPr>
              <w:pStyle w:val="Table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3299F">
              <w:rPr>
                <w:rFonts w:ascii="Times New Roman" w:eastAsia="Times New Roman" w:hAnsi="Times New Roman" w:cs="Times New Roman"/>
                <w:sz w:val="20"/>
                <w:szCs w:val="20"/>
              </w:rPr>
              <w:t>9</w:t>
            </w:r>
          </w:p>
        </w:tc>
        <w:tc>
          <w:tcPr>
            <w:tcW w:w="0" w:type="auto"/>
            <w:shd w:val="clear" w:color="auto" w:fill="auto"/>
            <w:noWrap/>
            <w:textDirection w:val="btLr"/>
            <w:hideMark/>
          </w:tcPr>
          <w:p w14:paraId="5FBE94BF" w14:textId="77777777" w:rsidR="00C3299F" w:rsidRPr="00C3299F" w:rsidRDefault="00C3299F" w:rsidP="00C3299F">
            <w:pPr>
              <w:pStyle w:val="Table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3299F">
              <w:rPr>
                <w:rFonts w:ascii="Times New Roman" w:eastAsia="Times New Roman" w:hAnsi="Times New Roman" w:cs="Times New Roman"/>
                <w:sz w:val="20"/>
                <w:szCs w:val="20"/>
              </w:rPr>
              <w:t>10</w:t>
            </w:r>
          </w:p>
        </w:tc>
      </w:tr>
      <w:tr w:rsidR="00C3299F" w:rsidRPr="00C3299F" w14:paraId="3AC6227B" w14:textId="77777777" w:rsidTr="004B6B27">
        <w:trPr>
          <w:cnfStyle w:val="000000100000" w:firstRow="0" w:lastRow="0" w:firstColumn="0" w:lastColumn="0" w:oddVBand="0" w:evenVBand="0" w:oddHBand="1" w:evenHBand="0" w:firstRowFirstColumn="0" w:firstRowLastColumn="0" w:lastRowFirstColumn="0" w:lastRowLastColumn="0"/>
          <w:cantSplit/>
          <w:trHeight w:val="901"/>
        </w:trPr>
        <w:tc>
          <w:tcPr>
            <w:cnfStyle w:val="001000000000" w:firstRow="0" w:lastRow="0" w:firstColumn="1" w:lastColumn="0" w:oddVBand="0" w:evenVBand="0" w:oddHBand="0" w:evenHBand="0" w:firstRowFirstColumn="0" w:firstRowLastColumn="0" w:lastRowFirstColumn="0" w:lastRowLastColumn="0"/>
            <w:tcW w:w="568" w:type="dxa"/>
            <w:shd w:val="clear" w:color="auto" w:fill="auto"/>
            <w:noWrap/>
            <w:textDirection w:val="btLr"/>
            <w:hideMark/>
          </w:tcPr>
          <w:p w14:paraId="5F06715B" w14:textId="77777777" w:rsidR="00C3299F" w:rsidRPr="00C3299F" w:rsidRDefault="00C3299F" w:rsidP="00C3299F">
            <w:pPr>
              <w:pStyle w:val="Tables"/>
              <w:rPr>
                <w:rFonts w:ascii="Times New Roman" w:eastAsia="Times New Roman" w:hAnsi="Times New Roman" w:cs="Times New Roman"/>
                <w:sz w:val="20"/>
                <w:szCs w:val="20"/>
              </w:rPr>
            </w:pPr>
          </w:p>
        </w:tc>
        <w:tc>
          <w:tcPr>
            <w:tcW w:w="292" w:type="dxa"/>
            <w:shd w:val="clear" w:color="auto" w:fill="auto"/>
            <w:noWrap/>
            <w:textDirection w:val="btLr"/>
            <w:hideMark/>
          </w:tcPr>
          <w:p w14:paraId="1537AA6B" w14:textId="56BA4DD9" w:rsidR="00C3299F" w:rsidRPr="00C3299F" w:rsidRDefault="00C3299F" w:rsidP="00C3299F">
            <w:pPr>
              <w:pStyle w:val="Table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3299F">
              <w:rPr>
                <w:rFonts w:ascii="Times New Roman" w:eastAsia="Times New Roman" w:hAnsi="Times New Roman" w:cs="Times New Roman"/>
                <w:sz w:val="20"/>
                <w:szCs w:val="20"/>
              </w:rPr>
              <w:t>Wild-types</w:t>
            </w:r>
          </w:p>
        </w:tc>
        <w:tc>
          <w:tcPr>
            <w:tcW w:w="246" w:type="dxa"/>
            <w:shd w:val="clear" w:color="auto" w:fill="auto"/>
            <w:noWrap/>
            <w:textDirection w:val="btLr"/>
            <w:hideMark/>
          </w:tcPr>
          <w:p w14:paraId="1391961A" w14:textId="77777777" w:rsidR="00C3299F" w:rsidRPr="00C3299F" w:rsidRDefault="00C3299F" w:rsidP="00C3299F">
            <w:pPr>
              <w:pStyle w:val="Table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0" w:type="auto"/>
            <w:shd w:val="clear" w:color="auto" w:fill="auto"/>
            <w:noWrap/>
            <w:textDirection w:val="btLr"/>
            <w:hideMark/>
          </w:tcPr>
          <w:p w14:paraId="53382502" w14:textId="77777777" w:rsidR="00C3299F" w:rsidRPr="00C3299F" w:rsidRDefault="00C3299F" w:rsidP="00C3299F">
            <w:pPr>
              <w:pStyle w:val="Table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0" w:type="auto"/>
            <w:tcBorders>
              <w:right w:val="single" w:sz="4" w:space="0" w:color="auto"/>
            </w:tcBorders>
            <w:shd w:val="clear" w:color="auto" w:fill="auto"/>
            <w:noWrap/>
            <w:textDirection w:val="btLr"/>
            <w:hideMark/>
          </w:tcPr>
          <w:p w14:paraId="2BF09518" w14:textId="77777777" w:rsidR="00C3299F" w:rsidRPr="00C3299F" w:rsidRDefault="00C3299F" w:rsidP="00C3299F">
            <w:pPr>
              <w:pStyle w:val="Table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0" w:type="auto"/>
            <w:tcBorders>
              <w:left w:val="single" w:sz="4" w:space="0" w:color="auto"/>
            </w:tcBorders>
            <w:shd w:val="clear" w:color="auto" w:fill="auto"/>
            <w:noWrap/>
            <w:textDirection w:val="btLr"/>
            <w:hideMark/>
          </w:tcPr>
          <w:p w14:paraId="47948B9E" w14:textId="77777777" w:rsidR="00C3299F" w:rsidRPr="00C3299F" w:rsidRDefault="00C3299F" w:rsidP="00C3299F">
            <w:pPr>
              <w:pStyle w:val="Table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3299F">
              <w:rPr>
                <w:rFonts w:ascii="Times New Roman" w:eastAsia="Times New Roman" w:hAnsi="Times New Roman" w:cs="Times New Roman"/>
                <w:sz w:val="20"/>
                <w:szCs w:val="20"/>
              </w:rPr>
              <w:t>Mutants</w:t>
            </w:r>
          </w:p>
        </w:tc>
        <w:tc>
          <w:tcPr>
            <w:tcW w:w="0" w:type="auto"/>
            <w:shd w:val="clear" w:color="auto" w:fill="auto"/>
            <w:noWrap/>
            <w:textDirection w:val="btLr"/>
            <w:hideMark/>
          </w:tcPr>
          <w:p w14:paraId="28BCF455" w14:textId="77777777" w:rsidR="00C3299F" w:rsidRPr="00C3299F" w:rsidRDefault="00C3299F" w:rsidP="00C3299F">
            <w:pPr>
              <w:pStyle w:val="Table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0" w:type="auto"/>
            <w:shd w:val="clear" w:color="auto" w:fill="auto"/>
            <w:noWrap/>
            <w:textDirection w:val="btLr"/>
            <w:hideMark/>
          </w:tcPr>
          <w:p w14:paraId="73F622BD" w14:textId="77777777" w:rsidR="00C3299F" w:rsidRPr="00C3299F" w:rsidRDefault="00C3299F" w:rsidP="00C3299F">
            <w:pPr>
              <w:pStyle w:val="Table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0" w:type="auto"/>
            <w:shd w:val="clear" w:color="auto" w:fill="auto"/>
            <w:noWrap/>
            <w:textDirection w:val="btLr"/>
            <w:hideMark/>
          </w:tcPr>
          <w:p w14:paraId="449F9FE6" w14:textId="77777777" w:rsidR="00C3299F" w:rsidRPr="00C3299F" w:rsidRDefault="00C3299F" w:rsidP="00C3299F">
            <w:pPr>
              <w:pStyle w:val="Table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r>
    </w:tbl>
    <w:p w14:paraId="10114971" w14:textId="55ED8ADE" w:rsidR="00CB3AF0" w:rsidRPr="009B77F6" w:rsidRDefault="00CB3AF0" w:rsidP="00CB3AF0">
      <w:pPr>
        <w:pStyle w:val="Caption"/>
      </w:pPr>
      <w:bookmarkStart w:id="185" w:name="_Toc449964947"/>
      <w:r>
        <w:t xml:space="preserve">Table </w:t>
      </w:r>
      <w:fldSimple w:instr=" STYLEREF &quot;Chapter&quot; \s ">
        <w:r w:rsidR="00463F52">
          <w:rPr>
            <w:noProof/>
          </w:rPr>
          <w:t>7</w:t>
        </w:r>
      </w:fldSimple>
      <w:r>
        <w:t>.</w:t>
      </w:r>
      <w:fldSimple w:instr=" SEQ Table \* ARABIC \s 1 ">
        <w:r w:rsidR="00463F52">
          <w:rPr>
            <w:noProof/>
          </w:rPr>
          <w:t>2</w:t>
        </w:r>
      </w:fldSimple>
      <w:r>
        <w:t>.</w:t>
      </w:r>
      <w:r w:rsidRPr="008E2374">
        <w:t xml:space="preserve"> </w:t>
      </w:r>
      <w:r w:rsidRPr="00CB3AF0">
        <w:rPr>
          <w:b w:val="0"/>
        </w:rPr>
        <w:t>Switchgrass compositional information.</w:t>
      </w:r>
      <w:r>
        <w:rPr>
          <w:b w:val="0"/>
        </w:rPr>
        <w:t xml:space="preserve"> From </w:t>
      </w:r>
      <w:r w:rsidR="00922F0B" w:rsidRPr="006D3B53">
        <w:rPr>
          <w:b w:val="0"/>
          <w:highlight w:val="yellow"/>
        </w:rPr>
        <w:fldChar w:fldCharType="begin"/>
      </w:r>
      <w:r w:rsidR="00807999">
        <w:rPr>
          <w:b w:val="0"/>
          <w:highlight w:val="yellow"/>
        </w:rPr>
        <w:instrText xml:space="preserve"> ADDIN PAPERS2_CITATIONS &lt;citation&gt;&lt;uuid&gt;80CD0201-036B-4143-9CA7-F46D572A4B33&lt;/uuid&gt;&lt;priority&gt;0&lt;/priority&gt;&lt;publications&gt;&lt;publication&gt;&lt;uuid&gt;4F43DF83-A400-4C0E-9DEF-9920207ACBBC&lt;/uuid&gt;&lt;volume&gt;12&lt;/volume&gt;&lt;doi&gt;10.1111/pbi.12195&lt;/doi&gt;&lt;startpage&gt;914&lt;/startpage&gt;&lt;publication_date&gt;99201404211200000000222000&lt;/publication_date&gt;&lt;url&gt;http://doi.wiley.com/10.1111/pbi.12195&lt;/url&gt;&lt;citekey&gt;Baxter:2014bk&lt;/citekey&gt;&lt;type&gt;400&lt;/type&gt;&lt;title&gt;Two-year field analysis of reduced recalcitrance transgenic switchgrass&lt;/title&gt;&lt;number&gt;7&lt;/number&gt;&lt;subtype&gt;400&lt;/subtype&gt;&lt;endpage&gt;924&lt;/endpage&gt;&lt;bundle&gt;&lt;publication&gt;&lt;title&gt;Plant Biotechnology Journal&lt;/title&gt;&lt;type&gt;-100&lt;/type&gt;&lt;subtype&gt;-100&lt;/subtype&gt;&lt;uuid&gt;14FDD847-5EC1-4E33-9A3E-8C68E290860B&lt;/uuid&gt;&lt;/publication&gt;&lt;/bundle&gt;&lt;authors&gt;&lt;author&gt;&lt;firstName&gt;Holly&lt;/firstName&gt;&lt;middleNames&gt;L&lt;/middleNames&gt;&lt;lastName&gt;Baxter&lt;/lastName&gt;&lt;/author&gt;&lt;author&gt;&lt;firstName&gt;Mitra&lt;/firstName&gt;&lt;lastName&gt;Mazarei&lt;/lastName&gt;&lt;/author&gt;&lt;author&gt;&lt;firstName&gt;Nicole&lt;/firstName&gt;&lt;lastName&gt;Labbé&lt;/lastName&gt;&lt;/author&gt;&lt;author&gt;&lt;firstName&gt;Lindsey&lt;/firstName&gt;&lt;middleNames&gt;M&lt;/middleNames&gt;&lt;lastName&gt;Kline&lt;/lastName&gt;&lt;/author&gt;&lt;author&gt;&lt;firstName&gt;Qunkang&lt;/firstName&gt;&lt;lastName&gt;Cheng&lt;/lastName&gt;&lt;/author&gt;&lt;author&gt;&lt;firstName&gt;Mark&lt;/firstName&gt;&lt;middleNames&gt;T&lt;/middleNames&gt;&lt;lastName&gt;Windham&lt;/lastName&gt;&lt;/author&gt;&lt;author&gt;&lt;firstName&gt;David&lt;/firstName&gt;&lt;middleNames&gt;G J&lt;/middleNames&gt;&lt;lastName&gt;Mann&lt;/lastName&gt;&lt;/author&gt;&lt;author&gt;&lt;firstName&gt;Chunxiang&lt;/firstName&gt;&lt;lastName&gt;Fu&lt;/lastName&gt;&lt;/author&gt;&lt;author&gt;&lt;firstName&gt;Angela&lt;/firstName&gt;&lt;lastName&gt;Ziebell&lt;/lastName&gt;&lt;/author&gt;&lt;author&gt;&lt;firstName&gt;Robert&lt;/firstName&gt;&lt;middleNames&gt;W&lt;/middleNames&gt;&lt;lastName&gt;Sykes&lt;/lastName&gt;&lt;/author&gt;&lt;author&gt;&lt;firstName&gt;Miguel&lt;/firstName&gt;&lt;suffix&gt;Jr&lt;/suffix&gt;&lt;lastName&gt;Rodriguez&lt;/lastName&gt;&lt;/author&gt;&lt;author&gt;&lt;firstName&gt;Mark&lt;/firstName&gt;&lt;middleNames&gt;F&lt;/middleNames&gt;&lt;lastName&gt;Davis&lt;/lastName&gt;&lt;/author&gt;&lt;author&gt;&lt;firstName&gt;Jonathan&lt;/firstName&gt;&lt;middleNames&gt;R&lt;/middleNames&gt;&lt;lastName&gt;Mielenz&lt;/lastName&gt;&lt;/author&gt;&lt;author&gt;&lt;firstName&gt;Richard&lt;/firstName&gt;&lt;middleNames&gt;A&lt;/middleNames&gt;&lt;lastName&gt;Dixon&lt;/lastName&gt;&lt;/author&gt;&lt;author&gt;&lt;firstName&gt;Zeng-Yu&lt;/firstName&gt;&lt;lastName&gt;Wang&lt;/lastName&gt;&lt;/author&gt;&lt;author&gt;&lt;lastName&gt;Stewart&lt;/lastName&gt;&lt;firstName&gt;C&lt;/firstName&gt;&lt;middleNames&gt;Neal&lt;/middleNames&gt;&lt;suffix&gt;Jr&lt;/suffix&gt;&lt;/author&gt;&lt;/authors&gt;&lt;/publication&gt;&lt;/publications&gt;&lt;cites&gt;&lt;/cites&gt;&lt;/citation&gt;</w:instrText>
      </w:r>
      <w:r w:rsidR="00922F0B" w:rsidRPr="006D3B53">
        <w:rPr>
          <w:b w:val="0"/>
          <w:highlight w:val="yellow"/>
        </w:rPr>
        <w:fldChar w:fldCharType="separate"/>
      </w:r>
      <w:r w:rsidR="001C1AAC" w:rsidRPr="006D3B53">
        <w:rPr>
          <w:b w:val="0"/>
        </w:rPr>
        <w:t>(</w:t>
      </w:r>
      <w:r w:rsidR="001C1AAC" w:rsidRPr="006D3B53">
        <w:rPr>
          <w:b w:val="0"/>
          <w:i/>
          <w:iCs/>
        </w:rPr>
        <w:t>126</w:t>
      </w:r>
      <w:r w:rsidR="001C1AAC" w:rsidRPr="006D3B53">
        <w:rPr>
          <w:b w:val="0"/>
        </w:rPr>
        <w:t>)</w:t>
      </w:r>
      <w:bookmarkEnd w:id="185"/>
      <w:r w:rsidR="00922F0B" w:rsidRPr="006D3B53">
        <w:rPr>
          <w:b w:val="0"/>
          <w:highlight w:val="yellow"/>
        </w:rPr>
        <w:fldChar w:fldCharType="end"/>
      </w:r>
      <w:r>
        <w:br w:type="page"/>
      </w:r>
    </w:p>
    <w:tbl>
      <w:tblPr>
        <w:tblW w:w="7776" w:type="dxa"/>
        <w:tblBorders>
          <w:top w:val="single" w:sz="4" w:space="0" w:color="auto"/>
          <w:left w:val="single" w:sz="4" w:space="0" w:color="auto"/>
          <w:bottom w:val="single" w:sz="4" w:space="0" w:color="auto"/>
          <w:right w:val="single" w:sz="4" w:space="0" w:color="auto"/>
        </w:tblBorders>
        <w:tblLayout w:type="fixed"/>
        <w:tblCellMar>
          <w:top w:w="115" w:type="dxa"/>
          <w:left w:w="0" w:type="dxa"/>
          <w:bottom w:w="115" w:type="dxa"/>
          <w:right w:w="0" w:type="dxa"/>
        </w:tblCellMar>
        <w:tblLook w:val="04A0" w:firstRow="1" w:lastRow="0" w:firstColumn="1" w:lastColumn="0" w:noHBand="0" w:noVBand="1"/>
      </w:tblPr>
      <w:tblGrid>
        <w:gridCol w:w="432"/>
        <w:gridCol w:w="432"/>
        <w:gridCol w:w="432"/>
        <w:gridCol w:w="432"/>
        <w:gridCol w:w="432"/>
        <w:gridCol w:w="432"/>
        <w:gridCol w:w="432"/>
        <w:gridCol w:w="432"/>
        <w:gridCol w:w="432"/>
        <w:gridCol w:w="432"/>
        <w:gridCol w:w="432"/>
        <w:gridCol w:w="432"/>
        <w:gridCol w:w="432"/>
        <w:gridCol w:w="432"/>
        <w:gridCol w:w="432"/>
        <w:gridCol w:w="432"/>
        <w:gridCol w:w="432"/>
        <w:gridCol w:w="432"/>
      </w:tblGrid>
      <w:tr w:rsidR="000238A3" w:rsidRPr="0052083D" w14:paraId="43EADF71" w14:textId="388795D8" w:rsidTr="000238A3">
        <w:trPr>
          <w:trHeight w:val="2908"/>
        </w:trPr>
        <w:tc>
          <w:tcPr>
            <w:tcW w:w="432" w:type="dxa"/>
            <w:shd w:val="clear" w:color="auto" w:fill="auto"/>
            <w:noWrap/>
            <w:textDirection w:val="btLr"/>
            <w:vAlign w:val="bottom"/>
            <w:hideMark/>
          </w:tcPr>
          <w:p w14:paraId="4524ED7F" w14:textId="77777777" w:rsidR="000238A3" w:rsidRPr="00911EDD" w:rsidRDefault="000238A3" w:rsidP="00477398">
            <w:pPr>
              <w:pStyle w:val="Tables"/>
              <w:rPr>
                <w:b/>
              </w:rPr>
            </w:pPr>
            <w:r w:rsidRPr="00911EDD">
              <w:rPr>
                <w:b/>
              </w:rPr>
              <w:lastRenderedPageBreak/>
              <w:t>Methoxyphenols</w:t>
            </w:r>
          </w:p>
        </w:tc>
        <w:tc>
          <w:tcPr>
            <w:tcW w:w="432" w:type="dxa"/>
            <w:shd w:val="clear" w:color="auto" w:fill="auto"/>
            <w:noWrap/>
            <w:textDirection w:val="btLr"/>
            <w:vAlign w:val="bottom"/>
            <w:hideMark/>
          </w:tcPr>
          <w:p w14:paraId="34B7F7E8" w14:textId="77777777" w:rsidR="000238A3" w:rsidRPr="0052083D" w:rsidRDefault="000238A3" w:rsidP="00477398">
            <w:pPr>
              <w:pStyle w:val="Tables"/>
            </w:pPr>
            <w:r w:rsidRPr="0052083D">
              <w:t>Guaiacol (L24)</w:t>
            </w:r>
          </w:p>
        </w:tc>
        <w:tc>
          <w:tcPr>
            <w:tcW w:w="432" w:type="dxa"/>
            <w:shd w:val="clear" w:color="auto" w:fill="auto"/>
            <w:noWrap/>
            <w:textDirection w:val="btLr"/>
            <w:vAlign w:val="bottom"/>
            <w:hideMark/>
          </w:tcPr>
          <w:p w14:paraId="10AE3FCC" w14:textId="77777777" w:rsidR="000238A3" w:rsidRPr="0052083D" w:rsidRDefault="000238A3" w:rsidP="00477398">
            <w:pPr>
              <w:pStyle w:val="Tables"/>
            </w:pPr>
            <w:r w:rsidRPr="0052083D">
              <w:t>Guaiacol, 4-ethyl- (L40)</w:t>
            </w:r>
          </w:p>
        </w:tc>
        <w:tc>
          <w:tcPr>
            <w:tcW w:w="432" w:type="dxa"/>
            <w:shd w:val="clear" w:color="auto" w:fill="auto"/>
            <w:noWrap/>
            <w:textDirection w:val="btLr"/>
            <w:vAlign w:val="bottom"/>
            <w:hideMark/>
          </w:tcPr>
          <w:p w14:paraId="07D237A6" w14:textId="77777777" w:rsidR="000238A3" w:rsidRPr="0052083D" w:rsidRDefault="000238A3" w:rsidP="00477398">
            <w:pPr>
              <w:pStyle w:val="Tables"/>
            </w:pPr>
            <w:r w:rsidRPr="0052083D">
              <w:t>Guaiacol, 4-vinyl- (L38)</w:t>
            </w:r>
          </w:p>
        </w:tc>
        <w:tc>
          <w:tcPr>
            <w:tcW w:w="432" w:type="dxa"/>
            <w:shd w:val="clear" w:color="auto" w:fill="auto"/>
            <w:noWrap/>
            <w:textDirection w:val="btLr"/>
            <w:vAlign w:val="bottom"/>
            <w:hideMark/>
          </w:tcPr>
          <w:p w14:paraId="26AD9A2C" w14:textId="77777777" w:rsidR="000238A3" w:rsidRPr="0052083D" w:rsidRDefault="000238A3" w:rsidP="00477398">
            <w:pPr>
              <w:pStyle w:val="Tables"/>
            </w:pPr>
            <w:r w:rsidRPr="0052083D">
              <w:t>Syringol (L42)</w:t>
            </w:r>
          </w:p>
        </w:tc>
        <w:tc>
          <w:tcPr>
            <w:tcW w:w="432" w:type="dxa"/>
            <w:shd w:val="clear" w:color="auto" w:fill="auto"/>
            <w:noWrap/>
            <w:textDirection w:val="btLr"/>
            <w:vAlign w:val="bottom"/>
            <w:hideMark/>
          </w:tcPr>
          <w:p w14:paraId="6D004CAB" w14:textId="77777777" w:rsidR="000238A3" w:rsidRPr="0052083D" w:rsidRDefault="000238A3" w:rsidP="00477398">
            <w:pPr>
              <w:pStyle w:val="Tables"/>
            </w:pPr>
            <w:r w:rsidRPr="0052083D">
              <w:t>Eugenol (L45)</w:t>
            </w:r>
          </w:p>
        </w:tc>
        <w:tc>
          <w:tcPr>
            <w:tcW w:w="432" w:type="dxa"/>
            <w:shd w:val="clear" w:color="auto" w:fill="auto"/>
            <w:noWrap/>
            <w:textDirection w:val="btLr"/>
            <w:vAlign w:val="bottom"/>
            <w:hideMark/>
          </w:tcPr>
          <w:p w14:paraId="3F8A2F49" w14:textId="77777777" w:rsidR="000238A3" w:rsidRPr="0052083D" w:rsidRDefault="000238A3" w:rsidP="00477398">
            <w:pPr>
              <w:pStyle w:val="Tables"/>
            </w:pPr>
            <w:r w:rsidRPr="0052083D">
              <w:t>Vanillin (L41)</w:t>
            </w:r>
          </w:p>
        </w:tc>
        <w:tc>
          <w:tcPr>
            <w:tcW w:w="432" w:type="dxa"/>
            <w:shd w:val="clear" w:color="auto" w:fill="auto"/>
            <w:noWrap/>
            <w:textDirection w:val="btLr"/>
            <w:vAlign w:val="bottom"/>
            <w:hideMark/>
          </w:tcPr>
          <w:p w14:paraId="3344E467" w14:textId="77777777" w:rsidR="000238A3" w:rsidRPr="0052083D" w:rsidRDefault="000238A3" w:rsidP="00477398">
            <w:pPr>
              <w:pStyle w:val="Tables"/>
            </w:pPr>
            <w:r w:rsidRPr="0052083D">
              <w:t>C10H10O2 (L43)</w:t>
            </w:r>
          </w:p>
        </w:tc>
        <w:tc>
          <w:tcPr>
            <w:tcW w:w="432" w:type="dxa"/>
            <w:shd w:val="clear" w:color="auto" w:fill="auto"/>
            <w:noWrap/>
            <w:textDirection w:val="btLr"/>
            <w:vAlign w:val="bottom"/>
            <w:hideMark/>
          </w:tcPr>
          <w:p w14:paraId="74FB17EF" w14:textId="77777777" w:rsidR="000238A3" w:rsidRPr="0052083D" w:rsidRDefault="000238A3" w:rsidP="00477398">
            <w:pPr>
              <w:pStyle w:val="Tables"/>
            </w:pPr>
            <w:r w:rsidRPr="0052083D">
              <w:t>Syringol, 4-vinyl- (L55)</w:t>
            </w:r>
          </w:p>
        </w:tc>
        <w:tc>
          <w:tcPr>
            <w:tcW w:w="864" w:type="dxa"/>
            <w:gridSpan w:val="2"/>
            <w:shd w:val="clear" w:color="auto" w:fill="auto"/>
            <w:noWrap/>
            <w:textDirection w:val="btLr"/>
            <w:vAlign w:val="bottom"/>
            <w:hideMark/>
          </w:tcPr>
          <w:p w14:paraId="1C4EE189" w14:textId="0CB1437E" w:rsidR="000238A3" w:rsidRPr="0052083D" w:rsidRDefault="000238A3" w:rsidP="00477398">
            <w:pPr>
              <w:pStyle w:val="Tables"/>
            </w:pPr>
            <w:r w:rsidRPr="0052083D">
              <w:t xml:space="preserve">Syringol, 4-propenyl- </w:t>
            </w:r>
            <w:r>
              <w:br/>
            </w:r>
            <w:r w:rsidRPr="0052083D">
              <w:t>(cis) (L69)</w:t>
            </w:r>
          </w:p>
        </w:tc>
        <w:tc>
          <w:tcPr>
            <w:tcW w:w="864" w:type="dxa"/>
            <w:gridSpan w:val="2"/>
            <w:shd w:val="clear" w:color="auto" w:fill="auto"/>
            <w:noWrap/>
            <w:textDirection w:val="btLr"/>
            <w:vAlign w:val="bottom"/>
          </w:tcPr>
          <w:p w14:paraId="3B076E46" w14:textId="0776E450" w:rsidR="000238A3" w:rsidRPr="0052083D" w:rsidRDefault="000238A3" w:rsidP="00477398">
            <w:pPr>
              <w:pStyle w:val="Tables"/>
            </w:pPr>
            <w:r w:rsidRPr="0052083D">
              <w:t xml:space="preserve">Syringol, 4-propenyl- </w:t>
            </w:r>
            <w:r>
              <w:br/>
            </w:r>
            <w:r w:rsidRPr="0052083D">
              <w:t>(trans) (L70)</w:t>
            </w:r>
          </w:p>
        </w:tc>
        <w:tc>
          <w:tcPr>
            <w:tcW w:w="432" w:type="dxa"/>
            <w:shd w:val="clear" w:color="auto" w:fill="auto"/>
            <w:noWrap/>
            <w:textDirection w:val="btLr"/>
            <w:vAlign w:val="bottom"/>
          </w:tcPr>
          <w:p w14:paraId="271E44F4" w14:textId="01DA70D8" w:rsidR="000238A3" w:rsidRPr="0052083D" w:rsidRDefault="000238A3" w:rsidP="00477398">
            <w:pPr>
              <w:pStyle w:val="Tables"/>
            </w:pPr>
            <w:r w:rsidRPr="0052083D">
              <w:t>Sinapyl alcohol (cis) (L79)</w:t>
            </w:r>
          </w:p>
        </w:tc>
        <w:tc>
          <w:tcPr>
            <w:tcW w:w="432" w:type="dxa"/>
            <w:shd w:val="clear" w:color="auto" w:fill="auto"/>
            <w:noWrap/>
            <w:textDirection w:val="btLr"/>
            <w:vAlign w:val="bottom"/>
          </w:tcPr>
          <w:p w14:paraId="4F481018" w14:textId="3427CF6F" w:rsidR="000238A3" w:rsidRPr="0052083D" w:rsidRDefault="000238A3" w:rsidP="00477398">
            <w:pPr>
              <w:pStyle w:val="Tables"/>
            </w:pPr>
            <w:r w:rsidRPr="0052083D">
              <w:t>Syringyl acetone (L76)</w:t>
            </w:r>
          </w:p>
        </w:tc>
        <w:tc>
          <w:tcPr>
            <w:tcW w:w="432" w:type="dxa"/>
            <w:shd w:val="clear" w:color="auto" w:fill="auto"/>
            <w:noWrap/>
            <w:textDirection w:val="btLr"/>
            <w:vAlign w:val="bottom"/>
          </w:tcPr>
          <w:p w14:paraId="1A9E3F30" w14:textId="16CCF8DB" w:rsidR="000238A3" w:rsidRPr="0052083D" w:rsidRDefault="000238A3" w:rsidP="00477398">
            <w:pPr>
              <w:pStyle w:val="Tables"/>
            </w:pPr>
          </w:p>
        </w:tc>
        <w:tc>
          <w:tcPr>
            <w:tcW w:w="432" w:type="dxa"/>
            <w:textDirection w:val="btLr"/>
            <w:vAlign w:val="bottom"/>
          </w:tcPr>
          <w:p w14:paraId="279B3B54" w14:textId="764D9B4E" w:rsidR="000238A3" w:rsidRPr="00911EDD" w:rsidRDefault="000238A3" w:rsidP="00477398">
            <w:pPr>
              <w:pStyle w:val="Tables"/>
              <w:rPr>
                <w:b/>
              </w:rPr>
            </w:pPr>
            <w:r w:rsidRPr="00911EDD">
              <w:rPr>
                <w:b/>
              </w:rPr>
              <w:t>Sugars</w:t>
            </w:r>
          </w:p>
        </w:tc>
        <w:tc>
          <w:tcPr>
            <w:tcW w:w="432" w:type="dxa"/>
            <w:textDirection w:val="btLr"/>
            <w:vAlign w:val="bottom"/>
          </w:tcPr>
          <w:p w14:paraId="448C569C" w14:textId="1A4C0935" w:rsidR="000238A3" w:rsidRPr="0052083D" w:rsidRDefault="000238A3" w:rsidP="00477398">
            <w:pPr>
              <w:pStyle w:val="Tables"/>
            </w:pPr>
            <w:r w:rsidRPr="0052083D">
              <w:t>Anhydrosugar: unknown (72)</w:t>
            </w:r>
          </w:p>
        </w:tc>
      </w:tr>
      <w:tr w:rsidR="000238A3" w:rsidRPr="0052083D" w14:paraId="1983CFB5" w14:textId="56E38207" w:rsidTr="000238A3">
        <w:trPr>
          <w:trHeight w:val="3152"/>
        </w:trPr>
        <w:tc>
          <w:tcPr>
            <w:tcW w:w="432" w:type="dxa"/>
            <w:shd w:val="clear" w:color="auto" w:fill="auto"/>
            <w:noWrap/>
            <w:textDirection w:val="btLr"/>
            <w:vAlign w:val="bottom"/>
            <w:hideMark/>
          </w:tcPr>
          <w:p w14:paraId="248AC513" w14:textId="77777777" w:rsidR="000238A3" w:rsidRPr="00911EDD" w:rsidRDefault="000238A3" w:rsidP="00477398">
            <w:pPr>
              <w:pStyle w:val="Tables"/>
              <w:rPr>
                <w:b/>
              </w:rPr>
            </w:pPr>
            <w:r w:rsidRPr="00911EDD">
              <w:rPr>
                <w:b/>
              </w:rPr>
              <w:t>Levoglucosan</w:t>
            </w:r>
          </w:p>
        </w:tc>
        <w:tc>
          <w:tcPr>
            <w:tcW w:w="432" w:type="dxa"/>
            <w:shd w:val="clear" w:color="auto" w:fill="auto"/>
            <w:noWrap/>
            <w:textDirection w:val="btLr"/>
            <w:vAlign w:val="bottom"/>
            <w:hideMark/>
          </w:tcPr>
          <w:p w14:paraId="7AB72744" w14:textId="77777777" w:rsidR="000238A3" w:rsidRPr="0052083D" w:rsidRDefault="000238A3" w:rsidP="00477398">
            <w:pPr>
              <w:pStyle w:val="Tables"/>
            </w:pPr>
            <w:r w:rsidRPr="0052083D">
              <w:t>Levoglucosan (101)</w:t>
            </w:r>
          </w:p>
        </w:tc>
        <w:tc>
          <w:tcPr>
            <w:tcW w:w="432" w:type="dxa"/>
            <w:shd w:val="clear" w:color="auto" w:fill="auto"/>
            <w:noWrap/>
            <w:textDirection w:val="btLr"/>
            <w:vAlign w:val="bottom"/>
            <w:hideMark/>
          </w:tcPr>
          <w:p w14:paraId="5F6A52D6" w14:textId="77777777" w:rsidR="000238A3" w:rsidRPr="0052083D" w:rsidRDefault="000238A3" w:rsidP="00477398">
            <w:pPr>
              <w:pStyle w:val="Tables"/>
            </w:pPr>
          </w:p>
        </w:tc>
        <w:tc>
          <w:tcPr>
            <w:tcW w:w="432" w:type="dxa"/>
            <w:shd w:val="clear" w:color="auto" w:fill="auto"/>
            <w:noWrap/>
            <w:textDirection w:val="btLr"/>
            <w:vAlign w:val="bottom"/>
            <w:hideMark/>
          </w:tcPr>
          <w:p w14:paraId="0CF8D4C1" w14:textId="77777777" w:rsidR="000238A3" w:rsidRPr="00911EDD" w:rsidRDefault="000238A3" w:rsidP="00477398">
            <w:pPr>
              <w:pStyle w:val="Tables"/>
              <w:rPr>
                <w:b/>
              </w:rPr>
            </w:pPr>
            <w:r w:rsidRPr="00911EDD">
              <w:rPr>
                <w:b/>
              </w:rPr>
              <w:t>Light Oxygenates</w:t>
            </w:r>
          </w:p>
        </w:tc>
        <w:tc>
          <w:tcPr>
            <w:tcW w:w="864" w:type="dxa"/>
            <w:gridSpan w:val="2"/>
            <w:shd w:val="clear" w:color="auto" w:fill="auto"/>
            <w:noWrap/>
            <w:textDirection w:val="btLr"/>
            <w:vAlign w:val="bottom"/>
            <w:hideMark/>
          </w:tcPr>
          <w:p w14:paraId="38C13261" w14:textId="1ED5A748" w:rsidR="000238A3" w:rsidRPr="0052083D" w:rsidRDefault="000238A3" w:rsidP="00477398">
            <w:pPr>
              <w:pStyle w:val="Tables"/>
            </w:pPr>
            <w:r w:rsidRPr="0052083D">
              <w:t>Light Oxygenate (OU) (Multiple peaks)</w:t>
            </w:r>
          </w:p>
        </w:tc>
        <w:tc>
          <w:tcPr>
            <w:tcW w:w="864" w:type="dxa"/>
            <w:gridSpan w:val="2"/>
            <w:shd w:val="clear" w:color="auto" w:fill="auto"/>
            <w:noWrap/>
            <w:textDirection w:val="btLr"/>
            <w:vAlign w:val="bottom"/>
          </w:tcPr>
          <w:p w14:paraId="02ED79D9" w14:textId="47F13CAB" w:rsidR="000238A3" w:rsidRPr="0052083D" w:rsidRDefault="000238A3" w:rsidP="00477398">
            <w:pPr>
              <w:pStyle w:val="Tables"/>
            </w:pPr>
            <w:r w:rsidRPr="0052083D">
              <w:t xml:space="preserve">2-Propenoic acid </w:t>
            </w:r>
            <w:r>
              <w:br/>
            </w:r>
            <w:r w:rsidRPr="0052083D">
              <w:t>methyl ester (23)</w:t>
            </w:r>
          </w:p>
        </w:tc>
        <w:tc>
          <w:tcPr>
            <w:tcW w:w="432" w:type="dxa"/>
            <w:shd w:val="clear" w:color="auto" w:fill="auto"/>
            <w:noWrap/>
            <w:textDirection w:val="btLr"/>
            <w:vAlign w:val="bottom"/>
          </w:tcPr>
          <w:p w14:paraId="6B683506" w14:textId="24395D30" w:rsidR="000238A3" w:rsidRPr="0052083D" w:rsidRDefault="000238A3" w:rsidP="00477398">
            <w:pPr>
              <w:pStyle w:val="Tables"/>
            </w:pPr>
            <w:r w:rsidRPr="0052083D">
              <w:t>3-Hydroxypropanal (26)</w:t>
            </w:r>
          </w:p>
        </w:tc>
        <w:tc>
          <w:tcPr>
            <w:tcW w:w="432" w:type="dxa"/>
            <w:shd w:val="clear" w:color="auto" w:fill="auto"/>
            <w:noWrap/>
            <w:textDirection w:val="btLr"/>
            <w:vAlign w:val="bottom"/>
          </w:tcPr>
          <w:p w14:paraId="17C7140E" w14:textId="47B8CA3C" w:rsidR="000238A3" w:rsidRPr="0052083D" w:rsidRDefault="000238A3" w:rsidP="00477398">
            <w:pPr>
              <w:pStyle w:val="Tables"/>
            </w:pPr>
            <w:r w:rsidRPr="0052083D">
              <w:t>Isomer of compound no. 33 (31)</w:t>
            </w:r>
          </w:p>
        </w:tc>
        <w:tc>
          <w:tcPr>
            <w:tcW w:w="432" w:type="dxa"/>
            <w:shd w:val="clear" w:color="auto" w:fill="auto"/>
            <w:noWrap/>
            <w:textDirection w:val="btLr"/>
            <w:vAlign w:val="bottom"/>
          </w:tcPr>
          <w:p w14:paraId="4B5924A4" w14:textId="17334ACC" w:rsidR="000238A3" w:rsidRPr="0052083D" w:rsidRDefault="000238A3" w:rsidP="00477398">
            <w:pPr>
              <w:pStyle w:val="Tables"/>
            </w:pPr>
            <w:r w:rsidRPr="0052083D">
              <w:t>1-Acetyloxypropane-2-one (38)</w:t>
            </w:r>
          </w:p>
        </w:tc>
        <w:tc>
          <w:tcPr>
            <w:tcW w:w="432" w:type="dxa"/>
            <w:shd w:val="clear" w:color="auto" w:fill="auto"/>
            <w:noWrap/>
            <w:textDirection w:val="btLr"/>
            <w:vAlign w:val="bottom"/>
          </w:tcPr>
          <w:p w14:paraId="35DF9353" w14:textId="1A641E44" w:rsidR="000238A3" w:rsidRPr="0052083D" w:rsidRDefault="000238A3" w:rsidP="00477398">
            <w:pPr>
              <w:pStyle w:val="Tables"/>
            </w:pPr>
          </w:p>
        </w:tc>
        <w:tc>
          <w:tcPr>
            <w:tcW w:w="432" w:type="dxa"/>
            <w:shd w:val="clear" w:color="auto" w:fill="auto"/>
            <w:noWrap/>
            <w:textDirection w:val="btLr"/>
            <w:vAlign w:val="bottom"/>
          </w:tcPr>
          <w:p w14:paraId="5D23B8A2" w14:textId="25C93646" w:rsidR="000238A3" w:rsidRPr="00911EDD" w:rsidRDefault="000238A3" w:rsidP="00477398">
            <w:pPr>
              <w:pStyle w:val="Tables"/>
              <w:rPr>
                <w:b/>
              </w:rPr>
            </w:pPr>
            <w:r w:rsidRPr="00911EDD">
              <w:rPr>
                <w:b/>
              </w:rPr>
              <w:t>Pyran Deriv.</w:t>
            </w:r>
          </w:p>
        </w:tc>
        <w:tc>
          <w:tcPr>
            <w:tcW w:w="864" w:type="dxa"/>
            <w:gridSpan w:val="2"/>
            <w:shd w:val="clear" w:color="auto" w:fill="auto"/>
            <w:noWrap/>
            <w:textDirection w:val="btLr"/>
            <w:vAlign w:val="bottom"/>
          </w:tcPr>
          <w:p w14:paraId="44163B27" w14:textId="28AB1FD7" w:rsidR="000238A3" w:rsidRPr="0052083D" w:rsidRDefault="000238A3" w:rsidP="00477398">
            <w:pPr>
              <w:pStyle w:val="Tables"/>
              <w:rPr>
                <w:sz w:val="20"/>
                <w:szCs w:val="20"/>
              </w:rPr>
            </w:pPr>
            <w:r w:rsidRPr="0052083D">
              <w:t>4-Hydroxy-5,6-dihydro-</w:t>
            </w:r>
            <w:r>
              <w:br/>
            </w:r>
            <w:r w:rsidRPr="0052083D">
              <w:t>(2H)-pyran-2-one (57)</w:t>
            </w:r>
          </w:p>
        </w:tc>
        <w:tc>
          <w:tcPr>
            <w:tcW w:w="864" w:type="dxa"/>
            <w:gridSpan w:val="2"/>
            <w:shd w:val="clear" w:color="auto" w:fill="auto"/>
            <w:noWrap/>
            <w:textDirection w:val="btLr"/>
            <w:vAlign w:val="bottom"/>
            <w:hideMark/>
          </w:tcPr>
          <w:p w14:paraId="70F2C88A" w14:textId="28ADA54C" w:rsidR="000238A3" w:rsidRPr="0052083D" w:rsidRDefault="000238A3" w:rsidP="00477398">
            <w:pPr>
              <w:pStyle w:val="Tables"/>
              <w:rPr>
                <w:sz w:val="20"/>
                <w:szCs w:val="20"/>
              </w:rPr>
            </w:pPr>
            <w:r w:rsidRPr="0052083D">
              <w:t>Methyl-dihydro-(2H)-</w:t>
            </w:r>
            <w:r>
              <w:br/>
            </w:r>
            <w:r w:rsidRPr="0052083D">
              <w:t>pyran-2-one (60)</w:t>
            </w:r>
          </w:p>
        </w:tc>
        <w:tc>
          <w:tcPr>
            <w:tcW w:w="432" w:type="dxa"/>
            <w:textDirection w:val="btLr"/>
          </w:tcPr>
          <w:p w14:paraId="71001AD6" w14:textId="77777777" w:rsidR="000238A3" w:rsidRPr="0052083D" w:rsidRDefault="000238A3" w:rsidP="00477398">
            <w:pPr>
              <w:pStyle w:val="Tables"/>
              <w:rPr>
                <w:sz w:val="20"/>
                <w:szCs w:val="20"/>
              </w:rPr>
            </w:pPr>
          </w:p>
        </w:tc>
      </w:tr>
      <w:tr w:rsidR="00776D60" w:rsidRPr="0052083D" w14:paraId="1B7CB984" w14:textId="2C126AD8" w:rsidTr="009D65C7">
        <w:trPr>
          <w:trHeight w:val="3080"/>
        </w:trPr>
        <w:tc>
          <w:tcPr>
            <w:tcW w:w="432" w:type="dxa"/>
            <w:shd w:val="clear" w:color="auto" w:fill="auto"/>
            <w:noWrap/>
            <w:textDirection w:val="btLr"/>
            <w:vAlign w:val="bottom"/>
            <w:hideMark/>
          </w:tcPr>
          <w:p w14:paraId="70C4009B" w14:textId="77777777" w:rsidR="00776D60" w:rsidRPr="009D65C7" w:rsidRDefault="00776D60" w:rsidP="00477398">
            <w:pPr>
              <w:pStyle w:val="Tables"/>
              <w:rPr>
                <w:b/>
              </w:rPr>
            </w:pPr>
            <w:r w:rsidRPr="009D65C7">
              <w:rPr>
                <w:b/>
              </w:rPr>
              <w:t>Acetic Acid</w:t>
            </w:r>
          </w:p>
        </w:tc>
        <w:tc>
          <w:tcPr>
            <w:tcW w:w="432" w:type="dxa"/>
            <w:shd w:val="clear" w:color="auto" w:fill="auto"/>
            <w:noWrap/>
            <w:textDirection w:val="btLr"/>
            <w:vAlign w:val="bottom"/>
            <w:hideMark/>
          </w:tcPr>
          <w:p w14:paraId="2A5840CE" w14:textId="77777777" w:rsidR="00776D60" w:rsidRPr="0052083D" w:rsidRDefault="00776D60" w:rsidP="00477398">
            <w:pPr>
              <w:pStyle w:val="Tables"/>
            </w:pPr>
            <w:r w:rsidRPr="0052083D">
              <w:t>Acetic acid (18)</w:t>
            </w:r>
          </w:p>
        </w:tc>
        <w:tc>
          <w:tcPr>
            <w:tcW w:w="432" w:type="dxa"/>
            <w:shd w:val="clear" w:color="auto" w:fill="auto"/>
            <w:noWrap/>
            <w:textDirection w:val="btLr"/>
            <w:vAlign w:val="bottom"/>
            <w:hideMark/>
          </w:tcPr>
          <w:p w14:paraId="16BAFA7A" w14:textId="77777777" w:rsidR="00776D60" w:rsidRPr="0052083D" w:rsidRDefault="00776D60" w:rsidP="00477398">
            <w:pPr>
              <w:pStyle w:val="Tables"/>
            </w:pPr>
          </w:p>
        </w:tc>
        <w:tc>
          <w:tcPr>
            <w:tcW w:w="432" w:type="dxa"/>
            <w:shd w:val="clear" w:color="auto" w:fill="auto"/>
            <w:noWrap/>
            <w:textDirection w:val="btLr"/>
            <w:vAlign w:val="bottom"/>
            <w:hideMark/>
          </w:tcPr>
          <w:p w14:paraId="1E27D36B" w14:textId="77777777" w:rsidR="00776D60" w:rsidRPr="009D65C7" w:rsidRDefault="00776D60" w:rsidP="00477398">
            <w:pPr>
              <w:pStyle w:val="Tables"/>
              <w:rPr>
                <w:b/>
              </w:rPr>
            </w:pPr>
            <w:r w:rsidRPr="009D65C7">
              <w:rPr>
                <w:b/>
              </w:rPr>
              <w:t>Alkyl Phenols</w:t>
            </w:r>
          </w:p>
        </w:tc>
        <w:tc>
          <w:tcPr>
            <w:tcW w:w="432" w:type="dxa"/>
            <w:shd w:val="clear" w:color="auto" w:fill="auto"/>
            <w:noWrap/>
            <w:textDirection w:val="btLr"/>
            <w:vAlign w:val="bottom"/>
            <w:hideMark/>
          </w:tcPr>
          <w:p w14:paraId="78E67314" w14:textId="77777777" w:rsidR="00776D60" w:rsidRPr="0052083D" w:rsidRDefault="00776D60" w:rsidP="00477398">
            <w:pPr>
              <w:pStyle w:val="Tables"/>
            </w:pPr>
            <w:r w:rsidRPr="0052083D">
              <w:t>Phenol (L2)</w:t>
            </w:r>
          </w:p>
        </w:tc>
        <w:tc>
          <w:tcPr>
            <w:tcW w:w="432" w:type="dxa"/>
            <w:shd w:val="clear" w:color="auto" w:fill="auto"/>
            <w:noWrap/>
            <w:textDirection w:val="btLr"/>
            <w:vAlign w:val="bottom"/>
            <w:hideMark/>
          </w:tcPr>
          <w:p w14:paraId="3BD9C3D9" w14:textId="77777777" w:rsidR="00776D60" w:rsidRPr="0052083D" w:rsidRDefault="00776D60" w:rsidP="00477398">
            <w:pPr>
              <w:pStyle w:val="Tables"/>
            </w:pPr>
            <w:r w:rsidRPr="0052083D">
              <w:t>Phenol, 4-ethyl- (L22)</w:t>
            </w:r>
          </w:p>
        </w:tc>
        <w:tc>
          <w:tcPr>
            <w:tcW w:w="432" w:type="dxa"/>
            <w:shd w:val="clear" w:color="auto" w:fill="auto"/>
            <w:noWrap/>
            <w:textDirection w:val="btLr"/>
            <w:vAlign w:val="bottom"/>
            <w:hideMark/>
          </w:tcPr>
          <w:p w14:paraId="2C3B1FCB" w14:textId="77777777" w:rsidR="00776D60" w:rsidRPr="0052083D" w:rsidRDefault="00776D60" w:rsidP="00477398">
            <w:pPr>
              <w:pStyle w:val="Tables"/>
            </w:pPr>
            <w:r w:rsidRPr="0052083D">
              <w:t>Phenol, 4-vinyl- (L14)</w:t>
            </w:r>
          </w:p>
        </w:tc>
        <w:tc>
          <w:tcPr>
            <w:tcW w:w="432" w:type="dxa"/>
            <w:shd w:val="clear" w:color="auto" w:fill="auto"/>
            <w:noWrap/>
            <w:textDirection w:val="btLr"/>
            <w:vAlign w:val="bottom"/>
            <w:hideMark/>
          </w:tcPr>
          <w:p w14:paraId="733F7EEB" w14:textId="77777777" w:rsidR="00776D60" w:rsidRPr="0052083D" w:rsidRDefault="00776D60" w:rsidP="00477398">
            <w:pPr>
              <w:pStyle w:val="Tables"/>
            </w:pPr>
          </w:p>
        </w:tc>
        <w:tc>
          <w:tcPr>
            <w:tcW w:w="432" w:type="dxa"/>
            <w:shd w:val="clear" w:color="auto" w:fill="auto"/>
            <w:noWrap/>
            <w:textDirection w:val="btLr"/>
            <w:vAlign w:val="bottom"/>
            <w:hideMark/>
          </w:tcPr>
          <w:p w14:paraId="65F4E4D8" w14:textId="77777777" w:rsidR="00776D60" w:rsidRPr="009D65C7" w:rsidRDefault="00776D60" w:rsidP="00477398">
            <w:pPr>
              <w:pStyle w:val="Tables"/>
              <w:rPr>
                <w:b/>
              </w:rPr>
            </w:pPr>
            <w:r w:rsidRPr="009D65C7">
              <w:rPr>
                <w:b/>
              </w:rPr>
              <w:t>Furfurals</w:t>
            </w:r>
          </w:p>
        </w:tc>
        <w:tc>
          <w:tcPr>
            <w:tcW w:w="432" w:type="dxa"/>
            <w:shd w:val="clear" w:color="auto" w:fill="auto"/>
            <w:noWrap/>
            <w:textDirection w:val="btLr"/>
            <w:vAlign w:val="bottom"/>
            <w:hideMark/>
          </w:tcPr>
          <w:p w14:paraId="7EFC2CD3" w14:textId="77777777" w:rsidR="00776D60" w:rsidRPr="0052083D" w:rsidRDefault="00776D60" w:rsidP="00477398">
            <w:pPr>
              <w:pStyle w:val="Tables"/>
            </w:pPr>
            <w:r w:rsidRPr="0052083D">
              <w:t>2-Furaldehyde (34)</w:t>
            </w:r>
          </w:p>
        </w:tc>
        <w:tc>
          <w:tcPr>
            <w:tcW w:w="432" w:type="dxa"/>
            <w:shd w:val="clear" w:color="auto" w:fill="auto"/>
            <w:noWrap/>
            <w:textDirection w:val="btLr"/>
            <w:vAlign w:val="bottom"/>
            <w:hideMark/>
          </w:tcPr>
          <w:p w14:paraId="2B508C3F" w14:textId="77777777" w:rsidR="00776D60" w:rsidRPr="0052083D" w:rsidRDefault="00776D60" w:rsidP="00477398">
            <w:pPr>
              <w:pStyle w:val="Tables"/>
            </w:pPr>
            <w:r w:rsidRPr="0052083D">
              <w:t>2-Furfuryl alcohol (37)</w:t>
            </w:r>
          </w:p>
        </w:tc>
        <w:tc>
          <w:tcPr>
            <w:tcW w:w="432" w:type="dxa"/>
            <w:shd w:val="clear" w:color="auto" w:fill="auto"/>
            <w:noWrap/>
            <w:textDirection w:val="btLr"/>
            <w:vAlign w:val="bottom"/>
            <w:hideMark/>
          </w:tcPr>
          <w:p w14:paraId="4C210E73" w14:textId="77777777" w:rsidR="00776D60" w:rsidRPr="0052083D" w:rsidRDefault="00776D60" w:rsidP="00477398">
            <w:pPr>
              <w:pStyle w:val="Tables"/>
            </w:pPr>
            <w:r w:rsidRPr="0052083D">
              <w:t>Dihydro-methyl-furanone (47)</w:t>
            </w:r>
          </w:p>
        </w:tc>
        <w:tc>
          <w:tcPr>
            <w:tcW w:w="432" w:type="dxa"/>
            <w:shd w:val="clear" w:color="auto" w:fill="auto"/>
            <w:noWrap/>
            <w:textDirection w:val="btLr"/>
            <w:vAlign w:val="bottom"/>
            <w:hideMark/>
          </w:tcPr>
          <w:p w14:paraId="2B342925" w14:textId="77777777" w:rsidR="00776D60" w:rsidRPr="0052083D" w:rsidRDefault="00776D60" w:rsidP="00477398">
            <w:pPr>
              <w:pStyle w:val="Tables"/>
            </w:pPr>
            <w:r w:rsidRPr="0052083D">
              <w:t>Dihydro-methyl-furanone (48)</w:t>
            </w:r>
          </w:p>
        </w:tc>
        <w:tc>
          <w:tcPr>
            <w:tcW w:w="432" w:type="dxa"/>
            <w:shd w:val="clear" w:color="auto" w:fill="auto"/>
            <w:noWrap/>
            <w:textDirection w:val="btLr"/>
            <w:vAlign w:val="bottom"/>
            <w:hideMark/>
          </w:tcPr>
          <w:p w14:paraId="0B1B4257" w14:textId="77777777" w:rsidR="00776D60" w:rsidRPr="0052083D" w:rsidRDefault="00776D60" w:rsidP="00477398">
            <w:pPr>
              <w:pStyle w:val="Tables"/>
            </w:pPr>
            <w:r w:rsidRPr="0052083D">
              <w:t>5-Methyl-2-furaldehyde (50)</w:t>
            </w:r>
          </w:p>
        </w:tc>
        <w:tc>
          <w:tcPr>
            <w:tcW w:w="432" w:type="dxa"/>
            <w:shd w:val="clear" w:color="auto" w:fill="auto"/>
            <w:noWrap/>
            <w:textDirection w:val="btLr"/>
            <w:vAlign w:val="bottom"/>
            <w:hideMark/>
          </w:tcPr>
          <w:p w14:paraId="2FCCCB8A" w14:textId="77777777" w:rsidR="00776D60" w:rsidRPr="0052083D" w:rsidRDefault="00776D60" w:rsidP="00477398">
            <w:pPr>
              <w:pStyle w:val="Tables"/>
            </w:pPr>
            <w:r w:rsidRPr="0052083D">
              <w:t>gamma-Butyrolactone (53)</w:t>
            </w:r>
          </w:p>
        </w:tc>
        <w:tc>
          <w:tcPr>
            <w:tcW w:w="432" w:type="dxa"/>
            <w:shd w:val="clear" w:color="auto" w:fill="auto"/>
            <w:noWrap/>
            <w:textDirection w:val="btLr"/>
            <w:vAlign w:val="bottom"/>
            <w:hideMark/>
          </w:tcPr>
          <w:p w14:paraId="5EA92EFE" w14:textId="77777777" w:rsidR="00776D60" w:rsidRPr="0052083D" w:rsidRDefault="00776D60" w:rsidP="00477398">
            <w:pPr>
              <w:pStyle w:val="Tables"/>
            </w:pPr>
            <w:r w:rsidRPr="0052083D">
              <w:t>(5H)-Furan-2-one (54)</w:t>
            </w:r>
          </w:p>
        </w:tc>
        <w:tc>
          <w:tcPr>
            <w:tcW w:w="432" w:type="dxa"/>
            <w:textDirection w:val="btLr"/>
          </w:tcPr>
          <w:p w14:paraId="1A2BF618" w14:textId="77777777" w:rsidR="00776D60" w:rsidRPr="0052083D" w:rsidRDefault="00776D60" w:rsidP="00477398">
            <w:pPr>
              <w:pStyle w:val="Tables"/>
            </w:pPr>
          </w:p>
        </w:tc>
        <w:tc>
          <w:tcPr>
            <w:tcW w:w="432" w:type="dxa"/>
            <w:textDirection w:val="btLr"/>
          </w:tcPr>
          <w:p w14:paraId="5999B7E9" w14:textId="77777777" w:rsidR="00776D60" w:rsidRPr="0052083D" w:rsidRDefault="00776D60" w:rsidP="00477398">
            <w:pPr>
              <w:pStyle w:val="Tables"/>
            </w:pPr>
          </w:p>
        </w:tc>
      </w:tr>
    </w:tbl>
    <w:p w14:paraId="2A1FC310" w14:textId="38493036" w:rsidR="00DC5DD1" w:rsidRDefault="00582813" w:rsidP="00DC5DD1">
      <w:pPr>
        <w:pStyle w:val="Caption"/>
      </w:pPr>
      <w:bookmarkStart w:id="186" w:name="_Toc449964948"/>
      <w:r>
        <w:t xml:space="preserve">Table </w:t>
      </w:r>
      <w:fldSimple w:instr=" STYLEREF &quot;Chapter&quot; \s ">
        <w:r w:rsidR="00463F52">
          <w:rPr>
            <w:noProof/>
          </w:rPr>
          <w:t>7</w:t>
        </w:r>
      </w:fldSimple>
      <w:r>
        <w:t>.</w:t>
      </w:r>
      <w:fldSimple w:instr=" SEQ Table \* ARABIC \s 1 ">
        <w:r w:rsidR="00463F52">
          <w:rPr>
            <w:noProof/>
          </w:rPr>
          <w:t>3</w:t>
        </w:r>
      </w:fldSimple>
      <w:r>
        <w:t>.</w:t>
      </w:r>
      <w:r w:rsidRPr="008E2374">
        <w:t xml:space="preserve"> </w:t>
      </w:r>
      <w:r w:rsidRPr="005C299E">
        <w:rPr>
          <w:b w:val="0"/>
        </w:rPr>
        <w:t>Compounds identified and used in this study.</w:t>
      </w:r>
      <w:bookmarkEnd w:id="186"/>
      <w:r w:rsidR="009D552D">
        <w:t xml:space="preserve"> </w:t>
      </w:r>
      <w:r w:rsidR="0074036B">
        <w:br w:type="page"/>
      </w:r>
    </w:p>
    <w:p w14:paraId="6ACB608E" w14:textId="7FBC3C8A" w:rsidR="00DC5DD1" w:rsidRDefault="00DC5DD1" w:rsidP="005C7E19">
      <w:pPr>
        <w:pStyle w:val="Heading2"/>
      </w:pPr>
      <w:bookmarkStart w:id="187" w:name="_Toc449964901"/>
      <w:r>
        <w:lastRenderedPageBreak/>
        <w:t>Results</w:t>
      </w:r>
      <w:bookmarkEnd w:id="187"/>
    </w:p>
    <w:p w14:paraId="20D9841E" w14:textId="3D65E259" w:rsidR="00A13230" w:rsidRDefault="009D552D" w:rsidP="0025555A">
      <w:r>
        <w:t xml:space="preserve">The thermochemical products from the 8 samples run are shown in </w:t>
      </w:r>
      <w:r w:rsidRPr="008D52D9">
        <w:t xml:space="preserve">figure </w:t>
      </w:r>
      <w:r w:rsidR="008D52D9" w:rsidRPr="008D52D9">
        <w:t>7.3</w:t>
      </w:r>
      <w:r>
        <w:t xml:space="preserve">. Comparable amounts of methoxyphenols were produced by both the wild-types &amp; mutants; however, mutants produced much less alkyl phenols per milligram of switchgrass. A paired t-test for means was performed to assess if the differences in the means of the normalized yields were significant (p &gt; 0.1). The results are shown in </w:t>
      </w:r>
      <w:r w:rsidRPr="008D52D9">
        <w:t xml:space="preserve">table </w:t>
      </w:r>
      <w:r w:rsidR="008D52D9" w:rsidRPr="008D52D9">
        <w:t>7.</w:t>
      </w:r>
      <w:r w:rsidRPr="008D52D9">
        <w:t>4</w:t>
      </w:r>
      <w:r>
        <w:t xml:space="preserve"> and indicate that there is not a significant difference in the yields per gram of biomass of any of the compound groups except for the alkyl phenols.</w:t>
      </w:r>
    </w:p>
    <w:p w14:paraId="49DD3436" w14:textId="53AE46D1" w:rsidR="009D552D" w:rsidRDefault="00A13230" w:rsidP="0000478D">
      <w:pPr>
        <w:pStyle w:val="NoSpacing"/>
      </w:pPr>
      <w:r>
        <w:rPr>
          <w:noProof/>
        </w:rPr>
        <w:lastRenderedPageBreak/>
        <w:drawing>
          <wp:inline distT="0" distB="0" distL="0" distR="0" wp14:anchorId="1EDAA06D" wp14:editId="4F8661A9">
            <wp:extent cx="6983307" cy="5394960"/>
            <wp:effectExtent l="6668" t="0" r="8572" b="8573"/>
            <wp:docPr id="51" name="Picture 51" descr="../../../../Dropbox/Biomass%20Pyrolysis/Manuscripts/Mutant%20switchgrasses/yield%20figure%20normalized%20t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ropbox/Biomass%20Pyrolysis/Manuscripts/Mutant%20switchgrasses/yield%20figure%20normalized%20to%2"/>
                    <pic:cNvPicPr>
                      <a:picLocks noChangeAspect="1" noChangeArrowheads="1"/>
                    </pic:cNvPicPr>
                  </pic:nvPicPr>
                  <pic:blipFill rotWithShape="1">
                    <a:blip r:embed="rId96">
                      <a:extLst>
                        <a:ext uri="{28A0092B-C50C-407E-A947-70E740481C1C}">
                          <a14:useLocalDpi xmlns:a14="http://schemas.microsoft.com/office/drawing/2010/main" val="0"/>
                        </a:ext>
                      </a:extLst>
                    </a:blip>
                    <a:srcRect l="23310" t="20033" r="10021" b="13322"/>
                    <a:stretch/>
                  </pic:blipFill>
                  <pic:spPr bwMode="auto">
                    <a:xfrm rot="16200000">
                      <a:off x="0" y="0"/>
                      <a:ext cx="6983307" cy="5394960"/>
                    </a:xfrm>
                    <a:prstGeom prst="rect">
                      <a:avLst/>
                    </a:prstGeom>
                    <a:noFill/>
                    <a:ln>
                      <a:noFill/>
                    </a:ln>
                    <a:extLst>
                      <a:ext uri="{53640926-AAD7-44D8-BBD7-CCE9431645EC}">
                        <a14:shadowObscured xmlns:a14="http://schemas.microsoft.com/office/drawing/2010/main"/>
                      </a:ext>
                    </a:extLst>
                  </pic:spPr>
                </pic:pic>
              </a:graphicData>
            </a:graphic>
          </wp:inline>
        </w:drawing>
      </w:r>
    </w:p>
    <w:p w14:paraId="29A6BD24" w14:textId="77777777" w:rsidR="001B3EEC" w:rsidRDefault="00512881" w:rsidP="007E09CF">
      <w:pPr>
        <w:pStyle w:val="Caption"/>
        <w:rPr>
          <w:b w:val="0"/>
        </w:rPr>
      </w:pPr>
      <w:bookmarkStart w:id="188" w:name="_Toc449965022"/>
      <w:r w:rsidRPr="00E73E07">
        <w:t xml:space="preserve">Figure </w:t>
      </w:r>
      <w:fldSimple w:instr=" STYLEREF &quot;Chapter&quot; \s ">
        <w:r w:rsidR="00463F52">
          <w:rPr>
            <w:noProof/>
          </w:rPr>
          <w:t>7</w:t>
        </w:r>
      </w:fldSimple>
      <w:r w:rsidRPr="00E73E07">
        <w:t>.</w:t>
      </w:r>
      <w:fldSimple w:instr=" SEQ Figure \* ARABIC \s 1 ">
        <w:r w:rsidR="00463F52">
          <w:rPr>
            <w:noProof/>
          </w:rPr>
          <w:t>3</w:t>
        </w:r>
      </w:fldSimple>
      <w:r w:rsidRPr="00E73E07">
        <w:rPr>
          <w:noProof/>
        </w:rPr>
        <w:t>.</w:t>
      </w:r>
      <w:r w:rsidRPr="0087215B">
        <w:t xml:space="preserve"> </w:t>
      </w:r>
      <w:r w:rsidRPr="00512881">
        <w:rPr>
          <w:b w:val="0"/>
        </w:rPr>
        <w:t>Combined lump yields for all compo</w:t>
      </w:r>
      <w:r w:rsidR="001B3EEC">
        <w:rPr>
          <w:b w:val="0"/>
        </w:rPr>
        <w:t>unds and samples in this study.</w:t>
      </w:r>
      <w:bookmarkEnd w:id="188"/>
    </w:p>
    <w:p w14:paraId="3350D3DA" w14:textId="7CB2D508" w:rsidR="009D65C7" w:rsidRPr="007E09CF" w:rsidRDefault="00512881" w:rsidP="007E09CF">
      <w:pPr>
        <w:pStyle w:val="Caption"/>
        <w:rPr>
          <w:b w:val="0"/>
        </w:rPr>
      </w:pPr>
      <w:r w:rsidRPr="00512881">
        <w:rPr>
          <w:b w:val="0"/>
        </w:rPr>
        <w:t xml:space="preserve">Yield values are (Summed compound peak areas) / (mg of raw </w:t>
      </w:r>
      <w:r w:rsidR="00AC32D8" w:rsidRPr="00512881">
        <w:rPr>
          <w:b w:val="0"/>
        </w:rPr>
        <w:t>switchgrass</w:t>
      </w:r>
      <w:r w:rsidRPr="00512881">
        <w:rPr>
          <w:b w:val="0"/>
        </w:rPr>
        <w:t>). All samples run at 290°C, 120s</w:t>
      </w:r>
      <w:r w:rsidRPr="009B77F6">
        <w:rPr>
          <w:b w:val="0"/>
        </w:rPr>
        <w:t>.</w:t>
      </w:r>
      <w:r w:rsidR="00CA44F4">
        <w:rPr>
          <w:b w:val="0"/>
        </w:rPr>
        <w:t xml:space="preserve"> Each value reported is the mean of three technical replicates; error bars indicate 95% confidence interval of the mean for these three replicates.</w:t>
      </w:r>
      <w:r>
        <w:rPr>
          <w:b w:val="0"/>
        </w:rPr>
        <w:br w:type="page"/>
      </w:r>
    </w:p>
    <w:p w14:paraId="4628E198" w14:textId="13EEE1B6" w:rsidR="009D552D" w:rsidRDefault="009D552D" w:rsidP="009D552D">
      <w:r>
        <w:lastRenderedPageBreak/>
        <w:t>T</w:t>
      </w:r>
      <w:r w:rsidR="007E09CF">
        <w:t>he</w:t>
      </w:r>
      <w:r>
        <w:t xml:space="preserve"> two phenolic compound groups</w:t>
      </w:r>
      <w:r w:rsidR="007E09CF">
        <w:t xml:space="preserve"> (alkyl phenols and methoxyphenols)</w:t>
      </w:r>
      <w:r>
        <w:t xml:space="preserve"> were summed together and the result was normalized per milligram of lignin in the sample; this result is shown in </w:t>
      </w:r>
      <w:r w:rsidRPr="008D52D9">
        <w:t xml:space="preserve">figure </w:t>
      </w:r>
      <w:r w:rsidR="008D52D9" w:rsidRPr="008D52D9">
        <w:t>7.4</w:t>
      </w:r>
      <w:r>
        <w:t xml:space="preserve">. All of the wild-types tested yielded more phenolics per milligram of lignin than did the mutants, although the yield of sample </w:t>
      </w:r>
      <w:r w:rsidR="008D52D9">
        <w:t>SG</w:t>
      </w:r>
      <w:r>
        <w:t>5 was virtually identical to the highest yielding sample of the wild-type</w:t>
      </w:r>
      <w:r w:rsidR="00724621">
        <w:t xml:space="preserve"> (SG7)</w:t>
      </w:r>
      <w:r>
        <w:t>.</w:t>
      </w:r>
    </w:p>
    <w:p w14:paraId="2FDE0BD5" w14:textId="1C32D1B7" w:rsidR="009D552D" w:rsidRDefault="007E09CF" w:rsidP="0000478D">
      <w:pPr>
        <w:pStyle w:val="NoSpacing"/>
      </w:pPr>
      <w:r>
        <w:rPr>
          <w:noProof/>
        </w:rPr>
        <w:drawing>
          <wp:inline distT="0" distB="0" distL="0" distR="0" wp14:anchorId="783C91DC" wp14:editId="6D7CDAB0">
            <wp:extent cx="5394960" cy="3436027"/>
            <wp:effectExtent l="0" t="0" r="0" b="0"/>
            <wp:docPr id="54" name="Picture 54" descr="../../../../Dropbox/Biomass%20Pyrolysis/Manuscripts/Mutant%20switchgrasses/phenolics%20yield%20norm%20to%20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ropbox/Biomass%20Pyrolysis/Manuscripts/Mutant%20switchgrasses/phenolics%20yield%20norm%20to%20l"/>
                    <pic:cNvPicPr>
                      <a:picLocks noChangeAspect="1" noChangeArrowheads="1"/>
                    </pic:cNvPicPr>
                  </pic:nvPicPr>
                  <pic:blipFill rotWithShape="1">
                    <a:blip r:embed="rId97">
                      <a:extLst>
                        <a:ext uri="{28A0092B-C50C-407E-A947-70E740481C1C}">
                          <a14:useLocalDpi xmlns:a14="http://schemas.microsoft.com/office/drawing/2010/main" val="0"/>
                        </a:ext>
                      </a:extLst>
                    </a:blip>
                    <a:srcRect l="10138" t="20433" r="10038" b="13618"/>
                    <a:stretch/>
                  </pic:blipFill>
                  <pic:spPr bwMode="auto">
                    <a:xfrm>
                      <a:off x="0" y="0"/>
                      <a:ext cx="5394960" cy="3436027"/>
                    </a:xfrm>
                    <a:prstGeom prst="rect">
                      <a:avLst/>
                    </a:prstGeom>
                    <a:noFill/>
                    <a:ln>
                      <a:noFill/>
                    </a:ln>
                    <a:extLst>
                      <a:ext uri="{53640926-AAD7-44D8-BBD7-CCE9431645EC}">
                        <a14:shadowObscured xmlns:a14="http://schemas.microsoft.com/office/drawing/2010/main"/>
                      </a:ext>
                    </a:extLst>
                  </pic:spPr>
                </pic:pic>
              </a:graphicData>
            </a:graphic>
          </wp:inline>
        </w:drawing>
      </w:r>
    </w:p>
    <w:p w14:paraId="6589E716" w14:textId="77777777" w:rsidR="001B3EEC" w:rsidRDefault="0076077F" w:rsidP="0076077F">
      <w:pPr>
        <w:pStyle w:val="Caption"/>
        <w:rPr>
          <w:b w:val="0"/>
        </w:rPr>
      </w:pPr>
      <w:bookmarkStart w:id="189" w:name="_Toc449965023"/>
      <w:r w:rsidRPr="00E73E07">
        <w:t xml:space="preserve">Figure </w:t>
      </w:r>
      <w:fldSimple w:instr=" STYLEREF &quot;Chapter&quot; \s ">
        <w:r w:rsidR="00463F52">
          <w:rPr>
            <w:noProof/>
          </w:rPr>
          <w:t>7</w:t>
        </w:r>
      </w:fldSimple>
      <w:r w:rsidRPr="00E73E07">
        <w:t>.</w:t>
      </w:r>
      <w:fldSimple w:instr=" SEQ Figure \* ARABIC \s 1 ">
        <w:r w:rsidR="00463F52">
          <w:rPr>
            <w:noProof/>
          </w:rPr>
          <w:t>4</w:t>
        </w:r>
      </w:fldSimple>
      <w:r w:rsidRPr="00E73E07">
        <w:rPr>
          <w:noProof/>
        </w:rPr>
        <w:t>.</w:t>
      </w:r>
      <w:r w:rsidRPr="0087215B">
        <w:t xml:space="preserve"> </w:t>
      </w:r>
      <w:r w:rsidR="00265CA2" w:rsidRPr="00265CA2">
        <w:rPr>
          <w:b w:val="0"/>
        </w:rPr>
        <w:t>Wild</w:t>
      </w:r>
      <w:r w:rsidR="00AC32D8">
        <w:rPr>
          <w:b w:val="0"/>
        </w:rPr>
        <w:t>-</w:t>
      </w:r>
      <w:r w:rsidR="00265CA2" w:rsidRPr="00265CA2">
        <w:rPr>
          <w:b w:val="0"/>
        </w:rPr>
        <w:t>type vs. M</w:t>
      </w:r>
      <w:r w:rsidR="001B3EEC">
        <w:rPr>
          <w:b w:val="0"/>
        </w:rPr>
        <w:t>utant phenolic compound yields.</w:t>
      </w:r>
      <w:bookmarkEnd w:id="189"/>
    </w:p>
    <w:p w14:paraId="1C6292D9" w14:textId="767327E8" w:rsidR="0076077F" w:rsidRPr="007E09CF" w:rsidRDefault="00265CA2" w:rsidP="0076077F">
      <w:pPr>
        <w:pStyle w:val="Caption"/>
        <w:rPr>
          <w:b w:val="0"/>
        </w:rPr>
      </w:pPr>
      <w:r w:rsidRPr="00265CA2">
        <w:rPr>
          <w:b w:val="0"/>
        </w:rPr>
        <w:t xml:space="preserve">Yield values are (Summed phenolic compound peak areas) / [(mg of raw </w:t>
      </w:r>
      <w:r w:rsidR="00AC32D8" w:rsidRPr="00265CA2">
        <w:rPr>
          <w:b w:val="0"/>
        </w:rPr>
        <w:t>switchgrass</w:t>
      </w:r>
      <w:r w:rsidRPr="00265CA2">
        <w:rPr>
          <w:b w:val="0"/>
        </w:rPr>
        <w:t>) * (wt % lignin)]. All samples run at 290°C, 120s</w:t>
      </w:r>
    </w:p>
    <w:p w14:paraId="18269D05" w14:textId="77777777" w:rsidR="0076077F" w:rsidRDefault="0076077F" w:rsidP="009D552D"/>
    <w:p w14:paraId="74E48B85" w14:textId="47C98838" w:rsidR="00265CA2" w:rsidRDefault="00265CA2" w:rsidP="00265CA2">
      <w:r w:rsidRPr="00265CA2">
        <w:t xml:space="preserve">A paired t-test for means was performed to assess if the differences in the means of these lignin-normalized combined </w:t>
      </w:r>
      <w:r w:rsidR="00AC32D8" w:rsidRPr="00265CA2">
        <w:t>phenolics</w:t>
      </w:r>
      <w:r w:rsidRPr="00265CA2">
        <w:t xml:space="preserve"> yields were significant (p &gt; 0.1). The results are shown in </w:t>
      </w:r>
      <w:r w:rsidRPr="00724621">
        <w:t xml:space="preserve">table </w:t>
      </w:r>
      <w:r w:rsidR="00724621" w:rsidRPr="00724621">
        <w:t>7.4</w:t>
      </w:r>
      <w:r w:rsidRPr="00265CA2">
        <w:t xml:space="preserve"> and indicate that there is a significant difference in the yields per gram of lignin in the biomass of the phenolics at the conditions tested.</w:t>
      </w:r>
    </w:p>
    <w:p w14:paraId="3B7CA5C7" w14:textId="37F096B0" w:rsidR="00265CA2" w:rsidRPr="00265CA2" w:rsidRDefault="00DB2EB3" w:rsidP="00DB2EB3">
      <w:pPr>
        <w:spacing w:line="240" w:lineRule="auto"/>
      </w:pPr>
      <w:r>
        <w:br w:type="page"/>
      </w:r>
    </w:p>
    <w:tbl>
      <w:tblPr>
        <w:tblW w:w="6107" w:type="dxa"/>
        <w:jc w:val="center"/>
        <w:tblLook w:val="04A0" w:firstRow="1" w:lastRow="0" w:firstColumn="1" w:lastColumn="0" w:noHBand="0" w:noVBand="1"/>
      </w:tblPr>
      <w:tblGrid>
        <w:gridCol w:w="3302"/>
        <w:gridCol w:w="1418"/>
        <w:gridCol w:w="1518"/>
      </w:tblGrid>
      <w:tr w:rsidR="00265CA2" w14:paraId="0DDAEB31" w14:textId="77777777" w:rsidTr="0000478D">
        <w:trPr>
          <w:trHeight w:val="351"/>
          <w:jc w:val="center"/>
        </w:trPr>
        <w:tc>
          <w:tcPr>
            <w:tcW w:w="6107" w:type="dxa"/>
            <w:gridSpan w:val="3"/>
            <w:tcBorders>
              <w:top w:val="single" w:sz="4" w:space="0" w:color="auto"/>
              <w:left w:val="single" w:sz="4" w:space="0" w:color="auto"/>
              <w:bottom w:val="nil"/>
              <w:right w:val="single" w:sz="4" w:space="0" w:color="auto"/>
            </w:tcBorders>
            <w:shd w:val="clear" w:color="auto" w:fill="auto"/>
            <w:noWrap/>
            <w:vAlign w:val="bottom"/>
          </w:tcPr>
          <w:p w14:paraId="43BEE819" w14:textId="06C5112E" w:rsidR="00265CA2" w:rsidRDefault="00265CA2" w:rsidP="00265CA2">
            <w:pPr>
              <w:pStyle w:val="Tables"/>
            </w:pPr>
            <w:r>
              <w:lastRenderedPageBreak/>
              <w:t>t-Test: Paired Two Sample for Means</w:t>
            </w:r>
          </w:p>
        </w:tc>
      </w:tr>
      <w:tr w:rsidR="00265CA2" w14:paraId="401824EC" w14:textId="77777777" w:rsidTr="0000478D">
        <w:trPr>
          <w:trHeight w:val="300"/>
          <w:jc w:val="center"/>
        </w:trPr>
        <w:tc>
          <w:tcPr>
            <w:tcW w:w="3302" w:type="dxa"/>
            <w:tcBorders>
              <w:top w:val="single" w:sz="8" w:space="0" w:color="auto"/>
              <w:left w:val="single" w:sz="4" w:space="0" w:color="auto"/>
              <w:bottom w:val="single" w:sz="4" w:space="0" w:color="auto"/>
              <w:right w:val="nil"/>
            </w:tcBorders>
            <w:shd w:val="clear" w:color="auto" w:fill="auto"/>
            <w:noWrap/>
            <w:vAlign w:val="bottom"/>
            <w:hideMark/>
          </w:tcPr>
          <w:p w14:paraId="227D5DB1" w14:textId="77777777" w:rsidR="00265CA2" w:rsidRDefault="00265CA2" w:rsidP="00265CA2">
            <w:pPr>
              <w:pStyle w:val="Tables"/>
              <w:rPr>
                <w:i/>
                <w:iCs/>
              </w:rPr>
            </w:pPr>
            <w:r>
              <w:rPr>
                <w:i/>
                <w:iCs/>
              </w:rPr>
              <w:t> </w:t>
            </w:r>
          </w:p>
        </w:tc>
        <w:tc>
          <w:tcPr>
            <w:tcW w:w="1418" w:type="dxa"/>
            <w:tcBorders>
              <w:top w:val="single" w:sz="8" w:space="0" w:color="auto"/>
              <w:left w:val="nil"/>
              <w:bottom w:val="single" w:sz="4" w:space="0" w:color="auto"/>
              <w:right w:val="nil"/>
            </w:tcBorders>
            <w:shd w:val="clear" w:color="auto" w:fill="auto"/>
            <w:noWrap/>
            <w:vAlign w:val="bottom"/>
            <w:hideMark/>
          </w:tcPr>
          <w:p w14:paraId="3E800D31" w14:textId="5E3C6515" w:rsidR="00265CA2" w:rsidRDefault="00265CA2" w:rsidP="00265CA2">
            <w:pPr>
              <w:pStyle w:val="Tables"/>
              <w:rPr>
                <w:i/>
                <w:iCs/>
              </w:rPr>
            </w:pPr>
            <w:r>
              <w:rPr>
                <w:i/>
                <w:iCs/>
              </w:rPr>
              <w:t>Wild</w:t>
            </w:r>
            <w:r w:rsidR="00AC32D8">
              <w:rPr>
                <w:i/>
                <w:iCs/>
              </w:rPr>
              <w:t>-</w:t>
            </w:r>
            <w:r>
              <w:rPr>
                <w:i/>
                <w:iCs/>
              </w:rPr>
              <w:t>type</w:t>
            </w:r>
          </w:p>
        </w:tc>
        <w:tc>
          <w:tcPr>
            <w:tcW w:w="1387" w:type="dxa"/>
            <w:tcBorders>
              <w:top w:val="single" w:sz="8" w:space="0" w:color="auto"/>
              <w:left w:val="nil"/>
              <w:bottom w:val="single" w:sz="4" w:space="0" w:color="auto"/>
              <w:right w:val="single" w:sz="4" w:space="0" w:color="auto"/>
            </w:tcBorders>
            <w:shd w:val="clear" w:color="auto" w:fill="auto"/>
            <w:noWrap/>
            <w:vAlign w:val="bottom"/>
            <w:hideMark/>
          </w:tcPr>
          <w:p w14:paraId="5186EBFD" w14:textId="77777777" w:rsidR="00265CA2" w:rsidRDefault="00265CA2" w:rsidP="00265CA2">
            <w:pPr>
              <w:pStyle w:val="Tables"/>
              <w:rPr>
                <w:i/>
                <w:iCs/>
              </w:rPr>
            </w:pPr>
            <w:r>
              <w:rPr>
                <w:i/>
                <w:iCs/>
              </w:rPr>
              <w:t>Mutant</w:t>
            </w:r>
          </w:p>
        </w:tc>
      </w:tr>
      <w:tr w:rsidR="00265CA2" w14:paraId="224212E4" w14:textId="77777777" w:rsidTr="0000478D">
        <w:trPr>
          <w:trHeight w:val="300"/>
          <w:jc w:val="center"/>
        </w:trPr>
        <w:tc>
          <w:tcPr>
            <w:tcW w:w="3302" w:type="dxa"/>
            <w:tcBorders>
              <w:top w:val="nil"/>
              <w:left w:val="single" w:sz="4" w:space="0" w:color="auto"/>
              <w:bottom w:val="nil"/>
              <w:right w:val="nil"/>
            </w:tcBorders>
            <w:shd w:val="clear" w:color="auto" w:fill="auto"/>
            <w:noWrap/>
            <w:vAlign w:val="bottom"/>
            <w:hideMark/>
          </w:tcPr>
          <w:p w14:paraId="794D4DAB" w14:textId="77777777" w:rsidR="00265CA2" w:rsidRDefault="00265CA2" w:rsidP="00265CA2">
            <w:pPr>
              <w:pStyle w:val="Tables"/>
            </w:pPr>
            <w:r>
              <w:t>Mean</w:t>
            </w:r>
          </w:p>
        </w:tc>
        <w:tc>
          <w:tcPr>
            <w:tcW w:w="1418" w:type="dxa"/>
            <w:tcBorders>
              <w:top w:val="nil"/>
              <w:left w:val="nil"/>
              <w:bottom w:val="nil"/>
              <w:right w:val="nil"/>
            </w:tcBorders>
            <w:shd w:val="clear" w:color="auto" w:fill="auto"/>
            <w:noWrap/>
            <w:vAlign w:val="bottom"/>
            <w:hideMark/>
          </w:tcPr>
          <w:p w14:paraId="25A99474" w14:textId="77777777" w:rsidR="00265CA2" w:rsidRDefault="00265CA2" w:rsidP="00265CA2">
            <w:pPr>
              <w:pStyle w:val="Tables"/>
            </w:pPr>
            <w:r>
              <w:t>4883371.75</w:t>
            </w:r>
          </w:p>
        </w:tc>
        <w:tc>
          <w:tcPr>
            <w:tcW w:w="1387" w:type="dxa"/>
            <w:tcBorders>
              <w:top w:val="nil"/>
              <w:left w:val="nil"/>
              <w:bottom w:val="nil"/>
              <w:right w:val="single" w:sz="4" w:space="0" w:color="auto"/>
            </w:tcBorders>
            <w:shd w:val="clear" w:color="auto" w:fill="auto"/>
            <w:noWrap/>
            <w:vAlign w:val="bottom"/>
            <w:hideMark/>
          </w:tcPr>
          <w:p w14:paraId="75B0FF61" w14:textId="77777777" w:rsidR="00265CA2" w:rsidRDefault="00265CA2" w:rsidP="00265CA2">
            <w:pPr>
              <w:pStyle w:val="Tables"/>
            </w:pPr>
            <w:r>
              <w:t>3839352.509</w:t>
            </w:r>
          </w:p>
        </w:tc>
      </w:tr>
      <w:tr w:rsidR="00265CA2" w14:paraId="4935CD88" w14:textId="77777777" w:rsidTr="0000478D">
        <w:trPr>
          <w:trHeight w:val="300"/>
          <w:jc w:val="center"/>
        </w:trPr>
        <w:tc>
          <w:tcPr>
            <w:tcW w:w="3302" w:type="dxa"/>
            <w:tcBorders>
              <w:top w:val="nil"/>
              <w:left w:val="single" w:sz="4" w:space="0" w:color="auto"/>
              <w:bottom w:val="nil"/>
              <w:right w:val="nil"/>
            </w:tcBorders>
            <w:shd w:val="clear" w:color="auto" w:fill="auto"/>
            <w:noWrap/>
            <w:vAlign w:val="bottom"/>
            <w:hideMark/>
          </w:tcPr>
          <w:p w14:paraId="5BDB88F9" w14:textId="77777777" w:rsidR="00265CA2" w:rsidRDefault="00265CA2" w:rsidP="00265CA2">
            <w:pPr>
              <w:pStyle w:val="Tables"/>
            </w:pPr>
            <w:r>
              <w:t>Variance</w:t>
            </w:r>
          </w:p>
        </w:tc>
        <w:tc>
          <w:tcPr>
            <w:tcW w:w="1418" w:type="dxa"/>
            <w:tcBorders>
              <w:top w:val="nil"/>
              <w:left w:val="nil"/>
              <w:bottom w:val="nil"/>
              <w:right w:val="nil"/>
            </w:tcBorders>
            <w:shd w:val="clear" w:color="auto" w:fill="auto"/>
            <w:noWrap/>
            <w:vAlign w:val="bottom"/>
            <w:hideMark/>
          </w:tcPr>
          <w:p w14:paraId="102291A0" w14:textId="77777777" w:rsidR="00265CA2" w:rsidRDefault="00265CA2" w:rsidP="00265CA2">
            <w:pPr>
              <w:pStyle w:val="Tables"/>
            </w:pPr>
            <w:r>
              <w:t>4.2142E+11</w:t>
            </w:r>
          </w:p>
        </w:tc>
        <w:tc>
          <w:tcPr>
            <w:tcW w:w="1387" w:type="dxa"/>
            <w:tcBorders>
              <w:top w:val="nil"/>
              <w:left w:val="nil"/>
              <w:bottom w:val="nil"/>
              <w:right w:val="single" w:sz="4" w:space="0" w:color="auto"/>
            </w:tcBorders>
            <w:shd w:val="clear" w:color="auto" w:fill="auto"/>
            <w:noWrap/>
            <w:vAlign w:val="bottom"/>
            <w:hideMark/>
          </w:tcPr>
          <w:p w14:paraId="19396073" w14:textId="77777777" w:rsidR="00265CA2" w:rsidRDefault="00265CA2" w:rsidP="00265CA2">
            <w:pPr>
              <w:pStyle w:val="Tables"/>
            </w:pPr>
            <w:r>
              <w:t>1.09436E+11</w:t>
            </w:r>
          </w:p>
        </w:tc>
      </w:tr>
      <w:tr w:rsidR="00265CA2" w14:paraId="13D25048" w14:textId="77777777" w:rsidTr="0000478D">
        <w:trPr>
          <w:trHeight w:val="300"/>
          <w:jc w:val="center"/>
        </w:trPr>
        <w:tc>
          <w:tcPr>
            <w:tcW w:w="3302" w:type="dxa"/>
            <w:tcBorders>
              <w:top w:val="nil"/>
              <w:left w:val="single" w:sz="4" w:space="0" w:color="auto"/>
              <w:bottom w:val="nil"/>
              <w:right w:val="nil"/>
            </w:tcBorders>
            <w:shd w:val="clear" w:color="auto" w:fill="auto"/>
            <w:noWrap/>
            <w:vAlign w:val="bottom"/>
            <w:hideMark/>
          </w:tcPr>
          <w:p w14:paraId="301AA543" w14:textId="77777777" w:rsidR="00265CA2" w:rsidRDefault="00265CA2" w:rsidP="00265CA2">
            <w:pPr>
              <w:pStyle w:val="Tables"/>
            </w:pPr>
            <w:r>
              <w:t>Observations</w:t>
            </w:r>
          </w:p>
        </w:tc>
        <w:tc>
          <w:tcPr>
            <w:tcW w:w="1418" w:type="dxa"/>
            <w:tcBorders>
              <w:top w:val="nil"/>
              <w:left w:val="nil"/>
              <w:bottom w:val="nil"/>
              <w:right w:val="nil"/>
            </w:tcBorders>
            <w:shd w:val="clear" w:color="auto" w:fill="auto"/>
            <w:noWrap/>
            <w:vAlign w:val="bottom"/>
            <w:hideMark/>
          </w:tcPr>
          <w:p w14:paraId="0942C06D" w14:textId="77777777" w:rsidR="00265CA2" w:rsidRDefault="00265CA2" w:rsidP="00265CA2">
            <w:pPr>
              <w:pStyle w:val="Tables"/>
            </w:pPr>
            <w:r>
              <w:t>4</w:t>
            </w:r>
          </w:p>
        </w:tc>
        <w:tc>
          <w:tcPr>
            <w:tcW w:w="1387" w:type="dxa"/>
            <w:tcBorders>
              <w:top w:val="nil"/>
              <w:left w:val="nil"/>
              <w:bottom w:val="nil"/>
              <w:right w:val="single" w:sz="4" w:space="0" w:color="auto"/>
            </w:tcBorders>
            <w:shd w:val="clear" w:color="auto" w:fill="auto"/>
            <w:noWrap/>
            <w:vAlign w:val="bottom"/>
            <w:hideMark/>
          </w:tcPr>
          <w:p w14:paraId="60DCDB34" w14:textId="77777777" w:rsidR="00265CA2" w:rsidRDefault="00265CA2" w:rsidP="00265CA2">
            <w:pPr>
              <w:pStyle w:val="Tables"/>
            </w:pPr>
            <w:r>
              <w:t>4</w:t>
            </w:r>
          </w:p>
        </w:tc>
      </w:tr>
      <w:tr w:rsidR="00265CA2" w14:paraId="1C014F08" w14:textId="77777777" w:rsidTr="0000478D">
        <w:trPr>
          <w:trHeight w:val="300"/>
          <w:jc w:val="center"/>
        </w:trPr>
        <w:tc>
          <w:tcPr>
            <w:tcW w:w="3302" w:type="dxa"/>
            <w:tcBorders>
              <w:top w:val="nil"/>
              <w:left w:val="single" w:sz="4" w:space="0" w:color="auto"/>
              <w:bottom w:val="nil"/>
              <w:right w:val="nil"/>
            </w:tcBorders>
            <w:shd w:val="clear" w:color="auto" w:fill="auto"/>
            <w:noWrap/>
            <w:vAlign w:val="bottom"/>
            <w:hideMark/>
          </w:tcPr>
          <w:p w14:paraId="065E8D56" w14:textId="77777777" w:rsidR="00265CA2" w:rsidRDefault="00265CA2" w:rsidP="00265CA2">
            <w:pPr>
              <w:pStyle w:val="Tables"/>
            </w:pPr>
            <w:r>
              <w:t>Pearson Correlation</w:t>
            </w:r>
          </w:p>
        </w:tc>
        <w:tc>
          <w:tcPr>
            <w:tcW w:w="1418" w:type="dxa"/>
            <w:tcBorders>
              <w:top w:val="nil"/>
              <w:left w:val="nil"/>
              <w:bottom w:val="nil"/>
              <w:right w:val="nil"/>
            </w:tcBorders>
            <w:shd w:val="clear" w:color="auto" w:fill="auto"/>
            <w:noWrap/>
            <w:vAlign w:val="bottom"/>
            <w:hideMark/>
          </w:tcPr>
          <w:p w14:paraId="7460D20A" w14:textId="399C5EFD" w:rsidR="00265CA2" w:rsidRDefault="00265CA2" w:rsidP="00DE400B">
            <w:pPr>
              <w:pStyle w:val="Tables"/>
            </w:pPr>
            <w:r>
              <w:t>0.0227</w:t>
            </w:r>
          </w:p>
        </w:tc>
        <w:tc>
          <w:tcPr>
            <w:tcW w:w="1387" w:type="dxa"/>
            <w:tcBorders>
              <w:top w:val="nil"/>
              <w:left w:val="nil"/>
              <w:bottom w:val="nil"/>
              <w:right w:val="single" w:sz="4" w:space="0" w:color="auto"/>
            </w:tcBorders>
            <w:shd w:val="clear" w:color="auto" w:fill="auto"/>
            <w:noWrap/>
            <w:vAlign w:val="bottom"/>
            <w:hideMark/>
          </w:tcPr>
          <w:p w14:paraId="4166B382" w14:textId="77777777" w:rsidR="00265CA2" w:rsidRDefault="00265CA2" w:rsidP="00265CA2">
            <w:pPr>
              <w:pStyle w:val="Tables"/>
            </w:pPr>
          </w:p>
        </w:tc>
      </w:tr>
      <w:tr w:rsidR="00265CA2" w14:paraId="2ACBCD3E" w14:textId="77777777" w:rsidTr="0000478D">
        <w:trPr>
          <w:trHeight w:val="300"/>
          <w:jc w:val="center"/>
        </w:trPr>
        <w:tc>
          <w:tcPr>
            <w:tcW w:w="3302" w:type="dxa"/>
            <w:tcBorders>
              <w:top w:val="nil"/>
              <w:left w:val="single" w:sz="4" w:space="0" w:color="auto"/>
              <w:bottom w:val="nil"/>
              <w:right w:val="nil"/>
            </w:tcBorders>
            <w:shd w:val="clear" w:color="auto" w:fill="auto"/>
            <w:noWrap/>
            <w:vAlign w:val="bottom"/>
            <w:hideMark/>
          </w:tcPr>
          <w:p w14:paraId="7941A059" w14:textId="77777777" w:rsidR="00265CA2" w:rsidRDefault="00265CA2" w:rsidP="00265CA2">
            <w:pPr>
              <w:pStyle w:val="Tables"/>
            </w:pPr>
            <w:r>
              <w:t>Hypothesized Mean Difference</w:t>
            </w:r>
          </w:p>
        </w:tc>
        <w:tc>
          <w:tcPr>
            <w:tcW w:w="1418" w:type="dxa"/>
            <w:tcBorders>
              <w:top w:val="nil"/>
              <w:left w:val="nil"/>
              <w:bottom w:val="nil"/>
              <w:right w:val="nil"/>
            </w:tcBorders>
            <w:shd w:val="clear" w:color="auto" w:fill="auto"/>
            <w:noWrap/>
            <w:vAlign w:val="bottom"/>
            <w:hideMark/>
          </w:tcPr>
          <w:p w14:paraId="65B16A3E" w14:textId="77777777" w:rsidR="00265CA2" w:rsidRDefault="00265CA2" w:rsidP="00265CA2">
            <w:pPr>
              <w:pStyle w:val="Tables"/>
            </w:pPr>
            <w:r>
              <w:t>0</w:t>
            </w:r>
          </w:p>
        </w:tc>
        <w:tc>
          <w:tcPr>
            <w:tcW w:w="1387" w:type="dxa"/>
            <w:tcBorders>
              <w:top w:val="nil"/>
              <w:left w:val="nil"/>
              <w:bottom w:val="nil"/>
              <w:right w:val="single" w:sz="4" w:space="0" w:color="auto"/>
            </w:tcBorders>
            <w:shd w:val="clear" w:color="auto" w:fill="auto"/>
            <w:noWrap/>
            <w:vAlign w:val="bottom"/>
            <w:hideMark/>
          </w:tcPr>
          <w:p w14:paraId="6245CCB9" w14:textId="77777777" w:rsidR="00265CA2" w:rsidRDefault="00265CA2" w:rsidP="00265CA2">
            <w:pPr>
              <w:pStyle w:val="Tables"/>
            </w:pPr>
          </w:p>
        </w:tc>
      </w:tr>
      <w:tr w:rsidR="00265CA2" w14:paraId="7ABF1532" w14:textId="77777777" w:rsidTr="0000478D">
        <w:trPr>
          <w:trHeight w:val="300"/>
          <w:jc w:val="center"/>
        </w:trPr>
        <w:tc>
          <w:tcPr>
            <w:tcW w:w="3302" w:type="dxa"/>
            <w:tcBorders>
              <w:top w:val="nil"/>
              <w:left w:val="single" w:sz="4" w:space="0" w:color="auto"/>
              <w:bottom w:val="nil"/>
              <w:right w:val="nil"/>
            </w:tcBorders>
            <w:shd w:val="clear" w:color="auto" w:fill="auto"/>
            <w:noWrap/>
            <w:vAlign w:val="bottom"/>
            <w:hideMark/>
          </w:tcPr>
          <w:p w14:paraId="678D9CE9" w14:textId="77777777" w:rsidR="00265CA2" w:rsidRDefault="00265CA2" w:rsidP="00265CA2">
            <w:pPr>
              <w:pStyle w:val="Tables"/>
            </w:pPr>
            <w:r>
              <w:t>df</w:t>
            </w:r>
          </w:p>
        </w:tc>
        <w:tc>
          <w:tcPr>
            <w:tcW w:w="1418" w:type="dxa"/>
            <w:tcBorders>
              <w:top w:val="nil"/>
              <w:left w:val="nil"/>
              <w:bottom w:val="nil"/>
              <w:right w:val="nil"/>
            </w:tcBorders>
            <w:shd w:val="clear" w:color="auto" w:fill="auto"/>
            <w:noWrap/>
            <w:vAlign w:val="bottom"/>
            <w:hideMark/>
          </w:tcPr>
          <w:p w14:paraId="3EC98B3C" w14:textId="77777777" w:rsidR="00265CA2" w:rsidRDefault="00265CA2" w:rsidP="00265CA2">
            <w:pPr>
              <w:pStyle w:val="Tables"/>
            </w:pPr>
            <w:r>
              <w:t>3</w:t>
            </w:r>
          </w:p>
        </w:tc>
        <w:tc>
          <w:tcPr>
            <w:tcW w:w="1387" w:type="dxa"/>
            <w:tcBorders>
              <w:top w:val="nil"/>
              <w:left w:val="nil"/>
              <w:bottom w:val="nil"/>
              <w:right w:val="single" w:sz="4" w:space="0" w:color="auto"/>
            </w:tcBorders>
            <w:shd w:val="clear" w:color="auto" w:fill="auto"/>
            <w:noWrap/>
            <w:vAlign w:val="bottom"/>
            <w:hideMark/>
          </w:tcPr>
          <w:p w14:paraId="54EF488C" w14:textId="77777777" w:rsidR="00265CA2" w:rsidRDefault="00265CA2" w:rsidP="00265CA2">
            <w:pPr>
              <w:pStyle w:val="Tables"/>
            </w:pPr>
          </w:p>
        </w:tc>
      </w:tr>
      <w:tr w:rsidR="00265CA2" w14:paraId="4B862563" w14:textId="77777777" w:rsidTr="0000478D">
        <w:trPr>
          <w:trHeight w:val="300"/>
          <w:jc w:val="center"/>
        </w:trPr>
        <w:tc>
          <w:tcPr>
            <w:tcW w:w="3302" w:type="dxa"/>
            <w:tcBorders>
              <w:top w:val="nil"/>
              <w:left w:val="single" w:sz="4" w:space="0" w:color="auto"/>
              <w:bottom w:val="nil"/>
              <w:right w:val="nil"/>
            </w:tcBorders>
            <w:shd w:val="clear" w:color="auto" w:fill="auto"/>
            <w:noWrap/>
            <w:vAlign w:val="bottom"/>
            <w:hideMark/>
          </w:tcPr>
          <w:p w14:paraId="0F9D266A" w14:textId="77777777" w:rsidR="00265CA2" w:rsidRDefault="00265CA2" w:rsidP="00265CA2">
            <w:pPr>
              <w:pStyle w:val="Tables"/>
            </w:pPr>
            <w:r>
              <w:t>t Stat</w:t>
            </w:r>
          </w:p>
        </w:tc>
        <w:tc>
          <w:tcPr>
            <w:tcW w:w="1418" w:type="dxa"/>
            <w:tcBorders>
              <w:top w:val="nil"/>
              <w:left w:val="nil"/>
              <w:bottom w:val="nil"/>
              <w:right w:val="nil"/>
            </w:tcBorders>
            <w:shd w:val="clear" w:color="auto" w:fill="auto"/>
            <w:noWrap/>
            <w:vAlign w:val="bottom"/>
            <w:hideMark/>
          </w:tcPr>
          <w:p w14:paraId="1AD75EBE" w14:textId="3EF4CF73" w:rsidR="00265CA2" w:rsidRDefault="00265CA2" w:rsidP="00DE400B">
            <w:pPr>
              <w:pStyle w:val="Tables"/>
            </w:pPr>
            <w:r>
              <w:t>2.8925</w:t>
            </w:r>
          </w:p>
        </w:tc>
        <w:tc>
          <w:tcPr>
            <w:tcW w:w="1387" w:type="dxa"/>
            <w:tcBorders>
              <w:top w:val="nil"/>
              <w:left w:val="nil"/>
              <w:bottom w:val="nil"/>
              <w:right w:val="single" w:sz="4" w:space="0" w:color="auto"/>
            </w:tcBorders>
            <w:shd w:val="clear" w:color="auto" w:fill="auto"/>
            <w:noWrap/>
            <w:vAlign w:val="bottom"/>
            <w:hideMark/>
          </w:tcPr>
          <w:p w14:paraId="535A5545" w14:textId="77777777" w:rsidR="00265CA2" w:rsidRDefault="00265CA2" w:rsidP="00265CA2">
            <w:pPr>
              <w:pStyle w:val="Tables"/>
            </w:pPr>
          </w:p>
        </w:tc>
      </w:tr>
      <w:tr w:rsidR="00265CA2" w14:paraId="665AE0EA" w14:textId="77777777" w:rsidTr="0000478D">
        <w:trPr>
          <w:trHeight w:val="300"/>
          <w:jc w:val="center"/>
        </w:trPr>
        <w:tc>
          <w:tcPr>
            <w:tcW w:w="3302" w:type="dxa"/>
            <w:tcBorders>
              <w:top w:val="nil"/>
              <w:left w:val="single" w:sz="4" w:space="0" w:color="auto"/>
              <w:bottom w:val="nil"/>
              <w:right w:val="nil"/>
            </w:tcBorders>
            <w:shd w:val="clear" w:color="auto" w:fill="auto"/>
            <w:noWrap/>
            <w:vAlign w:val="bottom"/>
            <w:hideMark/>
          </w:tcPr>
          <w:p w14:paraId="74552153" w14:textId="77777777" w:rsidR="00265CA2" w:rsidRDefault="00265CA2" w:rsidP="00265CA2">
            <w:pPr>
              <w:pStyle w:val="Tables"/>
            </w:pPr>
            <w:r>
              <w:t>P(T&lt;=t) one-tail</w:t>
            </w:r>
          </w:p>
        </w:tc>
        <w:tc>
          <w:tcPr>
            <w:tcW w:w="1418" w:type="dxa"/>
            <w:tcBorders>
              <w:top w:val="nil"/>
              <w:left w:val="nil"/>
              <w:bottom w:val="nil"/>
              <w:right w:val="nil"/>
            </w:tcBorders>
            <w:shd w:val="clear" w:color="auto" w:fill="auto"/>
            <w:noWrap/>
            <w:vAlign w:val="bottom"/>
            <w:hideMark/>
          </w:tcPr>
          <w:p w14:paraId="00EC6F9B" w14:textId="50C749D1" w:rsidR="00265CA2" w:rsidRDefault="00265CA2" w:rsidP="00DE400B">
            <w:pPr>
              <w:pStyle w:val="Tables"/>
            </w:pPr>
            <w:r>
              <w:t>0.0314</w:t>
            </w:r>
          </w:p>
        </w:tc>
        <w:tc>
          <w:tcPr>
            <w:tcW w:w="1387" w:type="dxa"/>
            <w:tcBorders>
              <w:top w:val="nil"/>
              <w:left w:val="nil"/>
              <w:bottom w:val="nil"/>
              <w:right w:val="single" w:sz="4" w:space="0" w:color="auto"/>
            </w:tcBorders>
            <w:shd w:val="clear" w:color="auto" w:fill="auto"/>
            <w:noWrap/>
            <w:vAlign w:val="bottom"/>
            <w:hideMark/>
          </w:tcPr>
          <w:p w14:paraId="098249EE" w14:textId="77777777" w:rsidR="00265CA2" w:rsidRDefault="00265CA2" w:rsidP="00265CA2">
            <w:pPr>
              <w:pStyle w:val="Tables"/>
            </w:pPr>
          </w:p>
        </w:tc>
      </w:tr>
      <w:tr w:rsidR="00265CA2" w14:paraId="5644B9BE" w14:textId="77777777" w:rsidTr="0000478D">
        <w:trPr>
          <w:trHeight w:val="300"/>
          <w:jc w:val="center"/>
        </w:trPr>
        <w:tc>
          <w:tcPr>
            <w:tcW w:w="3302" w:type="dxa"/>
            <w:tcBorders>
              <w:top w:val="nil"/>
              <w:left w:val="single" w:sz="4" w:space="0" w:color="auto"/>
              <w:bottom w:val="nil"/>
              <w:right w:val="nil"/>
            </w:tcBorders>
            <w:shd w:val="clear" w:color="auto" w:fill="auto"/>
            <w:noWrap/>
            <w:vAlign w:val="bottom"/>
            <w:hideMark/>
          </w:tcPr>
          <w:p w14:paraId="477351DA" w14:textId="77777777" w:rsidR="00265CA2" w:rsidRDefault="00265CA2" w:rsidP="00265CA2">
            <w:pPr>
              <w:pStyle w:val="Tables"/>
            </w:pPr>
            <w:r>
              <w:t>t Critical one-tail</w:t>
            </w:r>
          </w:p>
        </w:tc>
        <w:tc>
          <w:tcPr>
            <w:tcW w:w="1418" w:type="dxa"/>
            <w:tcBorders>
              <w:top w:val="nil"/>
              <w:left w:val="nil"/>
              <w:bottom w:val="nil"/>
              <w:right w:val="nil"/>
            </w:tcBorders>
            <w:shd w:val="clear" w:color="auto" w:fill="auto"/>
            <w:noWrap/>
            <w:vAlign w:val="bottom"/>
            <w:hideMark/>
          </w:tcPr>
          <w:p w14:paraId="2E17FC73" w14:textId="11CC19EF" w:rsidR="00265CA2" w:rsidRDefault="00265CA2" w:rsidP="00DE400B">
            <w:pPr>
              <w:pStyle w:val="Tables"/>
            </w:pPr>
            <w:r>
              <w:t>2.353</w:t>
            </w:r>
            <w:r w:rsidR="00DE400B">
              <w:t>4</w:t>
            </w:r>
          </w:p>
        </w:tc>
        <w:tc>
          <w:tcPr>
            <w:tcW w:w="1387" w:type="dxa"/>
            <w:tcBorders>
              <w:top w:val="nil"/>
              <w:left w:val="nil"/>
              <w:bottom w:val="nil"/>
              <w:right w:val="single" w:sz="4" w:space="0" w:color="auto"/>
            </w:tcBorders>
            <w:shd w:val="clear" w:color="auto" w:fill="auto"/>
            <w:noWrap/>
            <w:vAlign w:val="bottom"/>
            <w:hideMark/>
          </w:tcPr>
          <w:p w14:paraId="693CA2F6" w14:textId="77777777" w:rsidR="00265CA2" w:rsidRDefault="00265CA2" w:rsidP="00265CA2">
            <w:pPr>
              <w:pStyle w:val="Tables"/>
            </w:pPr>
          </w:p>
        </w:tc>
      </w:tr>
      <w:tr w:rsidR="00265CA2" w14:paraId="5FC25098" w14:textId="77777777" w:rsidTr="0000478D">
        <w:trPr>
          <w:trHeight w:val="300"/>
          <w:jc w:val="center"/>
        </w:trPr>
        <w:tc>
          <w:tcPr>
            <w:tcW w:w="3302" w:type="dxa"/>
            <w:tcBorders>
              <w:top w:val="nil"/>
              <w:left w:val="single" w:sz="4" w:space="0" w:color="auto"/>
              <w:bottom w:val="nil"/>
              <w:right w:val="nil"/>
            </w:tcBorders>
            <w:shd w:val="clear" w:color="auto" w:fill="auto"/>
            <w:noWrap/>
            <w:vAlign w:val="bottom"/>
            <w:hideMark/>
          </w:tcPr>
          <w:p w14:paraId="259689F6" w14:textId="77777777" w:rsidR="00265CA2" w:rsidRDefault="00265CA2" w:rsidP="00265CA2">
            <w:pPr>
              <w:pStyle w:val="Tables"/>
            </w:pPr>
            <w:r>
              <w:t>P(T&lt;=t) two-tail</w:t>
            </w:r>
          </w:p>
        </w:tc>
        <w:tc>
          <w:tcPr>
            <w:tcW w:w="1418" w:type="dxa"/>
            <w:tcBorders>
              <w:top w:val="nil"/>
              <w:left w:val="nil"/>
              <w:bottom w:val="nil"/>
              <w:right w:val="nil"/>
            </w:tcBorders>
            <w:shd w:val="clear" w:color="auto" w:fill="auto"/>
            <w:noWrap/>
            <w:vAlign w:val="bottom"/>
            <w:hideMark/>
          </w:tcPr>
          <w:p w14:paraId="1B377757" w14:textId="7EF665C7" w:rsidR="00265CA2" w:rsidRDefault="00265CA2" w:rsidP="00DE400B">
            <w:pPr>
              <w:pStyle w:val="Tables"/>
            </w:pPr>
            <w:r>
              <w:t>0.062</w:t>
            </w:r>
            <w:r w:rsidR="00DE400B">
              <w:t>9</w:t>
            </w:r>
          </w:p>
        </w:tc>
        <w:tc>
          <w:tcPr>
            <w:tcW w:w="1387" w:type="dxa"/>
            <w:tcBorders>
              <w:top w:val="nil"/>
              <w:left w:val="nil"/>
              <w:bottom w:val="nil"/>
              <w:right w:val="single" w:sz="4" w:space="0" w:color="auto"/>
            </w:tcBorders>
            <w:shd w:val="clear" w:color="auto" w:fill="auto"/>
            <w:noWrap/>
            <w:vAlign w:val="bottom"/>
            <w:hideMark/>
          </w:tcPr>
          <w:p w14:paraId="39E9F755" w14:textId="77777777" w:rsidR="00265CA2" w:rsidRDefault="00265CA2" w:rsidP="00265CA2">
            <w:pPr>
              <w:pStyle w:val="Tables"/>
            </w:pPr>
          </w:p>
        </w:tc>
      </w:tr>
      <w:tr w:rsidR="00265CA2" w14:paraId="6C6D6F61" w14:textId="77777777" w:rsidTr="0000478D">
        <w:trPr>
          <w:trHeight w:val="320"/>
          <w:jc w:val="center"/>
        </w:trPr>
        <w:tc>
          <w:tcPr>
            <w:tcW w:w="3302" w:type="dxa"/>
            <w:tcBorders>
              <w:top w:val="nil"/>
              <w:left w:val="single" w:sz="4" w:space="0" w:color="auto"/>
              <w:bottom w:val="single" w:sz="4" w:space="0" w:color="auto"/>
              <w:right w:val="nil"/>
            </w:tcBorders>
            <w:shd w:val="clear" w:color="auto" w:fill="auto"/>
            <w:noWrap/>
            <w:vAlign w:val="bottom"/>
            <w:hideMark/>
          </w:tcPr>
          <w:p w14:paraId="3C9AB375" w14:textId="77777777" w:rsidR="00265CA2" w:rsidRDefault="00265CA2" w:rsidP="00265CA2">
            <w:pPr>
              <w:pStyle w:val="Tables"/>
            </w:pPr>
            <w:r>
              <w:t>t Critical two-tail</w:t>
            </w:r>
          </w:p>
        </w:tc>
        <w:tc>
          <w:tcPr>
            <w:tcW w:w="1418" w:type="dxa"/>
            <w:tcBorders>
              <w:top w:val="nil"/>
              <w:left w:val="nil"/>
              <w:bottom w:val="single" w:sz="4" w:space="0" w:color="auto"/>
              <w:right w:val="nil"/>
            </w:tcBorders>
            <w:shd w:val="clear" w:color="auto" w:fill="auto"/>
            <w:noWrap/>
            <w:vAlign w:val="bottom"/>
            <w:hideMark/>
          </w:tcPr>
          <w:p w14:paraId="15E359FC" w14:textId="4DAB8225" w:rsidR="00265CA2" w:rsidRDefault="00265CA2" w:rsidP="00DE400B">
            <w:pPr>
              <w:pStyle w:val="Tables"/>
            </w:pPr>
            <w:r>
              <w:t>3.1824</w:t>
            </w:r>
          </w:p>
        </w:tc>
        <w:tc>
          <w:tcPr>
            <w:tcW w:w="1387" w:type="dxa"/>
            <w:tcBorders>
              <w:top w:val="nil"/>
              <w:left w:val="nil"/>
              <w:bottom w:val="single" w:sz="4" w:space="0" w:color="auto"/>
              <w:right w:val="single" w:sz="4" w:space="0" w:color="auto"/>
            </w:tcBorders>
            <w:shd w:val="clear" w:color="auto" w:fill="auto"/>
            <w:noWrap/>
            <w:vAlign w:val="bottom"/>
            <w:hideMark/>
          </w:tcPr>
          <w:p w14:paraId="4DFFE127" w14:textId="77777777" w:rsidR="00265CA2" w:rsidRDefault="00265CA2" w:rsidP="00265CA2">
            <w:pPr>
              <w:pStyle w:val="Tables"/>
            </w:pPr>
            <w:r>
              <w:t> </w:t>
            </w:r>
          </w:p>
        </w:tc>
      </w:tr>
    </w:tbl>
    <w:p w14:paraId="469340F9" w14:textId="55241654" w:rsidR="00265CA2" w:rsidRDefault="00265CA2" w:rsidP="00265CA2">
      <w:pPr>
        <w:pStyle w:val="Caption"/>
      </w:pPr>
      <w:bookmarkStart w:id="190" w:name="_Toc449964949"/>
      <w:r>
        <w:t xml:space="preserve">Table </w:t>
      </w:r>
      <w:fldSimple w:instr=" STYLEREF &quot;Chapter&quot; \s ">
        <w:r w:rsidR="00463F52">
          <w:rPr>
            <w:noProof/>
          </w:rPr>
          <w:t>7</w:t>
        </w:r>
      </w:fldSimple>
      <w:r>
        <w:t>.</w:t>
      </w:r>
      <w:fldSimple w:instr=" SEQ Table \* ARABIC \s 1 ">
        <w:r w:rsidR="00463F52">
          <w:rPr>
            <w:noProof/>
          </w:rPr>
          <w:t>4</w:t>
        </w:r>
      </w:fldSimple>
      <w:r>
        <w:t>.</w:t>
      </w:r>
      <w:r w:rsidRPr="008E2374">
        <w:t xml:space="preserve"> </w:t>
      </w:r>
      <w:r w:rsidRPr="00265CA2">
        <w:rPr>
          <w:b w:val="0"/>
        </w:rPr>
        <w:t>t-test of sample means of phenolic yields normalized to the amount of lignin in switchgrass samples.</w:t>
      </w:r>
      <w:bookmarkEnd w:id="190"/>
      <w:r>
        <w:t xml:space="preserve"> </w:t>
      </w:r>
    </w:p>
    <w:p w14:paraId="2E68471D" w14:textId="77777777" w:rsidR="00124B7F" w:rsidRDefault="00124B7F" w:rsidP="00E14E39"/>
    <w:p w14:paraId="6894DD12" w14:textId="09CA304A" w:rsidR="007E619F" w:rsidRDefault="0090178F" w:rsidP="00E14E39">
      <w:r w:rsidRPr="0090178F">
        <w:t>Figure 7.5</w:t>
      </w:r>
      <w:r w:rsidR="00E14E39" w:rsidRPr="00E14E39">
        <w:t xml:space="preserve"> shows the contributions of each of the identified phenolic compounds to the total lignin-normalized yield results, color-coded by the originating monomer unit. 4-vinyl phenol (</w:t>
      </w:r>
      <w:r w:rsidR="00E14E39" w:rsidRPr="00794B41">
        <w:rPr>
          <w:b/>
          <w:i/>
        </w:rPr>
        <w:t>H</w:t>
      </w:r>
      <w:r w:rsidR="00E14E39" w:rsidRPr="00E14E39">
        <w:t xml:space="preserve"> monomer derived) and 4-vinyl guaiacol (</w:t>
      </w:r>
      <w:r w:rsidR="00E14E39" w:rsidRPr="00794B41">
        <w:rPr>
          <w:b/>
          <w:i/>
        </w:rPr>
        <w:t>G</w:t>
      </w:r>
      <w:r w:rsidR="00E14E39" w:rsidRPr="00E14E39">
        <w:t xml:space="preserve"> monomers derived) dominate the results, and few dimethoxy</w:t>
      </w:r>
      <w:r w:rsidR="00794B41">
        <w:t>-</w:t>
      </w:r>
      <w:r w:rsidR="00E14E39" w:rsidRPr="00E14E39">
        <w:t>substituted phenolic products</w:t>
      </w:r>
      <w:r w:rsidR="008868F7">
        <w:t xml:space="preserve"> (</w:t>
      </w:r>
      <w:r w:rsidR="008868F7" w:rsidRPr="008868F7">
        <w:rPr>
          <w:b/>
          <w:i/>
        </w:rPr>
        <w:t>S</w:t>
      </w:r>
      <w:r w:rsidR="008868F7">
        <w:t xml:space="preserve"> monomer derived)</w:t>
      </w:r>
      <w:r w:rsidR="00E14E39" w:rsidRPr="00E14E39">
        <w:t xml:space="preserve"> are observed. Most of the differences observed in the normalized phenolic yields of the mutants and wild</w:t>
      </w:r>
      <w:r w:rsidR="00794B41">
        <w:t>-</w:t>
      </w:r>
      <w:r w:rsidR="00E14E39" w:rsidRPr="00E14E39">
        <w:t xml:space="preserve">types </w:t>
      </w:r>
      <w:r w:rsidR="005E242E">
        <w:t>are</w:t>
      </w:r>
      <w:r w:rsidR="00E14E39" w:rsidRPr="00E14E39">
        <w:t xml:space="preserve"> due to the difference in the 4-vinyl phenol (</w:t>
      </w:r>
      <w:r w:rsidR="00E14E39" w:rsidRPr="00124B7F">
        <w:t>figure 7</w:t>
      </w:r>
      <w:r w:rsidR="00124B7F" w:rsidRPr="00124B7F">
        <w:t>.6</w:t>
      </w:r>
      <w:r w:rsidR="003F050D">
        <w:t>).</w:t>
      </w:r>
    </w:p>
    <w:p w14:paraId="6161F0F2" w14:textId="77777777" w:rsidR="00124B7F" w:rsidRDefault="00124B7F" w:rsidP="00124B7F">
      <w:pPr>
        <w:pStyle w:val="NoSpacing"/>
      </w:pPr>
      <w:r>
        <w:rPr>
          <w:noProof/>
        </w:rPr>
        <w:lastRenderedPageBreak/>
        <w:drawing>
          <wp:inline distT="0" distB="0" distL="0" distR="0" wp14:anchorId="0B1298BA" wp14:editId="6379D2E9">
            <wp:extent cx="6918500" cy="5394960"/>
            <wp:effectExtent l="0" t="317" r="0" b="0"/>
            <wp:docPr id="57" name="Picture 57" descr="../../../../Dropbox/Biomass%20Pyrolysis/Manuscripts/Mutant%20switchgrasses/waterfall%20chart%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ropbox/Biomass%20Pyrolysis/Manuscripts/Mutant%20switchgrasses/waterfall%20chart%20"/>
                    <pic:cNvPicPr>
                      <a:picLocks noChangeAspect="1" noChangeArrowheads="1"/>
                    </pic:cNvPicPr>
                  </pic:nvPicPr>
                  <pic:blipFill rotWithShape="1">
                    <a:blip r:embed="rId98">
                      <a:extLst>
                        <a:ext uri="{28A0092B-C50C-407E-A947-70E740481C1C}">
                          <a14:useLocalDpi xmlns:a14="http://schemas.microsoft.com/office/drawing/2010/main" val="0"/>
                        </a:ext>
                      </a:extLst>
                    </a:blip>
                    <a:srcRect l="23606" t="19759" r="10024" b="13268"/>
                    <a:stretch/>
                  </pic:blipFill>
                  <pic:spPr bwMode="auto">
                    <a:xfrm rot="16200000">
                      <a:off x="0" y="0"/>
                      <a:ext cx="6918500" cy="5394960"/>
                    </a:xfrm>
                    <a:prstGeom prst="rect">
                      <a:avLst/>
                    </a:prstGeom>
                    <a:noFill/>
                    <a:ln>
                      <a:noFill/>
                    </a:ln>
                    <a:extLst>
                      <a:ext uri="{53640926-AAD7-44D8-BBD7-CCE9431645EC}">
                        <a14:shadowObscured xmlns:a14="http://schemas.microsoft.com/office/drawing/2010/main"/>
                      </a:ext>
                    </a:extLst>
                  </pic:spPr>
                </pic:pic>
              </a:graphicData>
            </a:graphic>
          </wp:inline>
        </w:drawing>
      </w:r>
    </w:p>
    <w:p w14:paraId="056551A7" w14:textId="75F2FE2C" w:rsidR="00124B7F" w:rsidRDefault="00124B7F" w:rsidP="00124B7F">
      <w:pPr>
        <w:pStyle w:val="Caption"/>
        <w:rPr>
          <w:b w:val="0"/>
        </w:rPr>
      </w:pPr>
      <w:bookmarkStart w:id="191" w:name="_Toc449965024"/>
      <w:r w:rsidRPr="00E73E07">
        <w:t xml:space="preserve">Figure </w:t>
      </w:r>
      <w:fldSimple w:instr=" STYLEREF &quot;Chapter&quot; \s ">
        <w:r w:rsidR="00463F52">
          <w:rPr>
            <w:noProof/>
          </w:rPr>
          <w:t>7</w:t>
        </w:r>
      </w:fldSimple>
      <w:r w:rsidRPr="00E73E07">
        <w:t>.</w:t>
      </w:r>
      <w:fldSimple w:instr=" SEQ Figure \* ARABIC \s 1 ">
        <w:r w:rsidR="00463F52">
          <w:rPr>
            <w:noProof/>
          </w:rPr>
          <w:t>5</w:t>
        </w:r>
      </w:fldSimple>
      <w:r w:rsidRPr="00E73E07">
        <w:rPr>
          <w:noProof/>
        </w:rPr>
        <w:t>.</w:t>
      </w:r>
      <w:r w:rsidRPr="0087215B">
        <w:t xml:space="preserve"> </w:t>
      </w:r>
      <w:r w:rsidRPr="001242C2">
        <w:rPr>
          <w:b w:val="0"/>
        </w:rPr>
        <w:t xml:space="preserve">Yields of all tracked phenolic compounds </w:t>
      </w:r>
      <w:r>
        <w:rPr>
          <w:b w:val="0"/>
        </w:rPr>
        <w:t>colored by originating monomer</w:t>
      </w:r>
      <w:bookmarkEnd w:id="191"/>
    </w:p>
    <w:p w14:paraId="717CF222" w14:textId="10317DB6" w:rsidR="00124B7F" w:rsidRPr="00124B7F" w:rsidRDefault="00124B7F" w:rsidP="00124B7F">
      <w:pPr>
        <w:pStyle w:val="Caption"/>
        <w:rPr>
          <w:b w:val="0"/>
        </w:rPr>
      </w:pPr>
      <w:r w:rsidRPr="00124B7F">
        <w:rPr>
          <w:b w:val="0"/>
        </w:rPr>
        <w:t>Yield values are (Summed phenolic compound peak areas) / [(mg of raw switchgrass) * (wt % lignin)]. All samples run at 290°C, 120s</w:t>
      </w:r>
      <w:r w:rsidR="00524B6F">
        <w:rPr>
          <w:b w:val="0"/>
        </w:rPr>
        <w:br w:type="page"/>
      </w:r>
    </w:p>
    <w:p w14:paraId="77C96EBA" w14:textId="72FE0D81" w:rsidR="00C07873" w:rsidRDefault="00EE66CF" w:rsidP="0000478D">
      <w:pPr>
        <w:pStyle w:val="NoSpacing"/>
      </w:pPr>
      <w:r>
        <w:rPr>
          <w:noProof/>
        </w:rPr>
        <w:lastRenderedPageBreak/>
        <w:drawing>
          <wp:inline distT="0" distB="0" distL="0" distR="0" wp14:anchorId="5D190F12" wp14:editId="403BE8A2">
            <wp:extent cx="5394960" cy="4173345"/>
            <wp:effectExtent l="0" t="0" r="0" b="0"/>
            <wp:docPr id="483" name="Picture 483" descr="../../../../Dropbox/Biomass%20Pyrolysis/Manuscripts/Mutant%20switchgrasses/h%20g%20ch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ropbox/Biomass%20Pyrolysis/Manuscripts/Mutant%20switchgrasses/h%20g%20char"/>
                    <pic:cNvPicPr>
                      <a:picLocks noChangeAspect="1" noChangeArrowheads="1"/>
                    </pic:cNvPicPr>
                  </pic:nvPicPr>
                  <pic:blipFill rotWithShape="1">
                    <a:blip r:embed="rId99">
                      <a:extLst>
                        <a:ext uri="{28A0092B-C50C-407E-A947-70E740481C1C}">
                          <a14:useLocalDpi xmlns:a14="http://schemas.microsoft.com/office/drawing/2010/main" val="0"/>
                        </a:ext>
                      </a:extLst>
                    </a:blip>
                    <a:srcRect l="23522" t="20257" r="9949" b="13086"/>
                    <a:stretch/>
                  </pic:blipFill>
                  <pic:spPr bwMode="auto">
                    <a:xfrm>
                      <a:off x="0" y="0"/>
                      <a:ext cx="5394960" cy="4173345"/>
                    </a:xfrm>
                    <a:prstGeom prst="rect">
                      <a:avLst/>
                    </a:prstGeom>
                    <a:noFill/>
                    <a:ln>
                      <a:noFill/>
                    </a:ln>
                    <a:extLst>
                      <a:ext uri="{53640926-AAD7-44D8-BBD7-CCE9431645EC}">
                        <a14:shadowObscured xmlns:a14="http://schemas.microsoft.com/office/drawing/2010/main"/>
                      </a:ext>
                    </a:extLst>
                  </pic:spPr>
                </pic:pic>
              </a:graphicData>
            </a:graphic>
          </wp:inline>
        </w:drawing>
      </w:r>
    </w:p>
    <w:p w14:paraId="2DA615C9" w14:textId="77777777" w:rsidR="001B3EEC" w:rsidRDefault="000E3528" w:rsidP="003F050D">
      <w:pPr>
        <w:pStyle w:val="Caption"/>
        <w:rPr>
          <w:b w:val="0"/>
        </w:rPr>
      </w:pPr>
      <w:bookmarkStart w:id="192" w:name="_Toc449965025"/>
      <w:r w:rsidRPr="00E73E07">
        <w:t xml:space="preserve">Figure </w:t>
      </w:r>
      <w:fldSimple w:instr=" STYLEREF &quot;Chapter&quot; \s ">
        <w:r w:rsidR="00463F52">
          <w:rPr>
            <w:noProof/>
          </w:rPr>
          <w:t>7</w:t>
        </w:r>
      </w:fldSimple>
      <w:r w:rsidRPr="00E73E07">
        <w:t>.</w:t>
      </w:r>
      <w:fldSimple w:instr=" SEQ Figure \* ARABIC \s 1 ">
        <w:r w:rsidR="00463F52">
          <w:rPr>
            <w:noProof/>
          </w:rPr>
          <w:t>6</w:t>
        </w:r>
      </w:fldSimple>
      <w:r w:rsidRPr="00E73E07">
        <w:rPr>
          <w:noProof/>
        </w:rPr>
        <w:t>.</w:t>
      </w:r>
      <w:r w:rsidRPr="0087215B">
        <w:t xml:space="preserve"> </w:t>
      </w:r>
      <w:r w:rsidRPr="000E3528">
        <w:rPr>
          <w:b w:val="0"/>
        </w:rPr>
        <w:t>Yields of two most abundant ph</w:t>
      </w:r>
      <w:r w:rsidR="001B3EEC">
        <w:rPr>
          <w:b w:val="0"/>
        </w:rPr>
        <w:t>enolic compounds in this study.</w:t>
      </w:r>
      <w:bookmarkEnd w:id="192"/>
    </w:p>
    <w:p w14:paraId="6B7FDC89" w14:textId="03BEBDB1" w:rsidR="000E3528" w:rsidRDefault="000E3528" w:rsidP="003F050D">
      <w:pPr>
        <w:pStyle w:val="Caption"/>
        <w:rPr>
          <w:b w:val="0"/>
        </w:rPr>
      </w:pPr>
      <w:r w:rsidRPr="000E3528">
        <w:rPr>
          <w:b w:val="0"/>
        </w:rPr>
        <w:t xml:space="preserve">Yield values are (compound peak area) / [(mg of raw </w:t>
      </w:r>
      <w:r w:rsidR="00AC32D8" w:rsidRPr="000E3528">
        <w:rPr>
          <w:b w:val="0"/>
        </w:rPr>
        <w:t>switchgrass</w:t>
      </w:r>
      <w:r w:rsidRPr="000E3528">
        <w:rPr>
          <w:b w:val="0"/>
        </w:rPr>
        <w:t xml:space="preserve">) * (wt % lignin)]. All samples run at 290°C, 120s </w:t>
      </w:r>
    </w:p>
    <w:p w14:paraId="477FE2ED" w14:textId="77777777" w:rsidR="00524B6F" w:rsidRPr="00524B6F" w:rsidRDefault="00524B6F" w:rsidP="00524B6F"/>
    <w:p w14:paraId="75F440BC" w14:textId="55D5CE8A" w:rsidR="00807999" w:rsidRDefault="00E14E39" w:rsidP="005F367E">
      <w:pPr>
        <w:rPr>
          <w:color w:val="000000" w:themeColor="text1"/>
        </w:rPr>
      </w:pPr>
      <w:r w:rsidRPr="00C75308">
        <w:rPr>
          <w:color w:val="000000" w:themeColor="text1"/>
        </w:rPr>
        <w:t xml:space="preserve">The </w:t>
      </w:r>
      <w:r w:rsidRPr="00C75308">
        <w:rPr>
          <w:b/>
          <w:i/>
          <w:color w:val="000000" w:themeColor="text1"/>
        </w:rPr>
        <w:t>H</w:t>
      </w:r>
      <w:r w:rsidRPr="00C75308">
        <w:rPr>
          <w:color w:val="000000" w:themeColor="text1"/>
        </w:rPr>
        <w:t xml:space="preserve"> </w:t>
      </w:r>
      <w:r w:rsidR="005E242E">
        <w:rPr>
          <w:color w:val="000000" w:themeColor="text1"/>
        </w:rPr>
        <w:t xml:space="preserve">monomer production pathway is not </w:t>
      </w:r>
      <w:r w:rsidRPr="00C75308">
        <w:rPr>
          <w:color w:val="000000" w:themeColor="text1"/>
        </w:rPr>
        <w:t>impacted by the COMT enzyme (</w:t>
      </w:r>
      <w:r w:rsidRPr="004C7E64">
        <w:rPr>
          <w:color w:val="000000" w:themeColor="text1"/>
        </w:rPr>
        <w:t xml:space="preserve">figure </w:t>
      </w:r>
      <w:r w:rsidR="004C7E64" w:rsidRPr="004C7E64">
        <w:rPr>
          <w:color w:val="000000" w:themeColor="text1"/>
        </w:rPr>
        <w:t>7.</w:t>
      </w:r>
      <w:r w:rsidRPr="004C7E64">
        <w:rPr>
          <w:color w:val="000000" w:themeColor="text1"/>
        </w:rPr>
        <w:t>2</w:t>
      </w:r>
      <w:r w:rsidRPr="00C75308">
        <w:rPr>
          <w:color w:val="000000" w:themeColor="text1"/>
        </w:rPr>
        <w:t>)</w:t>
      </w:r>
      <w:r w:rsidR="004A7AA5">
        <w:rPr>
          <w:color w:val="000000" w:themeColor="text1"/>
        </w:rPr>
        <w:t xml:space="preserve"> </w:t>
      </w:r>
      <w:r w:rsidR="004A7AA5">
        <w:rPr>
          <w:color w:val="000000" w:themeColor="text1"/>
        </w:rPr>
        <w:fldChar w:fldCharType="begin"/>
      </w:r>
      <w:r w:rsidR="00807999">
        <w:rPr>
          <w:color w:val="000000" w:themeColor="text1"/>
        </w:rPr>
        <w:instrText xml:space="preserve"> ADDIN PAPERS2_CITATIONS &lt;citation&gt;&lt;uuid&gt;EBBBDD25-0D7F-4BA2-AD0B-8D31DDD225DA&lt;/uuid&gt;&lt;priority&gt;0&lt;/priority&gt;&lt;publications&gt;&lt;publication&gt;&lt;uuid&gt;0BBB86C2-AEA9-44B5-B628-5035F5735D51&lt;/uuid&gt;&lt;volume&gt;54&lt;/volume&gt;&lt;doi&gt;10.1146/annurev.arplant.54.031902.134938&lt;/doi&gt;&lt;startpage&gt;519&lt;/startpage&gt;&lt;publication_date&gt;99200300001200000000200000&lt;/publication_date&gt;&lt;url&gt;http://www.annualreviews.org/doi/abs/10.1146/annurev.arplant.54.031902.134938&lt;/url&gt;&lt;citekey&gt;Boerjan:2003hk&lt;/citekey&gt;&lt;type&gt;400&lt;/type&gt;&lt;title&gt;Lignin biosynthesis&lt;/title&gt;&lt;institution&gt;Boerjan, W</w:instrText>
      </w:r>
    </w:p>
    <w:p w14:paraId="418A0B87" w14:textId="77777777" w:rsidR="00807999" w:rsidRDefault="00807999" w:rsidP="005F367E">
      <w:pPr>
        <w:rPr>
          <w:color w:val="000000" w:themeColor="text1"/>
        </w:rPr>
      </w:pPr>
      <w:r>
        <w:rPr>
          <w:color w:val="000000" w:themeColor="text1"/>
        </w:rPr>
        <w:instrText>State Univ Ghent VIB, Dept Plant Syst Biol, K L Ledeganckstr 35, B-9000 Ghent, Belgium</w:instrText>
      </w:r>
    </w:p>
    <w:p w14:paraId="7125D3DE" w14:textId="77777777" w:rsidR="00807999" w:rsidRDefault="00807999" w:rsidP="005F367E">
      <w:pPr>
        <w:rPr>
          <w:color w:val="000000" w:themeColor="text1"/>
        </w:rPr>
      </w:pPr>
      <w:r>
        <w:rPr>
          <w:color w:val="000000" w:themeColor="text1"/>
        </w:rPr>
        <w:instrText>State Univ Ghent VIB, Dept Plant Syst Biol, K L Ledeganckstr 35, B-9000 Ghent, Belgium</w:instrText>
      </w:r>
    </w:p>
    <w:p w14:paraId="06802E2F" w14:textId="77777777" w:rsidR="00807999" w:rsidRDefault="00807999" w:rsidP="005F367E">
      <w:pPr>
        <w:rPr>
          <w:color w:val="000000" w:themeColor="text1"/>
        </w:rPr>
      </w:pPr>
      <w:r>
        <w:rPr>
          <w:color w:val="000000" w:themeColor="text1"/>
        </w:rPr>
        <w:instrText>State Univ Ghent VIB, Dept Plant Syst Biol, B-9000 Ghent, Belgium</w:instrText>
      </w:r>
    </w:p>
    <w:p w14:paraId="70EAB68F" w14:textId="77777777" w:rsidR="00807999" w:rsidRDefault="00807999" w:rsidP="005F367E">
      <w:pPr>
        <w:rPr>
          <w:color w:val="000000" w:themeColor="text1"/>
        </w:rPr>
      </w:pPr>
      <w:r>
        <w:rPr>
          <w:color w:val="000000" w:themeColor="text1"/>
        </w:rPr>
        <w:instrText>USDA ARS, US Dairy Forage Res Ctr, Madison, WI 53706 USA</w:instrText>
      </w:r>
    </w:p>
    <w:p w14:paraId="3A0645D7" w14:textId="60C56301" w:rsidR="00E14E39" w:rsidRDefault="00807999" w:rsidP="005F367E">
      <w:r>
        <w:rPr>
          <w:color w:val="000000" w:themeColor="text1"/>
        </w:rPr>
        <w:instrText>Free Univ Brussels, Lab Biotechnol Vegetale, B-1160 Brussels, Belgium&lt;/institution&gt;&lt;subtype&gt;400&lt;/subtype&gt;&lt;endpage&gt;546&lt;/endpage&gt;&lt;bundle&gt;&lt;publication&gt;&lt;title&gt;Annual review of plant biology&lt;/title&gt;&lt;type&gt;-100&lt;/type&gt;&lt;subtype&gt;-100&lt;/subtype&gt;&lt;uuid&gt;4CDB0732-FE75-4F56-9627-A14F8E94872D&lt;/uuid&gt;&lt;/publication&gt;&lt;/bundle&gt;&lt;authors&gt;&lt;author&gt;&lt;firstName&gt;Wout&lt;/firstName&gt;&lt;lastName&gt;Boerjan&lt;/lastName&gt;&lt;/author&gt;&lt;author&gt;&lt;firstName&gt;John&lt;/firstName&gt;&lt;lastName&gt;Ralph&lt;/lastName&gt;&lt;/author&gt;&lt;author&gt;&lt;firstName&gt;Marie&lt;/firstName&gt;&lt;lastName&gt;Baucher&lt;/lastName&gt;&lt;/author&gt;&lt;/authors&gt;&lt;/publication&gt;&lt;/publications&gt;&lt;cites&gt;&lt;/cites&gt;&lt;/citation&gt;</w:instrText>
      </w:r>
      <w:r w:rsidR="004A7AA5">
        <w:rPr>
          <w:color w:val="000000" w:themeColor="text1"/>
        </w:rPr>
        <w:fldChar w:fldCharType="separate"/>
      </w:r>
      <w:r w:rsidR="001C1AAC">
        <w:t>(</w:t>
      </w:r>
      <w:r w:rsidR="001C1AAC">
        <w:rPr>
          <w:i/>
          <w:iCs/>
        </w:rPr>
        <w:t>55</w:t>
      </w:r>
      <w:r w:rsidR="001C1AAC">
        <w:t>)</w:t>
      </w:r>
      <w:r w:rsidR="004A7AA5">
        <w:rPr>
          <w:color w:val="000000" w:themeColor="text1"/>
        </w:rPr>
        <w:fldChar w:fldCharType="end"/>
      </w:r>
      <w:r w:rsidR="008868F7" w:rsidRPr="00C75308">
        <w:rPr>
          <w:color w:val="000000" w:themeColor="text1"/>
        </w:rPr>
        <w:t xml:space="preserve">. </w:t>
      </w:r>
      <w:r w:rsidR="005F367E" w:rsidRPr="00C75308">
        <w:rPr>
          <w:color w:val="000000" w:themeColor="text1"/>
        </w:rPr>
        <w:t>T</w:t>
      </w:r>
      <w:r w:rsidR="00E14E39" w:rsidRPr="00C75308">
        <w:rPr>
          <w:color w:val="000000" w:themeColor="text1"/>
        </w:rPr>
        <w:t>he decreased abundance in the mutants (</w:t>
      </w:r>
      <w:r w:rsidR="00E14E39" w:rsidRPr="004C7E64">
        <w:rPr>
          <w:color w:val="000000" w:themeColor="text1"/>
        </w:rPr>
        <w:t>figure 7</w:t>
      </w:r>
      <w:r w:rsidR="004C7E64" w:rsidRPr="004C7E64">
        <w:rPr>
          <w:color w:val="000000" w:themeColor="text1"/>
        </w:rPr>
        <w:t>.6</w:t>
      </w:r>
      <w:r w:rsidR="00E14E39" w:rsidRPr="00C75308">
        <w:rPr>
          <w:color w:val="000000" w:themeColor="text1"/>
        </w:rPr>
        <w:t>) as compared to the wild</w:t>
      </w:r>
      <w:r w:rsidR="00794B41" w:rsidRPr="00C75308">
        <w:rPr>
          <w:color w:val="000000" w:themeColor="text1"/>
        </w:rPr>
        <w:t>-</w:t>
      </w:r>
      <w:r w:rsidR="00E14E39" w:rsidRPr="00C75308">
        <w:rPr>
          <w:color w:val="000000" w:themeColor="text1"/>
        </w:rPr>
        <w:t xml:space="preserve">type suggest that a larger fraction of these </w:t>
      </w:r>
      <w:r w:rsidR="00E14E39" w:rsidRPr="00C75308">
        <w:rPr>
          <w:b/>
          <w:i/>
          <w:color w:val="000000" w:themeColor="text1"/>
        </w:rPr>
        <w:t>H</w:t>
      </w:r>
      <w:r w:rsidR="00E14E39" w:rsidRPr="00C75308">
        <w:rPr>
          <w:color w:val="000000" w:themeColor="text1"/>
        </w:rPr>
        <w:t xml:space="preserve"> monomers </w:t>
      </w:r>
      <w:r w:rsidR="005F367E" w:rsidRPr="00C75308">
        <w:rPr>
          <w:color w:val="000000" w:themeColor="text1"/>
        </w:rPr>
        <w:t>may have been</w:t>
      </w:r>
      <w:r w:rsidR="00E14E39" w:rsidRPr="00C75308">
        <w:rPr>
          <w:color w:val="000000" w:themeColor="text1"/>
        </w:rPr>
        <w:t xml:space="preserve"> incorporated into the lignin polymer via stronger crosslinks as a result of the mutation. </w:t>
      </w:r>
      <w:r w:rsidR="00E14E39" w:rsidRPr="00E14E39">
        <w:t xml:space="preserve">The relatively unchanged 4-vinyl guaiacol yields may be due to the effects of the mutation cancelling each other out – increased abundance of </w:t>
      </w:r>
      <w:r w:rsidR="00E14E39" w:rsidRPr="00980E93">
        <w:rPr>
          <w:b/>
          <w:i/>
        </w:rPr>
        <w:t>G</w:t>
      </w:r>
      <w:r w:rsidR="00E14E39" w:rsidRPr="00E14E39">
        <w:t xml:space="preserve"> monomers (which should increase the yield of 4-vinyl guaiacol) is offset by the decrease in decomposition due to their being incorporated into the polymer via more thermally resistant linkages. The combined </w:t>
      </w:r>
      <w:r w:rsidR="00E14E39" w:rsidRPr="00FC468A">
        <w:rPr>
          <w:b/>
          <w:i/>
        </w:rPr>
        <w:t>G</w:t>
      </w:r>
      <w:r w:rsidR="00E14E39" w:rsidRPr="00E14E39">
        <w:t xml:space="preserve"> monomers derived products (</w:t>
      </w:r>
      <w:r w:rsidR="00E14E39" w:rsidRPr="004C7E64">
        <w:t xml:space="preserve">figure </w:t>
      </w:r>
      <w:r w:rsidR="004C7E64">
        <w:t>7.7</w:t>
      </w:r>
      <w:r w:rsidR="00E14E39" w:rsidRPr="00E14E39">
        <w:t xml:space="preserve">) are not statistically significantly different </w:t>
      </w:r>
      <w:r w:rsidR="00E14E39" w:rsidRPr="00E14E39">
        <w:lastRenderedPageBreak/>
        <w:t>between the wild</w:t>
      </w:r>
      <w:r w:rsidR="00AC32D8">
        <w:t>-</w:t>
      </w:r>
      <w:r w:rsidR="00E14E39" w:rsidRPr="00E14E39">
        <w:t>types and mutants (</w:t>
      </w:r>
      <w:r w:rsidR="00E14E39" w:rsidRPr="000A4C2C">
        <w:t xml:space="preserve">table </w:t>
      </w:r>
      <w:r w:rsidR="000A4C2C">
        <w:t>7.5</w:t>
      </w:r>
      <w:r w:rsidR="00E14E39" w:rsidRPr="00E14E39">
        <w:t>). For both wild</w:t>
      </w:r>
      <w:r w:rsidR="00AC32D8">
        <w:t>-</w:t>
      </w:r>
      <w:r w:rsidR="00E14E39" w:rsidRPr="00E14E39">
        <w:t xml:space="preserve">types and mutants, yield of </w:t>
      </w:r>
      <w:r w:rsidR="00E14E39" w:rsidRPr="00F44CB8">
        <w:rPr>
          <w:b/>
          <w:i/>
        </w:rPr>
        <w:t>S</w:t>
      </w:r>
      <w:r w:rsidR="00E14E39" w:rsidRPr="00E14E39">
        <w:t xml:space="preserve"> derived products is minimal (</w:t>
      </w:r>
      <w:r w:rsidR="00E14E39" w:rsidRPr="000A4C2C">
        <w:t xml:space="preserve">figure </w:t>
      </w:r>
      <w:r w:rsidR="000A4C2C">
        <w:t>7.8</w:t>
      </w:r>
      <w:r w:rsidR="00E14E39" w:rsidRPr="00E14E39">
        <w:t>)</w:t>
      </w:r>
      <w:r w:rsidR="005F367E">
        <w:t>, but the difference is statistically significant (p &lt; 0.1)</w:t>
      </w:r>
      <w:r w:rsidR="004D5701">
        <w:t xml:space="preserve"> (</w:t>
      </w:r>
      <w:r w:rsidR="000A4C2C" w:rsidRPr="000A4C2C">
        <w:t>table 7.6</w:t>
      </w:r>
      <w:r w:rsidR="004D5701">
        <w:t>)</w:t>
      </w:r>
      <w:r w:rsidR="00E14E39" w:rsidRPr="00E14E39">
        <w:t>.</w:t>
      </w:r>
    </w:p>
    <w:p w14:paraId="14393044" w14:textId="58D3DC60" w:rsidR="003F050D" w:rsidRDefault="003F050D" w:rsidP="0000478D">
      <w:pPr>
        <w:pStyle w:val="NoSpacing"/>
      </w:pPr>
      <w:r>
        <w:rPr>
          <w:noProof/>
        </w:rPr>
        <w:drawing>
          <wp:inline distT="0" distB="0" distL="0" distR="0" wp14:anchorId="4031AA4A" wp14:editId="05EBD72D">
            <wp:extent cx="5394960" cy="4601588"/>
            <wp:effectExtent l="0" t="0" r="0" b="0"/>
            <wp:docPr id="484" name="Picture 484" descr="../../../../Dropbox/Biomass%20Pyrolysis/Manuscripts/Mutant%20switchgrasses/g%20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ropbox/Biomass%20Pyrolysis/Manuscripts/Mutant%20switchgrasses/g%20chart."/>
                    <pic:cNvPicPr>
                      <a:picLocks noChangeAspect="1" noChangeArrowheads="1"/>
                    </pic:cNvPicPr>
                  </pic:nvPicPr>
                  <pic:blipFill rotWithShape="1">
                    <a:blip r:embed="rId100">
                      <a:extLst>
                        <a:ext uri="{28A0092B-C50C-407E-A947-70E740481C1C}">
                          <a14:useLocalDpi xmlns:a14="http://schemas.microsoft.com/office/drawing/2010/main" val="0"/>
                        </a:ext>
                      </a:extLst>
                    </a:blip>
                    <a:srcRect l="23440" t="13690" r="10473" b="13515"/>
                    <a:stretch/>
                  </pic:blipFill>
                  <pic:spPr bwMode="auto">
                    <a:xfrm>
                      <a:off x="0" y="0"/>
                      <a:ext cx="5394960" cy="4601588"/>
                    </a:xfrm>
                    <a:prstGeom prst="rect">
                      <a:avLst/>
                    </a:prstGeom>
                    <a:noFill/>
                    <a:ln>
                      <a:noFill/>
                    </a:ln>
                    <a:extLst>
                      <a:ext uri="{53640926-AAD7-44D8-BBD7-CCE9431645EC}">
                        <a14:shadowObscured xmlns:a14="http://schemas.microsoft.com/office/drawing/2010/main"/>
                      </a:ext>
                    </a:extLst>
                  </pic:spPr>
                </pic:pic>
              </a:graphicData>
            </a:graphic>
          </wp:inline>
        </w:drawing>
      </w:r>
    </w:p>
    <w:p w14:paraId="6D970C6B" w14:textId="77777777" w:rsidR="001B3EEC" w:rsidRDefault="00E21203" w:rsidP="00E21203">
      <w:pPr>
        <w:pStyle w:val="Caption"/>
        <w:rPr>
          <w:b w:val="0"/>
        </w:rPr>
      </w:pPr>
      <w:bookmarkStart w:id="193" w:name="_Toc449965026"/>
      <w:r w:rsidRPr="00E73E07">
        <w:t xml:space="preserve">Figure </w:t>
      </w:r>
      <w:fldSimple w:instr=" STYLEREF &quot;Chapter&quot; \s ">
        <w:r w:rsidR="00463F52">
          <w:rPr>
            <w:noProof/>
          </w:rPr>
          <w:t>7</w:t>
        </w:r>
      </w:fldSimple>
      <w:r w:rsidRPr="00E73E07">
        <w:t>.</w:t>
      </w:r>
      <w:fldSimple w:instr=" SEQ Figure \* ARABIC \s 1 ">
        <w:r w:rsidR="00463F52">
          <w:rPr>
            <w:noProof/>
          </w:rPr>
          <w:t>7</w:t>
        </w:r>
      </w:fldSimple>
      <w:r w:rsidRPr="00E73E07">
        <w:rPr>
          <w:noProof/>
        </w:rPr>
        <w:t>.</w:t>
      </w:r>
      <w:r w:rsidRPr="0087215B">
        <w:t xml:space="preserve"> </w:t>
      </w:r>
      <w:r w:rsidRPr="00E21203">
        <w:rPr>
          <w:b w:val="0"/>
        </w:rPr>
        <w:t xml:space="preserve">Yields of phenolic compounds derived from </w:t>
      </w:r>
      <w:r w:rsidRPr="000F54BA">
        <w:rPr>
          <w:i/>
        </w:rPr>
        <w:t>G</w:t>
      </w:r>
      <w:r w:rsidR="001B3EEC">
        <w:rPr>
          <w:b w:val="0"/>
        </w:rPr>
        <w:t xml:space="preserve"> monomers.</w:t>
      </w:r>
      <w:bookmarkEnd w:id="193"/>
    </w:p>
    <w:p w14:paraId="5D5F41D2" w14:textId="56C46107" w:rsidR="00E21203" w:rsidRPr="00E21203" w:rsidRDefault="00E21203" w:rsidP="00E21203">
      <w:pPr>
        <w:pStyle w:val="Caption"/>
      </w:pPr>
      <w:r w:rsidRPr="00E21203">
        <w:rPr>
          <w:b w:val="0"/>
        </w:rPr>
        <w:t xml:space="preserve">Yield values are (compound peak area) / [(mg of raw </w:t>
      </w:r>
      <w:r w:rsidR="00AC32D8" w:rsidRPr="00E21203">
        <w:rPr>
          <w:b w:val="0"/>
        </w:rPr>
        <w:t>switchgrass</w:t>
      </w:r>
      <w:r w:rsidRPr="00E21203">
        <w:rPr>
          <w:b w:val="0"/>
        </w:rPr>
        <w:t>) * (wt % lignin)]. All samples run at 290°C, 120s</w:t>
      </w:r>
    </w:p>
    <w:p w14:paraId="5B347987" w14:textId="28CE2D44" w:rsidR="00E21203" w:rsidRPr="00E14E39" w:rsidRDefault="00E21203" w:rsidP="004837AA">
      <w:pPr>
        <w:pStyle w:val="Caption"/>
      </w:pPr>
      <w:r>
        <w:rPr>
          <w:b w:val="0"/>
        </w:rPr>
        <w:br w:type="page"/>
      </w:r>
    </w:p>
    <w:tbl>
      <w:tblPr>
        <w:tblW w:w="6315" w:type="dxa"/>
        <w:tblLook w:val="04A0" w:firstRow="1" w:lastRow="0" w:firstColumn="1" w:lastColumn="0" w:noHBand="0" w:noVBand="1"/>
      </w:tblPr>
      <w:tblGrid>
        <w:gridCol w:w="3333"/>
        <w:gridCol w:w="1536"/>
        <w:gridCol w:w="1536"/>
      </w:tblGrid>
      <w:tr w:rsidR="003F050D" w:rsidRPr="006D20E0" w14:paraId="345188B0" w14:textId="77777777" w:rsidTr="00D0781D">
        <w:trPr>
          <w:trHeight w:val="300"/>
        </w:trPr>
        <w:tc>
          <w:tcPr>
            <w:tcW w:w="3333" w:type="dxa"/>
            <w:tcBorders>
              <w:top w:val="single" w:sz="8" w:space="0" w:color="auto"/>
              <w:left w:val="nil"/>
              <w:bottom w:val="single" w:sz="4" w:space="0" w:color="auto"/>
              <w:right w:val="nil"/>
            </w:tcBorders>
            <w:shd w:val="clear" w:color="auto" w:fill="auto"/>
            <w:noWrap/>
            <w:vAlign w:val="bottom"/>
            <w:hideMark/>
          </w:tcPr>
          <w:p w14:paraId="1AD78B26" w14:textId="77777777" w:rsidR="003F050D" w:rsidRPr="006D20E0" w:rsidRDefault="003F050D" w:rsidP="003F050D">
            <w:pPr>
              <w:pStyle w:val="Tables"/>
              <w:rPr>
                <w:i/>
                <w:iCs/>
              </w:rPr>
            </w:pPr>
            <w:r w:rsidRPr="006D20E0">
              <w:rPr>
                <w:i/>
                <w:iCs/>
              </w:rPr>
              <w:lastRenderedPageBreak/>
              <w:t> </w:t>
            </w:r>
          </w:p>
        </w:tc>
        <w:tc>
          <w:tcPr>
            <w:tcW w:w="1446" w:type="dxa"/>
            <w:tcBorders>
              <w:top w:val="single" w:sz="8" w:space="0" w:color="auto"/>
              <w:left w:val="nil"/>
              <w:bottom w:val="single" w:sz="4" w:space="0" w:color="auto"/>
              <w:right w:val="nil"/>
            </w:tcBorders>
            <w:shd w:val="clear" w:color="auto" w:fill="auto"/>
            <w:noWrap/>
            <w:vAlign w:val="bottom"/>
            <w:hideMark/>
          </w:tcPr>
          <w:p w14:paraId="5A01E208" w14:textId="2F6C7217" w:rsidR="003F050D" w:rsidRPr="006D20E0" w:rsidRDefault="00406B83" w:rsidP="003F050D">
            <w:pPr>
              <w:pStyle w:val="Tables"/>
              <w:rPr>
                <w:i/>
                <w:iCs/>
              </w:rPr>
            </w:pPr>
            <w:r>
              <w:rPr>
                <w:i/>
                <w:iCs/>
              </w:rPr>
              <w:t>Wild-type</w:t>
            </w:r>
          </w:p>
        </w:tc>
        <w:tc>
          <w:tcPr>
            <w:tcW w:w="1536" w:type="dxa"/>
            <w:tcBorders>
              <w:top w:val="single" w:sz="8" w:space="0" w:color="auto"/>
              <w:left w:val="nil"/>
              <w:bottom w:val="single" w:sz="4" w:space="0" w:color="auto"/>
              <w:right w:val="nil"/>
            </w:tcBorders>
            <w:shd w:val="clear" w:color="auto" w:fill="auto"/>
            <w:noWrap/>
            <w:vAlign w:val="bottom"/>
            <w:hideMark/>
          </w:tcPr>
          <w:p w14:paraId="154933B6" w14:textId="35B70C6A" w:rsidR="003F050D" w:rsidRPr="006D20E0" w:rsidRDefault="00406B83" w:rsidP="003F050D">
            <w:pPr>
              <w:pStyle w:val="Tables"/>
              <w:rPr>
                <w:i/>
                <w:iCs/>
              </w:rPr>
            </w:pPr>
            <w:r>
              <w:rPr>
                <w:i/>
                <w:iCs/>
              </w:rPr>
              <w:t>Mutant</w:t>
            </w:r>
          </w:p>
        </w:tc>
      </w:tr>
      <w:tr w:rsidR="003F050D" w:rsidRPr="006D20E0" w14:paraId="0C764EA6" w14:textId="77777777" w:rsidTr="00D0781D">
        <w:trPr>
          <w:trHeight w:val="300"/>
        </w:trPr>
        <w:tc>
          <w:tcPr>
            <w:tcW w:w="3333" w:type="dxa"/>
            <w:tcBorders>
              <w:top w:val="nil"/>
              <w:left w:val="nil"/>
              <w:bottom w:val="nil"/>
              <w:right w:val="nil"/>
            </w:tcBorders>
            <w:shd w:val="clear" w:color="auto" w:fill="auto"/>
            <w:noWrap/>
            <w:vAlign w:val="bottom"/>
            <w:hideMark/>
          </w:tcPr>
          <w:p w14:paraId="36F58AED" w14:textId="77777777" w:rsidR="003F050D" w:rsidRPr="006D20E0" w:rsidRDefault="003F050D" w:rsidP="003F050D">
            <w:pPr>
              <w:pStyle w:val="Tables"/>
            </w:pPr>
            <w:r w:rsidRPr="006D20E0">
              <w:t>Mean</w:t>
            </w:r>
          </w:p>
        </w:tc>
        <w:tc>
          <w:tcPr>
            <w:tcW w:w="1446" w:type="dxa"/>
            <w:tcBorders>
              <w:top w:val="nil"/>
              <w:left w:val="nil"/>
              <w:bottom w:val="nil"/>
              <w:right w:val="nil"/>
            </w:tcBorders>
            <w:shd w:val="clear" w:color="auto" w:fill="auto"/>
            <w:noWrap/>
            <w:vAlign w:val="bottom"/>
            <w:hideMark/>
          </w:tcPr>
          <w:p w14:paraId="04DF686A" w14:textId="77777777" w:rsidR="003F050D" w:rsidRPr="006D20E0" w:rsidRDefault="003F050D" w:rsidP="003F050D">
            <w:pPr>
              <w:pStyle w:val="Tables"/>
            </w:pPr>
            <w:r w:rsidRPr="006D20E0">
              <w:t>2144057.52</w:t>
            </w:r>
          </w:p>
        </w:tc>
        <w:tc>
          <w:tcPr>
            <w:tcW w:w="1536" w:type="dxa"/>
            <w:tcBorders>
              <w:top w:val="nil"/>
              <w:left w:val="nil"/>
              <w:bottom w:val="nil"/>
              <w:right w:val="nil"/>
            </w:tcBorders>
            <w:shd w:val="clear" w:color="auto" w:fill="auto"/>
            <w:noWrap/>
            <w:vAlign w:val="bottom"/>
            <w:hideMark/>
          </w:tcPr>
          <w:p w14:paraId="09B55479" w14:textId="77777777" w:rsidR="003F050D" w:rsidRPr="006D20E0" w:rsidRDefault="003F050D" w:rsidP="003F050D">
            <w:pPr>
              <w:pStyle w:val="Tables"/>
            </w:pPr>
            <w:r w:rsidRPr="006D20E0">
              <w:t>2082788.177</w:t>
            </w:r>
          </w:p>
        </w:tc>
      </w:tr>
      <w:tr w:rsidR="003F050D" w:rsidRPr="006D20E0" w14:paraId="7DD5D62E" w14:textId="77777777" w:rsidTr="00D0781D">
        <w:trPr>
          <w:trHeight w:val="300"/>
        </w:trPr>
        <w:tc>
          <w:tcPr>
            <w:tcW w:w="3333" w:type="dxa"/>
            <w:tcBorders>
              <w:top w:val="nil"/>
              <w:left w:val="nil"/>
              <w:bottom w:val="nil"/>
              <w:right w:val="nil"/>
            </w:tcBorders>
            <w:shd w:val="clear" w:color="auto" w:fill="auto"/>
            <w:noWrap/>
            <w:vAlign w:val="bottom"/>
            <w:hideMark/>
          </w:tcPr>
          <w:p w14:paraId="31B3DB9F" w14:textId="77777777" w:rsidR="003F050D" w:rsidRPr="006D20E0" w:rsidRDefault="003F050D" w:rsidP="003F050D">
            <w:pPr>
              <w:pStyle w:val="Tables"/>
            </w:pPr>
            <w:r w:rsidRPr="006D20E0">
              <w:t>Variance</w:t>
            </w:r>
          </w:p>
        </w:tc>
        <w:tc>
          <w:tcPr>
            <w:tcW w:w="1446" w:type="dxa"/>
            <w:tcBorders>
              <w:top w:val="nil"/>
              <w:left w:val="nil"/>
              <w:bottom w:val="nil"/>
              <w:right w:val="nil"/>
            </w:tcBorders>
            <w:shd w:val="clear" w:color="auto" w:fill="auto"/>
            <w:noWrap/>
            <w:vAlign w:val="bottom"/>
            <w:hideMark/>
          </w:tcPr>
          <w:p w14:paraId="5BFD27C5" w14:textId="77777777" w:rsidR="003F050D" w:rsidRPr="006D20E0" w:rsidRDefault="003F050D" w:rsidP="003F050D">
            <w:pPr>
              <w:pStyle w:val="Tables"/>
            </w:pPr>
            <w:r w:rsidRPr="006D20E0">
              <w:t>19488378847</w:t>
            </w:r>
          </w:p>
        </w:tc>
        <w:tc>
          <w:tcPr>
            <w:tcW w:w="1536" w:type="dxa"/>
            <w:tcBorders>
              <w:top w:val="nil"/>
              <w:left w:val="nil"/>
              <w:bottom w:val="nil"/>
              <w:right w:val="nil"/>
            </w:tcBorders>
            <w:shd w:val="clear" w:color="auto" w:fill="auto"/>
            <w:noWrap/>
            <w:vAlign w:val="bottom"/>
            <w:hideMark/>
          </w:tcPr>
          <w:p w14:paraId="19EB9593" w14:textId="77777777" w:rsidR="003F050D" w:rsidRPr="006D20E0" w:rsidRDefault="003F050D" w:rsidP="003F050D">
            <w:pPr>
              <w:pStyle w:val="Tables"/>
            </w:pPr>
            <w:r w:rsidRPr="006D20E0">
              <w:t>18828723648</w:t>
            </w:r>
          </w:p>
        </w:tc>
      </w:tr>
      <w:tr w:rsidR="003F050D" w:rsidRPr="006D20E0" w14:paraId="50D13C20" w14:textId="77777777" w:rsidTr="00D0781D">
        <w:trPr>
          <w:trHeight w:val="300"/>
        </w:trPr>
        <w:tc>
          <w:tcPr>
            <w:tcW w:w="3333" w:type="dxa"/>
            <w:tcBorders>
              <w:top w:val="nil"/>
              <w:left w:val="nil"/>
              <w:bottom w:val="nil"/>
              <w:right w:val="nil"/>
            </w:tcBorders>
            <w:shd w:val="clear" w:color="auto" w:fill="auto"/>
            <w:noWrap/>
            <w:vAlign w:val="bottom"/>
            <w:hideMark/>
          </w:tcPr>
          <w:p w14:paraId="0F86A23E" w14:textId="77777777" w:rsidR="003F050D" w:rsidRPr="006D20E0" w:rsidRDefault="003F050D" w:rsidP="003F050D">
            <w:pPr>
              <w:pStyle w:val="Tables"/>
            </w:pPr>
            <w:r w:rsidRPr="006D20E0">
              <w:t>Observations</w:t>
            </w:r>
          </w:p>
        </w:tc>
        <w:tc>
          <w:tcPr>
            <w:tcW w:w="1446" w:type="dxa"/>
            <w:tcBorders>
              <w:top w:val="nil"/>
              <w:left w:val="nil"/>
              <w:bottom w:val="nil"/>
              <w:right w:val="nil"/>
            </w:tcBorders>
            <w:shd w:val="clear" w:color="auto" w:fill="auto"/>
            <w:noWrap/>
            <w:vAlign w:val="bottom"/>
            <w:hideMark/>
          </w:tcPr>
          <w:p w14:paraId="3B0ADDFE" w14:textId="77777777" w:rsidR="003F050D" w:rsidRPr="006D20E0" w:rsidRDefault="003F050D" w:rsidP="003F050D">
            <w:pPr>
              <w:pStyle w:val="Tables"/>
            </w:pPr>
            <w:r w:rsidRPr="006D20E0">
              <w:t>4</w:t>
            </w:r>
          </w:p>
        </w:tc>
        <w:tc>
          <w:tcPr>
            <w:tcW w:w="1536" w:type="dxa"/>
            <w:tcBorders>
              <w:top w:val="nil"/>
              <w:left w:val="nil"/>
              <w:bottom w:val="nil"/>
              <w:right w:val="nil"/>
            </w:tcBorders>
            <w:shd w:val="clear" w:color="auto" w:fill="auto"/>
            <w:noWrap/>
            <w:vAlign w:val="bottom"/>
            <w:hideMark/>
          </w:tcPr>
          <w:p w14:paraId="2AF33F54" w14:textId="77777777" w:rsidR="003F050D" w:rsidRPr="006D20E0" w:rsidRDefault="003F050D" w:rsidP="003F050D">
            <w:pPr>
              <w:pStyle w:val="Tables"/>
            </w:pPr>
            <w:r w:rsidRPr="006D20E0">
              <w:t>4</w:t>
            </w:r>
          </w:p>
        </w:tc>
      </w:tr>
      <w:tr w:rsidR="003F050D" w:rsidRPr="006D20E0" w14:paraId="6DDE2C9A" w14:textId="77777777" w:rsidTr="00D0781D">
        <w:trPr>
          <w:trHeight w:val="300"/>
        </w:trPr>
        <w:tc>
          <w:tcPr>
            <w:tcW w:w="3333" w:type="dxa"/>
            <w:tcBorders>
              <w:top w:val="nil"/>
              <w:left w:val="nil"/>
              <w:bottom w:val="nil"/>
              <w:right w:val="nil"/>
            </w:tcBorders>
            <w:shd w:val="clear" w:color="auto" w:fill="auto"/>
            <w:noWrap/>
            <w:vAlign w:val="bottom"/>
            <w:hideMark/>
          </w:tcPr>
          <w:p w14:paraId="05FC83D3" w14:textId="77777777" w:rsidR="003F050D" w:rsidRPr="006D20E0" w:rsidRDefault="003F050D" w:rsidP="003F050D">
            <w:pPr>
              <w:pStyle w:val="Tables"/>
            </w:pPr>
            <w:r w:rsidRPr="006D20E0">
              <w:t>Pearson Correlation</w:t>
            </w:r>
          </w:p>
        </w:tc>
        <w:tc>
          <w:tcPr>
            <w:tcW w:w="1446" w:type="dxa"/>
            <w:tcBorders>
              <w:top w:val="nil"/>
              <w:left w:val="nil"/>
              <w:bottom w:val="nil"/>
              <w:right w:val="nil"/>
            </w:tcBorders>
            <w:shd w:val="clear" w:color="auto" w:fill="auto"/>
            <w:noWrap/>
            <w:vAlign w:val="bottom"/>
            <w:hideMark/>
          </w:tcPr>
          <w:p w14:paraId="4359F438" w14:textId="03F98F2B" w:rsidR="003F050D" w:rsidRPr="006D20E0" w:rsidRDefault="003F050D" w:rsidP="00AB13C8">
            <w:pPr>
              <w:pStyle w:val="Tables"/>
            </w:pPr>
            <w:r w:rsidRPr="006D20E0">
              <w:t>-0.8156</w:t>
            </w:r>
          </w:p>
        </w:tc>
        <w:tc>
          <w:tcPr>
            <w:tcW w:w="1536" w:type="dxa"/>
            <w:tcBorders>
              <w:top w:val="nil"/>
              <w:left w:val="nil"/>
              <w:bottom w:val="nil"/>
              <w:right w:val="nil"/>
            </w:tcBorders>
            <w:shd w:val="clear" w:color="auto" w:fill="auto"/>
            <w:noWrap/>
            <w:vAlign w:val="bottom"/>
            <w:hideMark/>
          </w:tcPr>
          <w:p w14:paraId="6CFAD584" w14:textId="77777777" w:rsidR="003F050D" w:rsidRPr="006D20E0" w:rsidRDefault="003F050D" w:rsidP="003F050D">
            <w:pPr>
              <w:pStyle w:val="Tables"/>
            </w:pPr>
          </w:p>
        </w:tc>
      </w:tr>
      <w:tr w:rsidR="003F050D" w:rsidRPr="006D20E0" w14:paraId="50BF4D5E" w14:textId="77777777" w:rsidTr="00D0781D">
        <w:trPr>
          <w:trHeight w:val="300"/>
        </w:trPr>
        <w:tc>
          <w:tcPr>
            <w:tcW w:w="3333" w:type="dxa"/>
            <w:tcBorders>
              <w:top w:val="nil"/>
              <w:left w:val="nil"/>
              <w:bottom w:val="nil"/>
              <w:right w:val="nil"/>
            </w:tcBorders>
            <w:shd w:val="clear" w:color="auto" w:fill="auto"/>
            <w:noWrap/>
            <w:vAlign w:val="bottom"/>
            <w:hideMark/>
          </w:tcPr>
          <w:p w14:paraId="7F61EF53" w14:textId="77777777" w:rsidR="003F050D" w:rsidRPr="006D20E0" w:rsidRDefault="003F050D" w:rsidP="003F050D">
            <w:pPr>
              <w:pStyle w:val="Tables"/>
            </w:pPr>
            <w:r w:rsidRPr="006D20E0">
              <w:t>Hypothesized Mean Difference</w:t>
            </w:r>
          </w:p>
        </w:tc>
        <w:tc>
          <w:tcPr>
            <w:tcW w:w="1446" w:type="dxa"/>
            <w:tcBorders>
              <w:top w:val="nil"/>
              <w:left w:val="nil"/>
              <w:bottom w:val="nil"/>
              <w:right w:val="nil"/>
            </w:tcBorders>
            <w:shd w:val="clear" w:color="auto" w:fill="auto"/>
            <w:noWrap/>
            <w:vAlign w:val="bottom"/>
            <w:hideMark/>
          </w:tcPr>
          <w:p w14:paraId="6B274C32" w14:textId="77777777" w:rsidR="003F050D" w:rsidRPr="006D20E0" w:rsidRDefault="003F050D" w:rsidP="003F050D">
            <w:pPr>
              <w:pStyle w:val="Tables"/>
            </w:pPr>
            <w:r w:rsidRPr="006D20E0">
              <w:t>0</w:t>
            </w:r>
          </w:p>
        </w:tc>
        <w:tc>
          <w:tcPr>
            <w:tcW w:w="1536" w:type="dxa"/>
            <w:tcBorders>
              <w:top w:val="nil"/>
              <w:left w:val="nil"/>
              <w:bottom w:val="nil"/>
              <w:right w:val="nil"/>
            </w:tcBorders>
            <w:shd w:val="clear" w:color="auto" w:fill="auto"/>
            <w:noWrap/>
            <w:vAlign w:val="bottom"/>
            <w:hideMark/>
          </w:tcPr>
          <w:p w14:paraId="5DA2FC8B" w14:textId="77777777" w:rsidR="003F050D" w:rsidRPr="006D20E0" w:rsidRDefault="003F050D" w:rsidP="003F050D">
            <w:pPr>
              <w:pStyle w:val="Tables"/>
            </w:pPr>
          </w:p>
        </w:tc>
      </w:tr>
      <w:tr w:rsidR="003F050D" w:rsidRPr="006D20E0" w14:paraId="164138A3" w14:textId="77777777" w:rsidTr="00D0781D">
        <w:trPr>
          <w:trHeight w:val="300"/>
        </w:trPr>
        <w:tc>
          <w:tcPr>
            <w:tcW w:w="3333" w:type="dxa"/>
            <w:tcBorders>
              <w:top w:val="nil"/>
              <w:left w:val="nil"/>
              <w:bottom w:val="nil"/>
              <w:right w:val="nil"/>
            </w:tcBorders>
            <w:shd w:val="clear" w:color="auto" w:fill="auto"/>
            <w:noWrap/>
            <w:vAlign w:val="bottom"/>
            <w:hideMark/>
          </w:tcPr>
          <w:p w14:paraId="5607E610" w14:textId="77777777" w:rsidR="003F050D" w:rsidRPr="006D20E0" w:rsidRDefault="003F050D" w:rsidP="003F050D">
            <w:pPr>
              <w:pStyle w:val="Tables"/>
            </w:pPr>
            <w:r w:rsidRPr="006D20E0">
              <w:t>df</w:t>
            </w:r>
          </w:p>
        </w:tc>
        <w:tc>
          <w:tcPr>
            <w:tcW w:w="1446" w:type="dxa"/>
            <w:tcBorders>
              <w:top w:val="nil"/>
              <w:left w:val="nil"/>
              <w:bottom w:val="nil"/>
              <w:right w:val="nil"/>
            </w:tcBorders>
            <w:shd w:val="clear" w:color="auto" w:fill="auto"/>
            <w:noWrap/>
            <w:vAlign w:val="bottom"/>
            <w:hideMark/>
          </w:tcPr>
          <w:p w14:paraId="0811E8A1" w14:textId="77777777" w:rsidR="003F050D" w:rsidRPr="006D20E0" w:rsidRDefault="003F050D" w:rsidP="003F050D">
            <w:pPr>
              <w:pStyle w:val="Tables"/>
            </w:pPr>
            <w:r w:rsidRPr="006D20E0">
              <w:t>3</w:t>
            </w:r>
          </w:p>
        </w:tc>
        <w:tc>
          <w:tcPr>
            <w:tcW w:w="1536" w:type="dxa"/>
            <w:tcBorders>
              <w:top w:val="nil"/>
              <w:left w:val="nil"/>
              <w:bottom w:val="nil"/>
              <w:right w:val="nil"/>
            </w:tcBorders>
            <w:shd w:val="clear" w:color="auto" w:fill="auto"/>
            <w:noWrap/>
            <w:vAlign w:val="bottom"/>
            <w:hideMark/>
          </w:tcPr>
          <w:p w14:paraId="321622C9" w14:textId="77777777" w:rsidR="003F050D" w:rsidRPr="006D20E0" w:rsidRDefault="003F050D" w:rsidP="003F050D">
            <w:pPr>
              <w:pStyle w:val="Tables"/>
            </w:pPr>
          </w:p>
        </w:tc>
      </w:tr>
      <w:tr w:rsidR="003F050D" w:rsidRPr="006D20E0" w14:paraId="6D990528" w14:textId="77777777" w:rsidTr="00D0781D">
        <w:trPr>
          <w:trHeight w:val="300"/>
        </w:trPr>
        <w:tc>
          <w:tcPr>
            <w:tcW w:w="3333" w:type="dxa"/>
            <w:tcBorders>
              <w:top w:val="nil"/>
              <w:left w:val="nil"/>
              <w:bottom w:val="nil"/>
              <w:right w:val="nil"/>
            </w:tcBorders>
            <w:shd w:val="clear" w:color="auto" w:fill="auto"/>
            <w:noWrap/>
            <w:vAlign w:val="bottom"/>
            <w:hideMark/>
          </w:tcPr>
          <w:p w14:paraId="5F2680DB" w14:textId="77777777" w:rsidR="003F050D" w:rsidRPr="006D20E0" w:rsidRDefault="003F050D" w:rsidP="003F050D">
            <w:pPr>
              <w:pStyle w:val="Tables"/>
            </w:pPr>
            <w:r w:rsidRPr="006D20E0">
              <w:t>t Stat</w:t>
            </w:r>
          </w:p>
        </w:tc>
        <w:tc>
          <w:tcPr>
            <w:tcW w:w="1446" w:type="dxa"/>
            <w:tcBorders>
              <w:top w:val="nil"/>
              <w:left w:val="nil"/>
              <w:bottom w:val="nil"/>
              <w:right w:val="nil"/>
            </w:tcBorders>
            <w:shd w:val="clear" w:color="auto" w:fill="auto"/>
            <w:noWrap/>
            <w:vAlign w:val="bottom"/>
            <w:hideMark/>
          </w:tcPr>
          <w:p w14:paraId="632A41E0" w14:textId="17F6163A" w:rsidR="003F050D" w:rsidRPr="006D20E0" w:rsidRDefault="003F050D" w:rsidP="00AB13C8">
            <w:pPr>
              <w:pStyle w:val="Tables"/>
            </w:pPr>
            <w:r w:rsidRPr="006D20E0">
              <w:t>0.4646</w:t>
            </w:r>
          </w:p>
        </w:tc>
        <w:tc>
          <w:tcPr>
            <w:tcW w:w="1536" w:type="dxa"/>
            <w:tcBorders>
              <w:top w:val="nil"/>
              <w:left w:val="nil"/>
              <w:bottom w:val="nil"/>
              <w:right w:val="nil"/>
            </w:tcBorders>
            <w:shd w:val="clear" w:color="auto" w:fill="auto"/>
            <w:noWrap/>
            <w:vAlign w:val="bottom"/>
            <w:hideMark/>
          </w:tcPr>
          <w:p w14:paraId="672E12ED" w14:textId="77777777" w:rsidR="003F050D" w:rsidRPr="006D20E0" w:rsidRDefault="003F050D" w:rsidP="003F050D">
            <w:pPr>
              <w:pStyle w:val="Tables"/>
            </w:pPr>
          </w:p>
        </w:tc>
      </w:tr>
      <w:tr w:rsidR="003F050D" w:rsidRPr="006D20E0" w14:paraId="2E83538C" w14:textId="77777777" w:rsidTr="00D0781D">
        <w:trPr>
          <w:trHeight w:val="300"/>
        </w:trPr>
        <w:tc>
          <w:tcPr>
            <w:tcW w:w="3333" w:type="dxa"/>
            <w:tcBorders>
              <w:top w:val="nil"/>
              <w:left w:val="nil"/>
              <w:bottom w:val="nil"/>
              <w:right w:val="nil"/>
            </w:tcBorders>
            <w:shd w:val="clear" w:color="auto" w:fill="auto"/>
            <w:noWrap/>
            <w:vAlign w:val="bottom"/>
            <w:hideMark/>
          </w:tcPr>
          <w:p w14:paraId="2267C16D" w14:textId="77777777" w:rsidR="003F050D" w:rsidRPr="006D20E0" w:rsidRDefault="003F050D" w:rsidP="003F050D">
            <w:pPr>
              <w:pStyle w:val="Tables"/>
            </w:pPr>
            <w:r w:rsidRPr="006D20E0">
              <w:t>P(T&lt;=t) one-tail</w:t>
            </w:r>
          </w:p>
        </w:tc>
        <w:tc>
          <w:tcPr>
            <w:tcW w:w="1446" w:type="dxa"/>
            <w:tcBorders>
              <w:top w:val="nil"/>
              <w:left w:val="nil"/>
              <w:bottom w:val="nil"/>
              <w:right w:val="nil"/>
            </w:tcBorders>
            <w:shd w:val="clear" w:color="auto" w:fill="auto"/>
            <w:noWrap/>
            <w:vAlign w:val="bottom"/>
            <w:hideMark/>
          </w:tcPr>
          <w:p w14:paraId="017429AD" w14:textId="56BF6BFC" w:rsidR="003F050D" w:rsidRPr="006D20E0" w:rsidRDefault="003F050D" w:rsidP="00AB13C8">
            <w:pPr>
              <w:pStyle w:val="Tables"/>
            </w:pPr>
            <w:r w:rsidRPr="006D20E0">
              <w:t>0.3369</w:t>
            </w:r>
          </w:p>
        </w:tc>
        <w:tc>
          <w:tcPr>
            <w:tcW w:w="1536" w:type="dxa"/>
            <w:tcBorders>
              <w:top w:val="nil"/>
              <w:left w:val="nil"/>
              <w:bottom w:val="nil"/>
              <w:right w:val="nil"/>
            </w:tcBorders>
            <w:shd w:val="clear" w:color="auto" w:fill="auto"/>
            <w:noWrap/>
            <w:vAlign w:val="bottom"/>
            <w:hideMark/>
          </w:tcPr>
          <w:p w14:paraId="606F725D" w14:textId="77777777" w:rsidR="003F050D" w:rsidRPr="006D20E0" w:rsidRDefault="003F050D" w:rsidP="003F050D">
            <w:pPr>
              <w:pStyle w:val="Tables"/>
            </w:pPr>
          </w:p>
        </w:tc>
      </w:tr>
      <w:tr w:rsidR="003F050D" w:rsidRPr="006D20E0" w14:paraId="2779268A" w14:textId="77777777" w:rsidTr="00D0781D">
        <w:trPr>
          <w:trHeight w:val="300"/>
        </w:trPr>
        <w:tc>
          <w:tcPr>
            <w:tcW w:w="3333" w:type="dxa"/>
            <w:tcBorders>
              <w:top w:val="nil"/>
              <w:left w:val="nil"/>
              <w:bottom w:val="nil"/>
              <w:right w:val="nil"/>
            </w:tcBorders>
            <w:shd w:val="clear" w:color="auto" w:fill="auto"/>
            <w:noWrap/>
            <w:vAlign w:val="bottom"/>
            <w:hideMark/>
          </w:tcPr>
          <w:p w14:paraId="7F28E72A" w14:textId="77777777" w:rsidR="003F050D" w:rsidRPr="006D20E0" w:rsidRDefault="003F050D" w:rsidP="003F050D">
            <w:pPr>
              <w:pStyle w:val="Tables"/>
            </w:pPr>
            <w:r w:rsidRPr="006D20E0">
              <w:t>t Critical one-tail</w:t>
            </w:r>
          </w:p>
        </w:tc>
        <w:tc>
          <w:tcPr>
            <w:tcW w:w="1446" w:type="dxa"/>
            <w:tcBorders>
              <w:top w:val="nil"/>
              <w:left w:val="nil"/>
              <w:bottom w:val="nil"/>
              <w:right w:val="nil"/>
            </w:tcBorders>
            <w:shd w:val="clear" w:color="auto" w:fill="auto"/>
            <w:noWrap/>
            <w:vAlign w:val="bottom"/>
            <w:hideMark/>
          </w:tcPr>
          <w:p w14:paraId="5F393722" w14:textId="46F66705" w:rsidR="003F050D" w:rsidRPr="006D20E0" w:rsidRDefault="003F050D" w:rsidP="00AB13C8">
            <w:pPr>
              <w:pStyle w:val="Tables"/>
            </w:pPr>
            <w:r w:rsidRPr="006D20E0">
              <w:t>2.353</w:t>
            </w:r>
            <w:r w:rsidR="00AB13C8">
              <w:t>4</w:t>
            </w:r>
          </w:p>
        </w:tc>
        <w:tc>
          <w:tcPr>
            <w:tcW w:w="1536" w:type="dxa"/>
            <w:tcBorders>
              <w:top w:val="nil"/>
              <w:left w:val="nil"/>
              <w:bottom w:val="nil"/>
              <w:right w:val="nil"/>
            </w:tcBorders>
            <w:shd w:val="clear" w:color="auto" w:fill="auto"/>
            <w:noWrap/>
            <w:vAlign w:val="bottom"/>
            <w:hideMark/>
          </w:tcPr>
          <w:p w14:paraId="3104FD60" w14:textId="77777777" w:rsidR="003F050D" w:rsidRPr="006D20E0" w:rsidRDefault="003F050D" w:rsidP="003F050D">
            <w:pPr>
              <w:pStyle w:val="Tables"/>
            </w:pPr>
          </w:p>
        </w:tc>
      </w:tr>
      <w:tr w:rsidR="003F050D" w:rsidRPr="006D20E0" w14:paraId="1BB1FB29" w14:textId="77777777" w:rsidTr="00D0781D">
        <w:trPr>
          <w:trHeight w:val="300"/>
        </w:trPr>
        <w:tc>
          <w:tcPr>
            <w:tcW w:w="3333" w:type="dxa"/>
            <w:tcBorders>
              <w:top w:val="nil"/>
              <w:left w:val="nil"/>
              <w:bottom w:val="nil"/>
              <w:right w:val="nil"/>
            </w:tcBorders>
            <w:shd w:val="clear" w:color="auto" w:fill="auto"/>
            <w:noWrap/>
            <w:vAlign w:val="bottom"/>
            <w:hideMark/>
          </w:tcPr>
          <w:p w14:paraId="6DC84DBA" w14:textId="77777777" w:rsidR="003F050D" w:rsidRPr="006D20E0" w:rsidRDefault="003F050D" w:rsidP="003F050D">
            <w:pPr>
              <w:pStyle w:val="Tables"/>
            </w:pPr>
            <w:r w:rsidRPr="006D20E0">
              <w:t>P(T&lt;=t) two-tail</w:t>
            </w:r>
          </w:p>
        </w:tc>
        <w:tc>
          <w:tcPr>
            <w:tcW w:w="1446" w:type="dxa"/>
            <w:tcBorders>
              <w:top w:val="nil"/>
              <w:left w:val="nil"/>
              <w:bottom w:val="nil"/>
              <w:right w:val="nil"/>
            </w:tcBorders>
            <w:shd w:val="clear" w:color="auto" w:fill="auto"/>
            <w:noWrap/>
            <w:vAlign w:val="bottom"/>
            <w:hideMark/>
          </w:tcPr>
          <w:p w14:paraId="385AD15B" w14:textId="6DE4177C" w:rsidR="003F050D" w:rsidRPr="006D20E0" w:rsidRDefault="003F050D" w:rsidP="00AB13C8">
            <w:pPr>
              <w:pStyle w:val="Tables"/>
            </w:pPr>
            <w:r w:rsidRPr="006D20E0">
              <w:t>0.673</w:t>
            </w:r>
            <w:r w:rsidR="00AB13C8">
              <w:t>9</w:t>
            </w:r>
          </w:p>
        </w:tc>
        <w:tc>
          <w:tcPr>
            <w:tcW w:w="1536" w:type="dxa"/>
            <w:tcBorders>
              <w:top w:val="nil"/>
              <w:left w:val="nil"/>
              <w:bottom w:val="nil"/>
              <w:right w:val="nil"/>
            </w:tcBorders>
            <w:shd w:val="clear" w:color="auto" w:fill="auto"/>
            <w:noWrap/>
            <w:vAlign w:val="bottom"/>
            <w:hideMark/>
          </w:tcPr>
          <w:p w14:paraId="0F1E6268" w14:textId="77777777" w:rsidR="003F050D" w:rsidRPr="006D20E0" w:rsidRDefault="003F050D" w:rsidP="003F050D">
            <w:pPr>
              <w:pStyle w:val="Tables"/>
            </w:pPr>
          </w:p>
        </w:tc>
      </w:tr>
      <w:tr w:rsidR="003F050D" w:rsidRPr="006D20E0" w14:paraId="4AAAC44A" w14:textId="77777777" w:rsidTr="00D0781D">
        <w:trPr>
          <w:trHeight w:val="320"/>
        </w:trPr>
        <w:tc>
          <w:tcPr>
            <w:tcW w:w="3333" w:type="dxa"/>
            <w:tcBorders>
              <w:top w:val="nil"/>
              <w:left w:val="nil"/>
              <w:bottom w:val="single" w:sz="8" w:space="0" w:color="auto"/>
              <w:right w:val="nil"/>
            </w:tcBorders>
            <w:shd w:val="clear" w:color="auto" w:fill="auto"/>
            <w:noWrap/>
            <w:vAlign w:val="bottom"/>
            <w:hideMark/>
          </w:tcPr>
          <w:p w14:paraId="15FD2365" w14:textId="77777777" w:rsidR="003F050D" w:rsidRPr="006D20E0" w:rsidRDefault="003F050D" w:rsidP="003F050D">
            <w:pPr>
              <w:pStyle w:val="Tables"/>
            </w:pPr>
            <w:r w:rsidRPr="006D20E0">
              <w:t>t Critical two-tail</w:t>
            </w:r>
          </w:p>
        </w:tc>
        <w:tc>
          <w:tcPr>
            <w:tcW w:w="1446" w:type="dxa"/>
            <w:tcBorders>
              <w:top w:val="nil"/>
              <w:left w:val="nil"/>
              <w:bottom w:val="single" w:sz="8" w:space="0" w:color="auto"/>
              <w:right w:val="nil"/>
            </w:tcBorders>
            <w:shd w:val="clear" w:color="auto" w:fill="auto"/>
            <w:noWrap/>
            <w:vAlign w:val="bottom"/>
            <w:hideMark/>
          </w:tcPr>
          <w:p w14:paraId="2B43A8D1" w14:textId="6265EEE6" w:rsidR="003F050D" w:rsidRPr="006D20E0" w:rsidRDefault="003F050D" w:rsidP="00AB13C8">
            <w:pPr>
              <w:pStyle w:val="Tables"/>
            </w:pPr>
            <w:r w:rsidRPr="006D20E0">
              <w:t>3.1824</w:t>
            </w:r>
          </w:p>
        </w:tc>
        <w:tc>
          <w:tcPr>
            <w:tcW w:w="1536" w:type="dxa"/>
            <w:tcBorders>
              <w:top w:val="nil"/>
              <w:left w:val="nil"/>
              <w:bottom w:val="single" w:sz="8" w:space="0" w:color="auto"/>
              <w:right w:val="nil"/>
            </w:tcBorders>
            <w:shd w:val="clear" w:color="auto" w:fill="auto"/>
            <w:noWrap/>
            <w:vAlign w:val="bottom"/>
            <w:hideMark/>
          </w:tcPr>
          <w:p w14:paraId="5DB02C92" w14:textId="77777777" w:rsidR="003F050D" w:rsidRPr="006D20E0" w:rsidRDefault="003F050D" w:rsidP="003F050D">
            <w:pPr>
              <w:pStyle w:val="Tables"/>
            </w:pPr>
            <w:r w:rsidRPr="006D20E0">
              <w:t> </w:t>
            </w:r>
          </w:p>
        </w:tc>
      </w:tr>
    </w:tbl>
    <w:p w14:paraId="0D4DC7FC" w14:textId="0DB63923" w:rsidR="004837AA" w:rsidRDefault="004837AA" w:rsidP="004837AA">
      <w:pPr>
        <w:pStyle w:val="Caption"/>
      </w:pPr>
      <w:bookmarkStart w:id="194" w:name="_Toc449964950"/>
      <w:r>
        <w:t xml:space="preserve">Table </w:t>
      </w:r>
      <w:fldSimple w:instr=" STYLEREF &quot;Chapter&quot; \s ">
        <w:r w:rsidR="00463F52">
          <w:rPr>
            <w:noProof/>
          </w:rPr>
          <w:t>7</w:t>
        </w:r>
      </w:fldSimple>
      <w:r>
        <w:t>.</w:t>
      </w:r>
      <w:fldSimple w:instr=" SEQ Table \* ARABIC \s 1 ">
        <w:r w:rsidR="00463F52">
          <w:rPr>
            <w:noProof/>
          </w:rPr>
          <w:t>5</w:t>
        </w:r>
      </w:fldSimple>
      <w:r>
        <w:t>.</w:t>
      </w:r>
      <w:r w:rsidRPr="008E2374">
        <w:t xml:space="preserve"> </w:t>
      </w:r>
      <w:r w:rsidRPr="004837AA">
        <w:rPr>
          <w:b w:val="0"/>
        </w:rPr>
        <w:t>t-Test: Paired Two Sample for Means – G-unit products only</w:t>
      </w:r>
      <w:r>
        <w:rPr>
          <w:b w:val="0"/>
        </w:rPr>
        <w:t>.</w:t>
      </w:r>
      <w:bookmarkEnd w:id="194"/>
    </w:p>
    <w:p w14:paraId="2E3F8966" w14:textId="77777777" w:rsidR="004837AA" w:rsidRDefault="004837AA" w:rsidP="009D552D"/>
    <w:p w14:paraId="343B3F2E" w14:textId="200DE60B" w:rsidR="00265CA2" w:rsidRDefault="003F050D" w:rsidP="0000478D">
      <w:pPr>
        <w:pStyle w:val="NoSpacing"/>
      </w:pPr>
      <w:r>
        <w:rPr>
          <w:noProof/>
        </w:rPr>
        <w:drawing>
          <wp:inline distT="0" distB="0" distL="0" distR="0" wp14:anchorId="4B767D9E" wp14:editId="1121E58C">
            <wp:extent cx="5394960" cy="4256605"/>
            <wp:effectExtent l="0" t="0" r="0" b="10795"/>
            <wp:docPr id="486" name="Picture 486" descr="../../../../Dropbox/Biomass%20Pyrolysis/Manuscripts/Mutant%20switchgrasses/s%20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ropbox/Biomass%20Pyrolysis/Manuscripts/Mutant%20switchgrasses/s%20chart."/>
                    <pic:cNvPicPr>
                      <a:picLocks noChangeAspect="1" noChangeArrowheads="1"/>
                    </pic:cNvPicPr>
                  </pic:nvPicPr>
                  <pic:blipFill rotWithShape="1">
                    <a:blip r:embed="rId101">
                      <a:extLst>
                        <a:ext uri="{28A0092B-C50C-407E-A947-70E740481C1C}">
                          <a14:useLocalDpi xmlns:a14="http://schemas.microsoft.com/office/drawing/2010/main" val="0"/>
                        </a:ext>
                      </a:extLst>
                    </a:blip>
                    <a:srcRect l="23463" t="19732" r="10616" b="13100"/>
                    <a:stretch/>
                  </pic:blipFill>
                  <pic:spPr bwMode="auto">
                    <a:xfrm>
                      <a:off x="0" y="0"/>
                      <a:ext cx="5394960" cy="4256605"/>
                    </a:xfrm>
                    <a:prstGeom prst="rect">
                      <a:avLst/>
                    </a:prstGeom>
                    <a:noFill/>
                    <a:ln>
                      <a:noFill/>
                    </a:ln>
                    <a:extLst>
                      <a:ext uri="{53640926-AAD7-44D8-BBD7-CCE9431645EC}">
                        <a14:shadowObscured xmlns:a14="http://schemas.microsoft.com/office/drawing/2010/main"/>
                      </a:ext>
                    </a:extLst>
                  </pic:spPr>
                </pic:pic>
              </a:graphicData>
            </a:graphic>
          </wp:inline>
        </w:drawing>
      </w:r>
    </w:p>
    <w:p w14:paraId="46CB22A2" w14:textId="77777777" w:rsidR="001B3EEC" w:rsidRDefault="000F54BA" w:rsidP="000F54BA">
      <w:pPr>
        <w:pStyle w:val="Caption"/>
        <w:rPr>
          <w:b w:val="0"/>
        </w:rPr>
      </w:pPr>
      <w:bookmarkStart w:id="195" w:name="_Toc449965027"/>
      <w:r w:rsidRPr="00E73E07">
        <w:t xml:space="preserve">Figure </w:t>
      </w:r>
      <w:fldSimple w:instr=" STYLEREF &quot;Chapter&quot; \s ">
        <w:r w:rsidR="00463F52">
          <w:rPr>
            <w:noProof/>
          </w:rPr>
          <w:t>7</w:t>
        </w:r>
      </w:fldSimple>
      <w:r w:rsidRPr="00E73E07">
        <w:t>.</w:t>
      </w:r>
      <w:fldSimple w:instr=" SEQ Figure \* ARABIC \s 1 ">
        <w:r w:rsidR="00463F52">
          <w:rPr>
            <w:noProof/>
          </w:rPr>
          <w:t>8</w:t>
        </w:r>
      </w:fldSimple>
      <w:r w:rsidRPr="00E73E07">
        <w:rPr>
          <w:noProof/>
        </w:rPr>
        <w:t>.</w:t>
      </w:r>
      <w:r w:rsidRPr="0087215B">
        <w:t xml:space="preserve"> </w:t>
      </w:r>
      <w:r w:rsidRPr="000F54BA">
        <w:rPr>
          <w:b w:val="0"/>
        </w:rPr>
        <w:t xml:space="preserve">Yields of phenolic compounds derived from </w:t>
      </w:r>
      <w:r w:rsidRPr="000F54BA">
        <w:rPr>
          <w:i/>
        </w:rPr>
        <w:t>S</w:t>
      </w:r>
      <w:r w:rsidRPr="000F54BA">
        <w:rPr>
          <w:b w:val="0"/>
        </w:rPr>
        <w:t xml:space="preserve"> monomers.</w:t>
      </w:r>
      <w:bookmarkEnd w:id="195"/>
      <w:r w:rsidRPr="000F54BA">
        <w:rPr>
          <w:b w:val="0"/>
        </w:rPr>
        <w:t xml:space="preserve"> </w:t>
      </w:r>
    </w:p>
    <w:p w14:paraId="4C81FA88" w14:textId="0393AB2D" w:rsidR="000F54BA" w:rsidRPr="00EB6B5F" w:rsidRDefault="000F54BA" w:rsidP="00EB6B5F">
      <w:pPr>
        <w:pStyle w:val="Caption"/>
        <w:rPr>
          <w:b w:val="0"/>
        </w:rPr>
      </w:pPr>
      <w:r w:rsidRPr="000F54BA">
        <w:rPr>
          <w:b w:val="0"/>
        </w:rPr>
        <w:t xml:space="preserve">Yield values are (compound peak area) / [(mg of raw </w:t>
      </w:r>
      <w:r w:rsidR="00AC32D8" w:rsidRPr="000F54BA">
        <w:rPr>
          <w:b w:val="0"/>
        </w:rPr>
        <w:t>switchgrass</w:t>
      </w:r>
      <w:r w:rsidRPr="000F54BA">
        <w:rPr>
          <w:b w:val="0"/>
        </w:rPr>
        <w:t xml:space="preserve">) * (wt % lignin)]. </w:t>
      </w:r>
      <w:r w:rsidR="00EB6B5F">
        <w:rPr>
          <w:b w:val="0"/>
        </w:rPr>
        <w:br/>
      </w:r>
      <w:r w:rsidRPr="000F54BA">
        <w:rPr>
          <w:b w:val="0"/>
        </w:rPr>
        <w:t>All samples run at 290°C, 120s</w:t>
      </w:r>
      <w:r w:rsidR="0000478D">
        <w:rPr>
          <w:b w:val="0"/>
        </w:rPr>
        <w:br w:type="page"/>
      </w:r>
    </w:p>
    <w:tbl>
      <w:tblPr>
        <w:tblW w:w="6285" w:type="dxa"/>
        <w:tblLook w:val="04A0" w:firstRow="1" w:lastRow="0" w:firstColumn="1" w:lastColumn="0" w:noHBand="0" w:noVBand="1"/>
      </w:tblPr>
      <w:tblGrid>
        <w:gridCol w:w="3333"/>
        <w:gridCol w:w="1476"/>
        <w:gridCol w:w="1476"/>
      </w:tblGrid>
      <w:tr w:rsidR="00D0781D" w:rsidRPr="005F367E" w14:paraId="2705DC04" w14:textId="77777777" w:rsidTr="00D0781D">
        <w:trPr>
          <w:trHeight w:val="300"/>
        </w:trPr>
        <w:tc>
          <w:tcPr>
            <w:tcW w:w="3333" w:type="dxa"/>
            <w:tcBorders>
              <w:top w:val="single" w:sz="8" w:space="0" w:color="auto"/>
              <w:left w:val="nil"/>
              <w:bottom w:val="single" w:sz="4" w:space="0" w:color="auto"/>
              <w:right w:val="nil"/>
            </w:tcBorders>
            <w:shd w:val="clear" w:color="auto" w:fill="auto"/>
            <w:noWrap/>
            <w:vAlign w:val="bottom"/>
            <w:hideMark/>
          </w:tcPr>
          <w:p w14:paraId="4549DA77" w14:textId="77777777" w:rsidR="005F367E" w:rsidRPr="005F367E" w:rsidRDefault="005F367E" w:rsidP="00D0781D">
            <w:pPr>
              <w:pStyle w:val="Tables"/>
            </w:pPr>
            <w:r w:rsidRPr="005F367E">
              <w:lastRenderedPageBreak/>
              <w:t> </w:t>
            </w:r>
          </w:p>
        </w:tc>
        <w:tc>
          <w:tcPr>
            <w:tcW w:w="1476" w:type="dxa"/>
            <w:tcBorders>
              <w:top w:val="single" w:sz="8" w:space="0" w:color="auto"/>
              <w:left w:val="nil"/>
              <w:bottom w:val="single" w:sz="4" w:space="0" w:color="auto"/>
              <w:right w:val="nil"/>
            </w:tcBorders>
            <w:shd w:val="clear" w:color="auto" w:fill="auto"/>
            <w:noWrap/>
            <w:vAlign w:val="bottom"/>
            <w:hideMark/>
          </w:tcPr>
          <w:p w14:paraId="3D4ED35C" w14:textId="398F24D9" w:rsidR="005F367E" w:rsidRPr="00D0781D" w:rsidRDefault="005F367E" w:rsidP="00D0781D">
            <w:pPr>
              <w:pStyle w:val="Tables"/>
              <w:rPr>
                <w:i/>
              </w:rPr>
            </w:pPr>
            <w:r w:rsidRPr="00D0781D">
              <w:rPr>
                <w:i/>
              </w:rPr>
              <w:t>Wild-type</w:t>
            </w:r>
          </w:p>
        </w:tc>
        <w:tc>
          <w:tcPr>
            <w:tcW w:w="1476" w:type="dxa"/>
            <w:tcBorders>
              <w:top w:val="single" w:sz="8" w:space="0" w:color="auto"/>
              <w:left w:val="nil"/>
              <w:bottom w:val="single" w:sz="4" w:space="0" w:color="auto"/>
              <w:right w:val="nil"/>
            </w:tcBorders>
            <w:shd w:val="clear" w:color="auto" w:fill="auto"/>
            <w:noWrap/>
            <w:vAlign w:val="bottom"/>
            <w:hideMark/>
          </w:tcPr>
          <w:p w14:paraId="140F38E1" w14:textId="70848E0D" w:rsidR="005F367E" w:rsidRPr="00D0781D" w:rsidRDefault="005F367E" w:rsidP="00D0781D">
            <w:pPr>
              <w:pStyle w:val="Tables"/>
              <w:rPr>
                <w:i/>
              </w:rPr>
            </w:pPr>
            <w:r w:rsidRPr="00D0781D">
              <w:rPr>
                <w:i/>
              </w:rPr>
              <w:t>Mutant</w:t>
            </w:r>
          </w:p>
        </w:tc>
      </w:tr>
      <w:tr w:rsidR="00D0781D" w:rsidRPr="005F367E" w14:paraId="09EA46BE" w14:textId="77777777" w:rsidTr="00D0781D">
        <w:trPr>
          <w:trHeight w:val="300"/>
        </w:trPr>
        <w:tc>
          <w:tcPr>
            <w:tcW w:w="3333" w:type="dxa"/>
            <w:tcBorders>
              <w:top w:val="nil"/>
              <w:left w:val="nil"/>
              <w:bottom w:val="nil"/>
              <w:right w:val="nil"/>
            </w:tcBorders>
            <w:shd w:val="clear" w:color="auto" w:fill="auto"/>
            <w:noWrap/>
            <w:vAlign w:val="bottom"/>
            <w:hideMark/>
          </w:tcPr>
          <w:p w14:paraId="26D65BD9" w14:textId="77777777" w:rsidR="005F367E" w:rsidRPr="005F367E" w:rsidRDefault="005F367E" w:rsidP="00D0781D">
            <w:pPr>
              <w:pStyle w:val="Tables"/>
            </w:pPr>
            <w:r w:rsidRPr="005F367E">
              <w:t>Mean</w:t>
            </w:r>
          </w:p>
        </w:tc>
        <w:tc>
          <w:tcPr>
            <w:tcW w:w="1476" w:type="dxa"/>
            <w:tcBorders>
              <w:top w:val="nil"/>
              <w:left w:val="nil"/>
              <w:bottom w:val="nil"/>
              <w:right w:val="nil"/>
            </w:tcBorders>
            <w:shd w:val="clear" w:color="auto" w:fill="auto"/>
            <w:noWrap/>
            <w:vAlign w:val="bottom"/>
            <w:hideMark/>
          </w:tcPr>
          <w:p w14:paraId="088E57DF" w14:textId="77777777" w:rsidR="005F367E" w:rsidRPr="005F367E" w:rsidRDefault="005F367E" w:rsidP="00D0781D">
            <w:pPr>
              <w:pStyle w:val="Tables"/>
            </w:pPr>
            <w:r w:rsidRPr="005F367E">
              <w:t>115919.7377</w:t>
            </w:r>
          </w:p>
        </w:tc>
        <w:tc>
          <w:tcPr>
            <w:tcW w:w="1476" w:type="dxa"/>
            <w:tcBorders>
              <w:top w:val="nil"/>
              <w:left w:val="nil"/>
              <w:bottom w:val="nil"/>
              <w:right w:val="nil"/>
            </w:tcBorders>
            <w:shd w:val="clear" w:color="auto" w:fill="auto"/>
            <w:noWrap/>
            <w:vAlign w:val="bottom"/>
            <w:hideMark/>
          </w:tcPr>
          <w:p w14:paraId="57CDB6CA" w14:textId="77777777" w:rsidR="005F367E" w:rsidRPr="005F367E" w:rsidRDefault="005F367E" w:rsidP="00D0781D">
            <w:pPr>
              <w:pStyle w:val="Tables"/>
            </w:pPr>
            <w:r w:rsidRPr="005F367E">
              <w:t>84509.69338</w:t>
            </w:r>
          </w:p>
        </w:tc>
      </w:tr>
      <w:tr w:rsidR="00D0781D" w:rsidRPr="005F367E" w14:paraId="5C9D1118" w14:textId="77777777" w:rsidTr="00D0781D">
        <w:trPr>
          <w:trHeight w:val="300"/>
        </w:trPr>
        <w:tc>
          <w:tcPr>
            <w:tcW w:w="3333" w:type="dxa"/>
            <w:tcBorders>
              <w:top w:val="nil"/>
              <w:left w:val="nil"/>
              <w:bottom w:val="nil"/>
              <w:right w:val="nil"/>
            </w:tcBorders>
            <w:shd w:val="clear" w:color="auto" w:fill="auto"/>
            <w:noWrap/>
            <w:vAlign w:val="bottom"/>
            <w:hideMark/>
          </w:tcPr>
          <w:p w14:paraId="7BA894F3" w14:textId="77777777" w:rsidR="005F367E" w:rsidRPr="005F367E" w:rsidRDefault="005F367E" w:rsidP="00D0781D">
            <w:pPr>
              <w:pStyle w:val="Tables"/>
            </w:pPr>
            <w:r w:rsidRPr="005F367E">
              <w:t>Variance</w:t>
            </w:r>
          </w:p>
        </w:tc>
        <w:tc>
          <w:tcPr>
            <w:tcW w:w="1476" w:type="dxa"/>
            <w:tcBorders>
              <w:top w:val="nil"/>
              <w:left w:val="nil"/>
              <w:bottom w:val="nil"/>
              <w:right w:val="nil"/>
            </w:tcBorders>
            <w:shd w:val="clear" w:color="auto" w:fill="auto"/>
            <w:noWrap/>
            <w:vAlign w:val="bottom"/>
            <w:hideMark/>
          </w:tcPr>
          <w:p w14:paraId="0D673BBF" w14:textId="77777777" w:rsidR="005F367E" w:rsidRPr="005F367E" w:rsidRDefault="005F367E" w:rsidP="00D0781D">
            <w:pPr>
              <w:pStyle w:val="Tables"/>
            </w:pPr>
            <w:r w:rsidRPr="005F367E">
              <w:t>784382489.7</w:t>
            </w:r>
          </w:p>
        </w:tc>
        <w:tc>
          <w:tcPr>
            <w:tcW w:w="1476" w:type="dxa"/>
            <w:tcBorders>
              <w:top w:val="nil"/>
              <w:left w:val="nil"/>
              <w:bottom w:val="nil"/>
              <w:right w:val="nil"/>
            </w:tcBorders>
            <w:shd w:val="clear" w:color="auto" w:fill="auto"/>
            <w:noWrap/>
            <w:vAlign w:val="bottom"/>
            <w:hideMark/>
          </w:tcPr>
          <w:p w14:paraId="4C6BBF77" w14:textId="77777777" w:rsidR="005F367E" w:rsidRPr="005F367E" w:rsidRDefault="005F367E" w:rsidP="00D0781D">
            <w:pPr>
              <w:pStyle w:val="Tables"/>
            </w:pPr>
            <w:r w:rsidRPr="005F367E">
              <w:t>99189479.33</w:t>
            </w:r>
          </w:p>
        </w:tc>
      </w:tr>
      <w:tr w:rsidR="00D0781D" w:rsidRPr="005F367E" w14:paraId="13EA5D99" w14:textId="77777777" w:rsidTr="00D0781D">
        <w:trPr>
          <w:trHeight w:val="300"/>
        </w:trPr>
        <w:tc>
          <w:tcPr>
            <w:tcW w:w="3333" w:type="dxa"/>
            <w:tcBorders>
              <w:top w:val="nil"/>
              <w:left w:val="nil"/>
              <w:bottom w:val="nil"/>
              <w:right w:val="nil"/>
            </w:tcBorders>
            <w:shd w:val="clear" w:color="auto" w:fill="auto"/>
            <w:noWrap/>
            <w:vAlign w:val="bottom"/>
            <w:hideMark/>
          </w:tcPr>
          <w:p w14:paraId="10A5AFE5" w14:textId="77777777" w:rsidR="005F367E" w:rsidRPr="005F367E" w:rsidRDefault="005F367E" w:rsidP="00D0781D">
            <w:pPr>
              <w:pStyle w:val="Tables"/>
            </w:pPr>
            <w:r w:rsidRPr="005F367E">
              <w:t>Observations</w:t>
            </w:r>
          </w:p>
        </w:tc>
        <w:tc>
          <w:tcPr>
            <w:tcW w:w="1476" w:type="dxa"/>
            <w:tcBorders>
              <w:top w:val="nil"/>
              <w:left w:val="nil"/>
              <w:bottom w:val="nil"/>
              <w:right w:val="nil"/>
            </w:tcBorders>
            <w:shd w:val="clear" w:color="auto" w:fill="auto"/>
            <w:noWrap/>
            <w:vAlign w:val="bottom"/>
            <w:hideMark/>
          </w:tcPr>
          <w:p w14:paraId="3F59A66E" w14:textId="77777777" w:rsidR="005F367E" w:rsidRPr="005F367E" w:rsidRDefault="005F367E" w:rsidP="00D0781D">
            <w:pPr>
              <w:pStyle w:val="Tables"/>
            </w:pPr>
            <w:r w:rsidRPr="005F367E">
              <w:t>4</w:t>
            </w:r>
          </w:p>
        </w:tc>
        <w:tc>
          <w:tcPr>
            <w:tcW w:w="1476" w:type="dxa"/>
            <w:tcBorders>
              <w:top w:val="nil"/>
              <w:left w:val="nil"/>
              <w:bottom w:val="nil"/>
              <w:right w:val="nil"/>
            </w:tcBorders>
            <w:shd w:val="clear" w:color="auto" w:fill="auto"/>
            <w:noWrap/>
            <w:vAlign w:val="bottom"/>
            <w:hideMark/>
          </w:tcPr>
          <w:p w14:paraId="6D529350" w14:textId="77777777" w:rsidR="005F367E" w:rsidRPr="005F367E" w:rsidRDefault="005F367E" w:rsidP="00D0781D">
            <w:pPr>
              <w:pStyle w:val="Tables"/>
            </w:pPr>
            <w:r w:rsidRPr="005F367E">
              <w:t>4</w:t>
            </w:r>
          </w:p>
        </w:tc>
      </w:tr>
      <w:tr w:rsidR="00D0781D" w:rsidRPr="005F367E" w14:paraId="743546C7" w14:textId="77777777" w:rsidTr="00D0781D">
        <w:trPr>
          <w:trHeight w:val="333"/>
        </w:trPr>
        <w:tc>
          <w:tcPr>
            <w:tcW w:w="3333" w:type="dxa"/>
            <w:tcBorders>
              <w:top w:val="nil"/>
              <w:left w:val="nil"/>
              <w:bottom w:val="nil"/>
              <w:right w:val="nil"/>
            </w:tcBorders>
            <w:shd w:val="clear" w:color="auto" w:fill="auto"/>
            <w:noWrap/>
            <w:vAlign w:val="bottom"/>
            <w:hideMark/>
          </w:tcPr>
          <w:p w14:paraId="21158209" w14:textId="77777777" w:rsidR="005F367E" w:rsidRPr="005F367E" w:rsidRDefault="005F367E" w:rsidP="00D0781D">
            <w:pPr>
              <w:pStyle w:val="Tables"/>
            </w:pPr>
            <w:r w:rsidRPr="005F367E">
              <w:t>Pearson Correlation</w:t>
            </w:r>
          </w:p>
        </w:tc>
        <w:tc>
          <w:tcPr>
            <w:tcW w:w="1476" w:type="dxa"/>
            <w:tcBorders>
              <w:top w:val="nil"/>
              <w:left w:val="nil"/>
              <w:bottom w:val="nil"/>
              <w:right w:val="nil"/>
            </w:tcBorders>
            <w:shd w:val="clear" w:color="auto" w:fill="auto"/>
            <w:noWrap/>
            <w:vAlign w:val="bottom"/>
            <w:hideMark/>
          </w:tcPr>
          <w:p w14:paraId="512A69BC" w14:textId="284A83FB" w:rsidR="005F367E" w:rsidRPr="005F367E" w:rsidRDefault="005F367E" w:rsidP="00D0781D">
            <w:pPr>
              <w:pStyle w:val="Tables"/>
            </w:pPr>
            <w:r w:rsidRPr="005F367E">
              <w:t>0.3368</w:t>
            </w:r>
          </w:p>
        </w:tc>
        <w:tc>
          <w:tcPr>
            <w:tcW w:w="1476" w:type="dxa"/>
            <w:tcBorders>
              <w:top w:val="nil"/>
              <w:left w:val="nil"/>
              <w:bottom w:val="nil"/>
              <w:right w:val="nil"/>
            </w:tcBorders>
            <w:shd w:val="clear" w:color="auto" w:fill="auto"/>
            <w:noWrap/>
            <w:vAlign w:val="bottom"/>
            <w:hideMark/>
          </w:tcPr>
          <w:p w14:paraId="632742A9" w14:textId="77777777" w:rsidR="005F367E" w:rsidRPr="005F367E" w:rsidRDefault="005F367E" w:rsidP="00D0781D">
            <w:pPr>
              <w:pStyle w:val="Tables"/>
            </w:pPr>
          </w:p>
        </w:tc>
      </w:tr>
      <w:tr w:rsidR="00D0781D" w:rsidRPr="005F367E" w14:paraId="5CCB12EB" w14:textId="77777777" w:rsidTr="00D0781D">
        <w:trPr>
          <w:trHeight w:val="300"/>
        </w:trPr>
        <w:tc>
          <w:tcPr>
            <w:tcW w:w="3333" w:type="dxa"/>
            <w:tcBorders>
              <w:top w:val="nil"/>
              <w:left w:val="nil"/>
              <w:bottom w:val="nil"/>
              <w:right w:val="nil"/>
            </w:tcBorders>
            <w:shd w:val="clear" w:color="auto" w:fill="auto"/>
            <w:noWrap/>
            <w:vAlign w:val="bottom"/>
            <w:hideMark/>
          </w:tcPr>
          <w:p w14:paraId="3AE92406" w14:textId="77777777" w:rsidR="005F367E" w:rsidRPr="005F367E" w:rsidRDefault="005F367E" w:rsidP="00D0781D">
            <w:pPr>
              <w:pStyle w:val="Tables"/>
            </w:pPr>
            <w:r w:rsidRPr="005F367E">
              <w:t>Hypothesized Mean Difference</w:t>
            </w:r>
          </w:p>
        </w:tc>
        <w:tc>
          <w:tcPr>
            <w:tcW w:w="1476" w:type="dxa"/>
            <w:tcBorders>
              <w:top w:val="nil"/>
              <w:left w:val="nil"/>
              <w:bottom w:val="nil"/>
              <w:right w:val="nil"/>
            </w:tcBorders>
            <w:shd w:val="clear" w:color="auto" w:fill="auto"/>
            <w:noWrap/>
            <w:vAlign w:val="bottom"/>
            <w:hideMark/>
          </w:tcPr>
          <w:p w14:paraId="1D17CB08" w14:textId="77777777" w:rsidR="005F367E" w:rsidRPr="005F367E" w:rsidRDefault="005F367E" w:rsidP="00D0781D">
            <w:pPr>
              <w:pStyle w:val="Tables"/>
            </w:pPr>
            <w:r w:rsidRPr="005F367E">
              <w:t>0</w:t>
            </w:r>
          </w:p>
        </w:tc>
        <w:tc>
          <w:tcPr>
            <w:tcW w:w="1476" w:type="dxa"/>
            <w:tcBorders>
              <w:top w:val="nil"/>
              <w:left w:val="nil"/>
              <w:bottom w:val="nil"/>
              <w:right w:val="nil"/>
            </w:tcBorders>
            <w:shd w:val="clear" w:color="auto" w:fill="auto"/>
            <w:noWrap/>
            <w:vAlign w:val="bottom"/>
            <w:hideMark/>
          </w:tcPr>
          <w:p w14:paraId="34D4A502" w14:textId="77777777" w:rsidR="005F367E" w:rsidRPr="005F367E" w:rsidRDefault="005F367E" w:rsidP="00D0781D">
            <w:pPr>
              <w:pStyle w:val="Tables"/>
            </w:pPr>
          </w:p>
        </w:tc>
      </w:tr>
      <w:tr w:rsidR="00D0781D" w:rsidRPr="005F367E" w14:paraId="504C9A12" w14:textId="77777777" w:rsidTr="00D0781D">
        <w:trPr>
          <w:trHeight w:val="300"/>
        </w:trPr>
        <w:tc>
          <w:tcPr>
            <w:tcW w:w="3333" w:type="dxa"/>
            <w:tcBorders>
              <w:top w:val="nil"/>
              <w:left w:val="nil"/>
              <w:bottom w:val="nil"/>
              <w:right w:val="nil"/>
            </w:tcBorders>
            <w:shd w:val="clear" w:color="auto" w:fill="auto"/>
            <w:noWrap/>
            <w:vAlign w:val="bottom"/>
            <w:hideMark/>
          </w:tcPr>
          <w:p w14:paraId="75A1AF5D" w14:textId="77777777" w:rsidR="005F367E" w:rsidRPr="005F367E" w:rsidRDefault="005F367E" w:rsidP="00D0781D">
            <w:pPr>
              <w:pStyle w:val="Tables"/>
            </w:pPr>
            <w:r w:rsidRPr="005F367E">
              <w:t>df</w:t>
            </w:r>
          </w:p>
        </w:tc>
        <w:tc>
          <w:tcPr>
            <w:tcW w:w="1476" w:type="dxa"/>
            <w:tcBorders>
              <w:top w:val="nil"/>
              <w:left w:val="nil"/>
              <w:bottom w:val="nil"/>
              <w:right w:val="nil"/>
            </w:tcBorders>
            <w:shd w:val="clear" w:color="auto" w:fill="auto"/>
            <w:noWrap/>
            <w:vAlign w:val="bottom"/>
            <w:hideMark/>
          </w:tcPr>
          <w:p w14:paraId="56D17580" w14:textId="77777777" w:rsidR="005F367E" w:rsidRPr="005F367E" w:rsidRDefault="005F367E" w:rsidP="00D0781D">
            <w:pPr>
              <w:pStyle w:val="Tables"/>
            </w:pPr>
            <w:r w:rsidRPr="005F367E">
              <w:t>3</w:t>
            </w:r>
          </w:p>
        </w:tc>
        <w:tc>
          <w:tcPr>
            <w:tcW w:w="1476" w:type="dxa"/>
            <w:tcBorders>
              <w:top w:val="nil"/>
              <w:left w:val="nil"/>
              <w:bottom w:val="nil"/>
              <w:right w:val="nil"/>
            </w:tcBorders>
            <w:shd w:val="clear" w:color="auto" w:fill="auto"/>
            <w:noWrap/>
            <w:vAlign w:val="bottom"/>
            <w:hideMark/>
          </w:tcPr>
          <w:p w14:paraId="3C958CF0" w14:textId="77777777" w:rsidR="005F367E" w:rsidRPr="005F367E" w:rsidRDefault="005F367E" w:rsidP="00D0781D">
            <w:pPr>
              <w:pStyle w:val="Tables"/>
            </w:pPr>
          </w:p>
        </w:tc>
      </w:tr>
      <w:tr w:rsidR="00D0781D" w:rsidRPr="005F367E" w14:paraId="47F68A0E" w14:textId="77777777" w:rsidTr="00D0781D">
        <w:trPr>
          <w:trHeight w:val="300"/>
        </w:trPr>
        <w:tc>
          <w:tcPr>
            <w:tcW w:w="3333" w:type="dxa"/>
            <w:tcBorders>
              <w:top w:val="nil"/>
              <w:left w:val="nil"/>
              <w:bottom w:val="nil"/>
              <w:right w:val="nil"/>
            </w:tcBorders>
            <w:shd w:val="clear" w:color="auto" w:fill="auto"/>
            <w:noWrap/>
            <w:vAlign w:val="bottom"/>
            <w:hideMark/>
          </w:tcPr>
          <w:p w14:paraId="25BF77F0" w14:textId="77777777" w:rsidR="005F367E" w:rsidRPr="005F367E" w:rsidRDefault="005F367E" w:rsidP="00D0781D">
            <w:pPr>
              <w:pStyle w:val="Tables"/>
            </w:pPr>
            <w:r w:rsidRPr="005F367E">
              <w:t>t Stat</w:t>
            </w:r>
          </w:p>
        </w:tc>
        <w:tc>
          <w:tcPr>
            <w:tcW w:w="1476" w:type="dxa"/>
            <w:tcBorders>
              <w:top w:val="nil"/>
              <w:left w:val="nil"/>
              <w:bottom w:val="nil"/>
              <w:right w:val="nil"/>
            </w:tcBorders>
            <w:shd w:val="clear" w:color="auto" w:fill="auto"/>
            <w:noWrap/>
            <w:vAlign w:val="bottom"/>
            <w:hideMark/>
          </w:tcPr>
          <w:p w14:paraId="3D68EC08" w14:textId="4DB60661" w:rsidR="005F367E" w:rsidRPr="005F367E" w:rsidRDefault="005F367E" w:rsidP="00D0781D">
            <w:pPr>
              <w:pStyle w:val="Tables"/>
            </w:pPr>
            <w:r w:rsidRPr="005F367E">
              <w:t>2.3817</w:t>
            </w:r>
          </w:p>
        </w:tc>
        <w:tc>
          <w:tcPr>
            <w:tcW w:w="1476" w:type="dxa"/>
            <w:tcBorders>
              <w:top w:val="nil"/>
              <w:left w:val="nil"/>
              <w:bottom w:val="nil"/>
              <w:right w:val="nil"/>
            </w:tcBorders>
            <w:shd w:val="clear" w:color="auto" w:fill="auto"/>
            <w:noWrap/>
            <w:vAlign w:val="bottom"/>
            <w:hideMark/>
          </w:tcPr>
          <w:p w14:paraId="7D33D16F" w14:textId="77777777" w:rsidR="005F367E" w:rsidRPr="005F367E" w:rsidRDefault="005F367E" w:rsidP="00D0781D">
            <w:pPr>
              <w:pStyle w:val="Tables"/>
            </w:pPr>
          </w:p>
        </w:tc>
      </w:tr>
      <w:tr w:rsidR="00D0781D" w:rsidRPr="005F367E" w14:paraId="137A0362" w14:textId="77777777" w:rsidTr="00D0781D">
        <w:trPr>
          <w:trHeight w:val="300"/>
        </w:trPr>
        <w:tc>
          <w:tcPr>
            <w:tcW w:w="3333" w:type="dxa"/>
            <w:tcBorders>
              <w:top w:val="nil"/>
              <w:left w:val="nil"/>
              <w:bottom w:val="nil"/>
              <w:right w:val="nil"/>
            </w:tcBorders>
            <w:shd w:val="clear" w:color="auto" w:fill="auto"/>
            <w:noWrap/>
            <w:vAlign w:val="bottom"/>
            <w:hideMark/>
          </w:tcPr>
          <w:p w14:paraId="581B294E" w14:textId="77777777" w:rsidR="005F367E" w:rsidRPr="005F367E" w:rsidRDefault="005F367E" w:rsidP="00D0781D">
            <w:pPr>
              <w:pStyle w:val="Tables"/>
            </w:pPr>
            <w:r w:rsidRPr="005F367E">
              <w:t>P(T&lt;=t) one-tail</w:t>
            </w:r>
          </w:p>
        </w:tc>
        <w:tc>
          <w:tcPr>
            <w:tcW w:w="1476" w:type="dxa"/>
            <w:tcBorders>
              <w:top w:val="nil"/>
              <w:left w:val="nil"/>
              <w:bottom w:val="nil"/>
              <w:right w:val="nil"/>
            </w:tcBorders>
            <w:shd w:val="clear" w:color="auto" w:fill="auto"/>
            <w:noWrap/>
            <w:vAlign w:val="bottom"/>
            <w:hideMark/>
          </w:tcPr>
          <w:p w14:paraId="250C7698" w14:textId="5B1F9B0B" w:rsidR="005F367E" w:rsidRPr="005F367E" w:rsidRDefault="005F367E" w:rsidP="00D0781D">
            <w:pPr>
              <w:pStyle w:val="Tables"/>
            </w:pPr>
            <w:r w:rsidRPr="005F367E">
              <w:t>0.0487</w:t>
            </w:r>
          </w:p>
        </w:tc>
        <w:tc>
          <w:tcPr>
            <w:tcW w:w="1476" w:type="dxa"/>
            <w:tcBorders>
              <w:top w:val="nil"/>
              <w:left w:val="nil"/>
              <w:bottom w:val="nil"/>
              <w:right w:val="nil"/>
            </w:tcBorders>
            <w:shd w:val="clear" w:color="auto" w:fill="auto"/>
            <w:noWrap/>
            <w:vAlign w:val="bottom"/>
            <w:hideMark/>
          </w:tcPr>
          <w:p w14:paraId="6A2E7637" w14:textId="77777777" w:rsidR="005F367E" w:rsidRPr="005F367E" w:rsidRDefault="005F367E" w:rsidP="00D0781D">
            <w:pPr>
              <w:pStyle w:val="Tables"/>
            </w:pPr>
          </w:p>
        </w:tc>
      </w:tr>
      <w:tr w:rsidR="00D0781D" w:rsidRPr="005F367E" w14:paraId="1BC5C2EF" w14:textId="77777777" w:rsidTr="00D0781D">
        <w:trPr>
          <w:trHeight w:val="300"/>
        </w:trPr>
        <w:tc>
          <w:tcPr>
            <w:tcW w:w="3333" w:type="dxa"/>
            <w:tcBorders>
              <w:top w:val="nil"/>
              <w:left w:val="nil"/>
              <w:bottom w:val="nil"/>
              <w:right w:val="nil"/>
            </w:tcBorders>
            <w:shd w:val="clear" w:color="auto" w:fill="auto"/>
            <w:noWrap/>
            <w:vAlign w:val="bottom"/>
            <w:hideMark/>
          </w:tcPr>
          <w:p w14:paraId="4AE0938D" w14:textId="77777777" w:rsidR="005F367E" w:rsidRPr="005F367E" w:rsidRDefault="005F367E" w:rsidP="00D0781D">
            <w:pPr>
              <w:pStyle w:val="Tables"/>
            </w:pPr>
            <w:r w:rsidRPr="005F367E">
              <w:t>t Critical one-tail</w:t>
            </w:r>
          </w:p>
        </w:tc>
        <w:tc>
          <w:tcPr>
            <w:tcW w:w="1476" w:type="dxa"/>
            <w:tcBorders>
              <w:top w:val="nil"/>
              <w:left w:val="nil"/>
              <w:bottom w:val="nil"/>
              <w:right w:val="nil"/>
            </w:tcBorders>
            <w:shd w:val="clear" w:color="auto" w:fill="auto"/>
            <w:noWrap/>
            <w:vAlign w:val="bottom"/>
            <w:hideMark/>
          </w:tcPr>
          <w:p w14:paraId="248976F8" w14:textId="1C3A3D0A" w:rsidR="005F367E" w:rsidRPr="005F367E" w:rsidRDefault="005F367E" w:rsidP="00D0781D">
            <w:pPr>
              <w:pStyle w:val="Tables"/>
            </w:pPr>
            <w:r w:rsidRPr="005F367E">
              <w:t>2.353</w:t>
            </w:r>
            <w:r>
              <w:t>4</w:t>
            </w:r>
          </w:p>
        </w:tc>
        <w:tc>
          <w:tcPr>
            <w:tcW w:w="1476" w:type="dxa"/>
            <w:tcBorders>
              <w:top w:val="nil"/>
              <w:left w:val="nil"/>
              <w:bottom w:val="nil"/>
              <w:right w:val="nil"/>
            </w:tcBorders>
            <w:shd w:val="clear" w:color="auto" w:fill="auto"/>
            <w:noWrap/>
            <w:vAlign w:val="bottom"/>
            <w:hideMark/>
          </w:tcPr>
          <w:p w14:paraId="48A5CD67" w14:textId="77777777" w:rsidR="005F367E" w:rsidRPr="005F367E" w:rsidRDefault="005F367E" w:rsidP="00D0781D">
            <w:pPr>
              <w:pStyle w:val="Tables"/>
            </w:pPr>
          </w:p>
        </w:tc>
      </w:tr>
      <w:tr w:rsidR="00D0781D" w:rsidRPr="005F367E" w14:paraId="32D806E7" w14:textId="77777777" w:rsidTr="00D0781D">
        <w:trPr>
          <w:trHeight w:val="300"/>
        </w:trPr>
        <w:tc>
          <w:tcPr>
            <w:tcW w:w="3333" w:type="dxa"/>
            <w:tcBorders>
              <w:top w:val="nil"/>
              <w:left w:val="nil"/>
              <w:bottom w:val="nil"/>
              <w:right w:val="nil"/>
            </w:tcBorders>
            <w:shd w:val="clear" w:color="auto" w:fill="auto"/>
            <w:noWrap/>
            <w:vAlign w:val="bottom"/>
            <w:hideMark/>
          </w:tcPr>
          <w:p w14:paraId="0CD40E7D" w14:textId="77777777" w:rsidR="005F367E" w:rsidRPr="005F367E" w:rsidRDefault="005F367E" w:rsidP="00D0781D">
            <w:pPr>
              <w:pStyle w:val="Tables"/>
            </w:pPr>
            <w:r w:rsidRPr="005F367E">
              <w:t>P(T&lt;=t) two-tail</w:t>
            </w:r>
          </w:p>
        </w:tc>
        <w:tc>
          <w:tcPr>
            <w:tcW w:w="1476" w:type="dxa"/>
            <w:tcBorders>
              <w:top w:val="nil"/>
              <w:left w:val="nil"/>
              <w:bottom w:val="nil"/>
              <w:right w:val="nil"/>
            </w:tcBorders>
            <w:shd w:val="clear" w:color="auto" w:fill="auto"/>
            <w:noWrap/>
            <w:vAlign w:val="bottom"/>
            <w:hideMark/>
          </w:tcPr>
          <w:p w14:paraId="3E3C85B6" w14:textId="3688B01A" w:rsidR="005F367E" w:rsidRPr="005F367E" w:rsidRDefault="005F367E" w:rsidP="00D0781D">
            <w:pPr>
              <w:pStyle w:val="Tables"/>
            </w:pPr>
            <w:r w:rsidRPr="005F367E">
              <w:t>0.097</w:t>
            </w:r>
            <w:r>
              <w:t>5</w:t>
            </w:r>
          </w:p>
        </w:tc>
        <w:tc>
          <w:tcPr>
            <w:tcW w:w="1476" w:type="dxa"/>
            <w:tcBorders>
              <w:top w:val="nil"/>
              <w:left w:val="nil"/>
              <w:bottom w:val="nil"/>
              <w:right w:val="nil"/>
            </w:tcBorders>
            <w:shd w:val="clear" w:color="auto" w:fill="auto"/>
            <w:noWrap/>
            <w:vAlign w:val="bottom"/>
            <w:hideMark/>
          </w:tcPr>
          <w:p w14:paraId="32E268B7" w14:textId="77777777" w:rsidR="005F367E" w:rsidRPr="005F367E" w:rsidRDefault="005F367E" w:rsidP="00D0781D">
            <w:pPr>
              <w:pStyle w:val="Tables"/>
            </w:pPr>
          </w:p>
        </w:tc>
      </w:tr>
      <w:tr w:rsidR="00D0781D" w:rsidRPr="005F367E" w14:paraId="2387B41D" w14:textId="77777777" w:rsidTr="00D0781D">
        <w:trPr>
          <w:trHeight w:val="320"/>
        </w:trPr>
        <w:tc>
          <w:tcPr>
            <w:tcW w:w="3333" w:type="dxa"/>
            <w:tcBorders>
              <w:top w:val="nil"/>
              <w:left w:val="nil"/>
              <w:bottom w:val="single" w:sz="8" w:space="0" w:color="auto"/>
              <w:right w:val="nil"/>
            </w:tcBorders>
            <w:shd w:val="clear" w:color="auto" w:fill="auto"/>
            <w:noWrap/>
            <w:vAlign w:val="bottom"/>
            <w:hideMark/>
          </w:tcPr>
          <w:p w14:paraId="248D9E44" w14:textId="77777777" w:rsidR="005F367E" w:rsidRPr="005F367E" w:rsidRDefault="005F367E" w:rsidP="00D0781D">
            <w:pPr>
              <w:pStyle w:val="Tables"/>
            </w:pPr>
            <w:r w:rsidRPr="005F367E">
              <w:t>t Critical two-tail</w:t>
            </w:r>
          </w:p>
        </w:tc>
        <w:tc>
          <w:tcPr>
            <w:tcW w:w="1476" w:type="dxa"/>
            <w:tcBorders>
              <w:top w:val="nil"/>
              <w:left w:val="nil"/>
              <w:bottom w:val="single" w:sz="8" w:space="0" w:color="auto"/>
              <w:right w:val="nil"/>
            </w:tcBorders>
            <w:shd w:val="clear" w:color="auto" w:fill="auto"/>
            <w:noWrap/>
            <w:vAlign w:val="bottom"/>
            <w:hideMark/>
          </w:tcPr>
          <w:p w14:paraId="67FD6214" w14:textId="34D8B714" w:rsidR="005F367E" w:rsidRPr="005F367E" w:rsidRDefault="005F367E" w:rsidP="00D0781D">
            <w:pPr>
              <w:pStyle w:val="Tables"/>
            </w:pPr>
            <w:r w:rsidRPr="005F367E">
              <w:t>3.1824</w:t>
            </w:r>
          </w:p>
        </w:tc>
        <w:tc>
          <w:tcPr>
            <w:tcW w:w="1476" w:type="dxa"/>
            <w:tcBorders>
              <w:top w:val="nil"/>
              <w:left w:val="nil"/>
              <w:bottom w:val="single" w:sz="8" w:space="0" w:color="auto"/>
              <w:right w:val="nil"/>
            </w:tcBorders>
            <w:shd w:val="clear" w:color="auto" w:fill="auto"/>
            <w:noWrap/>
            <w:vAlign w:val="bottom"/>
            <w:hideMark/>
          </w:tcPr>
          <w:p w14:paraId="7EA88F20" w14:textId="77777777" w:rsidR="005F367E" w:rsidRPr="005F367E" w:rsidRDefault="005F367E" w:rsidP="00D0781D">
            <w:pPr>
              <w:pStyle w:val="Tables"/>
            </w:pPr>
            <w:r w:rsidRPr="005F367E">
              <w:t> </w:t>
            </w:r>
          </w:p>
        </w:tc>
      </w:tr>
    </w:tbl>
    <w:p w14:paraId="5E22BEF6" w14:textId="1F092A36" w:rsidR="005F367E" w:rsidRDefault="005F367E" w:rsidP="005F367E">
      <w:pPr>
        <w:pStyle w:val="Caption"/>
        <w:rPr>
          <w:b w:val="0"/>
        </w:rPr>
      </w:pPr>
      <w:bookmarkStart w:id="196" w:name="_Toc449964951"/>
      <w:r>
        <w:t xml:space="preserve">Table </w:t>
      </w:r>
      <w:fldSimple w:instr=" STYLEREF &quot;Chapter&quot; \s ">
        <w:r w:rsidR="00463F52">
          <w:rPr>
            <w:noProof/>
          </w:rPr>
          <w:t>7</w:t>
        </w:r>
      </w:fldSimple>
      <w:r>
        <w:t>.</w:t>
      </w:r>
      <w:fldSimple w:instr=" SEQ Table \* ARABIC \s 1 ">
        <w:r w:rsidR="00463F52">
          <w:rPr>
            <w:noProof/>
          </w:rPr>
          <w:t>6</w:t>
        </w:r>
      </w:fldSimple>
      <w:r>
        <w:t>.</w:t>
      </w:r>
      <w:r w:rsidRPr="008E2374">
        <w:t xml:space="preserve"> </w:t>
      </w:r>
      <w:r w:rsidRPr="004837AA">
        <w:rPr>
          <w:b w:val="0"/>
        </w:rPr>
        <w:t xml:space="preserve">t-Test: Paired Two Sample for Means – </w:t>
      </w:r>
      <w:r>
        <w:rPr>
          <w:b w:val="0"/>
        </w:rPr>
        <w:t>S</w:t>
      </w:r>
      <w:r w:rsidRPr="004837AA">
        <w:rPr>
          <w:b w:val="0"/>
        </w:rPr>
        <w:t>-unit products only</w:t>
      </w:r>
      <w:r>
        <w:rPr>
          <w:b w:val="0"/>
        </w:rPr>
        <w:t>.</w:t>
      </w:r>
      <w:bookmarkEnd w:id="196"/>
    </w:p>
    <w:p w14:paraId="3DA513E9" w14:textId="77777777" w:rsidR="005F367E" w:rsidRPr="005F367E" w:rsidRDefault="005F367E" w:rsidP="005F367E"/>
    <w:p w14:paraId="591829B4" w14:textId="45418867" w:rsidR="00897D50" w:rsidRDefault="00897D50" w:rsidP="005C7E19">
      <w:pPr>
        <w:pStyle w:val="Heading2"/>
      </w:pPr>
      <w:bookmarkStart w:id="197" w:name="_Toc449964902"/>
      <w:r>
        <w:t>Discussion</w:t>
      </w:r>
      <w:bookmarkEnd w:id="197"/>
    </w:p>
    <w:p w14:paraId="0290F175" w14:textId="06E061DD" w:rsidR="00F11D72" w:rsidRDefault="00897D50" w:rsidP="00845D30">
      <w:r>
        <w:t xml:space="preserve">As hypothesized, statistically significant differences are observed in the </w:t>
      </w:r>
      <w:r w:rsidR="00825089">
        <w:t xml:space="preserve">lignin-normalized </w:t>
      </w:r>
      <w:r>
        <w:t>phenolics product</w:t>
      </w:r>
      <w:r w:rsidR="00825089">
        <w:t xml:space="preserve"> yield</w:t>
      </w:r>
      <w:r>
        <w:t xml:space="preserve">s between the COMT mutant samples and the wild-type samples. This </w:t>
      </w:r>
      <w:r w:rsidR="00825089">
        <w:t>could be</w:t>
      </w:r>
      <w:r>
        <w:t xml:space="preserve"> a result of the decreased abundance of β–O–4 inter-unit linkages in the mutants due to the suppression of </w:t>
      </w:r>
      <w:r w:rsidRPr="00897D50">
        <w:rPr>
          <w:b/>
          <w:i/>
        </w:rPr>
        <w:t>S</w:t>
      </w:r>
      <w:r>
        <w:t xml:space="preserve"> monomer formation. The phenolic species most responsible for the observed differences is 4-vinyl phenol, a product of </w:t>
      </w:r>
      <w:r w:rsidRPr="00897D50">
        <w:rPr>
          <w:b/>
          <w:i/>
        </w:rPr>
        <w:t>H</w:t>
      </w:r>
      <w:r>
        <w:t xml:space="preserve"> monomers and the most abundant single phenolic </w:t>
      </w:r>
      <w:r w:rsidR="00825089">
        <w:t>thermochemical product</w:t>
      </w:r>
      <w:r>
        <w:t xml:space="preserve"> in all of the wild-type samples. The mutants, although enriched in </w:t>
      </w:r>
      <w:r w:rsidRPr="00897D50">
        <w:rPr>
          <w:b/>
          <w:i/>
        </w:rPr>
        <w:t>G</w:t>
      </w:r>
      <w:r>
        <w:t xml:space="preserve"> monomers compared with the wild-type, did not produce significantly </w:t>
      </w:r>
      <w:r w:rsidR="00265486">
        <w:t>less</w:t>
      </w:r>
      <w:r>
        <w:t xml:space="preserve"> </w:t>
      </w:r>
      <w:r w:rsidRPr="00897D50">
        <w:rPr>
          <w:b/>
          <w:i/>
        </w:rPr>
        <w:t>G</w:t>
      </w:r>
      <w:r w:rsidR="00845D30">
        <w:t xml:space="preserve"> derived phenolic products.</w:t>
      </w:r>
    </w:p>
    <w:p w14:paraId="0A8AF2E8" w14:textId="0F955ADE" w:rsidR="00CD3A4B" w:rsidRDefault="00CD3A4B" w:rsidP="00CD3A4B">
      <w:pPr>
        <w:pStyle w:val="Heading3"/>
      </w:pPr>
      <w:bookmarkStart w:id="198" w:name="_Toc449964903"/>
      <w:r>
        <w:t>Alternative hypothesis</w:t>
      </w:r>
      <w:bookmarkEnd w:id="198"/>
    </w:p>
    <w:p w14:paraId="5F49EFAE" w14:textId="69170E02" w:rsidR="00825089" w:rsidRDefault="00825089" w:rsidP="00897D50">
      <w:r>
        <w:t xml:space="preserve">Another possible explanation for the lower yield of the phenolic products could be lowered levels of </w:t>
      </w:r>
      <w:r w:rsidR="007D1B36">
        <w:t>p-coumaric acid (</w:t>
      </w:r>
      <w:r>
        <w:t>pCA</w:t>
      </w:r>
      <w:r w:rsidR="007D1B36">
        <w:t>)</w:t>
      </w:r>
      <w:r>
        <w:t xml:space="preserve"> in the mutant switchgrasses resulting from the mutation. Palmer et al.</w:t>
      </w:r>
      <w:r w:rsidR="004B2F34">
        <w:t xml:space="preserve"> </w:t>
      </w:r>
      <w:r w:rsidR="004B2F34">
        <w:fldChar w:fldCharType="begin"/>
      </w:r>
      <w:r w:rsidR="00807999">
        <w:instrText xml:space="preserve"> ADDIN PAPERS2_CITATIONS &lt;citation&gt;&lt;uuid&gt;C5408B00-23AC-42C2-A0DE-EDC72F049EE6&lt;/uuid&gt;&lt;priority&gt;0&lt;/priority&gt;&lt;publications&gt;&lt;publication&gt;&lt;uuid&gt;FD4A1387-12FE-4F89-96A5-45B338520ADA&lt;/uuid&gt;&lt;volume&gt;229&lt;/volume&gt;&lt;doi&gt;10.1007/s00425-008-0814-1&lt;/doi&gt;&lt;startpage&gt;115&lt;/startpage&gt;&lt;publication_date&gt;99200809161200000000222000&lt;/publication_date&gt;&lt;url&gt;http://link.springer.com/10.1007/s00425-008-0814-1&lt;/url&gt;&lt;citekey&gt;Palmer:2008fw&lt;/citekey&gt;&lt;type&gt;400&lt;/type&gt;&lt;title&gt;Genetic background impacts soluble and cell wall-bound aromatics in brown midrib mutants of sorghum&lt;/title&gt;&lt;number&gt;1&lt;/number&gt;&lt;subtype&gt;400&lt;/subtype&gt;&lt;endpage&gt;127&lt;/endpage&gt;&lt;bundle&gt;&lt;publication&gt;&lt;title&gt;Planta&lt;/title&gt;&lt;type&gt;-100&lt;/type&gt;&lt;subtype&gt;-100&lt;/subtype&gt;&lt;uuid&gt;73D013A8-46B6-4E8C-A80A-E48EDF6129BA&lt;/uuid&gt;&lt;/publication&gt;&lt;/bundle&gt;&lt;authors&gt;&lt;author&gt;&lt;firstName&gt;Nathan&lt;/firstName&gt;&lt;middleNames&gt;A&lt;/middleNames&gt;&lt;lastName&gt;Palmer&lt;/lastName&gt;&lt;/author&gt;&lt;author&gt;&lt;firstName&gt;Scott&lt;/firstName&gt;&lt;middleNames&gt;E&lt;/middleNames&gt;&lt;lastName&gt;Sattler&lt;/lastName&gt;&lt;/author&gt;&lt;author&gt;&lt;firstName&gt;Aaron&lt;/firstName&gt;&lt;middleNames&gt;J&lt;/middleNames&gt;&lt;lastName&gt;Saathoff&lt;/lastName&gt;&lt;/author&gt;&lt;author&gt;&lt;firstName&gt;Deanna&lt;/firstName&gt;&lt;lastName&gt;Funnell&lt;/lastName&gt;&lt;/author&gt;&lt;author&gt;&lt;firstName&gt;Jeffery&lt;/firstName&gt;&lt;middleNames&gt;F&lt;/middleNames&gt;&lt;lastName&gt;Pedersen&lt;/lastName&gt;&lt;/author&gt;&lt;author&gt;&lt;firstName&gt;Gautam&lt;/firstName&gt;&lt;lastName&gt;Sarath&lt;/lastName&gt;&lt;/author&gt;&lt;/authors&gt;&lt;/publication&gt;&lt;/publications&gt;&lt;cites&gt;&lt;/cites&gt;&lt;/citation&gt;</w:instrText>
      </w:r>
      <w:r w:rsidR="004B2F34">
        <w:fldChar w:fldCharType="separate"/>
      </w:r>
      <w:r w:rsidR="001C1AAC">
        <w:t>(</w:t>
      </w:r>
      <w:r w:rsidR="001C1AAC">
        <w:rPr>
          <w:i/>
          <w:iCs/>
        </w:rPr>
        <w:t>189</w:t>
      </w:r>
      <w:r w:rsidR="001C1AAC">
        <w:t>)</w:t>
      </w:r>
      <w:r w:rsidR="004B2F34">
        <w:fldChar w:fldCharType="end"/>
      </w:r>
      <w:r>
        <w:t xml:space="preserve"> observed lower</w:t>
      </w:r>
      <w:r w:rsidR="007D1B36">
        <w:t xml:space="preserve"> wall-bound</w:t>
      </w:r>
      <w:r>
        <w:t xml:space="preserve"> pCA levels </w:t>
      </w:r>
      <w:r w:rsidR="007D1B36">
        <w:t>across two different C</w:t>
      </w:r>
      <w:r>
        <w:t>OMT-def</w:t>
      </w:r>
      <w:r w:rsidR="007D1B36">
        <w:t xml:space="preserve">icient sorghum mutants as compared to their wild-types. These lower pCA levels were accompanied by higher levels of ferulic acid (FA). </w:t>
      </w:r>
      <w:r w:rsidR="006C02A2">
        <w:t xml:space="preserve">It is possible </w:t>
      </w:r>
      <w:r w:rsidR="006C02A2">
        <w:lastRenderedPageBreak/>
        <w:t>that l</w:t>
      </w:r>
      <w:r w:rsidR="00E87B75">
        <w:t xml:space="preserve">ower pCA levels </w:t>
      </w:r>
      <w:r w:rsidR="006C02A2">
        <w:t xml:space="preserve">in the mutants </w:t>
      </w:r>
      <w:r w:rsidR="00E87B75">
        <w:t xml:space="preserve">could </w:t>
      </w:r>
      <w:r w:rsidR="006C02A2">
        <w:t>be responsible for the observed decrease</w:t>
      </w:r>
      <w:r w:rsidR="00E87B75">
        <w:t xml:space="preserve"> in </w:t>
      </w:r>
      <w:r w:rsidR="006C02A2">
        <w:t>production of</w:t>
      </w:r>
      <w:r w:rsidR="00E87B75">
        <w:t xml:space="preserve"> 4-vinyl phenol via torrefaction</w:t>
      </w:r>
      <w:r w:rsidR="00F11D72">
        <w:t xml:space="preserve">. However, no increase in 4-vinyl guaiacol (a product of the FA) is observed. This could be </w:t>
      </w:r>
      <w:r w:rsidR="00271868">
        <w:t>indicative that incorporation of the esterified FA is primarily by the more thermally recalcitrant bonds, or simply that these samples do not exhibit higher levels of esterified FA. As</w:t>
      </w:r>
      <w:r w:rsidR="007D1B36">
        <w:t xml:space="preserve"> no measurement of the</w:t>
      </w:r>
      <w:r w:rsidR="00C3376A" w:rsidRPr="00C3376A">
        <w:t xml:space="preserve"> </w:t>
      </w:r>
      <w:r w:rsidR="00C3376A">
        <w:t>esterified</w:t>
      </w:r>
      <w:r w:rsidR="007D1B36">
        <w:t xml:space="preserve"> hydroxycinnamic acids</w:t>
      </w:r>
      <w:r w:rsidR="00C3376A">
        <w:t xml:space="preserve"> (HCA)</w:t>
      </w:r>
      <w:r w:rsidR="007D1B36">
        <w:t xml:space="preserve"> is available for the samples used in this study</w:t>
      </w:r>
      <w:r w:rsidR="00271868">
        <w:t>,</w:t>
      </w:r>
      <w:r w:rsidR="00F11D72">
        <w:t xml:space="preserve"> this alternative hypothesis remains untested</w:t>
      </w:r>
      <w:r w:rsidR="007D1B36">
        <w:t>.</w:t>
      </w:r>
      <w:r w:rsidR="00F11D72">
        <w:t xml:space="preserve"> </w:t>
      </w:r>
    </w:p>
    <w:p w14:paraId="4F76E8A1" w14:textId="77777777" w:rsidR="00897D50" w:rsidRDefault="00897D50" w:rsidP="00897D50">
      <w:r>
        <w:t>While this study shows that the COMT deficient switchgrass may be a favorable mutant for achieving lower phenolic yields in low-temperature torrefaction, some important unanswered questions remain open for investigation</w:t>
      </w:r>
      <w:r w:rsidRPr="00EA413D">
        <w:t>, and several are enumerated below</w:t>
      </w:r>
      <w:r>
        <w:t>:</w:t>
      </w:r>
    </w:p>
    <w:p w14:paraId="3B63566A" w14:textId="6291F812" w:rsidR="00845D30" w:rsidRDefault="00C3376A" w:rsidP="00845D30">
      <w:pPr>
        <w:pStyle w:val="ListParagraph"/>
        <w:numPr>
          <w:ilvl w:val="0"/>
          <w:numId w:val="9"/>
        </w:numPr>
      </w:pPr>
      <w:r>
        <w:t xml:space="preserve">The alternative hypothesis – that lower pCA levels in the mutant </w:t>
      </w:r>
      <w:r w:rsidR="00265486">
        <w:t>are</w:t>
      </w:r>
      <w:r>
        <w:t xml:space="preserve"> responsible for the observed differences – is </w:t>
      </w:r>
      <w:r w:rsidR="008B44F2">
        <w:t>untested,</w:t>
      </w:r>
      <w:r>
        <w:t xml:space="preserve"> as no esterified HCA measurements are available for these samples. If pCA levels are no different between the wild-types and mutants, the</w:t>
      </w:r>
      <w:r w:rsidR="008B44F2">
        <w:t>n the</w:t>
      </w:r>
      <w:r>
        <w:t xml:space="preserve"> observed differences </w:t>
      </w:r>
      <w:r w:rsidR="008B44F2">
        <w:t>are more likely due to enhanced thermal stability of the lignin polymer backbone, or incorporation of the esterified ferulates into the lignin via the more thermally resistant cross-linkages (</w:t>
      </w:r>
      <w:r w:rsidR="008B44F2" w:rsidRPr="006335B9">
        <w:t>β–5</w:t>
      </w:r>
      <w:r w:rsidR="008B44F2">
        <w:t>, 5-5, etc.)</w:t>
      </w:r>
      <w:r w:rsidR="00845D30">
        <w:t xml:space="preserve">. </w:t>
      </w:r>
      <w:r w:rsidR="001D2BA4">
        <w:t>Additionally, pre-treatment of these samples to remove HCA esters before torrefaction would help dis-aggregate the impacts of the HCA on the observed phenolics products.</w:t>
      </w:r>
    </w:p>
    <w:p w14:paraId="1FC73957" w14:textId="32381B9E" w:rsidR="00897D50" w:rsidRDefault="00897D50" w:rsidP="00897D50">
      <w:pPr>
        <w:pStyle w:val="ListParagraph"/>
        <w:numPr>
          <w:ilvl w:val="0"/>
          <w:numId w:val="9"/>
        </w:numPr>
      </w:pPr>
      <w:r>
        <w:t>The effect of the mutation on the subsequent fast pyrolysis of these samples is untested and therefore unknown. If the total phenolic yield across both torrefaction and subsequent pyrolysis is much lower for the mutant switchgrass</w:t>
      </w:r>
      <w:r w:rsidR="00845D30">
        <w:t>es</w:t>
      </w:r>
      <w:r>
        <w:t>,</w:t>
      </w:r>
      <w:r w:rsidR="00845D30">
        <w:t xml:space="preserve"> regardless of the underlying cause,</w:t>
      </w:r>
      <w:r>
        <w:t xml:space="preserve"> the question of suitability of </w:t>
      </w:r>
      <w:r>
        <w:lastRenderedPageBreak/>
        <w:t xml:space="preserve">this mutation for a staged thermal fractionation process becomes more complex, for similar reasons as discussed in </w:t>
      </w:r>
      <w:r w:rsidRPr="00FA7554">
        <w:t xml:space="preserve">section </w:t>
      </w:r>
      <w:r w:rsidR="00FA7554">
        <w:t>5.5</w:t>
      </w:r>
      <w:r w:rsidR="00E0210E">
        <w:t>.</w:t>
      </w:r>
    </w:p>
    <w:p w14:paraId="38EF71B5" w14:textId="753D23C4" w:rsidR="00897D50" w:rsidRDefault="00897D50" w:rsidP="00C3376A">
      <w:pPr>
        <w:pStyle w:val="ListParagraph"/>
        <w:numPr>
          <w:ilvl w:val="0"/>
          <w:numId w:val="9"/>
        </w:numPr>
      </w:pPr>
      <w:r>
        <w:t xml:space="preserve">Lignin biosynthesis literature indicates that the decreased </w:t>
      </w:r>
      <w:r w:rsidRPr="00897D50">
        <w:rPr>
          <w:b/>
          <w:i/>
        </w:rPr>
        <w:t>S</w:t>
      </w:r>
      <w:r w:rsidRPr="00897D50">
        <w:t>/</w:t>
      </w:r>
      <w:r w:rsidRPr="00897D50">
        <w:rPr>
          <w:b/>
          <w:i/>
        </w:rPr>
        <w:t>G</w:t>
      </w:r>
      <w:r>
        <w:t xml:space="preserve"> ratio should result in fewer β–O–4 bonds</w:t>
      </w:r>
      <w:r w:rsidR="00C3376A">
        <w:t xml:space="preserve">. However, directly quantifying the inter-unit linkages in the samples tested here would serve as a more direct confirmation of this assumption. </w:t>
      </w:r>
      <w:r>
        <w:t xml:space="preserve">The methodology for this quantification is extant in the literature </w:t>
      </w:r>
      <w:r w:rsidR="004B2F34">
        <w:t xml:space="preserve"> </w:t>
      </w:r>
      <w:r>
        <w:t>and involves NMR characterization of the lignin</w:t>
      </w:r>
      <w:r w:rsidR="004B2F34">
        <w:t xml:space="preserve"> </w:t>
      </w:r>
      <w:r w:rsidR="004B2F34">
        <w:fldChar w:fldCharType="begin"/>
      </w:r>
      <w:r w:rsidR="00807999">
        <w:instrText xml:space="preserve"> ADDIN PAPERS2_CITATIONS &lt;citation&gt;&lt;uuid&gt;AE66EFC9-0A8C-4567-BDBC-7E56D4A7074B&lt;/uuid&gt;&lt;priority&gt;0&lt;/priority&gt;&lt;publications&gt;&lt;publication&gt;&lt;uuid&gt;2602B42D-50DA-4F0D-AEEA-C84EB182810D&lt;/uuid&gt;&lt;volume&gt;26&lt;/volume&gt;&lt;doi&gt;10.1080/02773810600582152&lt;/doi&gt;&lt;startpage&gt;21&lt;/startpage&gt;&lt;publication_date&gt;99200608161200000000222000&lt;/publication_date&gt;&lt;url&gt;http://www.tandfonline.com/doi/abs/10.1080/02773810600582152&lt;/url&gt;&lt;type&gt;400&lt;/type&gt;&lt;title&gt;Quantitative 13C NMR Characterization of Milled Wood Lignins Isolated by Different Milling Techniques&lt;/title&gt;&lt;publisher&gt; Taylor &amp;amp; Francis Group&lt;/publisher&gt;&lt;number&gt;1&lt;/number&gt;&lt;subtype&gt;400&lt;/subtype&gt;&lt;endpage&gt;34&lt;/endpage&gt;&lt;bundle&gt;&lt;publication&gt;&lt;publisher&gt; Taylor &amp;amp; Francis Group&lt;/publisher&gt;&lt;title&gt;Journal of Wood Chemistry and Technology&lt;/title&gt;&lt;type&gt;-100&lt;/type&gt;&lt;subtype&gt;-100&lt;/subtype&gt;&lt;uuid&gt;BA22EF1F-F590-4B7F-8422-62FA367E43F6&lt;/uuid&gt;&lt;/publication&gt;&lt;/bundle&gt;&lt;authors&gt;&lt;author&gt;&lt;firstName&gt;Kevin&lt;/firstName&gt;&lt;middleNames&gt;M&lt;/middleNames&gt;&lt;lastName&gt;Holtman&lt;/lastName&gt;&lt;/author&gt;&lt;author&gt;&lt;firstName&gt;Hou&lt;/firstName&gt;&lt;middleNames&gt;min&lt;/middleNames&gt;&lt;lastName&gt;Chang&lt;/lastName&gt;&lt;/author&gt;&lt;author&gt;&lt;firstName&gt;Hasan&lt;/firstName&gt;&lt;lastName&gt;Jameel&lt;/lastName&gt;&lt;/author&gt;&lt;author&gt;&lt;firstName&gt;John&lt;/firstName&gt;&lt;middleNames&gt;F&lt;/middleNames&gt;&lt;lastName&gt;Kadla&lt;/lastName&gt;&lt;/author&gt;&lt;/authors&gt;&lt;/publication&gt;&lt;publication&gt;&lt;uuid&gt;98D12B6D-B188-4DCE-BDD0-C7E6896252BF&lt;/uuid&gt;&lt;volume&gt;52&lt;/volume&gt;&lt;doi&gt;10.1021/jf035282b&lt;/doi&gt;&lt;startpage&gt;1850&lt;/startpage&gt;&lt;publication_date&gt;99200403131200000000222000&lt;/publication_date&gt;&lt;url&gt;http://pubs.acs.org/doi/abs/10.1021/jf035282b&lt;/url&gt;&lt;type&gt;400&lt;/type&gt;&lt;title&gt;A Comprehensive Approach for Quantitative Lignin Characterization by NMR Spectroscopy&lt;/title&gt;&lt;publisher&gt;American Chemical Society&lt;/publisher&gt;&lt;number&gt;7&lt;/number&gt;&lt;subtype&gt;400&lt;/subtype&gt;&lt;endpage&gt;1860&lt;/endpage&gt;&lt;bundle&gt;&lt;publication&gt;&lt;title&gt;Journal of agricultural and food chemistry&lt;/title&gt;&lt;type&gt;-100&lt;/type&gt;&lt;subtype&gt;-100&lt;/subtype&gt;&lt;uuid&gt;79D9744C-A749-4DAD-BBCF-DFFD654CDEDA&lt;/uuid&gt;&lt;/publication&gt;&lt;/bundle&gt;&lt;authors&gt;&lt;author&gt;&lt;lastName&gt;Ewellyn A Capanema&lt;/lastName&gt;&lt;/author&gt;&lt;author&gt;&lt;firstName&gt;and&lt;/firstName&gt;&lt;lastName&gt;Mikhail Y Balakshin&lt;/lastName&gt;&lt;/author&gt;&lt;author&gt;&lt;firstName&gt;John&lt;/firstName&gt;&lt;middleNames&gt;F&lt;/middleNames&gt;&lt;lastName&gt;Kadla&lt;/lastName&gt;&lt;/author&gt;&lt;/authors&gt;&lt;/publication&gt;&lt;publication&gt;&lt;uuid&gt;77E44EEF-50F6-482C-9187-1FAD4D183D0C&lt;/uuid&gt;&lt;volume&gt;53&lt;/volume&gt;&lt;doi&gt;10.1021/jf0515330&lt;/doi&gt;&lt;startpage&gt;9639&lt;/startpage&gt;&lt;publication_date&gt;99200511171200000000222000&lt;/publication_date&gt;&lt;url&gt;http://pubs.acs.org/doi/abs/10.1021/jf0515330&lt;/url&gt;&lt;type&gt;400&lt;/type&gt;&lt;title&gt;Quantitative Characterization of a Hardwood Milled Wood Lignin by Nuclear Magnetic Resonance Spectroscopy&lt;/title&gt;&lt;publisher&gt;American Chemical Society&lt;/publisher&gt;&lt;number&gt;25&lt;/number&gt;&lt;subtype&gt;400&lt;/subtype&gt;&lt;endpage&gt;9649&lt;/endpage&gt;&lt;bundle&gt;&lt;publication&gt;&lt;title&gt;Journal of agricultural and food chemistry&lt;/title&gt;&lt;type&gt;-100&lt;/type&gt;&lt;subtype&gt;-100&lt;/subtype&gt;&lt;uuid&gt;79D9744C-A749-4DAD-BBCF-DFFD654CDEDA&lt;/uuid&gt;&lt;/publication&gt;&lt;/bundle&gt;&lt;authors&gt;&lt;author&gt;&lt;lastName&gt;Ewellyn A Capanema&lt;/lastName&gt;&lt;/author&gt;&lt;author&gt;&lt;firstName&gt;and&lt;/firstName&gt;&lt;lastName&gt;Mikhail Yu Balakshin&lt;/lastName&gt;&lt;/author&gt;&lt;author&gt;&lt;firstName&gt;John&lt;/firstName&gt;&lt;middleNames&gt;F&lt;/middleNames&gt;&lt;lastName&gt;Kadla&lt;/lastName&gt;&lt;/author&gt;&lt;/authors&gt;&lt;/publication&gt;&lt;/publications&gt;&lt;cites&gt;&lt;/cites&gt;&lt;/citation&gt;</w:instrText>
      </w:r>
      <w:r w:rsidR="004B2F34">
        <w:fldChar w:fldCharType="separate"/>
      </w:r>
      <w:r w:rsidR="001C1AAC">
        <w:t>(</w:t>
      </w:r>
      <w:r w:rsidR="001C1AAC">
        <w:rPr>
          <w:i/>
          <w:iCs/>
        </w:rPr>
        <w:t>190</w:t>
      </w:r>
      <w:r w:rsidR="001C1AAC">
        <w:t>-</w:t>
      </w:r>
      <w:r w:rsidR="001C1AAC">
        <w:rPr>
          <w:i/>
          <w:iCs/>
        </w:rPr>
        <w:t>192</w:t>
      </w:r>
      <w:r w:rsidR="001C1AAC">
        <w:t>)</w:t>
      </w:r>
      <w:r w:rsidR="004B2F34">
        <w:fldChar w:fldCharType="end"/>
      </w:r>
      <w:r>
        <w:t xml:space="preserve">. Adding this supporting data will strengthen the case made here. </w:t>
      </w:r>
    </w:p>
    <w:p w14:paraId="54EA01F2" w14:textId="5012EA39" w:rsidR="00897D50" w:rsidRDefault="00897D50" w:rsidP="00897D50">
      <w:pPr>
        <w:pStyle w:val="ListParagraph"/>
        <w:numPr>
          <w:ilvl w:val="0"/>
          <w:numId w:val="9"/>
        </w:numPr>
      </w:pPr>
      <w:r>
        <w:t>As the differences in phenolic yields are ascribed to differences in bond dissociation enthalpies, it is reasonable to conclude that these differences may become less apparent or vanish altogether with increasing temperatures at which the thermal degradation is performed (the inverse may also be true – the differences in yields may increase with even lower temperatures). It may be of interest to establish an upper temperature bound at which these differences cease to become statistically significant to aid i</w:t>
      </w:r>
      <w:r w:rsidR="00305C32">
        <w:t>n optimization decision-making.</w:t>
      </w:r>
    </w:p>
    <w:p w14:paraId="5DACFA80" w14:textId="00B071DD" w:rsidR="00305C32" w:rsidRDefault="00305C32" w:rsidP="00305C32">
      <w:pPr>
        <w:pStyle w:val="Heading2"/>
      </w:pPr>
      <w:bookmarkStart w:id="199" w:name="_Toc449964904"/>
      <w:r>
        <w:t>Acknowledgements</w:t>
      </w:r>
      <w:bookmarkEnd w:id="199"/>
    </w:p>
    <w:p w14:paraId="0C0CE702" w14:textId="2D92329D" w:rsidR="00305C32" w:rsidRPr="00305C32" w:rsidRDefault="00305C32" w:rsidP="00305C32">
      <w:r w:rsidRPr="00305C32">
        <w:t>The work has been financially supported by the NIFA-USDA Sun Grant Initiative (AB-5-68110.OU1), the National Science Foundation (EPSCoR 0814361), and the US Department of Energy (DE-FG36GO88064).</w:t>
      </w:r>
      <w:r>
        <w:t xml:space="preserve"> Much thanks to the </w:t>
      </w:r>
      <w:r w:rsidR="00833BE6">
        <w:t>Stewart</w:t>
      </w:r>
      <w:r>
        <w:t xml:space="preserve"> group for the provision of the switchgrasses and their compositional data as used in this study.</w:t>
      </w:r>
    </w:p>
    <w:p w14:paraId="0C75E533" w14:textId="77777777" w:rsidR="009D70EE" w:rsidRDefault="003B659C" w:rsidP="009D70EE">
      <w:pPr>
        <w:pStyle w:val="Chapter"/>
      </w:pPr>
      <w:r>
        <w:br w:type="page"/>
      </w:r>
      <w:bookmarkStart w:id="200" w:name="_Toc449964905"/>
      <w:r w:rsidR="009D70EE">
        <w:lastRenderedPageBreak/>
        <w:t>Looking ahead</w:t>
      </w:r>
      <w:bookmarkEnd w:id="200"/>
    </w:p>
    <w:p w14:paraId="7A8313B7" w14:textId="66A5ED53" w:rsidR="00036F20" w:rsidRDefault="00926C62" w:rsidP="005C7E19">
      <w:pPr>
        <w:pStyle w:val="Heading2"/>
      </w:pPr>
      <w:bookmarkStart w:id="201" w:name="_Toc449964906"/>
      <w:r>
        <w:t>Further</w:t>
      </w:r>
      <w:r w:rsidR="00036F20">
        <w:t xml:space="preserve"> optimization of staged thermal fractionation</w:t>
      </w:r>
      <w:bookmarkEnd w:id="201"/>
    </w:p>
    <w:p w14:paraId="20EBC375" w14:textId="77777777" w:rsidR="006D0C73" w:rsidRDefault="006D0C73" w:rsidP="00926C62">
      <w:pPr>
        <w:pStyle w:val="Heading3"/>
      </w:pPr>
      <w:bookmarkStart w:id="202" w:name="_Toc449964907"/>
      <w:r>
        <w:t>Stage 1 optimization</w:t>
      </w:r>
      <w:bookmarkEnd w:id="202"/>
    </w:p>
    <w:p w14:paraId="706A0C09" w14:textId="679AC6A0" w:rsidR="00573849" w:rsidRDefault="00D63A74" w:rsidP="00D63A74">
      <w:r w:rsidRPr="00FA7554">
        <w:t xml:space="preserve">Chapter </w:t>
      </w:r>
      <w:r w:rsidR="00FA7554">
        <w:t>5</w:t>
      </w:r>
      <w:r>
        <w:t xml:space="preserve"> has dealt with the optimization of the thermal segregation of the cellulose and lignin components of the biomass. While there is evidence that the first stage thermal treatment used in that work was effective at removing the hemicellulose portion of the biomass, establishing the optimal conditions for doing this important step was not explored. In the context of the staged thermal fractionation strategy as laid out </w:t>
      </w:r>
      <w:r w:rsidR="00FA7554">
        <w:t>chapters 1 and 5</w:t>
      </w:r>
      <w:r>
        <w:t xml:space="preserve">, an optimal stage 1 separation should achieve complete degradation of the hemicellulose with minimal lignin degradation and </w:t>
      </w:r>
      <w:r w:rsidR="009C615C">
        <w:t xml:space="preserve">at conditions which are not detrimental to the total process yield of cellulose-derived products (primarily stage 3 levoglucosan yields), and at conditions which will minimize the required energy input of the stage 1 torrefaction process (i.e., the lowest temperature and shortest time at which these objectives can be achieved). </w:t>
      </w:r>
    </w:p>
    <w:p w14:paraId="5ADE3510" w14:textId="41FB9CEB" w:rsidR="00F42600" w:rsidRDefault="00573849" w:rsidP="00D63A74">
      <w:r>
        <w:t xml:space="preserve">Starting at the optimal stage 2 conditions as established in </w:t>
      </w:r>
      <w:r w:rsidR="00FA7554" w:rsidRPr="00FA7554">
        <w:t>chapter 5</w:t>
      </w:r>
      <w:r>
        <w:t xml:space="preserve">, untreated </w:t>
      </w:r>
      <w:r w:rsidR="00DF214D">
        <w:t>red oak biomass</w:t>
      </w:r>
      <w:r>
        <w:t xml:space="preserve"> </w:t>
      </w:r>
      <w:r w:rsidR="00DF214D">
        <w:t xml:space="preserve">(the same as used in </w:t>
      </w:r>
      <w:r w:rsidR="00DF214D" w:rsidRPr="00FA7554">
        <w:t>chapter</w:t>
      </w:r>
      <w:r w:rsidR="00FA7554" w:rsidRPr="00FA7554">
        <w:t>s 4 &amp; 5</w:t>
      </w:r>
      <w:r w:rsidR="00DF214D">
        <w:t xml:space="preserve">) </w:t>
      </w:r>
      <w:r>
        <w:t xml:space="preserve">should be sequentially torrefied and pyrolyzed at successively decreasing torrefaction temperatures until a maximal level of levoglucosan production in the pyrolysis step is achieved. This establishes the highest temperature possible for the process which will </w:t>
      </w:r>
      <w:r w:rsidR="00F42600">
        <w:t xml:space="preserve">prevent the </w:t>
      </w:r>
      <w:r w:rsidR="00F42600" w:rsidRPr="00F42600">
        <w:t>condensation and repolymerization</w:t>
      </w:r>
      <w:r w:rsidR="00F42600">
        <w:t xml:space="preserve"> reactions responsible for loss of yield as discussed in </w:t>
      </w:r>
      <w:r w:rsidR="00F42600" w:rsidRPr="00FA7554">
        <w:t>section 5.4.2</w:t>
      </w:r>
      <w:r w:rsidR="00F42600" w:rsidRPr="00F42600">
        <w:t>.</w:t>
      </w:r>
      <w:r w:rsidR="00F42600">
        <w:t xml:space="preserve"> The final hold time for the torrefaction process should be long enough to ensure no thermal gradient is present in the biomass particles; 5 minutes is suggested but some simple heat transfer calculations may provide a better estimate.</w:t>
      </w:r>
    </w:p>
    <w:p w14:paraId="7BC3A6BC" w14:textId="1BF45C2D" w:rsidR="00972B51" w:rsidRDefault="00F42600" w:rsidP="00D63A74">
      <w:r>
        <w:lastRenderedPageBreak/>
        <w:t>Following the establishment of the maximum stage 1 temperature, the final stage 1 hold time should be successively reduced until the production of acetic acid in the successive pyrolysis step begins to increase. While some acetic acid is produced at higher temperatures (</w:t>
      </w:r>
      <w:r w:rsidRPr="004D3B5D">
        <w:t>likely from lignin</w:t>
      </w:r>
      <w:r>
        <w:t xml:space="preserve">, as discussed in </w:t>
      </w:r>
      <w:r w:rsidRPr="00FA7554">
        <w:t xml:space="preserve">section </w:t>
      </w:r>
      <w:r w:rsidR="00FA7554">
        <w:t>5.4</w:t>
      </w:r>
      <w:r>
        <w:t xml:space="preserve">), increased acetic acid production at the pyrolysis stage signals the incomplete conversion of hemicellulose. </w:t>
      </w:r>
      <w:r w:rsidR="00972B51">
        <w:t xml:space="preserve">The highest possible temperature at the shortest possible time to achieve breakdown of the hemicellulose with no accompanying cellulose degradation should also minimize the amount of lignin-derived phenolics products into the first stage thermal products stream. </w:t>
      </w:r>
    </w:p>
    <w:p w14:paraId="61B9D744" w14:textId="523DDFA9" w:rsidR="009C615C" w:rsidRDefault="00D268A8" w:rsidP="00D63A74">
      <w:r>
        <w:t xml:space="preserve">By determining an optimal stage 1 temperature in this manner and combining with the optimal stage 2 conditions as established in </w:t>
      </w:r>
      <w:r w:rsidRPr="00FA7554">
        <w:t xml:space="preserve">chapter </w:t>
      </w:r>
      <w:r w:rsidR="00FA7554">
        <w:t>5</w:t>
      </w:r>
      <w:r>
        <w:t>, a best case for purely thermal segregation is established which can then be used as a basis of comparison for other segregation strategies (e.g., pre- and post-treatments).</w:t>
      </w:r>
    </w:p>
    <w:p w14:paraId="43185EE2" w14:textId="071E40D0" w:rsidR="00F42600" w:rsidRDefault="00F42600" w:rsidP="00F42600">
      <w:pPr>
        <w:pStyle w:val="Heading3"/>
      </w:pPr>
      <w:bookmarkStart w:id="203" w:name="_Toc449964908"/>
      <w:r>
        <w:t xml:space="preserve">Optimization with </w:t>
      </w:r>
      <w:r w:rsidR="00DF214D">
        <w:t>other</w:t>
      </w:r>
      <w:r>
        <w:t xml:space="preserve"> feedstock</w:t>
      </w:r>
      <w:r w:rsidR="00DF214D">
        <w:t>s</w:t>
      </w:r>
      <w:bookmarkEnd w:id="203"/>
    </w:p>
    <w:p w14:paraId="585B391E" w14:textId="5DB97B65" w:rsidR="00F42600" w:rsidRDefault="00DF214D" w:rsidP="00DF214D">
      <w:r>
        <w:t xml:space="preserve">All of the optimization of stage 1 and stage 2 as performed and described up to this point have used red oak as the feedstock. As discussed in </w:t>
      </w:r>
      <w:r w:rsidR="003B2E87" w:rsidRPr="00FA7554">
        <w:t>section 5.5</w:t>
      </w:r>
      <w:r>
        <w:t xml:space="preserve">, oak is unlikely to ever be a major biofuel feedstock and as such it is suggested that the research group at the University of Oklahoma </w:t>
      </w:r>
      <w:r w:rsidR="00395AC6">
        <w:t>establish a better standard feedstock for the thermochemical biofuels research efforts. Switchgrass</w:t>
      </w:r>
      <w:r w:rsidR="00395AC6" w:rsidRPr="00395AC6">
        <w:t xml:space="preserve"> </w:t>
      </w:r>
      <w:r w:rsidR="00395AC6">
        <w:t xml:space="preserve">would be an obvious choice as the standard feedstock for the research group given its favorable properties as described in </w:t>
      </w:r>
      <w:r w:rsidR="00395AC6" w:rsidRPr="00FA7554">
        <w:t xml:space="preserve">section </w:t>
      </w:r>
      <w:r w:rsidR="003B2E87" w:rsidRPr="00FA7554">
        <w:t>6.3</w:t>
      </w:r>
      <w:r w:rsidR="00395AC6">
        <w:t xml:space="preserve"> and the degree to which we understand the thermochemical product spectrum as a result of the efforts </w:t>
      </w:r>
      <w:r w:rsidR="00395AC6" w:rsidRPr="00FA7554">
        <w:t xml:space="preserve">in chapters </w:t>
      </w:r>
      <w:r w:rsidR="003B2E87" w:rsidRPr="00FA7554">
        <w:t>6</w:t>
      </w:r>
      <w:r w:rsidR="00395AC6" w:rsidRPr="00FA7554">
        <w:t xml:space="preserve"> an</w:t>
      </w:r>
      <w:r w:rsidR="003B2E87" w:rsidRPr="00FA7554">
        <w:t>d 7</w:t>
      </w:r>
      <w:r w:rsidR="00395AC6" w:rsidRPr="00FA7554">
        <w:t>.</w:t>
      </w:r>
      <w:r w:rsidR="007132F9">
        <w:t xml:space="preserve"> Other suggested feedstocks are poplar</w:t>
      </w:r>
      <w:r w:rsidR="00F7391F">
        <w:t xml:space="preserve">, one of the only hardwoods in serious consideration as a biofuels feedstock due </w:t>
      </w:r>
      <w:r w:rsidR="00F7391F">
        <w:lastRenderedPageBreak/>
        <w:t>to its rapid growth rates</w:t>
      </w:r>
      <w:r w:rsidR="00457257">
        <w:t xml:space="preserve"> </w:t>
      </w:r>
      <w:r w:rsidR="00980B82">
        <w:fldChar w:fldCharType="begin"/>
      </w:r>
      <w:r w:rsidR="00807999">
        <w:instrText xml:space="preserve"> ADDIN PAPERS2_CITATIONS &lt;citation&gt;&lt;uuid&gt;554C5B52-EEA7-446B-806A-B05D24E5603C&lt;/uuid&gt;&lt;priority&gt;313&lt;/priority&gt;&lt;publications&gt;&lt;publication&gt;&lt;publication_date&gt;99200500001200000000200000&lt;/publication_date&gt;&lt;doi&gt;10.2172/1216415&lt;/doi&gt;&lt;institution&gt;EERE Publication and Product Library&lt;/institution&gt;&lt;title&gt;Biomass as feedstock for a bioenergy and bioproducts industry: The technical feasibility of a billion-ton annual supply&lt;/title&gt;&lt;uuid&gt;3199E016-05BB-4251-89D9-38395B0C05B3&lt;/uuid&gt;&lt;subtype&gt;700&lt;/subtype&gt;&lt;type&gt;700&lt;/type&gt;&lt;citekey&gt;Anonymous:2005ue&lt;/citekey&gt;&lt;url&gt;http://www.osti.gov/servlets/purl/1216415/&lt;/url&gt;&lt;authors&gt;&lt;author&gt;&lt;firstName&gt;Robert&lt;/firstName&gt;&lt;middleNames&gt;D&lt;/middleNames&gt;&lt;lastName&gt;Perlack&lt;/lastName&gt;&lt;/author&gt;&lt;author&gt;&lt;firstName&gt;Lynn&lt;/firstName&gt;&lt;middleNames&gt;L&lt;/middleNames&gt;&lt;lastName&gt;Wright&lt;/lastName&gt;&lt;/author&gt;&lt;author&gt;&lt;firstName&gt;Anthony&lt;/firstName&gt;&lt;middleNames&gt;F&lt;/middleNames&gt;&lt;lastName&gt;Turhollow&lt;/lastName&gt;&lt;/author&gt;&lt;author&gt;&lt;firstName&gt;Robin&lt;/firstName&gt;&lt;middleNames&gt;L&lt;/middleNames&gt;&lt;lastName&gt;Graham&lt;/lastName&gt;&lt;/author&gt;&lt;author&gt;&lt;firstName&gt;Bryce&lt;/firstName&gt;&lt;middleNames&gt;J&lt;/middleNames&gt;&lt;lastName&gt;Stokes&lt;/lastName&gt;&lt;/author&gt;&lt;author&gt;&lt;firstName&gt;Donald&lt;/firstName&gt;&lt;middleNames&gt;C&lt;/middleNames&gt;&lt;lastName&gt;Erbach&lt;/lastName&gt;&lt;/author&gt;&lt;/authors&gt;&lt;/publication&gt;&lt;publication&gt;&lt;volume&gt;45&lt;/volume&gt;&lt;publication_date&gt;99200908261200000000222000&lt;/publication_date&gt;&lt;number&gt;6&lt;/number&gt;&lt;doi&gt;10.1007/s11627-009-9235-5&lt;/doi&gt;&lt;startpage&gt;619&lt;/startpage&gt;&lt;title&gt;Short-rotation woody crops for bioenergy and biofuels applications&lt;/title&gt;&lt;uuid&gt;15881EC0-094A-4092-ADEF-9A8A4D552B5E&lt;/uuid&gt;&lt;subtype&gt;400&lt;/subtype&gt;&lt;endpage&gt;629&lt;/endpage&gt;&lt;type&gt;400&lt;/type&gt;&lt;url&gt;http://link.springer.com/10.1007/s11627-009-9235-5&lt;/url&gt;&lt;bundle&gt;&lt;publication&gt;&lt;title&gt;In Vitro Cellular &amp;amp; Developmental Biology - Plant&lt;/title&gt;&lt;type&gt;-100&lt;/type&gt;&lt;subtype&gt;-100&lt;/subtype&gt;&lt;uuid&gt;EAC37EE6-BD77-4739-A77A-F9F186E5C358&lt;/uuid&gt;&lt;/publication&gt;&lt;/bundle&gt;&lt;authors&gt;&lt;author&gt;&lt;firstName&gt;Maud&lt;/firstName&gt;&lt;lastName&gt;Hinchee&lt;/lastName&gt;&lt;/author&gt;&lt;author&gt;&lt;firstName&gt;William&lt;/firstName&gt;&lt;lastName&gt;Rottmann&lt;/lastName&gt;&lt;/author&gt;&lt;author&gt;&lt;firstName&gt;Lauren&lt;/firstName&gt;&lt;lastName&gt;Mullinax&lt;/lastName&gt;&lt;/author&gt;&lt;author&gt;&lt;firstName&gt;Chunsheng&lt;/firstName&gt;&lt;lastName&gt;Zhang&lt;/lastName&gt;&lt;/author&gt;&lt;author&gt;&lt;firstName&gt;Shujun&lt;/firstName&gt;&lt;lastName&gt;Chang&lt;/lastName&gt;&lt;/author&gt;&lt;author&gt;&lt;firstName&gt;Michael&lt;/firstName&gt;&lt;lastName&gt;Cunningham&lt;/lastName&gt;&lt;/author&gt;&lt;author&gt;&lt;firstName&gt;Leslie&lt;/firstName&gt;&lt;lastName&gt;Pearson&lt;/lastName&gt;&lt;/author&gt;&lt;author&gt;&lt;firstName&gt;Narender&lt;/firstName&gt;&lt;lastName&gt;Nehra&lt;/lastName&gt;&lt;/author&gt;&lt;/authors&gt;&lt;/publication&gt;&lt;/publications&gt;&lt;cites&gt;&lt;/cites&gt;&lt;/citation&gt;</w:instrText>
      </w:r>
      <w:r w:rsidR="00980B82">
        <w:fldChar w:fldCharType="separate"/>
      </w:r>
      <w:r w:rsidR="001C1AAC">
        <w:t>(</w:t>
      </w:r>
      <w:r w:rsidR="001C1AAC">
        <w:rPr>
          <w:i/>
          <w:iCs/>
        </w:rPr>
        <w:t>2</w:t>
      </w:r>
      <w:r w:rsidR="001C1AAC">
        <w:t xml:space="preserve">, </w:t>
      </w:r>
      <w:r w:rsidR="001C1AAC">
        <w:rPr>
          <w:i/>
          <w:iCs/>
        </w:rPr>
        <w:t>193</w:t>
      </w:r>
      <w:r w:rsidR="001C1AAC">
        <w:t>)</w:t>
      </w:r>
      <w:r w:rsidR="00980B82">
        <w:fldChar w:fldCharType="end"/>
      </w:r>
      <w:r w:rsidR="007132F9">
        <w:t>; eastern red cedar</w:t>
      </w:r>
      <w:r w:rsidR="00F7391F">
        <w:t xml:space="preserve"> (</w:t>
      </w:r>
      <w:r w:rsidR="00F7391F" w:rsidRPr="00F7391F">
        <w:rPr>
          <w:i/>
        </w:rPr>
        <w:t>Juniperus virginiana</w:t>
      </w:r>
      <w:r w:rsidR="00F7391F">
        <w:t xml:space="preserve">), a pioneer invader </w:t>
      </w:r>
      <w:r w:rsidR="00972B51">
        <w:t>species which is destructive to grasslands and could be a candidate for blending with prairie grass feedstocks</w:t>
      </w:r>
      <w:r w:rsidR="00457257">
        <w:t xml:space="preserve"> </w:t>
      </w:r>
      <w:r w:rsidR="00457257">
        <w:fldChar w:fldCharType="begin"/>
      </w:r>
      <w:r w:rsidR="00807999">
        <w:instrText xml:space="preserve"> ADDIN PAPERS2_CITATIONS &lt;citation&gt;&lt;uuid&gt;B7722CE2-E92C-47FC-A218-FAC06666FABC&lt;/uuid&gt;&lt;priority&gt;0&lt;/priority&gt;&lt;publications&gt;&lt;publication&gt;&lt;publication_date&gt;99200200001200000000200000&lt;/publication_date&gt;&lt;doi&gt;10.2307/4001794&lt;/doi&gt;&lt;title&gt;Invasion of the Eastern Red Cedar&lt;/title&gt;&lt;uuid&gt;FFCD72B8-D90C-4068-AB56-73323FA3544C&lt;/uuid&gt;&lt;subtype&gt;400&lt;/subtype&gt;&lt;type&gt;400&lt;/type&gt;&lt;url&gt;http://www.jstor.org.ezproxy.lib.ou.edu/stable/4001794&lt;/url&gt;&lt;bundle&gt;&lt;publication&gt;&lt;title&gt;Rangelands&lt;/title&gt;&lt;type&gt;-100&lt;/type&gt;&lt;subtype&gt;-100&lt;/subtype&gt;&lt;uuid&gt;F1307474-55F6-40AE-AAF9-F3ECFBBF33B2&lt;/uuid&gt;&lt;/publication&gt;&lt;/bundle&gt;&lt;authors&gt;&lt;author&gt;&lt;firstName&gt;Z&lt;/firstName&gt;&lt;lastName&gt;Barth&lt;/lastName&gt;&lt;/author&gt;&lt;/authors&gt;&lt;/publication&gt;&lt;/publications&gt;&lt;cites&gt;&lt;/cites&gt;&lt;/citation&gt;</w:instrText>
      </w:r>
      <w:r w:rsidR="00457257">
        <w:fldChar w:fldCharType="separate"/>
      </w:r>
      <w:r w:rsidR="001C1AAC">
        <w:t>(</w:t>
      </w:r>
      <w:r w:rsidR="001C1AAC">
        <w:rPr>
          <w:i/>
          <w:iCs/>
        </w:rPr>
        <w:t>194</w:t>
      </w:r>
      <w:r w:rsidR="001C1AAC">
        <w:t>)</w:t>
      </w:r>
      <w:r w:rsidR="00457257">
        <w:fldChar w:fldCharType="end"/>
      </w:r>
      <w:r w:rsidR="00F7391F">
        <w:t>;</w:t>
      </w:r>
      <w:r w:rsidR="007132F9">
        <w:t xml:space="preserve"> and any of the southern yellow pines</w:t>
      </w:r>
      <w:r w:rsidR="00F7391F">
        <w:t xml:space="preserve">, as their extensive current use in the forest products industries </w:t>
      </w:r>
      <w:r w:rsidR="00972B51">
        <w:t>provides</w:t>
      </w:r>
      <w:r w:rsidR="00F7391F">
        <w:t xml:space="preserve"> readily available residues for biofuels production</w:t>
      </w:r>
      <w:r w:rsidR="00457257">
        <w:t xml:space="preserve"> </w:t>
      </w:r>
      <w:r w:rsidR="001D5C37">
        <w:fldChar w:fldCharType="begin"/>
      </w:r>
      <w:r w:rsidR="00807999">
        <w:instrText xml:space="preserve"> ADDIN PAPERS2_CITATIONS &lt;citation&gt;&lt;uuid&gt;C51B66A9-03CA-455C-8BCD-099B1A1E1529&lt;/uuid&gt;&lt;priority&gt;0&lt;/priority&gt;&lt;publications&gt;&lt;publication&gt;&lt;volume&gt;45&lt;/volume&gt;&lt;publication_date&gt;99200908261200000000222000&lt;/publication_date&gt;&lt;number&gt;6&lt;/number&gt;&lt;doi&gt;10.1007/s11627-009-9235-5&lt;/doi&gt;&lt;startpage&gt;619&lt;/startpage&gt;&lt;title&gt;Short-rotation woody crops for bioenergy and biofuels applications&lt;/title&gt;&lt;uuid&gt;15881EC0-094A-4092-ADEF-9A8A4D552B5E&lt;/uuid&gt;&lt;subtype&gt;400&lt;/subtype&gt;&lt;endpage&gt;629&lt;/endpage&gt;&lt;type&gt;400&lt;/type&gt;&lt;url&gt;http://link.springer.com/10.1007/s11627-009-9235-5&lt;/url&gt;&lt;bundle&gt;&lt;publication&gt;&lt;title&gt;In Vitro Cellular &amp;amp; Developmental Biology - Plant&lt;/title&gt;&lt;type&gt;-100&lt;/type&gt;&lt;subtype&gt;-100&lt;/subtype&gt;&lt;uuid&gt;EAC37EE6-BD77-4739-A77A-F9F186E5C358&lt;/uuid&gt;&lt;/publication&gt;&lt;/bundle&gt;&lt;authors&gt;&lt;author&gt;&lt;firstName&gt;Maud&lt;/firstName&gt;&lt;lastName&gt;Hinchee&lt;/lastName&gt;&lt;/author&gt;&lt;author&gt;&lt;firstName&gt;William&lt;/firstName&gt;&lt;lastName&gt;Rottmann&lt;/lastName&gt;&lt;/author&gt;&lt;author&gt;&lt;firstName&gt;Lauren&lt;/firstName&gt;&lt;lastName&gt;Mullinax&lt;/lastName&gt;&lt;/author&gt;&lt;author&gt;&lt;firstName&gt;Chunsheng&lt;/firstName&gt;&lt;lastName&gt;Zhang&lt;/lastName&gt;&lt;/author&gt;&lt;author&gt;&lt;firstName&gt;Shujun&lt;/firstName&gt;&lt;lastName&gt;Chang&lt;/lastName&gt;&lt;/author&gt;&lt;author&gt;&lt;firstName&gt;Michael&lt;/firstName&gt;&lt;lastName&gt;Cunningham&lt;/lastName&gt;&lt;/author&gt;&lt;author&gt;&lt;firstName&gt;Leslie&lt;/firstName&gt;&lt;lastName&gt;Pearson&lt;/lastName&gt;&lt;/author&gt;&lt;author&gt;&lt;firstName&gt;Narender&lt;/firstName&gt;&lt;lastName&gt;Nehra&lt;/lastName&gt;&lt;/author&gt;&lt;/authors&gt;&lt;/publication&gt;&lt;/publications&gt;&lt;cites&gt;&lt;/cites&gt;&lt;/citation&gt;</w:instrText>
      </w:r>
      <w:r w:rsidR="001D5C37">
        <w:fldChar w:fldCharType="separate"/>
      </w:r>
      <w:r w:rsidR="001C1AAC">
        <w:t>(</w:t>
      </w:r>
      <w:r w:rsidR="001C1AAC">
        <w:rPr>
          <w:i/>
          <w:iCs/>
        </w:rPr>
        <w:t>193</w:t>
      </w:r>
      <w:r w:rsidR="001C1AAC">
        <w:t>)</w:t>
      </w:r>
      <w:r w:rsidR="001D5C37">
        <w:fldChar w:fldCharType="end"/>
      </w:r>
      <w:r w:rsidR="00F7391F">
        <w:t>.</w:t>
      </w:r>
    </w:p>
    <w:p w14:paraId="617CF14F" w14:textId="77777777" w:rsidR="00807999" w:rsidRDefault="00972B51" w:rsidP="00D63A74">
      <w:r>
        <w:t xml:space="preserve">Any change in feedstock will necessitate re-optimization of the thermal stage conditions due to differences in the hemicellulose and lignin compositions. The stage 1 optimization as outlined above will need to be repeated to establish the final hold time, as the temperature is optimized not for the hemicellulose decomposition but rather to avoid any cellulose decomposition. The stage 2 optimization conditions should </w:t>
      </w:r>
      <w:r w:rsidR="00906231">
        <w:t>be</w:t>
      </w:r>
      <w:r>
        <w:t xml:space="preserve"> re-examined as well, as the differences in lignin composition may change the distribution of the phenol</w:t>
      </w:r>
      <w:r w:rsidR="00906231">
        <w:t xml:space="preserve">ics between stages 2 and 3. </w:t>
      </w:r>
      <w:r w:rsidR="00F16FF6">
        <w:t>For example, oak (a woody dicot)</w:t>
      </w:r>
      <w:r w:rsidR="00906231">
        <w:t xml:space="preserve"> contains </w:t>
      </w:r>
      <w:r w:rsidR="00906231" w:rsidRPr="00906231">
        <w:rPr>
          <w:b/>
          <w:i/>
        </w:rPr>
        <w:t>H</w:t>
      </w:r>
      <w:r w:rsidR="00906231">
        <w:t xml:space="preserve">, </w:t>
      </w:r>
      <w:r w:rsidR="00906231" w:rsidRPr="00906231">
        <w:rPr>
          <w:b/>
          <w:i/>
        </w:rPr>
        <w:t>G</w:t>
      </w:r>
      <w:r w:rsidR="00906231">
        <w:t xml:space="preserve">, and </w:t>
      </w:r>
      <w:r w:rsidR="00906231" w:rsidRPr="00906231">
        <w:rPr>
          <w:b/>
          <w:i/>
        </w:rPr>
        <w:t>S</w:t>
      </w:r>
      <w:r w:rsidR="00906231">
        <w:t xml:space="preserve"> lignins (</w:t>
      </w:r>
      <w:r w:rsidR="00906231" w:rsidRPr="004F47B4">
        <w:t>section 2.1</w:t>
      </w:r>
      <w:r w:rsidR="001D5C37">
        <w:t xml:space="preserve">, </w:t>
      </w:r>
      <w:r w:rsidR="001D5C37">
        <w:fldChar w:fldCharType="begin"/>
      </w:r>
      <w:r w:rsidR="00807999">
        <w:instrText xml:space="preserve"> ADDIN PAPERS2_CITATIONS &lt;citation&gt;&lt;uuid&gt;BF8F0CE4-B981-44EA-AA56-A04DDCA82F67&lt;/uuid&gt;&lt;priority&gt;0&lt;/priority&gt;&lt;publications&gt;&lt;publication&gt;&lt;uuid&gt;0BBB86C2-AEA9-44B5-B628-5035F5735D51&lt;/uuid&gt;&lt;volume&gt;54&lt;/volume&gt;&lt;doi&gt;10.1146/annurev.arplant.54.031902.134938&lt;/doi&gt;&lt;startpage&gt;519&lt;/startpage&gt;&lt;publication_date&gt;99200300001200000000200000&lt;/publication_date&gt;&lt;url&gt;http://www.annualreviews.org/doi/abs/10.1146/annurev.arplant.54.031902.134938&lt;/url&gt;&lt;citekey&gt;Boerjan:2003hk&lt;/citekey&gt;&lt;type&gt;400&lt;/type&gt;&lt;title&gt;Lignin biosynthesis&lt;/title&gt;&lt;institution&gt;Boerjan, W</w:instrText>
      </w:r>
    </w:p>
    <w:p w14:paraId="3719F377" w14:textId="77777777" w:rsidR="00807999" w:rsidRDefault="00807999" w:rsidP="00D63A74">
      <w:r>
        <w:instrText>State Univ Ghent VIB, Dept Plant Syst Biol, K L Ledeganckstr 35, B-9000 Ghent, Belgium</w:instrText>
      </w:r>
    </w:p>
    <w:p w14:paraId="3D79F0C1" w14:textId="77777777" w:rsidR="00807999" w:rsidRDefault="00807999" w:rsidP="00D63A74">
      <w:r>
        <w:instrText>State Univ Ghent VIB, Dept Plant Syst Biol, K L Ledeganckstr 35, B-9000 Ghent, Belgium</w:instrText>
      </w:r>
    </w:p>
    <w:p w14:paraId="60A36E19" w14:textId="77777777" w:rsidR="00807999" w:rsidRDefault="00807999" w:rsidP="00D63A74">
      <w:r>
        <w:instrText>State Univ Ghent VIB, Dept Plant Syst Biol, B-9000 Ghent, Belgium</w:instrText>
      </w:r>
    </w:p>
    <w:p w14:paraId="021ADC3A" w14:textId="77777777" w:rsidR="00807999" w:rsidRDefault="00807999" w:rsidP="00D63A74">
      <w:r>
        <w:instrText>USDA ARS, US Dairy Forage Res Ctr, Madison, WI 53706 USA</w:instrText>
      </w:r>
    </w:p>
    <w:p w14:paraId="2EA92209" w14:textId="1EDF2D77" w:rsidR="00DF214D" w:rsidRDefault="00807999" w:rsidP="00D63A74">
      <w:r>
        <w:instrText>Free Univ Brussels, Lab Biotechnol Vegetale, B-1160 Brussels, Belgium&lt;/institution&gt;&lt;subtype&gt;400&lt;/subtype&gt;&lt;endpage&gt;546&lt;/endpage&gt;&lt;bundle&gt;&lt;publication&gt;&lt;title&gt;Annual review of plant biology&lt;/title&gt;&lt;type&gt;-100&lt;/type&gt;&lt;subtype&gt;-100&lt;/subtype&gt;&lt;uuid&gt;4CDB0732-FE75-4F56-9627-A14F8E94872D&lt;/uuid&gt;&lt;/publication&gt;&lt;/bundle&gt;&lt;authors&gt;&lt;author&gt;&lt;firstName&gt;Wout&lt;/firstName&gt;&lt;lastName&gt;Boerjan&lt;/lastName&gt;&lt;/author&gt;&lt;author&gt;&lt;firstName&gt;John&lt;/firstName&gt;&lt;lastName&gt;Ralph&lt;/lastName&gt;&lt;/author&gt;&lt;author&gt;&lt;firstName&gt;Marie&lt;/firstName&gt;&lt;lastName&gt;Baucher&lt;/lastName&gt;&lt;/author&gt;&lt;/authors&gt;&lt;/publication&gt;&lt;/publications&gt;&lt;cites&gt;&lt;/cites&gt;&lt;/citation&gt;</w:instrText>
      </w:r>
      <w:r w:rsidR="001D5C37">
        <w:fldChar w:fldCharType="separate"/>
      </w:r>
      <w:r w:rsidR="001C1AAC">
        <w:t>(</w:t>
      </w:r>
      <w:r w:rsidR="001C1AAC">
        <w:rPr>
          <w:i/>
          <w:iCs/>
        </w:rPr>
        <w:t>55</w:t>
      </w:r>
      <w:r w:rsidR="001C1AAC">
        <w:t>)</w:t>
      </w:r>
      <w:r w:rsidR="001D5C37">
        <w:fldChar w:fldCharType="end"/>
      </w:r>
      <w:r w:rsidR="00906231">
        <w:t xml:space="preserve">); </w:t>
      </w:r>
      <w:r w:rsidR="00F16FF6">
        <w:t>cedar or pine</w:t>
      </w:r>
      <w:r w:rsidR="00906231">
        <w:t xml:space="preserve"> </w:t>
      </w:r>
      <w:r w:rsidR="00F16FF6">
        <w:t>(woody gymnosperms)</w:t>
      </w:r>
      <w:r w:rsidR="00906231">
        <w:t xml:space="preserve"> do not produce significant amounts of </w:t>
      </w:r>
      <w:r w:rsidR="00906231" w:rsidRPr="00906231">
        <w:rPr>
          <w:b/>
          <w:i/>
        </w:rPr>
        <w:t>S</w:t>
      </w:r>
      <w:r w:rsidR="00906231">
        <w:t xml:space="preserve"> lignin</w:t>
      </w:r>
      <w:r w:rsidR="00F16FF6">
        <w:t xml:space="preserve"> and </w:t>
      </w:r>
      <w:r w:rsidR="00906231">
        <w:t xml:space="preserve">may have more thermally stable </w:t>
      </w:r>
      <w:r w:rsidR="00F16FF6">
        <w:t>lignin as compared with oak for</w:t>
      </w:r>
      <w:r w:rsidR="00906231">
        <w:t xml:space="preserve"> the reasons </w:t>
      </w:r>
      <w:r w:rsidR="00F16FF6">
        <w:t>discussed</w:t>
      </w:r>
      <w:r w:rsidR="00906231">
        <w:t xml:space="preserve"> in </w:t>
      </w:r>
      <w:r w:rsidR="00906231" w:rsidRPr="004F47B4">
        <w:t>chapter 7</w:t>
      </w:r>
      <w:r w:rsidR="00906231">
        <w:t>.</w:t>
      </w:r>
    </w:p>
    <w:p w14:paraId="155ED468" w14:textId="6A31DAE0" w:rsidR="006D0C73" w:rsidRDefault="00036F20" w:rsidP="005C7E19">
      <w:pPr>
        <w:pStyle w:val="Heading2"/>
      </w:pPr>
      <w:bookmarkStart w:id="204" w:name="_Toc449964909"/>
      <w:r>
        <w:t>Further investigation into biomass compositional effects</w:t>
      </w:r>
      <w:bookmarkEnd w:id="204"/>
    </w:p>
    <w:p w14:paraId="3FA8E994" w14:textId="77777777" w:rsidR="006D0C73" w:rsidRDefault="006D0C73" w:rsidP="00926C62">
      <w:pPr>
        <w:pStyle w:val="Heading3"/>
      </w:pPr>
      <w:bookmarkStart w:id="205" w:name="_Toc449964910"/>
      <w:r>
        <w:t>Direct analysis of NIR spectra</w:t>
      </w:r>
      <w:bookmarkEnd w:id="205"/>
    </w:p>
    <w:p w14:paraId="084F5FF3" w14:textId="18D28C42" w:rsidR="00526DE5" w:rsidRDefault="00A22CAE" w:rsidP="00A22CAE">
      <w:r>
        <w:t xml:space="preserve">The modeling approach used in </w:t>
      </w:r>
      <w:r w:rsidRPr="004F47B4">
        <w:t>chapter 6</w:t>
      </w:r>
      <w:r>
        <w:t xml:space="preserve"> relies on compositional data which itself is derived from several models fitted to predict compositional features from near-infrared spectroscopy. At the time of this writing the underlying spectroscopic data remains unavailable; however, when it is obtained, it is suggested that the modeling methodology be re-factored to improve the predictive ability of the models developed. The spectral data for the 22 thermochemically characterized samples can be used to </w:t>
      </w:r>
      <w:r>
        <w:lastRenderedPageBreak/>
        <w:t>develop a ‘black box’ predictive model using principal components analysis pre-processing; the application of a model with tunable parameters (tuned via cross validation) is suggested (e.g., LASSO</w:t>
      </w:r>
      <w:r w:rsidR="008B062F">
        <w:t xml:space="preserve"> </w:t>
      </w:r>
      <w:r w:rsidR="008B062F">
        <w:fldChar w:fldCharType="begin"/>
      </w:r>
      <w:r w:rsidR="00807999">
        <w:instrText xml:space="preserve"> ADDIN PAPERS2_CITATIONS &lt;citation&gt;&lt;uuid&gt;89B5ABF3-9C8D-47DE-B2C4-2FA2596D3268&lt;/uuid&gt;&lt;priority&gt;0&lt;/priority&gt;&lt;publications&gt;&lt;publication&gt;&lt;publication_date&gt;99199600001200000000200000&lt;/publication_date&gt;&lt;doi&gt;10.2307/2346178&lt;/doi&gt;&lt;title&gt;Regression shrinkage and selection via the lasso&lt;/title&gt;&lt;uuid&gt;41280B54-EF1E-4A7D-8932-E4CDA9A4AE8E&lt;/uuid&gt;&lt;subtype&gt;400&lt;/subtype&gt;&lt;type&gt;400&lt;/type&gt;&lt;url&gt;http://www.jstor.org.ezproxy.lib.ou.edu/stable/2346178&lt;/url&gt;&lt;bundle&gt;&lt;publication&gt;&lt;title&gt;Journal of the Royal Statistical Society Series B ( …&lt;/title&gt;&lt;type&gt;-100&lt;/type&gt;&lt;subtype&gt;-100&lt;/subtype&gt;&lt;uuid&gt;8DD8C459-1533-4724-9EC9-FA265D50A0C4&lt;/uuid&gt;&lt;/publication&gt;&lt;/bundle&gt;&lt;authors&gt;&lt;author&gt;&lt;firstName&gt;R&lt;/firstName&gt;&lt;lastName&gt;Tibshirani&lt;/lastName&gt;&lt;/author&gt;&lt;/authors&gt;&lt;/publication&gt;&lt;/publications&gt;&lt;cites&gt;&lt;/cites&gt;&lt;/citation&gt;</w:instrText>
      </w:r>
      <w:r w:rsidR="008B062F">
        <w:fldChar w:fldCharType="separate"/>
      </w:r>
      <w:r w:rsidR="001C1AAC">
        <w:t>(</w:t>
      </w:r>
      <w:r w:rsidR="001C1AAC">
        <w:rPr>
          <w:i/>
          <w:iCs/>
        </w:rPr>
        <w:t>195</w:t>
      </w:r>
      <w:r w:rsidR="001C1AAC">
        <w:t>)</w:t>
      </w:r>
      <w:r w:rsidR="008B062F">
        <w:fldChar w:fldCharType="end"/>
      </w:r>
      <w:r>
        <w:t>, or elastic net</w:t>
      </w:r>
      <w:r w:rsidR="008B062F">
        <w:t xml:space="preserve"> </w:t>
      </w:r>
      <w:r w:rsidR="008B062F">
        <w:fldChar w:fldCharType="begin"/>
      </w:r>
      <w:r w:rsidR="00807999">
        <w:instrText xml:space="preserve"> ADDIN PAPERS2_CITATIONS &lt;citation&gt;&lt;uuid&gt;CD08C0E0-800A-492E-92CF-5FB23A748092&lt;/uuid&gt;&lt;priority&gt;0&lt;/priority&gt;&lt;publications&gt;&lt;publication&gt;&lt;uuid&gt;8DADD36B-AAD8-45C1-BF1F-D647312A12BF&lt;/uuid&gt;&lt;volume&gt;67&lt;/volume&gt;&lt;doi&gt;10.1111/j.1467-9868.2005.00503.x&lt;/doi&gt;&lt;startpage&gt;301&lt;/startpage&gt;&lt;publication_date&gt;99200504011200000000222000&lt;/publication_date&gt;&lt;url&gt;http://onlinelibrary.wiley.com.ezproxy.lib.ou.edu/doi/10.1111/j.1467-9868.2005.00503.x/full&lt;/url&gt;&lt;type&gt;400&lt;/type&gt;&lt;title&gt;Regularization and variable selection via the elastic net&lt;/title&gt;&lt;publisher&gt;Blackwell Publishing Ltd&lt;/publisher&gt;&lt;number&gt;2&lt;/number&gt;&lt;subtype&gt;400&lt;/subtype&gt;&lt;endpage&gt;320&lt;/endpage&gt;&lt;bundle&gt;&lt;publication&gt;&lt;publisher&gt;Blackwell Publishing Ltd&lt;/publisher&gt;&lt;title&gt;Journal of the Royal Statistical Society: Series B (Statistical Methodology)&lt;/title&gt;&lt;type&gt;-100&lt;/type&gt;&lt;subtype&gt;-100&lt;/subtype&gt;&lt;uuid&gt;2B757E6E-468C-4F4F-AE6B-A1412E5D649A&lt;/uuid&gt;&lt;/publication&gt;&lt;/bundle&gt;&lt;authors&gt;&lt;author&gt;&lt;firstName&gt;Hui&lt;/firstName&gt;&lt;lastName&gt;Zou&lt;/lastName&gt;&lt;/author&gt;&lt;author&gt;&lt;firstName&gt;Trevor&lt;/firstName&gt;&lt;lastName&gt;Hastie&lt;/lastName&gt;&lt;/author&gt;&lt;/authors&gt;&lt;/publication&gt;&lt;/publications&gt;&lt;cites&gt;&lt;/cites&gt;&lt;/citation&gt;</w:instrText>
      </w:r>
      <w:r w:rsidR="008B062F">
        <w:fldChar w:fldCharType="separate"/>
      </w:r>
      <w:r w:rsidR="001C1AAC">
        <w:t>(</w:t>
      </w:r>
      <w:r w:rsidR="001C1AAC">
        <w:rPr>
          <w:i/>
          <w:iCs/>
        </w:rPr>
        <w:t>196</w:t>
      </w:r>
      <w:r w:rsidR="001C1AAC">
        <w:t>)</w:t>
      </w:r>
      <w:r w:rsidR="008B062F">
        <w:fldChar w:fldCharType="end"/>
      </w:r>
      <w:r>
        <w:t xml:space="preserve">) to improve their predictive ability. </w:t>
      </w:r>
      <w:r w:rsidR="00526DE5">
        <w:t xml:space="preserve">In this manner, it should be possible to develop models which have good predictive ability for all of the thermochemical lumps, expanding to including models which had poor predictive ability and those which were rejected due to uninterpretable coefficients using the stepwise OLS approach as applied in chapter 6. </w:t>
      </w:r>
    </w:p>
    <w:p w14:paraId="30C30F44" w14:textId="6841BD59" w:rsidR="00DC32EF" w:rsidRDefault="00A22CAE" w:rsidP="008C61D5">
      <w:r>
        <w:t xml:space="preserve">Once these </w:t>
      </w:r>
      <w:r w:rsidR="00526DE5">
        <w:t xml:space="preserve">‘black box’ </w:t>
      </w:r>
      <w:r>
        <w:t>models are generated</w:t>
      </w:r>
      <w:r w:rsidR="00526DE5">
        <w:t xml:space="preserve"> from the 22 characterized samples and their spectral data</w:t>
      </w:r>
      <w:r>
        <w:t xml:space="preserve">, </w:t>
      </w:r>
      <w:r w:rsidR="00526DE5">
        <w:t xml:space="preserve">the complete association panel’s spectral data can then be used to predict the entire thermochemical product distribution, beyond just the three or four lumps that were predicted in chapter 7. This predicted data can then be combined with the available NIRS compositional data to develop interpretable models in the same fashion as the work in chapter 6, except that due to the much larger number of observations, the feature selection algorithms used can be discarded. Additionally, with a much larger set of observations, interactions between thermochemical lumps and compositional features can be modeled. </w:t>
      </w:r>
      <w:r w:rsidR="008C61D5">
        <w:t>Finally, having the predicted thermochemical data for the full association panel will allow for the first attempt at mapping trends in the product distribution to genotypes. In short, t</w:t>
      </w:r>
      <w:r w:rsidR="00526DE5">
        <w:t xml:space="preserve">his </w:t>
      </w:r>
      <w:r w:rsidR="008C61D5">
        <w:t>revised approach which will be possible once the spectral data is acquired will allow for more insights and hypothesis formation than what has been presented in this work.</w:t>
      </w:r>
    </w:p>
    <w:p w14:paraId="1845714B" w14:textId="3B1812C7" w:rsidR="008E6CD1" w:rsidRDefault="008E6CD1" w:rsidP="005C7E19">
      <w:pPr>
        <w:pStyle w:val="Heading2"/>
      </w:pPr>
      <w:bookmarkStart w:id="206" w:name="_Toc449964911"/>
      <w:r>
        <w:lastRenderedPageBreak/>
        <w:t>Improving data collection</w:t>
      </w:r>
      <w:bookmarkEnd w:id="206"/>
    </w:p>
    <w:p w14:paraId="28DF4421" w14:textId="52B36B8F" w:rsidR="008E6CD1" w:rsidRDefault="00335569" w:rsidP="008E6CD1">
      <w:pPr>
        <w:pStyle w:val="Heading3"/>
      </w:pPr>
      <w:bookmarkStart w:id="207" w:name="_Toc449964912"/>
      <w:r>
        <w:t xml:space="preserve">Optimization of </w:t>
      </w:r>
      <w:r w:rsidR="008E6CD1">
        <w:t>the GC program</w:t>
      </w:r>
      <w:bookmarkEnd w:id="207"/>
    </w:p>
    <w:p w14:paraId="382C486C" w14:textId="46A3AB6D" w:rsidR="008E6CD1" w:rsidRPr="008E6CD1" w:rsidRDefault="000E5691" w:rsidP="008E6CD1">
      <w:r>
        <w:t xml:space="preserve">The program used for the GC temperature ramp is detailed in section 3.2.3. The total time of this GC program is roughly 99 minutes. As shown below in </w:t>
      </w:r>
      <w:r w:rsidRPr="00003A9D">
        <w:t>figure 8.1,</w:t>
      </w:r>
      <w:r>
        <w:t xml:space="preserve"> it should be possible to reduce this program time by as much as 25 minutes without losing any data relevant to the research. Peaks after 75 minutes are either too small to matter or consist of contamination which has been introduced into the system (e.g., skin oils from careless handling).</w:t>
      </w:r>
      <w:r w:rsidR="00907C3C">
        <w:t xml:space="preserve"> Savings of 25 minutes per analysis over the 132 analyses done in chapter 6 results in a net savings of 55 hours of instrument time.</w:t>
      </w:r>
    </w:p>
    <w:p w14:paraId="3AAF88DF" w14:textId="71F7F68B" w:rsidR="00526DE5" w:rsidRDefault="000E5691" w:rsidP="0017218D">
      <w:pPr>
        <w:pStyle w:val="NoSpacing"/>
      </w:pPr>
      <w:r>
        <w:rPr>
          <w:noProof/>
        </w:rPr>
        <w:drawing>
          <wp:inline distT="0" distB="0" distL="0" distR="0" wp14:anchorId="2A9F974C" wp14:editId="23398D8C">
            <wp:extent cx="5396230" cy="2733040"/>
            <wp:effectExtent l="0" t="0" r="0" b="10160"/>
            <wp:docPr id="45" name="Picture 45" descr="chromatogram%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romatogram%201.png"/>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5396230" cy="2733040"/>
                    </a:xfrm>
                    <a:prstGeom prst="rect">
                      <a:avLst/>
                    </a:prstGeom>
                    <a:noFill/>
                    <a:ln>
                      <a:noFill/>
                    </a:ln>
                  </pic:spPr>
                </pic:pic>
              </a:graphicData>
            </a:graphic>
          </wp:inline>
        </w:drawing>
      </w:r>
    </w:p>
    <w:p w14:paraId="3951CA8D" w14:textId="4BFA4E73" w:rsidR="0017218D" w:rsidRDefault="007C5881" w:rsidP="0017218D">
      <w:pPr>
        <w:pStyle w:val="Caption"/>
      </w:pPr>
      <w:bookmarkStart w:id="208" w:name="_Toc449965028"/>
      <w:r w:rsidRPr="00E73E07">
        <w:t xml:space="preserve">Figure </w:t>
      </w:r>
      <w:fldSimple w:instr=" STYLEREF &quot;Chapter&quot; \s ">
        <w:r w:rsidR="00463F52">
          <w:rPr>
            <w:noProof/>
          </w:rPr>
          <w:t>8</w:t>
        </w:r>
      </w:fldSimple>
      <w:r w:rsidRPr="00E73E07">
        <w:t>.</w:t>
      </w:r>
      <w:r w:rsidR="000E1A95">
        <w:fldChar w:fldCharType="begin"/>
      </w:r>
      <w:r w:rsidR="000E1A95">
        <w:instrText xml:space="preserve"> SEQ Figure </w:instrText>
      </w:r>
      <w:r w:rsidR="00003A9D">
        <w:instrText xml:space="preserve">\r 1 </w:instrText>
      </w:r>
      <w:r w:rsidR="000E1A95">
        <w:instrText xml:space="preserve">\* ARABIC \s 1 </w:instrText>
      </w:r>
      <w:r w:rsidR="000E1A95">
        <w:fldChar w:fldCharType="separate"/>
      </w:r>
      <w:r w:rsidR="00463F52">
        <w:rPr>
          <w:noProof/>
        </w:rPr>
        <w:t>1</w:t>
      </w:r>
      <w:r w:rsidR="000E1A95">
        <w:rPr>
          <w:noProof/>
        </w:rPr>
        <w:fldChar w:fldCharType="end"/>
      </w:r>
      <w:r w:rsidRPr="00E73E07">
        <w:rPr>
          <w:noProof/>
        </w:rPr>
        <w:t>.</w:t>
      </w:r>
      <w:r w:rsidRPr="0087215B">
        <w:t xml:space="preserve"> </w:t>
      </w:r>
      <w:r w:rsidR="000E5691" w:rsidRPr="000E5691">
        <w:rPr>
          <w:b w:val="0"/>
        </w:rPr>
        <w:t xml:space="preserve">Typical </w:t>
      </w:r>
      <w:r w:rsidR="00171311">
        <w:rPr>
          <w:b w:val="0"/>
        </w:rPr>
        <w:t>biomass</w:t>
      </w:r>
      <w:r w:rsidR="000E5691" w:rsidRPr="000E5691">
        <w:rPr>
          <w:b w:val="0"/>
        </w:rPr>
        <w:t xml:space="preserve"> pyrolysis chromatogram</w:t>
      </w:r>
      <w:r w:rsidR="0017218D" w:rsidRPr="00104DE7">
        <w:rPr>
          <w:b w:val="0"/>
        </w:rPr>
        <w:t>.</w:t>
      </w:r>
      <w:bookmarkEnd w:id="208"/>
    </w:p>
    <w:p w14:paraId="30F7644A" w14:textId="77777777" w:rsidR="0017218D" w:rsidRPr="0017218D" w:rsidRDefault="0017218D" w:rsidP="0017218D"/>
    <w:p w14:paraId="264661DF" w14:textId="53AD38BA" w:rsidR="000E5691" w:rsidRDefault="0017218D" w:rsidP="00526DE5">
      <w:r>
        <w:t xml:space="preserve">Additionally, </w:t>
      </w:r>
      <w:r w:rsidR="00104DE7">
        <w:t xml:space="preserve">it may be possible to optimize </w:t>
      </w:r>
      <w:r>
        <w:t xml:space="preserve">the </w:t>
      </w:r>
      <w:r w:rsidR="00104DE7">
        <w:t xml:space="preserve">temperature profile to achieve better separation of peaks and improve data quality. </w:t>
      </w:r>
      <w:r w:rsidR="00104DE7" w:rsidRPr="00003A9D">
        <w:t>Figure 8.2</w:t>
      </w:r>
      <w:r w:rsidR="00104DE7">
        <w:t xml:space="preserve"> shows a subsection of the chromatogram in </w:t>
      </w:r>
      <w:r w:rsidR="00104DE7" w:rsidRPr="00003A9D">
        <w:t>figure 8.1,</w:t>
      </w:r>
      <w:r w:rsidR="00104DE7">
        <w:t xml:space="preserve"> indicating numerous overlapping peaks. In areas of the chromatogram with many overlapping peaks, slowing down the temperature ramp or </w:t>
      </w:r>
      <w:r w:rsidR="00104DE7">
        <w:lastRenderedPageBreak/>
        <w:t>introducing some isothermal sections into the program may assist in reducing the overlap and allow for better identification.</w:t>
      </w:r>
    </w:p>
    <w:p w14:paraId="36A63B61" w14:textId="455894FD" w:rsidR="00526DE5" w:rsidRDefault="000E5691" w:rsidP="00104DE7">
      <w:pPr>
        <w:pStyle w:val="NoSpacing"/>
      </w:pPr>
      <w:r>
        <w:rPr>
          <w:noProof/>
        </w:rPr>
        <w:drawing>
          <wp:inline distT="0" distB="0" distL="0" distR="0" wp14:anchorId="1043A548" wp14:editId="69CBAA7E">
            <wp:extent cx="5396230" cy="2491740"/>
            <wp:effectExtent l="0" t="0" r="0" b="0"/>
            <wp:docPr id="63" name="Picture 63" descr="chromatogram%2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hromatogram%202.png"/>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5396230" cy="2491740"/>
                    </a:xfrm>
                    <a:prstGeom prst="rect">
                      <a:avLst/>
                    </a:prstGeom>
                    <a:noFill/>
                    <a:ln>
                      <a:noFill/>
                    </a:ln>
                  </pic:spPr>
                </pic:pic>
              </a:graphicData>
            </a:graphic>
          </wp:inline>
        </w:drawing>
      </w:r>
    </w:p>
    <w:p w14:paraId="72C6F073" w14:textId="6B3315E1" w:rsidR="00104DE7" w:rsidRDefault="00104DE7" w:rsidP="00104DE7">
      <w:pPr>
        <w:pStyle w:val="Caption"/>
      </w:pPr>
      <w:bookmarkStart w:id="209" w:name="_Toc449965029"/>
      <w:r w:rsidRPr="00E73E07">
        <w:t xml:space="preserve">Figure </w:t>
      </w:r>
      <w:fldSimple w:instr=" STYLEREF &quot;Chapter&quot; \s ">
        <w:r w:rsidR="00463F52">
          <w:rPr>
            <w:noProof/>
          </w:rPr>
          <w:t>8</w:t>
        </w:r>
      </w:fldSimple>
      <w:r w:rsidRPr="00E73E07">
        <w:t>.</w:t>
      </w:r>
      <w:fldSimple w:instr=" SEQ Figure \* ARABIC \s 1 ">
        <w:r w:rsidR="00463F52">
          <w:rPr>
            <w:noProof/>
          </w:rPr>
          <w:t>2</w:t>
        </w:r>
      </w:fldSimple>
      <w:r w:rsidRPr="00E73E07">
        <w:rPr>
          <w:noProof/>
        </w:rPr>
        <w:t>.</w:t>
      </w:r>
      <w:r w:rsidRPr="0087215B">
        <w:t xml:space="preserve"> </w:t>
      </w:r>
      <w:r>
        <w:rPr>
          <w:b w:val="0"/>
        </w:rPr>
        <w:t xml:space="preserve">Subset of </w:t>
      </w:r>
      <w:r w:rsidR="00171311">
        <w:rPr>
          <w:b w:val="0"/>
        </w:rPr>
        <w:t xml:space="preserve">biomass pyrolysis </w:t>
      </w:r>
      <w:r>
        <w:rPr>
          <w:b w:val="0"/>
        </w:rPr>
        <w:t>chromato</w:t>
      </w:r>
      <w:r w:rsidR="00171311">
        <w:rPr>
          <w:b w:val="0"/>
        </w:rPr>
        <w:t>gram</w:t>
      </w:r>
      <w:r>
        <w:rPr>
          <w:b w:val="0"/>
        </w:rPr>
        <w:t xml:space="preserve"> showing overlapping peaks</w:t>
      </w:r>
      <w:r w:rsidRPr="00104DE7">
        <w:rPr>
          <w:b w:val="0"/>
        </w:rPr>
        <w:t>.</w:t>
      </w:r>
      <w:bookmarkEnd w:id="209"/>
    </w:p>
    <w:p w14:paraId="64AD98AC" w14:textId="77777777" w:rsidR="00104DE7" w:rsidRDefault="00104DE7" w:rsidP="00526DE5"/>
    <w:p w14:paraId="6E363EA7" w14:textId="6F0F0AC7" w:rsidR="00DC32EF" w:rsidRDefault="00F82B49" w:rsidP="00DC32EF">
      <w:pPr>
        <w:pStyle w:val="Heading3"/>
      </w:pPr>
      <w:bookmarkStart w:id="210" w:name="_Toc449964913"/>
      <w:r>
        <w:t>Reducing or eliminating the need for technical replicates in the pyroprobe</w:t>
      </w:r>
      <w:bookmarkEnd w:id="210"/>
    </w:p>
    <w:p w14:paraId="28EB8D38" w14:textId="75ACFFED" w:rsidR="00B8065F" w:rsidRDefault="00F82B49" w:rsidP="00F82B49">
      <w:r>
        <w:t xml:space="preserve">For the studies in chapters 5, 6, and 7, all data points as reported are the </w:t>
      </w:r>
      <w:r w:rsidR="00B8065F">
        <w:t xml:space="preserve">mean of three observations, with error estimates as appropriate. As discussed in </w:t>
      </w:r>
      <w:r w:rsidR="00B8065F" w:rsidRPr="004F47B4">
        <w:t xml:space="preserve">section </w:t>
      </w:r>
      <w:r w:rsidR="004F47B4">
        <w:t>3.2.5,</w:t>
      </w:r>
      <w:r w:rsidR="00B8065F">
        <w:t xml:space="preserve"> yield data consists of the </w:t>
      </w:r>
      <w:r w:rsidR="001A0EFF">
        <w:t>integrated</w:t>
      </w:r>
      <w:r w:rsidR="00B8065F">
        <w:t xml:space="preserve"> peak areas of the chromatography, summed by lump and normalized to the amount of the biomass in each sample tube. However, by dividing each compound’s peak area by the sum of the total peak areas of the chromatogram (or, after applying a carbon conversion as discussed in </w:t>
      </w:r>
      <w:r w:rsidR="00B8065F" w:rsidRPr="004F47B4">
        <w:t xml:space="preserve">section </w:t>
      </w:r>
      <w:r w:rsidR="004F47B4">
        <w:t>3.2.6</w:t>
      </w:r>
      <w:r w:rsidR="00B8065F">
        <w:t>) the thermochemical product selectivity of each individual experiment can be measured without introducing another source of error (the measurement of the mass of the tube). For the torrefied switchgrass samples from chapter 7, a comparison of the error estimates (</w:t>
      </w:r>
      <w:r w:rsidR="00B602E7">
        <w:t>95% confidence interval of the mean</w:t>
      </w:r>
      <w:r w:rsidR="00B8065F">
        <w:t>)</w:t>
      </w:r>
      <w:r w:rsidR="00B602E7">
        <w:t xml:space="preserve"> as a proportion of the mean value between yield and selectivity are shown for each compound lump in </w:t>
      </w:r>
      <w:r w:rsidR="00B602E7" w:rsidRPr="00003A9D">
        <w:t>figure 8.</w:t>
      </w:r>
      <w:r w:rsidR="00003A9D">
        <w:t>3</w:t>
      </w:r>
      <w:r w:rsidR="00B602E7" w:rsidRPr="004F47B4">
        <w:t>.</w:t>
      </w:r>
      <w:r w:rsidR="00E04DED" w:rsidRPr="00E04DED">
        <w:t xml:space="preserve"> </w:t>
      </w:r>
      <w:r w:rsidR="00E04DED">
        <w:t xml:space="preserve">For many of the compound </w:t>
      </w:r>
      <w:r w:rsidR="00E04DED">
        <w:lastRenderedPageBreak/>
        <w:t xml:space="preserve">groups tracked, the selectivity error is smaller than the yield error for the same data, and for many measurements, the size of the error interval is close to 0% of the mean. </w:t>
      </w:r>
    </w:p>
    <w:p w14:paraId="2F1D7865" w14:textId="57480CBD" w:rsidR="00F82B49" w:rsidRDefault="00444AA1" w:rsidP="00621748">
      <w:pPr>
        <w:pStyle w:val="NoSpacing"/>
      </w:pPr>
      <w:r>
        <w:rPr>
          <w:noProof/>
        </w:rPr>
        <w:drawing>
          <wp:inline distT="0" distB="0" distL="0" distR="0" wp14:anchorId="522D2EDE" wp14:editId="2CF24754">
            <wp:extent cx="2642442" cy="364429"/>
            <wp:effectExtent l="0" t="3810" r="0" b="0"/>
            <wp:docPr id="75" name="Picture 75" descr="error%20axis%20labels.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rror%20axis%20labels.pdf"/>
                    <pic:cNvPicPr>
                      <a:picLocks noChangeAspect="1" noChangeArrowheads="1"/>
                    </pic:cNvPicPr>
                  </pic:nvPicPr>
                  <pic:blipFill rotWithShape="1">
                    <a:blip r:embed="rId104">
                      <a:extLst>
                        <a:ext uri="{28A0092B-C50C-407E-A947-70E740481C1C}">
                          <a14:useLocalDpi xmlns:a14="http://schemas.microsoft.com/office/drawing/2010/main" val="0"/>
                        </a:ext>
                      </a:extLst>
                    </a:blip>
                    <a:srcRect l="44249" t="41438" r="6592" b="49787"/>
                    <a:stretch/>
                  </pic:blipFill>
                  <pic:spPr bwMode="auto">
                    <a:xfrm rot="16200000">
                      <a:off x="0" y="0"/>
                      <a:ext cx="2652097" cy="365760"/>
                    </a:xfrm>
                    <a:prstGeom prst="rect">
                      <a:avLst/>
                    </a:prstGeom>
                    <a:noFill/>
                    <a:ln>
                      <a:noFill/>
                    </a:ln>
                    <a:extLst>
                      <a:ext uri="{53640926-AAD7-44D8-BBD7-CCE9431645EC}">
                        <a14:shadowObscured xmlns:a14="http://schemas.microsoft.com/office/drawing/2010/main"/>
                      </a:ext>
                    </a:extLst>
                  </pic:spPr>
                </pic:pic>
              </a:graphicData>
            </a:graphic>
          </wp:inline>
        </w:drawing>
      </w:r>
      <w:r w:rsidR="00B8065F">
        <w:rPr>
          <w:noProof/>
        </w:rPr>
        <w:drawing>
          <wp:inline distT="0" distB="0" distL="0" distR="0" wp14:anchorId="0AB649D4" wp14:editId="3EB19014">
            <wp:extent cx="4937760" cy="3718563"/>
            <wp:effectExtent l="0" t="0" r="0" b="0"/>
            <wp:docPr id="67" name="Picture 67" descr="errors.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rrors.pdf"/>
                    <pic:cNvPicPr>
                      <a:picLocks noChangeAspect="1" noChangeArrowheads="1"/>
                    </pic:cNvPicPr>
                  </pic:nvPicPr>
                  <pic:blipFill rotWithShape="1">
                    <a:blip r:embed="rId105">
                      <a:extLst>
                        <a:ext uri="{28A0092B-C50C-407E-A947-70E740481C1C}">
                          <a14:useLocalDpi xmlns:a14="http://schemas.microsoft.com/office/drawing/2010/main" val="0"/>
                        </a:ext>
                      </a:extLst>
                    </a:blip>
                    <a:srcRect l="3788" t="1290" r="2881" b="4690"/>
                    <a:stretch/>
                  </pic:blipFill>
                  <pic:spPr bwMode="auto">
                    <a:xfrm>
                      <a:off x="0" y="0"/>
                      <a:ext cx="4937760" cy="3718563"/>
                    </a:xfrm>
                    <a:prstGeom prst="rect">
                      <a:avLst/>
                    </a:prstGeom>
                    <a:noFill/>
                    <a:ln>
                      <a:noFill/>
                    </a:ln>
                    <a:extLst>
                      <a:ext uri="{53640926-AAD7-44D8-BBD7-CCE9431645EC}">
                        <a14:shadowObscured xmlns:a14="http://schemas.microsoft.com/office/drawing/2010/main"/>
                      </a:ext>
                    </a:extLst>
                  </pic:spPr>
                </pic:pic>
              </a:graphicData>
            </a:graphic>
          </wp:inline>
        </w:drawing>
      </w:r>
    </w:p>
    <w:p w14:paraId="42BCA027" w14:textId="2AC2E060" w:rsidR="00444AA1" w:rsidRDefault="00444AA1" w:rsidP="00621748">
      <w:pPr>
        <w:pStyle w:val="NoSpacing"/>
        <w:jc w:val="center"/>
      </w:pPr>
      <w:r>
        <w:rPr>
          <w:noProof/>
        </w:rPr>
        <w:drawing>
          <wp:inline distT="0" distB="0" distL="0" distR="0" wp14:anchorId="11268424" wp14:editId="62A94C9A">
            <wp:extent cx="2411604" cy="425989"/>
            <wp:effectExtent l="0" t="0" r="0" b="6350"/>
            <wp:docPr id="74" name="Picture 74" descr="error%20axis%20labels.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rror%20axis%20labels.pdf"/>
                    <pic:cNvPicPr>
                      <a:picLocks noChangeAspect="1" noChangeArrowheads="1"/>
                    </pic:cNvPicPr>
                  </pic:nvPicPr>
                  <pic:blipFill rotWithShape="1">
                    <a:blip r:embed="rId106">
                      <a:extLst>
                        <a:ext uri="{28A0092B-C50C-407E-A947-70E740481C1C}">
                          <a14:useLocalDpi xmlns:a14="http://schemas.microsoft.com/office/drawing/2010/main" val="0"/>
                        </a:ext>
                      </a:extLst>
                    </a:blip>
                    <a:srcRect l="62898" t="27544" r="-7677" b="62218"/>
                    <a:stretch/>
                  </pic:blipFill>
                  <pic:spPr bwMode="auto">
                    <a:xfrm>
                      <a:off x="0" y="0"/>
                      <a:ext cx="2415742" cy="426720"/>
                    </a:xfrm>
                    <a:prstGeom prst="rect">
                      <a:avLst/>
                    </a:prstGeom>
                    <a:noFill/>
                    <a:ln>
                      <a:noFill/>
                    </a:ln>
                    <a:extLst>
                      <a:ext uri="{53640926-AAD7-44D8-BBD7-CCE9431645EC}">
                        <a14:shadowObscured xmlns:a14="http://schemas.microsoft.com/office/drawing/2010/main"/>
                      </a:ext>
                    </a:extLst>
                  </pic:spPr>
                </pic:pic>
              </a:graphicData>
            </a:graphic>
          </wp:inline>
        </w:drawing>
      </w:r>
    </w:p>
    <w:p w14:paraId="76BD62E6" w14:textId="26EBDF50" w:rsidR="00B602E7" w:rsidRDefault="00B602E7" w:rsidP="00B602E7">
      <w:pPr>
        <w:pStyle w:val="Caption"/>
        <w:rPr>
          <w:b w:val="0"/>
        </w:rPr>
      </w:pPr>
      <w:bookmarkStart w:id="211" w:name="_Toc449965030"/>
      <w:r w:rsidRPr="00E73E07">
        <w:t xml:space="preserve">Figure </w:t>
      </w:r>
      <w:fldSimple w:instr=" STYLEREF &quot;Chapter&quot; \s ">
        <w:r w:rsidR="00463F52">
          <w:rPr>
            <w:noProof/>
          </w:rPr>
          <w:t>8</w:t>
        </w:r>
      </w:fldSimple>
      <w:r w:rsidRPr="00E73E07">
        <w:t>.</w:t>
      </w:r>
      <w:fldSimple w:instr=" SEQ Figure \* ARABIC \s 1 ">
        <w:r w:rsidR="00463F52">
          <w:rPr>
            <w:noProof/>
          </w:rPr>
          <w:t>3</w:t>
        </w:r>
      </w:fldSimple>
      <w:r w:rsidRPr="00E73E07">
        <w:rPr>
          <w:noProof/>
        </w:rPr>
        <w:t>.</w:t>
      </w:r>
      <w:r w:rsidRPr="0087215B">
        <w:t xml:space="preserve"> </w:t>
      </w:r>
      <w:r>
        <w:rPr>
          <w:b w:val="0"/>
        </w:rPr>
        <w:t>Comparison of switchgrass torrefaction error estimates for yield and selectivity</w:t>
      </w:r>
      <w:r w:rsidRPr="00104DE7">
        <w:rPr>
          <w:b w:val="0"/>
        </w:rPr>
        <w:t>.</w:t>
      </w:r>
      <w:bookmarkEnd w:id="211"/>
    </w:p>
    <w:p w14:paraId="45C0E155" w14:textId="4B218269" w:rsidR="00B537B9" w:rsidRPr="00B602E7" w:rsidRDefault="00B602E7" w:rsidP="00B602E7">
      <w:r>
        <w:t>The line through each plot has intercept = 0 and slope = 1.</w:t>
      </w:r>
    </w:p>
    <w:p w14:paraId="16163A6A" w14:textId="45E7623B" w:rsidR="00B602E7" w:rsidRPr="00F82B49" w:rsidRDefault="00EA3B6B" w:rsidP="00F82B49">
      <w:r>
        <w:t>While the error estimates of the selectivity are demonstrably improved over those of the yields, this is of little use as the knowledge of the yields is most desirable</w:t>
      </w:r>
      <w:r w:rsidR="004C6CA8">
        <w:t>. If the total mass loss of a sample due to thermal decomposition was determinable using either available instruments (e.g., TGA) or a new instrument acquisition, this data could be combined with selectivity measurements from the pyroprobe, which when used with compound calibration could be combined to get total compound yields</w:t>
      </w:r>
      <w:r w:rsidR="00E04DED">
        <w:t>.</w:t>
      </w:r>
      <w:r w:rsidR="00B537B9" w:rsidRPr="00B537B9">
        <w:t xml:space="preserve"> </w:t>
      </w:r>
      <w:r w:rsidR="00B537B9">
        <w:t xml:space="preserve">By combining historical data from the pyroprobe apparatus, standard selectivity errors as a percentage of each compound lump could be applied to future experiments. By obtaining yield data </w:t>
      </w:r>
      <w:r w:rsidR="00B537B9">
        <w:lastRenderedPageBreak/>
        <w:t xml:space="preserve">from mass loss experiments and limiting the pyroprobe to selectivity </w:t>
      </w:r>
      <w:r w:rsidR="00565385">
        <w:t>measurements, the</w:t>
      </w:r>
      <w:r w:rsidR="00B537B9">
        <w:t xml:space="preserve"> need for technical replicates in the pyroprobe would be eliminated, increasing throughput by up to 300%.</w:t>
      </w:r>
      <w:r w:rsidR="003961C6">
        <w:t xml:space="preserve"> Alternatively, careful design of experiments which would rely solely on selectivity metrics could leverage these same savings.</w:t>
      </w:r>
    </w:p>
    <w:p w14:paraId="623260A9" w14:textId="65E944A5" w:rsidR="006D0C73" w:rsidRDefault="00036F20" w:rsidP="005C7E19">
      <w:pPr>
        <w:pStyle w:val="Heading2"/>
      </w:pPr>
      <w:bookmarkStart w:id="212" w:name="_Toc449964914"/>
      <w:r>
        <w:t>Further investigation into catalytic upgrading approaches and requirements</w:t>
      </w:r>
      <w:bookmarkEnd w:id="212"/>
    </w:p>
    <w:p w14:paraId="65417F7A" w14:textId="77777777" w:rsidR="006D0C73" w:rsidRDefault="006D0C73" w:rsidP="00926C62">
      <w:pPr>
        <w:pStyle w:val="Heading3"/>
      </w:pPr>
      <w:bookmarkStart w:id="213" w:name="_Toc449964915"/>
      <w:r>
        <w:t>Switchgrass variants for catalyst deactivation experiments</w:t>
      </w:r>
      <w:bookmarkEnd w:id="213"/>
    </w:p>
    <w:p w14:paraId="562C9A57" w14:textId="7D1D69A1" w:rsidR="0026744A" w:rsidRPr="0026744A" w:rsidRDefault="008E6828" w:rsidP="0026744A">
      <w:r>
        <w:t xml:space="preserve">In chapter 4, the </w:t>
      </w:r>
      <w:r w:rsidR="0061598E">
        <w:t xml:space="preserve">effects of catalyst &amp; process parameters on the rates of zeolite catalyst deactivation during biomass upgrading were explored. For all experiments in that work, the starting biomass and thermal conversion conditions were unchanged. </w:t>
      </w:r>
      <w:r w:rsidR="006762AC">
        <w:t xml:space="preserve">In light of the results from </w:t>
      </w:r>
      <w:r w:rsidR="006762AC" w:rsidRPr="004F47B4">
        <w:t>chapters 5-7</w:t>
      </w:r>
      <w:r w:rsidR="006762AC">
        <w:t xml:space="preserve">, it is suggested that investigations into the catalyst performance (especially deactivation rates) be performed in order to demonstrate the degree to which different thermochemical product distributions can impact these important process parameters. One specific example would be the rates of </w:t>
      </w:r>
      <w:r w:rsidR="0026744A">
        <w:t xml:space="preserve">acidic </w:t>
      </w:r>
      <w:r w:rsidR="006762AC">
        <w:t xml:space="preserve">zeolite deactivation upon reaction with a </w:t>
      </w:r>
      <w:r w:rsidR="0026744A">
        <w:t xml:space="preserve">torrefaction product stream from a COMT mutant switchgrass vs. a wild-type. Mullen et al. </w:t>
      </w:r>
      <w:r w:rsidR="003051C6">
        <w:rPr>
          <w:highlight w:val="yellow"/>
        </w:rPr>
        <w:fldChar w:fldCharType="begin"/>
      </w:r>
      <w:r w:rsidR="00807999">
        <w:rPr>
          <w:highlight w:val="yellow"/>
        </w:rPr>
        <w:instrText xml:space="preserve"> ADDIN PAPERS2_CITATIONS &lt;citation&gt;&lt;uuid&gt;7859B8EF-B83F-440F-9579-C0464EAF6BEE&lt;/uuid&gt;&lt;priority&gt;0&lt;/priority&gt;&lt;publications&gt;&lt;publication&gt;&lt;volume&gt;91&lt;/volume&gt;&lt;publication_date&gt;99201011001200000000220000&lt;/publication_date&gt;&lt;number&gt;11&lt;/number&gt;&lt;doi&gt;10.1016/j.fuproc.2010.05.022&lt;/doi&gt;&lt;startpage&gt;1446&lt;/startpage&gt;&lt;title&gt;Catalytic pyrolysis-GC/MS of lignin from several sources&lt;/title&gt;&lt;uuid&gt;FE140C62-3CA6-4621-B337-23D063F8F11D&lt;/uuid&gt;&lt;subtype&gt;400&lt;/subtype&gt;&lt;endpage&gt;1458&lt;/endpage&gt;&lt;type&gt;400&lt;/type&gt;&lt;url&gt;http://linkinghub.elsevier.com/retrieve/pii/S037838201000175X&lt;/url&gt;&lt;bundle&gt;&lt;publication&gt;&lt;publisher&gt;Elsevier B.V.&lt;/publisher&gt;&lt;title&gt;Fuel Processing Technology&lt;/title&gt;&lt;type&gt;-100&lt;/type&gt;&lt;subtype&gt;-100&lt;/subtype&gt;&lt;uuid&gt;6044786F-8102-4C37-A3E2-8121AC18A87A&lt;/uuid&gt;&lt;/publication&gt;&lt;/bundle&gt;&lt;authors&gt;&lt;author&gt;&lt;firstName&gt;Charles&lt;/firstName&gt;&lt;middleNames&gt;a&lt;/middleNames&gt;&lt;lastName&gt;Mullen&lt;/lastName&gt;&lt;/author&gt;&lt;author&gt;&lt;firstName&gt;A&lt;/firstName&gt;&lt;middleNames&gt;A&lt;/middleNames&gt;&lt;lastName&gt;Boateng&lt;/lastName&gt;&lt;/author&gt;&lt;/authors&gt;&lt;/publication&gt;&lt;/publications&gt;&lt;cites&gt;&lt;/cites&gt;&lt;/citation&gt;</w:instrText>
      </w:r>
      <w:r w:rsidR="003051C6">
        <w:rPr>
          <w:highlight w:val="yellow"/>
        </w:rPr>
        <w:fldChar w:fldCharType="separate"/>
      </w:r>
      <w:r w:rsidR="001C1AAC">
        <w:t>(</w:t>
      </w:r>
      <w:r w:rsidR="001C1AAC">
        <w:rPr>
          <w:i/>
          <w:iCs/>
        </w:rPr>
        <w:t>197</w:t>
      </w:r>
      <w:r w:rsidR="001C1AAC">
        <w:t>)</w:t>
      </w:r>
      <w:r w:rsidR="003051C6">
        <w:rPr>
          <w:highlight w:val="yellow"/>
        </w:rPr>
        <w:fldChar w:fldCharType="end"/>
      </w:r>
      <w:r w:rsidR="003051C6">
        <w:t xml:space="preserve"> </w:t>
      </w:r>
      <w:r w:rsidR="0026744A">
        <w:t xml:space="preserve">suggests that higher levels of alkyl phenols can lead to increased coke formation on acidic zeolites; if that is the case, a product stream with lower alkyl phenol yields (as in the mutant) should improve catalyst performance, and tying this directly to a specific feedstock genetic modification would be a first. </w:t>
      </w:r>
    </w:p>
    <w:p w14:paraId="1A881B6D" w14:textId="72747B34" w:rsidR="008E7AA5" w:rsidRDefault="008E7AA5" w:rsidP="00926C62">
      <w:pPr>
        <w:pStyle w:val="Heading3"/>
      </w:pPr>
      <w:bookmarkStart w:id="214" w:name="_Toc449964916"/>
      <w:r>
        <w:t>Torrefaction liquid stability exploration</w:t>
      </w:r>
      <w:bookmarkEnd w:id="214"/>
    </w:p>
    <w:p w14:paraId="47A5057B" w14:textId="2B783547" w:rsidR="009D70EE" w:rsidRDefault="00A64513" w:rsidP="009D70EE">
      <w:r>
        <w:t xml:space="preserve">The discussion of the study in chapter 5 largely focused on the implications for catalytic upgrading of the process streams from staged thermal fractionation. However, an often-cited problem with bio-oil liquids is the high degree of chemical instability which leads </w:t>
      </w:r>
      <w:r>
        <w:lastRenderedPageBreak/>
        <w:t>to self-polymerization, making efficient processing a challenging engineering problem.</w:t>
      </w:r>
      <w:r w:rsidR="00CE3F5F">
        <w:t xml:space="preserve"> Due to the segregation of much of the acetic acid into the first stage product stream, the optimized staged thermal fractionation product streams as described in chapter 5 may exhibit significantly improved physical properties related to storage, transportation, and handling as compared with fast pyrolysis bio-oil. While the pyroprobe apparatus </w:t>
      </w:r>
      <w:r w:rsidR="00CE3F5F" w:rsidRPr="004F47B4">
        <w:t xml:space="preserve">as described in chapter </w:t>
      </w:r>
      <w:r w:rsidR="004F47B4">
        <w:t>3.2</w:t>
      </w:r>
      <w:r w:rsidR="00CE3F5F">
        <w:t xml:space="preserve"> is unsuitable for generation of liquid samples, the micropyrolysis unit as described in </w:t>
      </w:r>
      <w:r w:rsidR="00CE3F5F" w:rsidRPr="001F1A5A">
        <w:t xml:space="preserve">chapter </w:t>
      </w:r>
      <w:r w:rsidR="001F1A5A">
        <w:t>3.1</w:t>
      </w:r>
      <w:r w:rsidR="00CE3F5F">
        <w:t xml:space="preserve"> has previously been used to generate liquids which were evaluated for some of these properties including viscosity and molecu</w:t>
      </w:r>
      <w:r w:rsidR="003051C6">
        <w:t xml:space="preserve">lar weight increase upon aging </w:t>
      </w:r>
      <w:r w:rsidR="003051C6">
        <w:fldChar w:fldCharType="begin"/>
      </w:r>
      <w:r w:rsidR="00807999">
        <w:instrText xml:space="preserve"> ADDIN PAPERS2_CITATIONS &lt;citation&gt;&lt;uuid&gt;7A21AEC0-B7B1-49B0-9654-3184FDCF3E64&lt;/uuid&gt;&lt;priority&gt;0&lt;/priority&gt;&lt;publications&gt;&lt;publication&gt;&lt;publication_date&gt;99201300001200000000200000&lt;/publication_date&gt;&lt;doi&gt;10.1002/aic.14038&lt;/doi&gt;&lt;title&gt;Direct catalytic upgrading of biomass pyrolysis vapors by a dual function Ru/TiO2 catalyst&lt;/title&gt;&lt;uuid&gt;DC94A6D5-1A72-49AC-8E9C-843CC7058A35&lt;/uuid&gt;&lt;subtype&gt;400&lt;/subtype&gt;&lt;publisher&gt;Wiley Online Library&lt;/publisher&gt;&lt;type&gt;400&lt;/type&gt;&lt;citekey&gt;Wan:2013jp&lt;/citekey&gt;&lt;url&gt;http://onlinelibrary.wiley.com/doi/10.1002/aic.14038/full&lt;/url&gt;&lt;bundle&gt;&lt;publication&gt;&lt;title&gt;AIChE Journal&lt;/title&gt;&lt;type&gt;-100&lt;/type&gt;&lt;subtype&gt;-100&lt;/subtype&gt;&lt;uuid&gt;4439A400-0C12-4F4D-B6FC-D94CAF45915B&lt;/uuid&gt;&lt;/publication&gt;&lt;/bundle&gt;&lt;authors&gt;&lt;author&gt;&lt;firstName&gt;Shaolong&lt;/firstName&gt;&lt;lastName&gt;Wan&lt;/lastName&gt;&lt;/author&gt;&lt;author&gt;&lt;firstName&gt;Trung&lt;/firstName&gt;&lt;lastName&gt;Pham&lt;/lastName&gt;&lt;/author&gt;&lt;author&gt;&lt;firstName&gt;Sarah&lt;/firstName&gt;&lt;lastName&gt;Zhang&lt;/lastName&gt;&lt;/author&gt;&lt;author&gt;&lt;firstName&gt;Lance&lt;/firstName&gt;&lt;lastName&gt;Lobban&lt;/lastName&gt;&lt;/author&gt;&lt;author&gt;&lt;firstName&gt;D&lt;/firstName&gt;&lt;middleNames&gt;E&lt;/middleNames&gt;&lt;lastName&gt;Resasco&lt;/lastName&gt;&lt;/author&gt;&lt;author&gt;&lt;firstName&gt;R&lt;/firstName&gt;&lt;middleNames&gt;G&lt;/middleNames&gt;&lt;lastName&gt;Mallinson&lt;/lastName&gt;&lt;/author&gt;&lt;/authors&gt;&lt;/publication&gt;&lt;/publications&gt;&lt;cites&gt;&lt;/cites&gt;&lt;/citation&gt;</w:instrText>
      </w:r>
      <w:r w:rsidR="003051C6">
        <w:fldChar w:fldCharType="separate"/>
      </w:r>
      <w:r w:rsidR="001C1AAC">
        <w:t>(</w:t>
      </w:r>
      <w:r w:rsidR="001C1AAC">
        <w:rPr>
          <w:i/>
          <w:iCs/>
        </w:rPr>
        <w:t>135</w:t>
      </w:r>
      <w:r w:rsidR="001C1AAC">
        <w:t>)</w:t>
      </w:r>
      <w:r w:rsidR="003051C6">
        <w:fldChar w:fldCharType="end"/>
      </w:r>
      <w:r w:rsidR="00CE3F5F">
        <w:t>. Similar studies evaluating these properties for the optimized staged product streams are suggested.</w:t>
      </w:r>
    </w:p>
    <w:p w14:paraId="1C0DDAFF" w14:textId="5A9725C7" w:rsidR="00BD4152" w:rsidRDefault="00BD4152">
      <w:pPr>
        <w:spacing w:line="240" w:lineRule="auto"/>
      </w:pPr>
      <w:r>
        <w:br w:type="page"/>
      </w:r>
    </w:p>
    <w:p w14:paraId="00DA5066" w14:textId="524B05F0" w:rsidR="00BD4152" w:rsidRDefault="00BD4152" w:rsidP="00BD4152">
      <w:pPr>
        <w:pStyle w:val="Heading1"/>
      </w:pPr>
      <w:bookmarkStart w:id="215" w:name="_Toc449964917"/>
      <w:r>
        <w:lastRenderedPageBreak/>
        <w:t>References</w:t>
      </w:r>
      <w:bookmarkEnd w:id="215"/>
    </w:p>
    <w:p w14:paraId="7F651BC7" w14:textId="77777777" w:rsidR="00807999" w:rsidRDefault="00BD4152" w:rsidP="00807999">
      <w:pPr>
        <w:widowControl w:val="0"/>
        <w:tabs>
          <w:tab w:val="left" w:pos="800"/>
        </w:tabs>
        <w:autoSpaceDE w:val="0"/>
        <w:autoSpaceDN w:val="0"/>
        <w:adjustRightInd w:val="0"/>
        <w:spacing w:after="240" w:line="240" w:lineRule="auto"/>
        <w:ind w:left="800" w:hanging="800"/>
      </w:pPr>
      <w:r>
        <w:fldChar w:fldCharType="begin"/>
      </w:r>
      <w:r>
        <w:instrText xml:space="preserve"> ADDIN PAPERS2_CITATIONS &lt;papers2_bibliography/&gt;</w:instrText>
      </w:r>
      <w:r>
        <w:fldChar w:fldCharType="separate"/>
      </w:r>
      <w:r w:rsidR="00807999">
        <w:t>1.</w:t>
      </w:r>
      <w:r w:rsidR="00807999">
        <w:tab/>
        <w:t xml:space="preserve">A. V. Bridgwater, D. Meier, D. Radlein, An overview of fast pyrolysis of biomass. </w:t>
      </w:r>
      <w:r w:rsidR="00807999">
        <w:rPr>
          <w:i/>
          <w:iCs/>
        </w:rPr>
        <w:t>Organic Geochemistry</w:t>
      </w:r>
      <w:r w:rsidR="00807999">
        <w:t xml:space="preserve"> (1999).</w:t>
      </w:r>
    </w:p>
    <w:p w14:paraId="64E7A11E" w14:textId="77777777" w:rsidR="00807999" w:rsidRDefault="00807999" w:rsidP="00807999">
      <w:pPr>
        <w:widowControl w:val="0"/>
        <w:tabs>
          <w:tab w:val="left" w:pos="800"/>
        </w:tabs>
        <w:autoSpaceDE w:val="0"/>
        <w:autoSpaceDN w:val="0"/>
        <w:adjustRightInd w:val="0"/>
        <w:spacing w:after="240" w:line="240" w:lineRule="auto"/>
        <w:ind w:left="800" w:hanging="800"/>
      </w:pPr>
      <w:r>
        <w:t>2.</w:t>
      </w:r>
      <w:r>
        <w:tab/>
        <w:t xml:space="preserve">R. D. Perlack </w:t>
      </w:r>
      <w:r>
        <w:rPr>
          <w:i/>
          <w:iCs/>
        </w:rPr>
        <w:t>et al.</w:t>
      </w:r>
      <w:r>
        <w:t>, “Biomass as feedstock for a bioenergy and bioproducts industry: The technical feasibility of a billion-ton annual supply” (2005),, doi:10.2172/1216415.</w:t>
      </w:r>
    </w:p>
    <w:p w14:paraId="251CF79B" w14:textId="77777777" w:rsidR="00807999" w:rsidRDefault="00807999" w:rsidP="00807999">
      <w:pPr>
        <w:widowControl w:val="0"/>
        <w:tabs>
          <w:tab w:val="left" w:pos="800"/>
        </w:tabs>
        <w:autoSpaceDE w:val="0"/>
        <w:autoSpaceDN w:val="0"/>
        <w:adjustRightInd w:val="0"/>
        <w:spacing w:after="240" w:line="240" w:lineRule="auto"/>
        <w:ind w:left="800" w:hanging="800"/>
      </w:pPr>
      <w:r>
        <w:t>3.</w:t>
      </w:r>
      <w:r>
        <w:tab/>
        <w:t>NSF, “Breaking the Chemical and Engineering Barriers to Lignocellulosic Biofuels: Next Generation Hydroccarbon Biorefineries” (Washington, DC, 2008),, doi:10.2172/1218335.</w:t>
      </w:r>
    </w:p>
    <w:p w14:paraId="6353CAE0" w14:textId="77777777" w:rsidR="00807999" w:rsidRDefault="00807999" w:rsidP="00807999">
      <w:pPr>
        <w:widowControl w:val="0"/>
        <w:tabs>
          <w:tab w:val="left" w:pos="800"/>
        </w:tabs>
        <w:autoSpaceDE w:val="0"/>
        <w:autoSpaceDN w:val="0"/>
        <w:adjustRightInd w:val="0"/>
        <w:spacing w:after="240" w:line="240" w:lineRule="auto"/>
        <w:ind w:left="800" w:hanging="800"/>
      </w:pPr>
      <w:r>
        <w:t>4.</w:t>
      </w:r>
      <w:r>
        <w:tab/>
        <w:t xml:space="preserve">C. Somerville, Biofuels. </w:t>
      </w:r>
      <w:r>
        <w:rPr>
          <w:i/>
          <w:iCs/>
        </w:rPr>
        <w:t>Current Biology</w:t>
      </w:r>
      <w:r>
        <w:t xml:space="preserve">. </w:t>
      </w:r>
      <w:r>
        <w:rPr>
          <w:b/>
          <w:bCs/>
        </w:rPr>
        <w:t>17</w:t>
      </w:r>
      <w:r>
        <w:t>, R115–R119 (2007).</w:t>
      </w:r>
    </w:p>
    <w:p w14:paraId="209ADDDA" w14:textId="77777777" w:rsidR="00807999" w:rsidRDefault="00807999" w:rsidP="00807999">
      <w:pPr>
        <w:widowControl w:val="0"/>
        <w:tabs>
          <w:tab w:val="left" w:pos="800"/>
        </w:tabs>
        <w:autoSpaceDE w:val="0"/>
        <w:autoSpaceDN w:val="0"/>
        <w:adjustRightInd w:val="0"/>
        <w:spacing w:after="240" w:line="240" w:lineRule="auto"/>
        <w:ind w:left="800" w:hanging="800"/>
      </w:pPr>
      <w:r>
        <w:t>5.</w:t>
      </w:r>
      <w:r>
        <w:tab/>
        <w:t xml:space="preserve">C. Somerville </w:t>
      </w:r>
      <w:r>
        <w:rPr>
          <w:i/>
          <w:iCs/>
        </w:rPr>
        <w:t>et al.</w:t>
      </w:r>
      <w:r>
        <w:t xml:space="preserve">, Toward a Systems Approach to Understanding Plant Cell Walls. </w:t>
      </w:r>
      <w:r>
        <w:rPr>
          <w:i/>
          <w:iCs/>
        </w:rPr>
        <w:t>Science</w:t>
      </w:r>
      <w:r>
        <w:t xml:space="preserve">. </w:t>
      </w:r>
      <w:r>
        <w:rPr>
          <w:b/>
          <w:bCs/>
        </w:rPr>
        <w:t>306</w:t>
      </w:r>
      <w:r>
        <w:t>, 2206–2211 (2004).</w:t>
      </w:r>
    </w:p>
    <w:p w14:paraId="703DABF0" w14:textId="77777777" w:rsidR="00807999" w:rsidRDefault="00807999" w:rsidP="00807999">
      <w:pPr>
        <w:widowControl w:val="0"/>
        <w:tabs>
          <w:tab w:val="left" w:pos="800"/>
        </w:tabs>
        <w:autoSpaceDE w:val="0"/>
        <w:autoSpaceDN w:val="0"/>
        <w:adjustRightInd w:val="0"/>
        <w:spacing w:after="240" w:line="240" w:lineRule="auto"/>
        <w:ind w:left="800" w:hanging="800"/>
      </w:pPr>
      <w:r>
        <w:t>6.</w:t>
      </w:r>
      <w:r>
        <w:tab/>
        <w:t xml:space="preserve">G. W. Huber, S. Iborra, A. Corma, Synthesis of transportation fuels from biomass: chemistry, catalysts, and engineering. </w:t>
      </w:r>
      <w:r>
        <w:rPr>
          <w:i/>
          <w:iCs/>
        </w:rPr>
        <w:t>Chem. Rev.</w:t>
      </w:r>
      <w:r>
        <w:t xml:space="preserve"> (2006).</w:t>
      </w:r>
    </w:p>
    <w:p w14:paraId="08FA1BCA" w14:textId="77777777" w:rsidR="00807999" w:rsidRDefault="00807999" w:rsidP="00807999">
      <w:pPr>
        <w:widowControl w:val="0"/>
        <w:tabs>
          <w:tab w:val="left" w:pos="800"/>
        </w:tabs>
        <w:autoSpaceDE w:val="0"/>
        <w:autoSpaceDN w:val="0"/>
        <w:adjustRightInd w:val="0"/>
        <w:spacing w:after="240" w:line="240" w:lineRule="auto"/>
        <w:ind w:left="800" w:hanging="800"/>
      </w:pPr>
      <w:r>
        <w:t>7.</w:t>
      </w:r>
      <w:r>
        <w:tab/>
        <w:t xml:space="preserve">M. S. Mettler, D. G. Vlachos, P. J. Dauenhauer, Top ten fundamental challenges of biomass pyrolysis for biofuels. </w:t>
      </w:r>
      <w:r>
        <w:rPr>
          <w:i/>
          <w:iCs/>
        </w:rPr>
        <w:t>Energy Environ. Sci.</w:t>
      </w:r>
      <w:r>
        <w:t xml:space="preserve"> </w:t>
      </w:r>
      <w:r>
        <w:rPr>
          <w:b/>
          <w:bCs/>
        </w:rPr>
        <w:t>5</w:t>
      </w:r>
      <w:r>
        <w:t>, 7797–13 (2012).</w:t>
      </w:r>
    </w:p>
    <w:p w14:paraId="7E08C2C3" w14:textId="77777777" w:rsidR="00807999" w:rsidRDefault="00807999" w:rsidP="00807999">
      <w:pPr>
        <w:widowControl w:val="0"/>
        <w:tabs>
          <w:tab w:val="left" w:pos="800"/>
        </w:tabs>
        <w:autoSpaceDE w:val="0"/>
        <w:autoSpaceDN w:val="0"/>
        <w:adjustRightInd w:val="0"/>
        <w:spacing w:after="240" w:line="240" w:lineRule="auto"/>
        <w:ind w:left="800" w:hanging="800"/>
      </w:pPr>
      <w:r>
        <w:t>8.</w:t>
      </w:r>
      <w:r>
        <w:tab/>
        <w:t xml:space="preserve">O. Faix, I. Fortmann, J. Bremer, D. Meier, </w:t>
      </w:r>
      <w:r>
        <w:rPr>
          <w:i/>
          <w:iCs/>
        </w:rPr>
        <w:t>Thermal degradation products of wood</w:t>
      </w:r>
      <w:r>
        <w:t xml:space="preserve"> (1991), vol. 49.</w:t>
      </w:r>
    </w:p>
    <w:p w14:paraId="31249D64" w14:textId="77777777" w:rsidR="00807999" w:rsidRDefault="00807999" w:rsidP="00807999">
      <w:pPr>
        <w:widowControl w:val="0"/>
        <w:tabs>
          <w:tab w:val="left" w:pos="800"/>
        </w:tabs>
        <w:autoSpaceDE w:val="0"/>
        <w:autoSpaceDN w:val="0"/>
        <w:adjustRightInd w:val="0"/>
        <w:spacing w:after="240" w:line="240" w:lineRule="auto"/>
        <w:ind w:left="800" w:hanging="800"/>
      </w:pPr>
      <w:r>
        <w:t>9.</w:t>
      </w:r>
      <w:r>
        <w:tab/>
        <w:t xml:space="preserve">O. Faix, I. Fortmann, J. Bremer, D. Meier, Thermal degradation products of wood. </w:t>
      </w:r>
      <w:r>
        <w:rPr>
          <w:i/>
          <w:iCs/>
        </w:rPr>
        <w:t>Holz als Roh-und Werkstoff</w:t>
      </w:r>
      <w:r>
        <w:t xml:space="preserve">. </w:t>
      </w:r>
      <w:r>
        <w:rPr>
          <w:b/>
          <w:bCs/>
        </w:rPr>
        <w:t>49</w:t>
      </w:r>
      <w:r>
        <w:t>, 213–219 (1991).</w:t>
      </w:r>
    </w:p>
    <w:p w14:paraId="64B6C431" w14:textId="77777777" w:rsidR="00807999" w:rsidRDefault="00807999" w:rsidP="00807999">
      <w:pPr>
        <w:widowControl w:val="0"/>
        <w:tabs>
          <w:tab w:val="left" w:pos="800"/>
        </w:tabs>
        <w:autoSpaceDE w:val="0"/>
        <w:autoSpaceDN w:val="0"/>
        <w:adjustRightInd w:val="0"/>
        <w:spacing w:after="240" w:line="240" w:lineRule="auto"/>
        <w:ind w:left="800" w:hanging="800"/>
      </w:pPr>
      <w:r>
        <w:t>10.</w:t>
      </w:r>
      <w:r>
        <w:tab/>
        <w:t xml:space="preserve">A. Oasmaa, S. Czernik, Fuel oil quality of biomass pyrolysis oils state of the art for the end users. </w:t>
      </w:r>
      <w:r>
        <w:rPr>
          <w:i/>
          <w:iCs/>
        </w:rPr>
        <w:t>Energy &amp; Fuels</w:t>
      </w:r>
      <w:r>
        <w:t xml:space="preserve"> (1999), doi:10.1021/ef980272b.</w:t>
      </w:r>
    </w:p>
    <w:p w14:paraId="529174D9" w14:textId="77777777" w:rsidR="00807999" w:rsidRDefault="00807999" w:rsidP="00807999">
      <w:pPr>
        <w:widowControl w:val="0"/>
        <w:tabs>
          <w:tab w:val="left" w:pos="800"/>
        </w:tabs>
        <w:autoSpaceDE w:val="0"/>
        <w:autoSpaceDN w:val="0"/>
        <w:adjustRightInd w:val="0"/>
        <w:spacing w:after="240" w:line="240" w:lineRule="auto"/>
        <w:ind w:left="800" w:hanging="800"/>
      </w:pPr>
      <w:r>
        <w:t>11.</w:t>
      </w:r>
      <w:r>
        <w:tab/>
        <w:t xml:space="preserve">A. Demirbas, Competitive liquid biofuels from biomass. </w:t>
      </w:r>
      <w:r>
        <w:rPr>
          <w:i/>
          <w:iCs/>
        </w:rPr>
        <w:t>APPLIED ENERGY</w:t>
      </w:r>
      <w:r>
        <w:t xml:space="preserve">. </w:t>
      </w:r>
      <w:r>
        <w:rPr>
          <w:b/>
          <w:bCs/>
        </w:rPr>
        <w:t>88</w:t>
      </w:r>
      <w:r>
        <w:t>, 17–28 (2011).</w:t>
      </w:r>
    </w:p>
    <w:p w14:paraId="313C9BFF" w14:textId="77777777" w:rsidR="00807999" w:rsidRDefault="00807999" w:rsidP="00807999">
      <w:pPr>
        <w:widowControl w:val="0"/>
        <w:tabs>
          <w:tab w:val="left" w:pos="800"/>
        </w:tabs>
        <w:autoSpaceDE w:val="0"/>
        <w:autoSpaceDN w:val="0"/>
        <w:adjustRightInd w:val="0"/>
        <w:spacing w:after="240" w:line="240" w:lineRule="auto"/>
        <w:ind w:left="800" w:hanging="800"/>
      </w:pPr>
      <w:r>
        <w:t>12.</w:t>
      </w:r>
      <w:r>
        <w:tab/>
        <w:t xml:space="preserve">P. R. Patwardhan, R. C. Brown, B. H. Shanks, Understanding the Fast Pyrolysis of Lignin. </w:t>
      </w:r>
      <w:r>
        <w:rPr>
          <w:i/>
          <w:iCs/>
        </w:rPr>
        <w:t>ChemSusChem</w:t>
      </w:r>
      <w:r>
        <w:t xml:space="preserve">. </w:t>
      </w:r>
      <w:r>
        <w:rPr>
          <w:b/>
          <w:bCs/>
        </w:rPr>
        <w:t>4</w:t>
      </w:r>
      <w:r>
        <w:t>, 1629–1636 (2011).</w:t>
      </w:r>
    </w:p>
    <w:p w14:paraId="7D396671" w14:textId="77777777" w:rsidR="00807999" w:rsidRDefault="00807999" w:rsidP="00807999">
      <w:pPr>
        <w:widowControl w:val="0"/>
        <w:tabs>
          <w:tab w:val="left" w:pos="800"/>
        </w:tabs>
        <w:autoSpaceDE w:val="0"/>
        <w:autoSpaceDN w:val="0"/>
        <w:adjustRightInd w:val="0"/>
        <w:spacing w:after="240" w:line="240" w:lineRule="auto"/>
        <w:ind w:left="800" w:hanging="800"/>
      </w:pPr>
      <w:r>
        <w:t>13.</w:t>
      </w:r>
      <w:r>
        <w:tab/>
        <w:t>J. P. Diebold, “A review of the chemical and physical mechanisms of the storage stability of fast pyrolysis bio-oils” (1999),, doi:10.2172/753818.</w:t>
      </w:r>
    </w:p>
    <w:p w14:paraId="1E1BF0F8" w14:textId="77777777" w:rsidR="00807999" w:rsidRDefault="00807999" w:rsidP="00807999">
      <w:pPr>
        <w:widowControl w:val="0"/>
        <w:tabs>
          <w:tab w:val="left" w:pos="800"/>
        </w:tabs>
        <w:autoSpaceDE w:val="0"/>
        <w:autoSpaceDN w:val="0"/>
        <w:adjustRightInd w:val="0"/>
        <w:spacing w:after="240" w:line="240" w:lineRule="auto"/>
        <w:ind w:left="800" w:hanging="800"/>
      </w:pPr>
      <w:r>
        <w:t>14.</w:t>
      </w:r>
      <w:r>
        <w:tab/>
        <w:t xml:space="preserve">E. Furimsky, </w:t>
      </w:r>
      <w:r>
        <w:rPr>
          <w:i/>
          <w:iCs/>
        </w:rPr>
        <w:t>Catalytic hydrodeoxygenation</w:t>
      </w:r>
      <w:r>
        <w:t xml:space="preserve"> (2000).</w:t>
      </w:r>
    </w:p>
    <w:p w14:paraId="30F80D92" w14:textId="77777777" w:rsidR="00807999" w:rsidRDefault="00807999" w:rsidP="00807999">
      <w:pPr>
        <w:widowControl w:val="0"/>
        <w:tabs>
          <w:tab w:val="left" w:pos="800"/>
        </w:tabs>
        <w:autoSpaceDE w:val="0"/>
        <w:autoSpaceDN w:val="0"/>
        <w:adjustRightInd w:val="0"/>
        <w:spacing w:after="240" w:line="240" w:lineRule="auto"/>
        <w:ind w:left="800" w:hanging="800"/>
      </w:pPr>
      <w:r>
        <w:t>15.</w:t>
      </w:r>
      <w:r>
        <w:tab/>
        <w:t xml:space="preserve">J. Meng, J. Park, D. Tilotta, S. Park, The effect of torrefaction on the chemistry of fast-pyrolysis bio-oil. </w:t>
      </w:r>
      <w:r>
        <w:rPr>
          <w:i/>
          <w:iCs/>
        </w:rPr>
        <w:t>Bioresource technology</w:t>
      </w:r>
      <w:r>
        <w:t xml:space="preserve">. </w:t>
      </w:r>
      <w:r>
        <w:rPr>
          <w:b/>
          <w:bCs/>
        </w:rPr>
        <w:t>111</w:t>
      </w:r>
      <w:r>
        <w:t>, 439–446 (2012).</w:t>
      </w:r>
    </w:p>
    <w:p w14:paraId="372D6BB6" w14:textId="77777777" w:rsidR="00807999" w:rsidRDefault="00807999" w:rsidP="00807999">
      <w:pPr>
        <w:widowControl w:val="0"/>
        <w:tabs>
          <w:tab w:val="left" w:pos="800"/>
        </w:tabs>
        <w:autoSpaceDE w:val="0"/>
        <w:autoSpaceDN w:val="0"/>
        <w:adjustRightInd w:val="0"/>
        <w:spacing w:after="240" w:line="240" w:lineRule="auto"/>
        <w:ind w:left="800" w:hanging="800"/>
      </w:pPr>
      <w:r>
        <w:lastRenderedPageBreak/>
        <w:t>16.</w:t>
      </w:r>
      <w:r>
        <w:tab/>
        <w:t xml:space="preserve">T. N. Pham, D. Shi, D. E. Resasco, Evaluating strategies for catalytic upgrading of pyrolysis oil in liquid phase. </w:t>
      </w:r>
      <w:r>
        <w:rPr>
          <w:i/>
          <w:iCs/>
        </w:rPr>
        <w:t>Applied Catalysis B: Environmental</w:t>
      </w:r>
      <w:r>
        <w:t xml:space="preserve"> (2014), doi:10.1016/j.apcatb.2013.01.002.</w:t>
      </w:r>
    </w:p>
    <w:p w14:paraId="6489FE81" w14:textId="77777777" w:rsidR="00807999" w:rsidRDefault="00807999" w:rsidP="00807999">
      <w:pPr>
        <w:widowControl w:val="0"/>
        <w:tabs>
          <w:tab w:val="left" w:pos="800"/>
        </w:tabs>
        <w:autoSpaceDE w:val="0"/>
        <w:autoSpaceDN w:val="0"/>
        <w:adjustRightInd w:val="0"/>
        <w:spacing w:after="240" w:line="240" w:lineRule="auto"/>
        <w:ind w:left="800" w:hanging="800"/>
      </w:pPr>
      <w:r>
        <w:t>17.</w:t>
      </w:r>
      <w:r>
        <w:tab/>
        <w:t xml:space="preserve">D. E. Resasco, What Should We Demand from the Catalysts Responsible for Upgrading Biomass Pyrolysis Oil? </w:t>
      </w:r>
      <w:r>
        <w:rPr>
          <w:i/>
          <w:iCs/>
        </w:rPr>
        <w:t>J. Phys. Chem. Lett.</w:t>
      </w:r>
      <w:r>
        <w:t xml:space="preserve"> </w:t>
      </w:r>
      <w:r>
        <w:rPr>
          <w:b/>
          <w:bCs/>
        </w:rPr>
        <w:t>2</w:t>
      </w:r>
      <w:r>
        <w:t>, 2294–2295 (2011).</w:t>
      </w:r>
    </w:p>
    <w:p w14:paraId="1CF58F74" w14:textId="77777777" w:rsidR="00807999" w:rsidRDefault="00807999" w:rsidP="00807999">
      <w:pPr>
        <w:widowControl w:val="0"/>
        <w:tabs>
          <w:tab w:val="left" w:pos="800"/>
        </w:tabs>
        <w:autoSpaceDE w:val="0"/>
        <w:autoSpaceDN w:val="0"/>
        <w:adjustRightInd w:val="0"/>
        <w:spacing w:after="240" w:line="240" w:lineRule="auto"/>
        <w:ind w:left="800" w:hanging="800"/>
      </w:pPr>
      <w:r>
        <w:t>18.</w:t>
      </w:r>
      <w:r>
        <w:tab/>
        <w:t xml:space="preserve">A. V. Bridgwater, Catalysis in thermal biomass conversion. </w:t>
      </w:r>
      <w:r>
        <w:rPr>
          <w:i/>
          <w:iCs/>
        </w:rPr>
        <w:t>Applied Catalysis A: General</w:t>
      </w:r>
      <w:r>
        <w:t xml:space="preserve">. </w:t>
      </w:r>
      <w:r>
        <w:rPr>
          <w:b/>
          <w:bCs/>
        </w:rPr>
        <w:t>116</w:t>
      </w:r>
      <w:r>
        <w:t>, 5–47 (1994).</w:t>
      </w:r>
    </w:p>
    <w:p w14:paraId="138D20E5" w14:textId="77777777" w:rsidR="00807999" w:rsidRDefault="00807999" w:rsidP="00807999">
      <w:pPr>
        <w:widowControl w:val="0"/>
        <w:tabs>
          <w:tab w:val="left" w:pos="800"/>
        </w:tabs>
        <w:autoSpaceDE w:val="0"/>
        <w:autoSpaceDN w:val="0"/>
        <w:adjustRightInd w:val="0"/>
        <w:spacing w:after="240" w:line="240" w:lineRule="auto"/>
        <w:ind w:left="800" w:hanging="800"/>
      </w:pPr>
      <w:r>
        <w:t>19.</w:t>
      </w:r>
      <w:r>
        <w:tab/>
        <w:t xml:space="preserve">T. R. Carlson, T. P. Vispute, G. W. Huber, Green Gasoline by Catalytic Fast Pyrolysis of Solid Biomass Derived Compounds. </w:t>
      </w:r>
      <w:r>
        <w:rPr>
          <w:i/>
          <w:iCs/>
        </w:rPr>
        <w:t>ChemSusChem</w:t>
      </w:r>
      <w:r>
        <w:t xml:space="preserve">. </w:t>
      </w:r>
      <w:r>
        <w:rPr>
          <w:b/>
          <w:bCs/>
        </w:rPr>
        <w:t>1</w:t>
      </w:r>
      <w:r>
        <w:t>, 397–400 (2008).</w:t>
      </w:r>
    </w:p>
    <w:p w14:paraId="2833BD2C" w14:textId="77777777" w:rsidR="00807999" w:rsidRDefault="00807999" w:rsidP="00807999">
      <w:pPr>
        <w:widowControl w:val="0"/>
        <w:tabs>
          <w:tab w:val="left" w:pos="800"/>
        </w:tabs>
        <w:autoSpaceDE w:val="0"/>
        <w:autoSpaceDN w:val="0"/>
        <w:adjustRightInd w:val="0"/>
        <w:spacing w:after="240" w:line="240" w:lineRule="auto"/>
        <w:ind w:left="800" w:hanging="800"/>
      </w:pPr>
      <w:r>
        <w:t>20.</w:t>
      </w:r>
      <w:r>
        <w:tab/>
        <w:t xml:space="preserve">T. R. Carlson, G. A. Tompsett, W. C. Conner, G. W. Huber, Aromatic Production from Catalytic Fast Pyrolysis of Biomass-Derived Feedstocks. </w:t>
      </w:r>
      <w:r>
        <w:rPr>
          <w:i/>
          <w:iCs/>
        </w:rPr>
        <w:t>Top Catal</w:t>
      </w:r>
      <w:r>
        <w:t xml:space="preserve">. </w:t>
      </w:r>
      <w:r>
        <w:rPr>
          <w:b/>
          <w:bCs/>
        </w:rPr>
        <w:t>52</w:t>
      </w:r>
      <w:r>
        <w:t>, 241–252 (2009).</w:t>
      </w:r>
    </w:p>
    <w:p w14:paraId="63ECFB80" w14:textId="77777777" w:rsidR="00807999" w:rsidRDefault="00807999" w:rsidP="00807999">
      <w:pPr>
        <w:widowControl w:val="0"/>
        <w:tabs>
          <w:tab w:val="left" w:pos="800"/>
        </w:tabs>
        <w:autoSpaceDE w:val="0"/>
        <w:autoSpaceDN w:val="0"/>
        <w:adjustRightInd w:val="0"/>
        <w:spacing w:after="240" w:line="240" w:lineRule="auto"/>
        <w:ind w:left="800" w:hanging="800"/>
      </w:pPr>
      <w:r>
        <w:t>21.</w:t>
      </w:r>
      <w:r>
        <w:tab/>
        <w:t xml:space="preserve">S. Wan </w:t>
      </w:r>
      <w:r>
        <w:rPr>
          <w:i/>
          <w:iCs/>
        </w:rPr>
        <w:t>et al.</w:t>
      </w:r>
      <w:r>
        <w:t xml:space="preserve">, Decoupling HZSM-5 Catalyst Activity from Deactivation during Upgrading of Pyrolysis Oil Vapors. </w:t>
      </w:r>
      <w:r>
        <w:rPr>
          <w:i/>
          <w:iCs/>
        </w:rPr>
        <w:t>ChemSusChem</w:t>
      </w:r>
      <w:r>
        <w:t xml:space="preserve">. </w:t>
      </w:r>
      <w:r>
        <w:rPr>
          <w:b/>
          <w:bCs/>
        </w:rPr>
        <w:t>8</w:t>
      </w:r>
      <w:r>
        <w:t>, 552–559 (2014).</w:t>
      </w:r>
    </w:p>
    <w:p w14:paraId="15795863" w14:textId="77777777" w:rsidR="00807999" w:rsidRDefault="00807999" w:rsidP="00807999">
      <w:pPr>
        <w:widowControl w:val="0"/>
        <w:tabs>
          <w:tab w:val="left" w:pos="800"/>
        </w:tabs>
        <w:autoSpaceDE w:val="0"/>
        <w:autoSpaceDN w:val="0"/>
        <w:adjustRightInd w:val="0"/>
        <w:spacing w:after="240" w:line="240" w:lineRule="auto"/>
        <w:ind w:left="800" w:hanging="800"/>
      </w:pPr>
      <w:r>
        <w:t>22.</w:t>
      </w:r>
      <w:r>
        <w:tab/>
        <w:t xml:space="preserve">D. E. Resasco, S. P. Crossley, Implementation of concepts derived from model compound studies in the separation and conversion of bio-oil to fuel. </w:t>
      </w:r>
      <w:r>
        <w:rPr>
          <w:i/>
          <w:iCs/>
        </w:rPr>
        <w:t>Catalysis Today</w:t>
      </w:r>
      <w:r>
        <w:t xml:space="preserve">. </w:t>
      </w:r>
      <w:r>
        <w:rPr>
          <w:b/>
          <w:bCs/>
        </w:rPr>
        <w:t>257</w:t>
      </w:r>
      <w:r>
        <w:t>, 185–199 (2015).</w:t>
      </w:r>
    </w:p>
    <w:p w14:paraId="6B407D3E" w14:textId="77777777" w:rsidR="00807999" w:rsidRDefault="00807999" w:rsidP="00807999">
      <w:pPr>
        <w:widowControl w:val="0"/>
        <w:tabs>
          <w:tab w:val="left" w:pos="800"/>
        </w:tabs>
        <w:autoSpaceDE w:val="0"/>
        <w:autoSpaceDN w:val="0"/>
        <w:adjustRightInd w:val="0"/>
        <w:spacing w:after="240" w:line="240" w:lineRule="auto"/>
        <w:ind w:left="800" w:hanging="800"/>
      </w:pPr>
      <w:r>
        <w:t>23.</w:t>
      </w:r>
      <w:r>
        <w:tab/>
        <w:t xml:space="preserve">V. Srinivasan, S. Adhikari, S. A. Chattanathan, S. Park, Catalytic Pyrolysis of Torrefied Biomass for Hydrocarbons Production. </w:t>
      </w:r>
      <w:r>
        <w:rPr>
          <w:i/>
          <w:iCs/>
        </w:rPr>
        <w:t>Energy &amp; Fuels</w:t>
      </w:r>
      <w:r>
        <w:t xml:space="preserve">. </w:t>
      </w:r>
      <w:r>
        <w:rPr>
          <w:b/>
          <w:bCs/>
        </w:rPr>
        <w:t>26</w:t>
      </w:r>
      <w:r>
        <w:t>, 7347–7353 (2012).</w:t>
      </w:r>
    </w:p>
    <w:p w14:paraId="2411A4F8" w14:textId="77777777" w:rsidR="00807999" w:rsidRDefault="00807999" w:rsidP="00807999">
      <w:pPr>
        <w:widowControl w:val="0"/>
        <w:tabs>
          <w:tab w:val="left" w:pos="800"/>
        </w:tabs>
        <w:autoSpaceDE w:val="0"/>
        <w:autoSpaceDN w:val="0"/>
        <w:adjustRightInd w:val="0"/>
        <w:spacing w:after="240" w:line="240" w:lineRule="auto"/>
        <w:ind w:left="800" w:hanging="800"/>
      </w:pPr>
      <w:r>
        <w:t>24.</w:t>
      </w:r>
      <w:r>
        <w:tab/>
        <w:t xml:space="preserve">P. de Wild, H. Reith, E. Heeres, Biomass pyrolysis for chemicals. </w:t>
      </w:r>
      <w:r>
        <w:rPr>
          <w:i/>
          <w:iCs/>
        </w:rPr>
        <w:t>Biofuels</w:t>
      </w:r>
      <w:r>
        <w:t xml:space="preserve">. </w:t>
      </w:r>
      <w:r>
        <w:rPr>
          <w:b/>
          <w:bCs/>
        </w:rPr>
        <w:t>2</w:t>
      </w:r>
      <w:r>
        <w:t>, 185–208 (2011).</w:t>
      </w:r>
    </w:p>
    <w:p w14:paraId="53F271DE" w14:textId="77777777" w:rsidR="00807999" w:rsidRDefault="00807999" w:rsidP="00807999">
      <w:pPr>
        <w:widowControl w:val="0"/>
        <w:tabs>
          <w:tab w:val="left" w:pos="800"/>
        </w:tabs>
        <w:autoSpaceDE w:val="0"/>
        <w:autoSpaceDN w:val="0"/>
        <w:adjustRightInd w:val="0"/>
        <w:spacing w:after="240" w:line="240" w:lineRule="auto"/>
        <w:ind w:left="800" w:hanging="800"/>
      </w:pPr>
      <w:r>
        <w:t>25.</w:t>
      </w:r>
      <w:r>
        <w:tab/>
        <w:t xml:space="preserve">S. Chang </w:t>
      </w:r>
      <w:r>
        <w:rPr>
          <w:i/>
          <w:iCs/>
        </w:rPr>
        <w:t>et al.</w:t>
      </w:r>
      <w:r>
        <w:t xml:space="preserve">, Effect of torrefaction temperature on product distribution from two-staged pyrolysis of biomass. </w:t>
      </w:r>
      <w:r>
        <w:rPr>
          <w:i/>
          <w:iCs/>
        </w:rPr>
        <w:t>Energy &amp; Fuels</w:t>
      </w:r>
      <w:r>
        <w:t xml:space="preserve"> (2012), doi:10.1021/ef201872y.</w:t>
      </w:r>
    </w:p>
    <w:p w14:paraId="17073F32" w14:textId="77777777" w:rsidR="00807999" w:rsidRDefault="00807999" w:rsidP="00807999">
      <w:pPr>
        <w:widowControl w:val="0"/>
        <w:tabs>
          <w:tab w:val="left" w:pos="800"/>
        </w:tabs>
        <w:autoSpaceDE w:val="0"/>
        <w:autoSpaceDN w:val="0"/>
        <w:adjustRightInd w:val="0"/>
        <w:spacing w:after="240" w:line="240" w:lineRule="auto"/>
        <w:ind w:left="800" w:hanging="800"/>
      </w:pPr>
      <w:r>
        <w:t>26.</w:t>
      </w:r>
      <w:r>
        <w:tab/>
        <w:t xml:space="preserve">A. A. Boateng, C. A. Mullen, Fast pyrolysis of biomass thermally pretreated by torrefaction. </w:t>
      </w:r>
      <w:r>
        <w:rPr>
          <w:i/>
          <w:iCs/>
        </w:rPr>
        <w:t>Journal of Analytical and Applied Pyrolysis</w:t>
      </w:r>
      <w:r>
        <w:t xml:space="preserve"> (2013), doi:10.1016/j.jaap.2012.12.002.</w:t>
      </w:r>
    </w:p>
    <w:p w14:paraId="0C102A13" w14:textId="77777777" w:rsidR="00807999" w:rsidRDefault="00807999" w:rsidP="00807999">
      <w:pPr>
        <w:widowControl w:val="0"/>
        <w:tabs>
          <w:tab w:val="left" w:pos="800"/>
        </w:tabs>
        <w:autoSpaceDE w:val="0"/>
        <w:autoSpaceDN w:val="0"/>
        <w:adjustRightInd w:val="0"/>
        <w:spacing w:after="240" w:line="240" w:lineRule="auto"/>
        <w:ind w:left="800" w:hanging="800"/>
      </w:pPr>
      <w:r>
        <w:t>27.</w:t>
      </w:r>
      <w:r>
        <w:tab/>
        <w:t xml:space="preserve">H. Yang, R. Yan, H. Chen, D. H. Lee, C. Zheng, Characteristics of hemicellulose, cellulose and lignin pyrolysis. </w:t>
      </w:r>
      <w:r>
        <w:rPr>
          <w:i/>
          <w:iCs/>
        </w:rPr>
        <w:t>Fuel</w:t>
      </w:r>
      <w:r>
        <w:t xml:space="preserve">. </w:t>
      </w:r>
      <w:r>
        <w:rPr>
          <w:b/>
          <w:bCs/>
        </w:rPr>
        <w:t>86</w:t>
      </w:r>
      <w:r>
        <w:t>, 1781–1788 (2007).</w:t>
      </w:r>
    </w:p>
    <w:p w14:paraId="632AC443" w14:textId="77777777" w:rsidR="00807999" w:rsidRDefault="00807999" w:rsidP="00807999">
      <w:pPr>
        <w:widowControl w:val="0"/>
        <w:tabs>
          <w:tab w:val="left" w:pos="800"/>
        </w:tabs>
        <w:autoSpaceDE w:val="0"/>
        <w:autoSpaceDN w:val="0"/>
        <w:adjustRightInd w:val="0"/>
        <w:spacing w:after="240" w:line="240" w:lineRule="auto"/>
        <w:ind w:left="800" w:hanging="800"/>
      </w:pPr>
      <w:r>
        <w:t>28.</w:t>
      </w:r>
      <w:r>
        <w:tab/>
        <w:t xml:space="preserve">M. J. Antal Jr., G. Varhegyi, Cellulose Pyrolysis Kinetics: The Current State of Knowledge. </w:t>
      </w:r>
      <w:r>
        <w:rPr>
          <w:i/>
          <w:iCs/>
        </w:rPr>
        <w:t>Ind. Eng. Chem. Res.</w:t>
      </w:r>
      <w:r>
        <w:t xml:space="preserve"> </w:t>
      </w:r>
      <w:r>
        <w:rPr>
          <w:b/>
          <w:bCs/>
        </w:rPr>
        <w:t>34</w:t>
      </w:r>
      <w:r>
        <w:t>, 703–717 (1995).</w:t>
      </w:r>
    </w:p>
    <w:p w14:paraId="7AB8225E" w14:textId="77777777" w:rsidR="00807999" w:rsidRDefault="00807999" w:rsidP="00807999">
      <w:pPr>
        <w:widowControl w:val="0"/>
        <w:tabs>
          <w:tab w:val="left" w:pos="800"/>
        </w:tabs>
        <w:autoSpaceDE w:val="0"/>
        <w:autoSpaceDN w:val="0"/>
        <w:adjustRightInd w:val="0"/>
        <w:spacing w:after="240" w:line="240" w:lineRule="auto"/>
        <w:ind w:left="800" w:hanging="800"/>
      </w:pPr>
      <w:r>
        <w:t>29.</w:t>
      </w:r>
      <w:r>
        <w:tab/>
        <w:t xml:space="preserve">G. Varhegyi, M. J. Antal Jr., E. Jakab, P. Szabó, Kinetic modeling of biomass pyrolysis. </w:t>
      </w:r>
      <w:r>
        <w:rPr>
          <w:i/>
          <w:iCs/>
        </w:rPr>
        <w:t>Journal of Analytical and Applied Pyrolysis</w:t>
      </w:r>
      <w:r>
        <w:t xml:space="preserve">. </w:t>
      </w:r>
      <w:r>
        <w:rPr>
          <w:b/>
          <w:bCs/>
        </w:rPr>
        <w:t>42</w:t>
      </w:r>
      <w:r>
        <w:t>, 73–87 (1997).</w:t>
      </w:r>
    </w:p>
    <w:p w14:paraId="050B5CCC" w14:textId="77777777" w:rsidR="00807999" w:rsidRDefault="00807999" w:rsidP="00807999">
      <w:pPr>
        <w:widowControl w:val="0"/>
        <w:tabs>
          <w:tab w:val="left" w:pos="800"/>
        </w:tabs>
        <w:autoSpaceDE w:val="0"/>
        <w:autoSpaceDN w:val="0"/>
        <w:adjustRightInd w:val="0"/>
        <w:spacing w:after="240" w:line="240" w:lineRule="auto"/>
        <w:ind w:left="800" w:hanging="800"/>
      </w:pPr>
      <w:r>
        <w:lastRenderedPageBreak/>
        <w:t>30.</w:t>
      </w:r>
      <w:r>
        <w:tab/>
        <w:t xml:space="preserve">P. R. Patwardhan, R. C. Brown, B. H. Shanks, Product distribution from the fast pyrolysis of hemicellulose. </w:t>
      </w:r>
      <w:r>
        <w:rPr>
          <w:i/>
          <w:iCs/>
        </w:rPr>
        <w:t>ChemSusChem</w:t>
      </w:r>
      <w:r>
        <w:t xml:space="preserve"> (2011), doi:10.1002/cssc.201000425/full.</w:t>
      </w:r>
    </w:p>
    <w:p w14:paraId="1FF3C046" w14:textId="77777777" w:rsidR="00807999" w:rsidRDefault="00807999" w:rsidP="00807999">
      <w:pPr>
        <w:widowControl w:val="0"/>
        <w:tabs>
          <w:tab w:val="left" w:pos="800"/>
        </w:tabs>
        <w:autoSpaceDE w:val="0"/>
        <w:autoSpaceDN w:val="0"/>
        <w:adjustRightInd w:val="0"/>
        <w:spacing w:after="240" w:line="240" w:lineRule="auto"/>
        <w:ind w:left="800" w:hanging="800"/>
      </w:pPr>
      <w:r>
        <w:t>31.</w:t>
      </w:r>
      <w:r>
        <w:tab/>
        <w:t xml:space="preserve">P. R. Patwardhan, D. L. Dalluge, B. H. Shanks, Distinguishing primary and secondary reactions of cellulose pyrolysis. </w:t>
      </w:r>
      <w:r>
        <w:rPr>
          <w:i/>
          <w:iCs/>
        </w:rPr>
        <w:t>Bioresource technology</w:t>
      </w:r>
      <w:r>
        <w:t xml:space="preserve"> (2011), doi:10.1016/j.biortech.2011.02.018.</w:t>
      </w:r>
    </w:p>
    <w:p w14:paraId="6523FFD0" w14:textId="77777777" w:rsidR="00807999" w:rsidRDefault="00807999" w:rsidP="00807999">
      <w:pPr>
        <w:widowControl w:val="0"/>
        <w:tabs>
          <w:tab w:val="left" w:pos="800"/>
        </w:tabs>
        <w:autoSpaceDE w:val="0"/>
        <w:autoSpaceDN w:val="0"/>
        <w:adjustRightInd w:val="0"/>
        <w:spacing w:after="240" w:line="240" w:lineRule="auto"/>
        <w:ind w:left="800" w:hanging="800"/>
      </w:pPr>
      <w:r>
        <w:t>32.</w:t>
      </w:r>
      <w:r>
        <w:tab/>
        <w:t xml:space="preserve">D. Mohan, C. U. Pittman, P. H. Steele, Pyrolysis of Wood/Biomass for Bio-oil:  A Critical Review. </w:t>
      </w:r>
      <w:r>
        <w:rPr>
          <w:i/>
          <w:iCs/>
        </w:rPr>
        <w:t>Energy &amp; Fuels</w:t>
      </w:r>
      <w:r>
        <w:t xml:space="preserve">. </w:t>
      </w:r>
      <w:r>
        <w:rPr>
          <w:b/>
          <w:bCs/>
        </w:rPr>
        <w:t>20</w:t>
      </w:r>
      <w:r>
        <w:t>, 848–889 (2006).</w:t>
      </w:r>
    </w:p>
    <w:p w14:paraId="3119CC38" w14:textId="77777777" w:rsidR="00807999" w:rsidRDefault="00807999" w:rsidP="00807999">
      <w:pPr>
        <w:widowControl w:val="0"/>
        <w:tabs>
          <w:tab w:val="left" w:pos="800"/>
        </w:tabs>
        <w:autoSpaceDE w:val="0"/>
        <w:autoSpaceDN w:val="0"/>
        <w:adjustRightInd w:val="0"/>
        <w:spacing w:after="240" w:line="240" w:lineRule="auto"/>
        <w:ind w:left="800" w:hanging="800"/>
      </w:pPr>
      <w:r>
        <w:t>33.</w:t>
      </w:r>
      <w:r>
        <w:tab/>
        <w:t xml:space="preserve">P. Tanger, J. L. Field, C. E. Jahn, M. W. DeFoort, J. E. Leach, Biomass for thermochemical conversion: targets and challenges. </w:t>
      </w:r>
      <w:r>
        <w:rPr>
          <w:i/>
          <w:iCs/>
        </w:rPr>
        <w:t>Front. Plant. Sci.</w:t>
      </w:r>
      <w:r>
        <w:t xml:space="preserve"> </w:t>
      </w:r>
      <w:r>
        <w:rPr>
          <w:b/>
          <w:bCs/>
        </w:rPr>
        <w:t>4</w:t>
      </w:r>
      <w:r>
        <w:t xml:space="preserve"> (2013), doi:10.3389/fpls.2013.00218.</w:t>
      </w:r>
    </w:p>
    <w:p w14:paraId="45BC4B46" w14:textId="77777777" w:rsidR="00807999" w:rsidRDefault="00807999" w:rsidP="00807999">
      <w:pPr>
        <w:widowControl w:val="0"/>
        <w:tabs>
          <w:tab w:val="left" w:pos="800"/>
        </w:tabs>
        <w:autoSpaceDE w:val="0"/>
        <w:autoSpaceDN w:val="0"/>
        <w:adjustRightInd w:val="0"/>
        <w:spacing w:after="240" w:line="240" w:lineRule="auto"/>
        <w:ind w:left="800" w:hanging="800"/>
      </w:pPr>
      <w:r>
        <w:t>34.</w:t>
      </w:r>
      <w:r>
        <w:tab/>
        <w:t xml:space="preserve">M. A. ONeill, W. S. York, in </w:t>
      </w:r>
      <w:r>
        <w:rPr>
          <w:i/>
          <w:iCs/>
        </w:rPr>
        <w:t>Annual Plant Reviews</w:t>
      </w:r>
      <w:r>
        <w:t>, J. K. C. Rose, Ed. (John Wiley &amp; Sons, 2009), p. 400.</w:t>
      </w:r>
    </w:p>
    <w:p w14:paraId="63A0887B" w14:textId="77777777" w:rsidR="00807999" w:rsidRDefault="00807999" w:rsidP="00807999">
      <w:pPr>
        <w:widowControl w:val="0"/>
        <w:tabs>
          <w:tab w:val="left" w:pos="800"/>
        </w:tabs>
        <w:autoSpaceDE w:val="0"/>
        <w:autoSpaceDN w:val="0"/>
        <w:adjustRightInd w:val="0"/>
        <w:spacing w:after="240" w:line="240" w:lineRule="auto"/>
        <w:ind w:left="800" w:hanging="800"/>
      </w:pPr>
      <w:r>
        <w:t>35.</w:t>
      </w:r>
      <w:r>
        <w:tab/>
        <w:t xml:space="preserve">K. P. Vogel </w:t>
      </w:r>
      <w:r>
        <w:rPr>
          <w:i/>
          <w:iCs/>
        </w:rPr>
        <w:t>et al.</w:t>
      </w:r>
      <w:r>
        <w:t xml:space="preserve">, Quantifying Actual and Theoretical Ethanol Yields for Switchgrass Strains Using NIRS Analyses. </w:t>
      </w:r>
      <w:r>
        <w:rPr>
          <w:i/>
          <w:iCs/>
        </w:rPr>
        <w:t>Bioenerg. Res.</w:t>
      </w:r>
      <w:r>
        <w:t xml:space="preserve"> </w:t>
      </w:r>
      <w:r>
        <w:rPr>
          <w:b/>
          <w:bCs/>
        </w:rPr>
        <w:t>4</w:t>
      </w:r>
      <w:r>
        <w:t>, 96–110 (2011).</w:t>
      </w:r>
    </w:p>
    <w:p w14:paraId="20A0BE89" w14:textId="77777777" w:rsidR="00807999" w:rsidRDefault="00807999" w:rsidP="00807999">
      <w:pPr>
        <w:widowControl w:val="0"/>
        <w:tabs>
          <w:tab w:val="left" w:pos="800"/>
        </w:tabs>
        <w:autoSpaceDE w:val="0"/>
        <w:autoSpaceDN w:val="0"/>
        <w:adjustRightInd w:val="0"/>
        <w:spacing w:after="240" w:line="240" w:lineRule="auto"/>
        <w:ind w:left="800" w:hanging="800"/>
      </w:pPr>
      <w:r>
        <w:t>36.</w:t>
      </w:r>
      <w:r>
        <w:tab/>
        <w:t xml:space="preserve">P. R. Adler, M. A. Sanderson, A. A. Boateng, P. I. Weimer, H. J. G. Jung, Biomass yield and biofuel quality of switchgrass harvested in fall or spring. </w:t>
      </w:r>
      <w:r>
        <w:rPr>
          <w:i/>
          <w:iCs/>
        </w:rPr>
        <w:t>Agron J</w:t>
      </w:r>
      <w:r>
        <w:t xml:space="preserve">. </w:t>
      </w:r>
      <w:r>
        <w:rPr>
          <w:b/>
          <w:bCs/>
        </w:rPr>
        <w:t>98</w:t>
      </w:r>
      <w:r>
        <w:t>, 1518–1525 (2006).</w:t>
      </w:r>
    </w:p>
    <w:p w14:paraId="51BA5E2B" w14:textId="77777777" w:rsidR="00807999" w:rsidRDefault="00807999" w:rsidP="00807999">
      <w:pPr>
        <w:widowControl w:val="0"/>
        <w:tabs>
          <w:tab w:val="left" w:pos="800"/>
        </w:tabs>
        <w:autoSpaceDE w:val="0"/>
        <w:autoSpaceDN w:val="0"/>
        <w:adjustRightInd w:val="0"/>
        <w:spacing w:after="240" w:line="240" w:lineRule="auto"/>
        <w:ind w:left="800" w:hanging="800"/>
      </w:pPr>
      <w:r>
        <w:t>37.</w:t>
      </w:r>
      <w:r>
        <w:tab/>
        <w:t xml:space="preserve">H. M. El-Nashaar, G. M. Banowetz, S. M. Griffith, M. D. Casler, K. P. Vogel, Genotypic variability in mineral composition of switchgrass. </w:t>
      </w:r>
      <w:r>
        <w:rPr>
          <w:i/>
          <w:iCs/>
        </w:rPr>
        <w:t>Bioresource technology</w:t>
      </w:r>
      <w:r>
        <w:t xml:space="preserve">. </w:t>
      </w:r>
      <w:r>
        <w:rPr>
          <w:b/>
          <w:bCs/>
        </w:rPr>
        <w:t>100</w:t>
      </w:r>
      <w:r>
        <w:t>, 1809–1814 (2009).</w:t>
      </w:r>
    </w:p>
    <w:p w14:paraId="75BB6DA3" w14:textId="77777777" w:rsidR="00807999" w:rsidRDefault="00807999" w:rsidP="00807999">
      <w:pPr>
        <w:widowControl w:val="0"/>
        <w:tabs>
          <w:tab w:val="left" w:pos="800"/>
        </w:tabs>
        <w:autoSpaceDE w:val="0"/>
        <w:autoSpaceDN w:val="0"/>
        <w:adjustRightInd w:val="0"/>
        <w:spacing w:after="240" w:line="240" w:lineRule="auto"/>
        <w:ind w:left="800" w:hanging="800"/>
      </w:pPr>
      <w:r>
        <w:t>38.</w:t>
      </w:r>
      <w:r>
        <w:tab/>
        <w:t xml:space="preserve">M. P. Singh </w:t>
      </w:r>
      <w:r>
        <w:rPr>
          <w:i/>
          <w:iCs/>
        </w:rPr>
        <w:t>et al.</w:t>
      </w:r>
      <w:r>
        <w:t xml:space="preserve">, Mineral composition and biomass partitioning of sweet sorghum grown for bioenergy in the southeastern USA. </w:t>
      </w:r>
      <w:r>
        <w:rPr>
          <w:i/>
          <w:iCs/>
        </w:rPr>
        <w:t>Biomass and Bioenergy</w:t>
      </w:r>
      <w:r>
        <w:t xml:space="preserve">. </w:t>
      </w:r>
      <w:r>
        <w:rPr>
          <w:b/>
          <w:bCs/>
        </w:rPr>
        <w:t>47</w:t>
      </w:r>
      <w:r>
        <w:t>, 1–8 (2012).</w:t>
      </w:r>
    </w:p>
    <w:p w14:paraId="3269F423" w14:textId="77777777" w:rsidR="00807999" w:rsidRDefault="00807999" w:rsidP="00807999">
      <w:pPr>
        <w:widowControl w:val="0"/>
        <w:tabs>
          <w:tab w:val="left" w:pos="800"/>
        </w:tabs>
        <w:autoSpaceDE w:val="0"/>
        <w:autoSpaceDN w:val="0"/>
        <w:adjustRightInd w:val="0"/>
        <w:spacing w:after="240" w:line="240" w:lineRule="auto"/>
        <w:ind w:left="800" w:hanging="800"/>
      </w:pPr>
      <w:r>
        <w:t>39.</w:t>
      </w:r>
      <w:r>
        <w:tab/>
        <w:t xml:space="preserve">Y. L. Zhao, Y. Steinberger, M. Shi, Han, L. P., G. H. Xie, Changes in stem composition and harvested produce of sweet sorghum during the period from maturity to a sequence of delayed harvest dates. </w:t>
      </w:r>
      <w:r>
        <w:rPr>
          <w:i/>
          <w:iCs/>
        </w:rPr>
        <w:t>Biomass and Bioenergy</w:t>
      </w:r>
      <w:r>
        <w:t xml:space="preserve">. </w:t>
      </w:r>
      <w:r>
        <w:rPr>
          <w:b/>
          <w:bCs/>
        </w:rPr>
        <w:t>39</w:t>
      </w:r>
      <w:r>
        <w:t>, 261–273 (2012).</w:t>
      </w:r>
    </w:p>
    <w:p w14:paraId="25C7A82D" w14:textId="77777777" w:rsidR="00807999" w:rsidRDefault="00807999" w:rsidP="00807999">
      <w:pPr>
        <w:widowControl w:val="0"/>
        <w:tabs>
          <w:tab w:val="left" w:pos="800"/>
        </w:tabs>
        <w:autoSpaceDE w:val="0"/>
        <w:autoSpaceDN w:val="0"/>
        <w:adjustRightInd w:val="0"/>
        <w:spacing w:after="240" w:line="240" w:lineRule="auto"/>
        <w:ind w:left="800" w:hanging="800"/>
      </w:pPr>
      <w:r>
        <w:t>40.</w:t>
      </w:r>
      <w:r>
        <w:tab/>
        <w:t xml:space="preserve">M. Pauly, K. Keegstra, Cell-wall carbohydrates and their modification as a resource for biofuels. </w:t>
      </w:r>
      <w:r>
        <w:rPr>
          <w:i/>
          <w:iCs/>
        </w:rPr>
        <w:t>Plant J</w:t>
      </w:r>
      <w:r>
        <w:t xml:space="preserve">. </w:t>
      </w:r>
      <w:r>
        <w:rPr>
          <w:b/>
          <w:bCs/>
        </w:rPr>
        <w:t>54</w:t>
      </w:r>
      <w:r>
        <w:t>, 559–568 (2008).</w:t>
      </w:r>
    </w:p>
    <w:p w14:paraId="778B886E" w14:textId="77777777" w:rsidR="00807999" w:rsidRDefault="00807999" w:rsidP="00807999">
      <w:pPr>
        <w:widowControl w:val="0"/>
        <w:tabs>
          <w:tab w:val="left" w:pos="800"/>
        </w:tabs>
        <w:autoSpaceDE w:val="0"/>
        <w:autoSpaceDN w:val="0"/>
        <w:adjustRightInd w:val="0"/>
        <w:spacing w:after="240" w:line="240" w:lineRule="auto"/>
        <w:ind w:left="800" w:hanging="800"/>
      </w:pPr>
      <w:r>
        <w:t>41.</w:t>
      </w:r>
      <w:r>
        <w:tab/>
        <w:t xml:space="preserve">H. V. Scheller, P. Ulvskov, Hemicelluloses. </w:t>
      </w:r>
      <w:r>
        <w:rPr>
          <w:i/>
          <w:iCs/>
        </w:rPr>
        <w:t>Annu Rev Plant Biol</w:t>
      </w:r>
      <w:r>
        <w:t xml:space="preserve">. </w:t>
      </w:r>
      <w:r>
        <w:rPr>
          <w:b/>
          <w:bCs/>
        </w:rPr>
        <w:t>61</w:t>
      </w:r>
      <w:r>
        <w:t>, 263–289 (2010).</w:t>
      </w:r>
    </w:p>
    <w:p w14:paraId="3EFDEC1B" w14:textId="77777777" w:rsidR="00807999" w:rsidRDefault="00807999" w:rsidP="00807999">
      <w:pPr>
        <w:widowControl w:val="0"/>
        <w:tabs>
          <w:tab w:val="left" w:pos="800"/>
        </w:tabs>
        <w:autoSpaceDE w:val="0"/>
        <w:autoSpaceDN w:val="0"/>
        <w:adjustRightInd w:val="0"/>
        <w:spacing w:after="240" w:line="240" w:lineRule="auto"/>
        <w:ind w:left="800" w:hanging="800"/>
      </w:pPr>
      <w:r>
        <w:t>42.</w:t>
      </w:r>
      <w:r>
        <w:tab/>
        <w:t xml:space="preserve">M. E. Vega-Sánchez </w:t>
      </w:r>
      <w:r>
        <w:rPr>
          <w:i/>
          <w:iCs/>
        </w:rPr>
        <w:t>et al.</w:t>
      </w:r>
      <w:r>
        <w:t xml:space="preserve">, Loss of Cellulose Synthase-Like F6 Function Affects Mixed-Linkage Glucan Deposition, Cell Wall Mechanical Properties, and Defense Responses in Vegetative Tissues of Rice. </w:t>
      </w:r>
      <w:r>
        <w:rPr>
          <w:i/>
          <w:iCs/>
        </w:rPr>
        <w:t>Plant Physiol.</w:t>
      </w:r>
      <w:r>
        <w:t xml:space="preserve"> </w:t>
      </w:r>
      <w:r>
        <w:rPr>
          <w:b/>
          <w:bCs/>
        </w:rPr>
        <w:t>159</w:t>
      </w:r>
      <w:r>
        <w:t>, 56–69 (2012).</w:t>
      </w:r>
    </w:p>
    <w:p w14:paraId="2E57A34C" w14:textId="77777777" w:rsidR="00807999" w:rsidRDefault="00807999" w:rsidP="00807999">
      <w:pPr>
        <w:widowControl w:val="0"/>
        <w:tabs>
          <w:tab w:val="left" w:pos="800"/>
        </w:tabs>
        <w:autoSpaceDE w:val="0"/>
        <w:autoSpaceDN w:val="0"/>
        <w:adjustRightInd w:val="0"/>
        <w:spacing w:after="240" w:line="240" w:lineRule="auto"/>
        <w:ind w:left="800" w:hanging="800"/>
      </w:pPr>
      <w:r>
        <w:lastRenderedPageBreak/>
        <w:t>43.</w:t>
      </w:r>
      <w:r>
        <w:tab/>
        <w:t xml:space="preserve">J. Vogel, Unique aspects of the grass cell wall. </w:t>
      </w:r>
      <w:r>
        <w:rPr>
          <w:i/>
          <w:iCs/>
        </w:rPr>
        <w:t>Current Opinion in Plant Biology</w:t>
      </w:r>
      <w:r>
        <w:t xml:space="preserve">. </w:t>
      </w:r>
      <w:r>
        <w:rPr>
          <w:b/>
          <w:bCs/>
        </w:rPr>
        <w:t>11</w:t>
      </w:r>
      <w:r>
        <w:t>, 301–307 (2008).</w:t>
      </w:r>
    </w:p>
    <w:p w14:paraId="73206C21" w14:textId="77777777" w:rsidR="00807999" w:rsidRDefault="00807999" w:rsidP="00807999">
      <w:pPr>
        <w:widowControl w:val="0"/>
        <w:tabs>
          <w:tab w:val="left" w:pos="800"/>
        </w:tabs>
        <w:autoSpaceDE w:val="0"/>
        <w:autoSpaceDN w:val="0"/>
        <w:adjustRightInd w:val="0"/>
        <w:spacing w:after="240" w:line="240" w:lineRule="auto"/>
        <w:ind w:left="800" w:hanging="800"/>
      </w:pPr>
      <w:r>
        <w:t>44.</w:t>
      </w:r>
      <w:r>
        <w:tab/>
        <w:t xml:space="preserve">P. McKendry, Energy production from biomass (part 1): overview of biomass. </w:t>
      </w:r>
      <w:r>
        <w:rPr>
          <w:i/>
          <w:iCs/>
        </w:rPr>
        <w:t>Bioresource technology</w:t>
      </w:r>
      <w:r>
        <w:t xml:space="preserve">. </w:t>
      </w:r>
      <w:r>
        <w:rPr>
          <w:b/>
          <w:bCs/>
        </w:rPr>
        <w:t>83</w:t>
      </w:r>
      <w:r>
        <w:t>, 37–46 (2002).</w:t>
      </w:r>
    </w:p>
    <w:p w14:paraId="3DE11FCE" w14:textId="77777777" w:rsidR="00807999" w:rsidRDefault="00807999" w:rsidP="00807999">
      <w:pPr>
        <w:widowControl w:val="0"/>
        <w:tabs>
          <w:tab w:val="left" w:pos="800"/>
        </w:tabs>
        <w:autoSpaceDE w:val="0"/>
        <w:autoSpaceDN w:val="0"/>
        <w:adjustRightInd w:val="0"/>
        <w:spacing w:after="240" w:line="240" w:lineRule="auto"/>
        <w:ind w:left="800" w:hanging="800"/>
      </w:pPr>
      <w:r>
        <w:t>45.</w:t>
      </w:r>
      <w:r>
        <w:tab/>
        <w:t xml:space="preserve">C. Somerville, Cellulose Synthesis in Higher Plants. </w:t>
      </w:r>
      <w:r>
        <w:rPr>
          <w:i/>
          <w:iCs/>
        </w:rPr>
        <w:t>Annu. Rev. Cell Dev. Biol.</w:t>
      </w:r>
      <w:r>
        <w:t xml:space="preserve"> </w:t>
      </w:r>
      <w:r>
        <w:rPr>
          <w:b/>
          <w:bCs/>
        </w:rPr>
        <w:t>22</w:t>
      </w:r>
      <w:r>
        <w:t>, 53–78 (2006).</w:t>
      </w:r>
    </w:p>
    <w:p w14:paraId="008DF862" w14:textId="77777777" w:rsidR="00807999" w:rsidRDefault="00807999" w:rsidP="00807999">
      <w:pPr>
        <w:widowControl w:val="0"/>
        <w:tabs>
          <w:tab w:val="left" w:pos="800"/>
        </w:tabs>
        <w:autoSpaceDE w:val="0"/>
        <w:autoSpaceDN w:val="0"/>
        <w:adjustRightInd w:val="0"/>
        <w:spacing w:after="240" w:line="240" w:lineRule="auto"/>
        <w:ind w:left="800" w:hanging="800"/>
      </w:pPr>
      <w:r>
        <w:t>46.</w:t>
      </w:r>
      <w:r>
        <w:tab/>
        <w:t xml:space="preserve">R. H. Newman, S. J. Hill, P. J. Harris, Wide-Angle X-Ray Scattering and Solid-State Nuclear Magnetic Resonance Data Combined to Test Models for Cellulose Microfibrils in Mung Bean Cell Walls. </w:t>
      </w:r>
      <w:r>
        <w:rPr>
          <w:i/>
          <w:iCs/>
        </w:rPr>
        <w:t>Plant Physiol.</w:t>
      </w:r>
      <w:r>
        <w:t xml:space="preserve"> </w:t>
      </w:r>
      <w:r>
        <w:rPr>
          <w:b/>
          <w:bCs/>
        </w:rPr>
        <w:t>163</w:t>
      </w:r>
      <w:r>
        <w:t>, 1558–1567 (2013).</w:t>
      </w:r>
    </w:p>
    <w:p w14:paraId="617E7335" w14:textId="77777777" w:rsidR="00807999" w:rsidRDefault="00807999" w:rsidP="00807999">
      <w:pPr>
        <w:widowControl w:val="0"/>
        <w:tabs>
          <w:tab w:val="left" w:pos="800"/>
        </w:tabs>
        <w:autoSpaceDE w:val="0"/>
        <w:autoSpaceDN w:val="0"/>
        <w:adjustRightInd w:val="0"/>
        <w:spacing w:after="240" w:line="240" w:lineRule="auto"/>
        <w:ind w:left="800" w:hanging="800"/>
      </w:pPr>
      <w:r>
        <w:t>47.</w:t>
      </w:r>
      <w:r>
        <w:tab/>
        <w:t xml:space="preserve">F. Shafizadeh, G. D. McGinnis, C. W. Philpot, Thermal degradation of xylan and related model compounds. </w:t>
      </w:r>
      <w:r>
        <w:rPr>
          <w:i/>
          <w:iCs/>
        </w:rPr>
        <w:t>Carbohyd Res</w:t>
      </w:r>
      <w:r>
        <w:t xml:space="preserve">. </w:t>
      </w:r>
      <w:r>
        <w:rPr>
          <w:b/>
          <w:bCs/>
        </w:rPr>
        <w:t>25</w:t>
      </w:r>
      <w:r>
        <w:t>, 23–33 (1972).</w:t>
      </w:r>
    </w:p>
    <w:p w14:paraId="4B16AD84" w14:textId="77777777" w:rsidR="00807999" w:rsidRDefault="00807999" w:rsidP="00807999">
      <w:pPr>
        <w:widowControl w:val="0"/>
        <w:tabs>
          <w:tab w:val="left" w:pos="800"/>
        </w:tabs>
        <w:autoSpaceDE w:val="0"/>
        <w:autoSpaceDN w:val="0"/>
        <w:adjustRightInd w:val="0"/>
        <w:spacing w:after="240" w:line="240" w:lineRule="auto"/>
        <w:ind w:left="800" w:hanging="800"/>
      </w:pPr>
      <w:r>
        <w:t>48.</w:t>
      </w:r>
      <w:r>
        <w:tab/>
        <w:t xml:space="preserve">O. D. Mante, S. P. Babu, T. E. Amidon, A comprehensive study on relating cell-wall components of lignocellulosic biomass to oxygenated species formed during pyrolysis. </w:t>
      </w:r>
      <w:r>
        <w:rPr>
          <w:i/>
          <w:iCs/>
        </w:rPr>
        <w:t>Journal of Analytical and Applied Pyrolysis</w:t>
      </w:r>
      <w:r>
        <w:t xml:space="preserve">. </w:t>
      </w:r>
      <w:r>
        <w:rPr>
          <w:b/>
          <w:bCs/>
        </w:rPr>
        <w:t>108</w:t>
      </w:r>
      <w:r>
        <w:t>, 56–67 (2014).</w:t>
      </w:r>
    </w:p>
    <w:p w14:paraId="400B9086" w14:textId="77777777" w:rsidR="00807999" w:rsidRDefault="00807999" w:rsidP="00807999">
      <w:pPr>
        <w:widowControl w:val="0"/>
        <w:tabs>
          <w:tab w:val="left" w:pos="800"/>
        </w:tabs>
        <w:autoSpaceDE w:val="0"/>
        <w:autoSpaceDN w:val="0"/>
        <w:adjustRightInd w:val="0"/>
        <w:spacing w:after="240" w:line="240" w:lineRule="auto"/>
        <w:ind w:left="800" w:hanging="800"/>
      </w:pPr>
      <w:r>
        <w:t>49.</w:t>
      </w:r>
      <w:r>
        <w:tab/>
        <w:t xml:space="preserve">M. E. Vega-Sánchez, Y. Verhertbruggen, H. V. Scheller, P. C. Ronald, Abundance of mixed linkage glucan in mature tissues and secondary cell walls of grasses. </w:t>
      </w:r>
      <w:r>
        <w:rPr>
          <w:i/>
          <w:iCs/>
        </w:rPr>
        <w:t>Plant signaling &amp; behavior</w:t>
      </w:r>
      <w:r>
        <w:t xml:space="preserve">. </w:t>
      </w:r>
      <w:r>
        <w:rPr>
          <w:b/>
          <w:bCs/>
        </w:rPr>
        <w:t>8</w:t>
      </w:r>
      <w:r>
        <w:t>, e23143 (2013).</w:t>
      </w:r>
    </w:p>
    <w:p w14:paraId="16B429EB" w14:textId="77777777" w:rsidR="00807999" w:rsidRDefault="00807999" w:rsidP="00807999">
      <w:pPr>
        <w:widowControl w:val="0"/>
        <w:tabs>
          <w:tab w:val="left" w:pos="800"/>
        </w:tabs>
        <w:autoSpaceDE w:val="0"/>
        <w:autoSpaceDN w:val="0"/>
        <w:adjustRightInd w:val="0"/>
        <w:spacing w:after="240" w:line="240" w:lineRule="auto"/>
        <w:ind w:left="800" w:hanging="800"/>
      </w:pPr>
      <w:r>
        <w:t>50.</w:t>
      </w:r>
      <w:r>
        <w:tab/>
        <w:t xml:space="preserve">M. D. C. Rodriguez-Gacio, R. Iglesias-Fernandez, P. Carbonero, A. J. Matilla, Softening-up mannan-rich cell walls. </w:t>
      </w:r>
      <w:r>
        <w:rPr>
          <w:i/>
          <w:iCs/>
        </w:rPr>
        <w:t>J Exp Bot</w:t>
      </w:r>
      <w:r>
        <w:t xml:space="preserve">. </w:t>
      </w:r>
      <w:r>
        <w:rPr>
          <w:b/>
          <w:bCs/>
        </w:rPr>
        <w:t>63</w:t>
      </w:r>
      <w:r>
        <w:t>, 3975–3988 (2012).</w:t>
      </w:r>
    </w:p>
    <w:p w14:paraId="18B8C98E" w14:textId="77777777" w:rsidR="00807999" w:rsidRDefault="00807999" w:rsidP="00807999">
      <w:pPr>
        <w:widowControl w:val="0"/>
        <w:tabs>
          <w:tab w:val="left" w:pos="800"/>
        </w:tabs>
        <w:autoSpaceDE w:val="0"/>
        <w:autoSpaceDN w:val="0"/>
        <w:adjustRightInd w:val="0"/>
        <w:spacing w:after="240" w:line="240" w:lineRule="auto"/>
        <w:ind w:left="800" w:hanging="800"/>
      </w:pPr>
      <w:r>
        <w:t>51.</w:t>
      </w:r>
      <w:r>
        <w:tab/>
        <w:t xml:space="preserve">M. Pauly </w:t>
      </w:r>
      <w:r>
        <w:rPr>
          <w:i/>
          <w:iCs/>
        </w:rPr>
        <w:t>et al.</w:t>
      </w:r>
      <w:r>
        <w:t xml:space="preserve">, Hemicellulose biosynthesis. </w:t>
      </w:r>
      <w:r>
        <w:rPr>
          <w:i/>
          <w:iCs/>
        </w:rPr>
        <w:t>Planta</w:t>
      </w:r>
      <w:r>
        <w:t xml:space="preserve">. </w:t>
      </w:r>
      <w:r>
        <w:rPr>
          <w:b/>
          <w:bCs/>
        </w:rPr>
        <w:t>238</w:t>
      </w:r>
      <w:r>
        <w:t>, 627–642 (2013).</w:t>
      </w:r>
    </w:p>
    <w:p w14:paraId="0419145F" w14:textId="77777777" w:rsidR="00807999" w:rsidRDefault="00807999" w:rsidP="00807999">
      <w:pPr>
        <w:widowControl w:val="0"/>
        <w:tabs>
          <w:tab w:val="left" w:pos="800"/>
        </w:tabs>
        <w:autoSpaceDE w:val="0"/>
        <w:autoSpaceDN w:val="0"/>
        <w:adjustRightInd w:val="0"/>
        <w:spacing w:after="240" w:line="240" w:lineRule="auto"/>
        <w:ind w:left="800" w:hanging="800"/>
      </w:pPr>
      <w:r>
        <w:t>52.</w:t>
      </w:r>
      <w:r>
        <w:tab/>
        <w:t xml:space="preserve">F. Chen, Y. Tobimatsu, D. Havkin-Frenkel, R. A. Dixon, J. Ralph, A polymer of caffeyl alcohol in plant seeds. </w:t>
      </w:r>
      <w:r>
        <w:rPr>
          <w:i/>
          <w:iCs/>
        </w:rPr>
        <w:t>Proc. Natl. Acad. Sci. U.S.A.</w:t>
      </w:r>
      <w:r>
        <w:t xml:space="preserve"> </w:t>
      </w:r>
      <w:r>
        <w:rPr>
          <w:b/>
          <w:bCs/>
        </w:rPr>
        <w:t>109</w:t>
      </w:r>
      <w:r>
        <w:t>, 1772–1777 (2012).</w:t>
      </w:r>
    </w:p>
    <w:p w14:paraId="512F3470" w14:textId="77777777" w:rsidR="00807999" w:rsidRDefault="00807999" w:rsidP="00807999">
      <w:pPr>
        <w:widowControl w:val="0"/>
        <w:tabs>
          <w:tab w:val="left" w:pos="800"/>
        </w:tabs>
        <w:autoSpaceDE w:val="0"/>
        <w:autoSpaceDN w:val="0"/>
        <w:adjustRightInd w:val="0"/>
        <w:spacing w:after="240" w:line="240" w:lineRule="auto"/>
        <w:ind w:left="800" w:hanging="800"/>
      </w:pPr>
      <w:r>
        <w:t>53.</w:t>
      </w:r>
      <w:r>
        <w:tab/>
        <w:t xml:space="preserve">F. Chen </w:t>
      </w:r>
      <w:r>
        <w:rPr>
          <w:i/>
          <w:iCs/>
        </w:rPr>
        <w:t>et al.</w:t>
      </w:r>
      <w:r>
        <w:t xml:space="preserve">, Novel seed coat lignins in the Cactaceae: structure, distribution and implications for the evolution of lignin diversity. </w:t>
      </w:r>
      <w:r>
        <w:rPr>
          <w:i/>
          <w:iCs/>
        </w:rPr>
        <w:t>The Plant Journal</w:t>
      </w:r>
      <w:r>
        <w:t xml:space="preserve">. </w:t>
      </w:r>
      <w:r>
        <w:rPr>
          <w:b/>
          <w:bCs/>
        </w:rPr>
        <w:t>73</w:t>
      </w:r>
      <w:r>
        <w:t>, 201–211 (2013).</w:t>
      </w:r>
    </w:p>
    <w:p w14:paraId="1AFB81CF" w14:textId="77777777" w:rsidR="00807999" w:rsidRDefault="00807999" w:rsidP="00807999">
      <w:pPr>
        <w:widowControl w:val="0"/>
        <w:tabs>
          <w:tab w:val="left" w:pos="800"/>
        </w:tabs>
        <w:autoSpaceDE w:val="0"/>
        <w:autoSpaceDN w:val="0"/>
        <w:adjustRightInd w:val="0"/>
        <w:spacing w:after="240" w:line="240" w:lineRule="auto"/>
        <w:ind w:left="800" w:hanging="800"/>
      </w:pPr>
      <w:r>
        <w:t>54.</w:t>
      </w:r>
      <w:r>
        <w:tab/>
        <w:t xml:space="preserve">H. Kawamoto, S. Horigoshi, S. Saka, Pyrolysis reactions of various lignin model dimers. </w:t>
      </w:r>
      <w:r>
        <w:rPr>
          <w:i/>
          <w:iCs/>
        </w:rPr>
        <w:t>Journal of Wood Science</w:t>
      </w:r>
      <w:r>
        <w:t xml:space="preserve">. </w:t>
      </w:r>
      <w:r>
        <w:rPr>
          <w:b/>
          <w:bCs/>
        </w:rPr>
        <w:t>53</w:t>
      </w:r>
      <w:r>
        <w:t>, 168–174 (2007).</w:t>
      </w:r>
    </w:p>
    <w:p w14:paraId="3DAFA2DD" w14:textId="77777777" w:rsidR="00807999" w:rsidRDefault="00807999" w:rsidP="00807999">
      <w:pPr>
        <w:widowControl w:val="0"/>
        <w:tabs>
          <w:tab w:val="left" w:pos="800"/>
        </w:tabs>
        <w:autoSpaceDE w:val="0"/>
        <w:autoSpaceDN w:val="0"/>
        <w:adjustRightInd w:val="0"/>
        <w:spacing w:after="240" w:line="240" w:lineRule="auto"/>
        <w:ind w:left="800" w:hanging="800"/>
      </w:pPr>
      <w:r>
        <w:t>55.</w:t>
      </w:r>
      <w:r>
        <w:tab/>
        <w:t xml:space="preserve">W. Boerjan, J. Ralph, M. Baucher, Lignin biosynthesis. </w:t>
      </w:r>
      <w:r>
        <w:rPr>
          <w:i/>
          <w:iCs/>
        </w:rPr>
        <w:t>Annu Rev Plant Biol</w:t>
      </w:r>
      <w:r>
        <w:t xml:space="preserve">. </w:t>
      </w:r>
      <w:r>
        <w:rPr>
          <w:b/>
          <w:bCs/>
        </w:rPr>
        <w:t>54</w:t>
      </w:r>
      <w:r>
        <w:t>, 519–546 (2003).</w:t>
      </w:r>
    </w:p>
    <w:p w14:paraId="1607C8C3" w14:textId="77777777" w:rsidR="00807999" w:rsidRDefault="00807999" w:rsidP="00807999">
      <w:pPr>
        <w:widowControl w:val="0"/>
        <w:tabs>
          <w:tab w:val="left" w:pos="800"/>
        </w:tabs>
        <w:autoSpaceDE w:val="0"/>
        <w:autoSpaceDN w:val="0"/>
        <w:adjustRightInd w:val="0"/>
        <w:spacing w:after="240" w:line="240" w:lineRule="auto"/>
        <w:ind w:left="800" w:hanging="800"/>
      </w:pPr>
      <w:r>
        <w:t>56.</w:t>
      </w:r>
      <w:r>
        <w:tab/>
        <w:t xml:space="preserve">D. L. Petrik </w:t>
      </w:r>
      <w:r>
        <w:rPr>
          <w:i/>
          <w:iCs/>
        </w:rPr>
        <w:t>et al.</w:t>
      </w:r>
      <w:r>
        <w:t xml:space="preserve">, p-Coumaroyl-CoA:monolignol transferase (PMT) acts specifically in the lignin biosynthetic pathway in Brachypodium distachyon. </w:t>
      </w:r>
      <w:r>
        <w:rPr>
          <w:i/>
          <w:iCs/>
        </w:rPr>
        <w:t>Plant J</w:t>
      </w:r>
      <w:r>
        <w:t xml:space="preserve">. </w:t>
      </w:r>
      <w:r>
        <w:rPr>
          <w:b/>
          <w:bCs/>
        </w:rPr>
        <w:t>77</w:t>
      </w:r>
      <w:r>
        <w:t>, 713–726 (2014).</w:t>
      </w:r>
    </w:p>
    <w:p w14:paraId="43AD9776" w14:textId="77777777" w:rsidR="00807999" w:rsidRDefault="00807999" w:rsidP="00807999">
      <w:pPr>
        <w:widowControl w:val="0"/>
        <w:tabs>
          <w:tab w:val="left" w:pos="800"/>
        </w:tabs>
        <w:autoSpaceDE w:val="0"/>
        <w:autoSpaceDN w:val="0"/>
        <w:adjustRightInd w:val="0"/>
        <w:spacing w:after="240" w:line="240" w:lineRule="auto"/>
        <w:ind w:left="800" w:hanging="800"/>
      </w:pPr>
      <w:r>
        <w:lastRenderedPageBreak/>
        <w:t>57.</w:t>
      </w:r>
      <w:r>
        <w:tab/>
        <w:t xml:space="preserve">F. Lu </w:t>
      </w:r>
      <w:r>
        <w:rPr>
          <w:i/>
          <w:iCs/>
        </w:rPr>
        <w:t>et al.</w:t>
      </w:r>
      <w:r>
        <w:t xml:space="preserve">, Naturally p-Hydroxybenzoylated Lignins in Palms. </w:t>
      </w:r>
      <w:r>
        <w:rPr>
          <w:i/>
          <w:iCs/>
        </w:rPr>
        <w:t>Bioenerg. Res.</w:t>
      </w:r>
      <w:r>
        <w:t>, 1–19 (2015).</w:t>
      </w:r>
    </w:p>
    <w:p w14:paraId="759873AA" w14:textId="77777777" w:rsidR="00807999" w:rsidRDefault="00807999" w:rsidP="00807999">
      <w:pPr>
        <w:widowControl w:val="0"/>
        <w:tabs>
          <w:tab w:val="left" w:pos="800"/>
        </w:tabs>
        <w:autoSpaceDE w:val="0"/>
        <w:autoSpaceDN w:val="0"/>
        <w:adjustRightInd w:val="0"/>
        <w:spacing w:after="240" w:line="240" w:lineRule="auto"/>
        <w:ind w:left="800" w:hanging="800"/>
      </w:pPr>
      <w:r>
        <w:t>58.</w:t>
      </w:r>
      <w:r>
        <w:tab/>
        <w:t xml:space="preserve">B. Vanholme </w:t>
      </w:r>
      <w:r>
        <w:rPr>
          <w:i/>
          <w:iCs/>
        </w:rPr>
        <w:t>et al.</w:t>
      </w:r>
      <w:r>
        <w:t xml:space="preserve">, Breeding with rare defective alleles (BRDA): a natural Populus nigra HCT mutant with modified lignin as a case study. </w:t>
      </w:r>
      <w:r>
        <w:rPr>
          <w:i/>
          <w:iCs/>
        </w:rPr>
        <w:t>New Phytologist</w:t>
      </w:r>
      <w:r>
        <w:t xml:space="preserve">. </w:t>
      </w:r>
      <w:r>
        <w:rPr>
          <w:b/>
          <w:bCs/>
        </w:rPr>
        <w:t>198</w:t>
      </w:r>
      <w:r>
        <w:t>, 765–776 (2013).</w:t>
      </w:r>
    </w:p>
    <w:p w14:paraId="749A2CE0" w14:textId="77777777" w:rsidR="00807999" w:rsidRDefault="00807999" w:rsidP="00807999">
      <w:pPr>
        <w:widowControl w:val="0"/>
        <w:tabs>
          <w:tab w:val="left" w:pos="800"/>
        </w:tabs>
        <w:autoSpaceDE w:val="0"/>
        <w:autoSpaceDN w:val="0"/>
        <w:adjustRightInd w:val="0"/>
        <w:spacing w:after="240" w:line="240" w:lineRule="auto"/>
        <w:ind w:left="800" w:hanging="800"/>
      </w:pPr>
      <w:r>
        <w:t>59.</w:t>
      </w:r>
      <w:r>
        <w:tab/>
        <w:t xml:space="preserve">K. V. Sarkanen, H. Chang, G. G. Allan, Species Variation in Lignins .3. Hardwood Lignins. </w:t>
      </w:r>
      <w:r>
        <w:rPr>
          <w:i/>
          <w:iCs/>
        </w:rPr>
        <w:t>Tappi</w:t>
      </w:r>
      <w:r>
        <w:t xml:space="preserve">. </w:t>
      </w:r>
      <w:r>
        <w:rPr>
          <w:b/>
          <w:bCs/>
        </w:rPr>
        <w:t>50</w:t>
      </w:r>
      <w:r>
        <w:t>, 587–&amp; (1967).</w:t>
      </w:r>
    </w:p>
    <w:p w14:paraId="59B891C6" w14:textId="77777777" w:rsidR="00807999" w:rsidRDefault="00807999" w:rsidP="00807999">
      <w:pPr>
        <w:widowControl w:val="0"/>
        <w:tabs>
          <w:tab w:val="left" w:pos="800"/>
        </w:tabs>
        <w:autoSpaceDE w:val="0"/>
        <w:autoSpaceDN w:val="0"/>
        <w:adjustRightInd w:val="0"/>
        <w:spacing w:after="240" w:line="240" w:lineRule="auto"/>
        <w:ind w:left="800" w:hanging="800"/>
      </w:pPr>
      <w:r>
        <w:t>60.</w:t>
      </w:r>
      <w:r>
        <w:tab/>
        <w:t xml:space="preserve">F. Lu, J. Ralph, Preliminary evidence for sinapyl acetate as a lignin monomer in kenaf. </w:t>
      </w:r>
      <w:r>
        <w:rPr>
          <w:i/>
          <w:iCs/>
        </w:rPr>
        <w:t>Chemical Communications</w:t>
      </w:r>
      <w:r>
        <w:t>, 90–91 (2002).</w:t>
      </w:r>
    </w:p>
    <w:p w14:paraId="18BD3146" w14:textId="77777777" w:rsidR="00807999" w:rsidRDefault="00807999" w:rsidP="00807999">
      <w:pPr>
        <w:widowControl w:val="0"/>
        <w:tabs>
          <w:tab w:val="left" w:pos="800"/>
        </w:tabs>
        <w:autoSpaceDE w:val="0"/>
        <w:autoSpaceDN w:val="0"/>
        <w:adjustRightInd w:val="0"/>
        <w:spacing w:after="240" w:line="240" w:lineRule="auto"/>
        <w:ind w:left="800" w:hanging="800"/>
      </w:pPr>
      <w:r>
        <w:t>61.</w:t>
      </w:r>
      <w:r>
        <w:tab/>
        <w:t xml:space="preserve">M. V. Bule, A. H. Gao, B. Hiscox, S. Chen, Structural Modification of Lignin and Characterization of Pretreated Wheat Straw by Ozonation. </w:t>
      </w:r>
      <w:r>
        <w:rPr>
          <w:i/>
          <w:iCs/>
        </w:rPr>
        <w:t>J. Agric. Food Chem.</w:t>
      </w:r>
      <w:r>
        <w:t xml:space="preserve"> </w:t>
      </w:r>
      <w:r>
        <w:rPr>
          <w:b/>
          <w:bCs/>
        </w:rPr>
        <w:t>61</w:t>
      </w:r>
      <w:r>
        <w:t>, 3916–3925 (2013).</w:t>
      </w:r>
    </w:p>
    <w:p w14:paraId="2D1803D4" w14:textId="77777777" w:rsidR="00807999" w:rsidRDefault="00807999" w:rsidP="00807999">
      <w:pPr>
        <w:widowControl w:val="0"/>
        <w:tabs>
          <w:tab w:val="left" w:pos="800"/>
        </w:tabs>
        <w:autoSpaceDE w:val="0"/>
        <w:autoSpaceDN w:val="0"/>
        <w:adjustRightInd w:val="0"/>
        <w:spacing w:after="240" w:line="240" w:lineRule="auto"/>
        <w:ind w:left="800" w:hanging="800"/>
      </w:pPr>
      <w:r>
        <w:t>62.</w:t>
      </w:r>
      <w:r>
        <w:tab/>
        <w:t xml:space="preserve">R. D. Hatfield, J. M. Marita, K. Frost, Characterization of p-coumarate accumulation, p-coumaroyl transferase, and cell wall changes during the development of corn stems. </w:t>
      </w:r>
      <w:r>
        <w:rPr>
          <w:i/>
          <w:iCs/>
        </w:rPr>
        <w:t>J. Sci. Food Agric.</w:t>
      </w:r>
      <w:r>
        <w:t xml:space="preserve"> </w:t>
      </w:r>
      <w:r>
        <w:rPr>
          <w:b/>
          <w:bCs/>
        </w:rPr>
        <w:t>88</w:t>
      </w:r>
      <w:r>
        <w:t>, 2529–2537 (2008).</w:t>
      </w:r>
    </w:p>
    <w:p w14:paraId="0D5794BD" w14:textId="77777777" w:rsidR="00807999" w:rsidRDefault="00807999" w:rsidP="00807999">
      <w:pPr>
        <w:widowControl w:val="0"/>
        <w:tabs>
          <w:tab w:val="left" w:pos="800"/>
        </w:tabs>
        <w:autoSpaceDE w:val="0"/>
        <w:autoSpaceDN w:val="0"/>
        <w:adjustRightInd w:val="0"/>
        <w:spacing w:after="240" w:line="240" w:lineRule="auto"/>
        <w:ind w:left="800" w:hanging="800"/>
      </w:pPr>
      <w:r>
        <w:t>63.</w:t>
      </w:r>
      <w:r>
        <w:tab/>
        <w:t xml:space="preserve">J. Ralph, J. H. Grabber, R. D. Hatfield, Lignin-Ferulate Cross-Links in Grasses - Active Incorporation of Ferulate Polysaccharide Esters into Ryegrass Lignins. </w:t>
      </w:r>
      <w:r>
        <w:rPr>
          <w:i/>
          <w:iCs/>
        </w:rPr>
        <w:t>Carbohyd Res</w:t>
      </w:r>
      <w:r>
        <w:t xml:space="preserve">. </w:t>
      </w:r>
      <w:r>
        <w:rPr>
          <w:b/>
          <w:bCs/>
        </w:rPr>
        <w:t>275</w:t>
      </w:r>
      <w:r>
        <w:t>, 167–178 (1995).</w:t>
      </w:r>
    </w:p>
    <w:p w14:paraId="73F1DD64" w14:textId="77777777" w:rsidR="00807999" w:rsidRDefault="00807999" w:rsidP="00807999">
      <w:pPr>
        <w:widowControl w:val="0"/>
        <w:tabs>
          <w:tab w:val="left" w:pos="800"/>
        </w:tabs>
        <w:autoSpaceDE w:val="0"/>
        <w:autoSpaceDN w:val="0"/>
        <w:adjustRightInd w:val="0"/>
        <w:spacing w:after="240" w:line="240" w:lineRule="auto"/>
        <w:ind w:left="800" w:hanging="800"/>
      </w:pPr>
      <w:r>
        <w:t>64.</w:t>
      </w:r>
      <w:r>
        <w:tab/>
        <w:t xml:space="preserve">W. Lan </w:t>
      </w:r>
      <w:r>
        <w:rPr>
          <w:i/>
          <w:iCs/>
        </w:rPr>
        <w:t>et al.</w:t>
      </w:r>
      <w:r>
        <w:t xml:space="preserve">, Tricin, a Flavonoid Monomer in Monocot Lignification. </w:t>
      </w:r>
      <w:r>
        <w:rPr>
          <w:i/>
          <w:iCs/>
        </w:rPr>
        <w:t>Plant Physiol.</w:t>
      </w:r>
      <w:r>
        <w:t xml:space="preserve"> </w:t>
      </w:r>
      <w:r>
        <w:rPr>
          <w:b/>
          <w:bCs/>
        </w:rPr>
        <w:t>167</w:t>
      </w:r>
      <w:r>
        <w:t>, 1284–1295 (2015).</w:t>
      </w:r>
    </w:p>
    <w:p w14:paraId="20C73127" w14:textId="77777777" w:rsidR="00807999" w:rsidRDefault="00807999" w:rsidP="00807999">
      <w:pPr>
        <w:widowControl w:val="0"/>
        <w:tabs>
          <w:tab w:val="left" w:pos="800"/>
        </w:tabs>
        <w:autoSpaceDE w:val="0"/>
        <w:autoSpaceDN w:val="0"/>
        <w:adjustRightInd w:val="0"/>
        <w:spacing w:after="240" w:line="240" w:lineRule="auto"/>
        <w:ind w:left="800" w:hanging="800"/>
      </w:pPr>
      <w:r>
        <w:t>65.</w:t>
      </w:r>
      <w:r>
        <w:tab/>
        <w:t xml:space="preserve">A. A. Tortosa Masiá, B. J. P. Buhre, R. P. Gupta, T. F. Wall, Characterising ash of biomass and waste. </w:t>
      </w:r>
      <w:r>
        <w:rPr>
          <w:i/>
          <w:iCs/>
        </w:rPr>
        <w:t>Fuel Processing Technology</w:t>
      </w:r>
      <w:r>
        <w:t xml:space="preserve">. </w:t>
      </w:r>
      <w:r>
        <w:rPr>
          <w:b/>
          <w:bCs/>
        </w:rPr>
        <w:t>88</w:t>
      </w:r>
      <w:r>
        <w:t>, 1071–1081 (2007).</w:t>
      </w:r>
    </w:p>
    <w:p w14:paraId="14B56755" w14:textId="77777777" w:rsidR="00807999" w:rsidRDefault="00807999" w:rsidP="00807999">
      <w:pPr>
        <w:widowControl w:val="0"/>
        <w:tabs>
          <w:tab w:val="left" w:pos="800"/>
        </w:tabs>
        <w:autoSpaceDE w:val="0"/>
        <w:autoSpaceDN w:val="0"/>
        <w:adjustRightInd w:val="0"/>
        <w:spacing w:after="240" w:line="240" w:lineRule="auto"/>
        <w:ind w:left="800" w:hanging="800"/>
      </w:pPr>
      <w:r>
        <w:t>66.</w:t>
      </w:r>
      <w:r>
        <w:tab/>
        <w:t xml:space="preserve">S. V. Vassilev, D. Baxter, L. K. Andersen, C. G. Vassileva, An overview of the chemical composition of biomass. </w:t>
      </w:r>
      <w:r>
        <w:rPr>
          <w:i/>
          <w:iCs/>
        </w:rPr>
        <w:t>Fuel</w:t>
      </w:r>
      <w:r>
        <w:t xml:space="preserve">. </w:t>
      </w:r>
      <w:r>
        <w:rPr>
          <w:b/>
          <w:bCs/>
        </w:rPr>
        <w:t>89</w:t>
      </w:r>
      <w:r>
        <w:t>, 913–933 (2010).</w:t>
      </w:r>
    </w:p>
    <w:p w14:paraId="0E49EA45" w14:textId="77777777" w:rsidR="00807999" w:rsidRDefault="00807999" w:rsidP="00807999">
      <w:pPr>
        <w:widowControl w:val="0"/>
        <w:tabs>
          <w:tab w:val="left" w:pos="800"/>
        </w:tabs>
        <w:autoSpaceDE w:val="0"/>
        <w:autoSpaceDN w:val="0"/>
        <w:adjustRightInd w:val="0"/>
        <w:spacing w:after="240" w:line="240" w:lineRule="auto"/>
        <w:ind w:left="800" w:hanging="800"/>
      </w:pPr>
      <w:r>
        <w:t>67.</w:t>
      </w:r>
      <w:r>
        <w:tab/>
        <w:t xml:space="preserve">M. Dick-Pérez </w:t>
      </w:r>
      <w:r>
        <w:rPr>
          <w:i/>
          <w:iCs/>
        </w:rPr>
        <w:t>et al.</w:t>
      </w:r>
      <w:r>
        <w:t xml:space="preserve">, Structure and Interactions of Plant Cell-Wall Polysaccharides by Two- and Three-Dimensional Magic-Angle-Spinning Solid-State NMR. </w:t>
      </w:r>
      <w:r>
        <w:rPr>
          <w:i/>
          <w:iCs/>
        </w:rPr>
        <w:t>Biochemistry</w:t>
      </w:r>
      <w:r>
        <w:t xml:space="preserve">. </w:t>
      </w:r>
      <w:r>
        <w:rPr>
          <w:b/>
          <w:bCs/>
        </w:rPr>
        <w:t>50</w:t>
      </w:r>
      <w:r>
        <w:t>, 989–1000 (2011).</w:t>
      </w:r>
    </w:p>
    <w:p w14:paraId="44AD09FF" w14:textId="77777777" w:rsidR="00807999" w:rsidRDefault="00807999" w:rsidP="00807999">
      <w:pPr>
        <w:widowControl w:val="0"/>
        <w:tabs>
          <w:tab w:val="left" w:pos="800"/>
        </w:tabs>
        <w:autoSpaceDE w:val="0"/>
        <w:autoSpaceDN w:val="0"/>
        <w:adjustRightInd w:val="0"/>
        <w:spacing w:after="240" w:line="240" w:lineRule="auto"/>
        <w:ind w:left="800" w:hanging="800"/>
      </w:pPr>
      <w:r>
        <w:t>68.</w:t>
      </w:r>
      <w:r>
        <w:tab/>
        <w:t xml:space="preserve">L. Tan </w:t>
      </w:r>
      <w:r>
        <w:rPr>
          <w:i/>
          <w:iCs/>
        </w:rPr>
        <w:t>et al.</w:t>
      </w:r>
      <w:r>
        <w:t xml:space="preserve">,  An Arabidopsis Cell Wall Proteoglycan Consists of Pectin and Arabinoxylan Covalently Linked to an Arabinogalactan Protein. </w:t>
      </w:r>
      <w:r>
        <w:rPr>
          <w:i/>
          <w:iCs/>
        </w:rPr>
        <w:t>The Plant Cell</w:t>
      </w:r>
      <w:r>
        <w:t xml:space="preserve">. </w:t>
      </w:r>
      <w:r>
        <w:rPr>
          <w:b/>
          <w:bCs/>
        </w:rPr>
        <w:t>25</w:t>
      </w:r>
      <w:r>
        <w:t>, 270–287 (2013).</w:t>
      </w:r>
    </w:p>
    <w:p w14:paraId="3D654691" w14:textId="77777777" w:rsidR="00807999" w:rsidRDefault="00807999" w:rsidP="00807999">
      <w:pPr>
        <w:widowControl w:val="0"/>
        <w:tabs>
          <w:tab w:val="left" w:pos="800"/>
        </w:tabs>
        <w:autoSpaceDE w:val="0"/>
        <w:autoSpaceDN w:val="0"/>
        <w:adjustRightInd w:val="0"/>
        <w:spacing w:after="240" w:line="240" w:lineRule="auto"/>
        <w:ind w:left="800" w:hanging="800"/>
      </w:pPr>
      <w:r>
        <w:t>69.</w:t>
      </w:r>
      <w:r>
        <w:tab/>
        <w:t xml:space="preserve">D. Mikkelsen, B. M. Flanagan, S. M. Wilson, A. Bacic, M. J. Gidley, Interactions of Arabinoxylan and (1,3)(1,4)-β-Glucan with Cellulose Networks. </w:t>
      </w:r>
      <w:r>
        <w:rPr>
          <w:i/>
          <w:iCs/>
        </w:rPr>
        <w:t>Biomacromolecules</w:t>
      </w:r>
      <w:r>
        <w:t xml:space="preserve">. </w:t>
      </w:r>
      <w:r>
        <w:rPr>
          <w:b/>
          <w:bCs/>
        </w:rPr>
        <w:t>16</w:t>
      </w:r>
      <w:r>
        <w:t>, 1232–1239 (2015).</w:t>
      </w:r>
    </w:p>
    <w:p w14:paraId="7150F4BA" w14:textId="77777777" w:rsidR="00807999" w:rsidRDefault="00807999" w:rsidP="00807999">
      <w:pPr>
        <w:widowControl w:val="0"/>
        <w:tabs>
          <w:tab w:val="left" w:pos="800"/>
        </w:tabs>
        <w:autoSpaceDE w:val="0"/>
        <w:autoSpaceDN w:val="0"/>
        <w:adjustRightInd w:val="0"/>
        <w:spacing w:after="240" w:line="240" w:lineRule="auto"/>
        <w:ind w:left="800" w:hanging="800"/>
      </w:pPr>
      <w:r>
        <w:t>70.</w:t>
      </w:r>
      <w:r>
        <w:tab/>
        <w:t xml:space="preserve">Mirko Bunzel, John Ralph, Fachuang Lu, A. Ronald D Hatfield, H. Steinhart, Lignins and Ferulate−Coniferyl Alcohol Cross-Coupling Products in Cereal </w:t>
      </w:r>
      <w:r>
        <w:lastRenderedPageBreak/>
        <w:t xml:space="preserve">Grains. </w:t>
      </w:r>
      <w:r>
        <w:rPr>
          <w:i/>
          <w:iCs/>
        </w:rPr>
        <w:t>J. Agric. Food Chem.</w:t>
      </w:r>
      <w:r>
        <w:t xml:space="preserve"> </w:t>
      </w:r>
      <w:r>
        <w:rPr>
          <w:b/>
          <w:bCs/>
        </w:rPr>
        <w:t>52</w:t>
      </w:r>
      <w:r>
        <w:t>, 6496–6502 (2004).</w:t>
      </w:r>
    </w:p>
    <w:p w14:paraId="49C96B6C" w14:textId="77777777" w:rsidR="00807999" w:rsidRDefault="00807999" w:rsidP="00807999">
      <w:pPr>
        <w:widowControl w:val="0"/>
        <w:tabs>
          <w:tab w:val="left" w:pos="800"/>
        </w:tabs>
        <w:autoSpaceDE w:val="0"/>
        <w:autoSpaceDN w:val="0"/>
        <w:adjustRightInd w:val="0"/>
        <w:spacing w:after="240" w:line="240" w:lineRule="auto"/>
        <w:ind w:left="800" w:hanging="800"/>
      </w:pPr>
      <w:r>
        <w:t>71.</w:t>
      </w:r>
      <w:r>
        <w:tab/>
        <w:t xml:space="preserve">T.-Q. Yuan, S.-N. Sun, F. Xu, R.-C. Sun, Characterization of lignin structures and lignin-carbohydrate complex (LCC) linkages by quantitative 13C and 2D HSQC NMR spectroscopy. </w:t>
      </w:r>
      <w:r>
        <w:rPr>
          <w:i/>
          <w:iCs/>
        </w:rPr>
        <w:t>J. Agric. Food Chem.</w:t>
      </w:r>
      <w:r>
        <w:t xml:space="preserve"> </w:t>
      </w:r>
      <w:r>
        <w:rPr>
          <w:b/>
          <w:bCs/>
        </w:rPr>
        <w:t>59</w:t>
      </w:r>
      <w:r>
        <w:t>, 10604–10614 (2011).</w:t>
      </w:r>
    </w:p>
    <w:p w14:paraId="4F2ADEC8" w14:textId="77777777" w:rsidR="00807999" w:rsidRDefault="00807999" w:rsidP="00807999">
      <w:pPr>
        <w:widowControl w:val="0"/>
        <w:tabs>
          <w:tab w:val="left" w:pos="800"/>
        </w:tabs>
        <w:autoSpaceDE w:val="0"/>
        <w:autoSpaceDN w:val="0"/>
        <w:adjustRightInd w:val="0"/>
        <w:spacing w:after="240" w:line="240" w:lineRule="auto"/>
        <w:ind w:left="800" w:hanging="800"/>
      </w:pPr>
      <w:r>
        <w:t>72.</w:t>
      </w:r>
      <w:r>
        <w:tab/>
        <w:t xml:space="preserve">X. Du </w:t>
      </w:r>
      <w:r>
        <w:rPr>
          <w:i/>
          <w:iCs/>
        </w:rPr>
        <w:t>et al.</w:t>
      </w:r>
      <w:r>
        <w:t xml:space="preserve">, Analysis of lignin-carbohydrate and lignin-lignin linkages after hydrolase treatment of xylan-lignin, glucomannan-lignin and glucan-lignin complexes from spruce wood. </w:t>
      </w:r>
      <w:r>
        <w:rPr>
          <w:i/>
          <w:iCs/>
        </w:rPr>
        <w:t>Planta</w:t>
      </w:r>
      <w:r>
        <w:t xml:space="preserve">. </w:t>
      </w:r>
      <w:r>
        <w:rPr>
          <w:b/>
          <w:bCs/>
        </w:rPr>
        <w:t>239</w:t>
      </w:r>
      <w:r>
        <w:t>, 1079–1090 (2014).</w:t>
      </w:r>
    </w:p>
    <w:p w14:paraId="3AB1829C" w14:textId="77777777" w:rsidR="00807999" w:rsidRDefault="00807999" w:rsidP="00807999">
      <w:pPr>
        <w:widowControl w:val="0"/>
        <w:tabs>
          <w:tab w:val="left" w:pos="800"/>
        </w:tabs>
        <w:autoSpaceDE w:val="0"/>
        <w:autoSpaceDN w:val="0"/>
        <w:adjustRightInd w:val="0"/>
        <w:spacing w:after="240" w:line="240" w:lineRule="auto"/>
        <w:ind w:left="800" w:hanging="800"/>
      </w:pPr>
      <w:r>
        <w:t>73.</w:t>
      </w:r>
      <w:r>
        <w:tab/>
        <w:t xml:space="preserve">N. C. Carpita </w:t>
      </w:r>
      <w:r>
        <w:rPr>
          <w:i/>
          <w:iCs/>
        </w:rPr>
        <w:t>et al.</w:t>
      </w:r>
      <w:r>
        <w:t xml:space="preserve">, Cell Wall Architecture of the Elongating Maize Coleoptile. </w:t>
      </w:r>
      <w:r>
        <w:rPr>
          <w:i/>
          <w:iCs/>
        </w:rPr>
        <w:t>Plant Physiol.</w:t>
      </w:r>
      <w:r>
        <w:t xml:space="preserve"> </w:t>
      </w:r>
      <w:r>
        <w:rPr>
          <w:b/>
          <w:bCs/>
        </w:rPr>
        <w:t>127</w:t>
      </w:r>
      <w:r>
        <w:t>, 551–565 (2001).</w:t>
      </w:r>
    </w:p>
    <w:p w14:paraId="46EC8059" w14:textId="77777777" w:rsidR="00807999" w:rsidRDefault="00807999" w:rsidP="00807999">
      <w:pPr>
        <w:widowControl w:val="0"/>
        <w:tabs>
          <w:tab w:val="left" w:pos="800"/>
        </w:tabs>
        <w:autoSpaceDE w:val="0"/>
        <w:autoSpaceDN w:val="0"/>
        <w:adjustRightInd w:val="0"/>
        <w:spacing w:after="240" w:line="240" w:lineRule="auto"/>
        <w:ind w:left="800" w:hanging="800"/>
      </w:pPr>
      <w:r>
        <w:t>74.</w:t>
      </w:r>
      <w:r>
        <w:tab/>
        <w:t xml:space="preserve">L. V. Kozlova, M. V. Ageeva, N. N. Ibragimova, T. A. Gorshkova, Arrangement of mixed-linkage glucan and glucuronoarabinoxylan in the cell walls of growing maize roots. </w:t>
      </w:r>
      <w:r>
        <w:rPr>
          <w:i/>
          <w:iCs/>
        </w:rPr>
        <w:t>Annals of botany</w:t>
      </w:r>
      <w:r>
        <w:t xml:space="preserve">. </w:t>
      </w:r>
      <w:r>
        <w:rPr>
          <w:b/>
          <w:bCs/>
        </w:rPr>
        <w:t>114</w:t>
      </w:r>
      <w:r>
        <w:t>, 1135–1145 (2014).</w:t>
      </w:r>
    </w:p>
    <w:p w14:paraId="7A04C2D3" w14:textId="77777777" w:rsidR="00807999" w:rsidRDefault="00807999" w:rsidP="00807999">
      <w:pPr>
        <w:widowControl w:val="0"/>
        <w:tabs>
          <w:tab w:val="left" w:pos="800"/>
        </w:tabs>
        <w:autoSpaceDE w:val="0"/>
        <w:autoSpaceDN w:val="0"/>
        <w:adjustRightInd w:val="0"/>
        <w:spacing w:after="240" w:line="240" w:lineRule="auto"/>
        <w:ind w:left="800" w:hanging="800"/>
      </w:pPr>
      <w:r>
        <w:t>75.</w:t>
      </w:r>
      <w:r>
        <w:tab/>
        <w:t xml:space="preserve">N. Kido </w:t>
      </w:r>
      <w:r>
        <w:rPr>
          <w:i/>
          <w:iCs/>
        </w:rPr>
        <w:t>et al.</w:t>
      </w:r>
      <w:r>
        <w:t xml:space="preserve">, The matrix polysaccharide (1;3,1;4)-beta-D-glucan is involved in silicon-dependent strengthening of rice cell wall. </w:t>
      </w:r>
      <w:r>
        <w:rPr>
          <w:i/>
          <w:iCs/>
        </w:rPr>
        <w:t>Plant &amp; cell physiology</w:t>
      </w:r>
      <w:r>
        <w:t xml:space="preserve">. </w:t>
      </w:r>
      <w:r>
        <w:rPr>
          <w:b/>
          <w:bCs/>
        </w:rPr>
        <w:t>56</w:t>
      </w:r>
      <w:r>
        <w:t>, 268–276 (2015).</w:t>
      </w:r>
    </w:p>
    <w:p w14:paraId="23B31975" w14:textId="77777777" w:rsidR="00807999" w:rsidRDefault="00807999" w:rsidP="00807999">
      <w:pPr>
        <w:widowControl w:val="0"/>
        <w:tabs>
          <w:tab w:val="left" w:pos="800"/>
        </w:tabs>
        <w:autoSpaceDE w:val="0"/>
        <w:autoSpaceDN w:val="0"/>
        <w:adjustRightInd w:val="0"/>
        <w:spacing w:after="240" w:line="240" w:lineRule="auto"/>
        <w:ind w:left="800" w:hanging="800"/>
      </w:pPr>
      <w:r>
        <w:t>76.</w:t>
      </w:r>
      <w:r>
        <w:tab/>
        <w:t xml:space="preserve">F.-X. Collard, J. Blin, A review on pyrolysis of biomass constituents: Mechanisms and composition of the products obtained from the conversion of cellulose, hemicelluloses and lignin. </w:t>
      </w:r>
      <w:r>
        <w:rPr>
          <w:i/>
          <w:iCs/>
        </w:rPr>
        <w:t>Renewable and Sustainable Energy Reviews</w:t>
      </w:r>
      <w:r>
        <w:t xml:space="preserve">. </w:t>
      </w:r>
      <w:r>
        <w:rPr>
          <w:b/>
          <w:bCs/>
        </w:rPr>
        <w:t>38</w:t>
      </w:r>
      <w:r>
        <w:t>, 594–608 (2014).</w:t>
      </w:r>
    </w:p>
    <w:p w14:paraId="28E45A46" w14:textId="77777777" w:rsidR="00807999" w:rsidRDefault="00807999" w:rsidP="00807999">
      <w:pPr>
        <w:widowControl w:val="0"/>
        <w:tabs>
          <w:tab w:val="left" w:pos="800"/>
        </w:tabs>
        <w:autoSpaceDE w:val="0"/>
        <w:autoSpaceDN w:val="0"/>
        <w:adjustRightInd w:val="0"/>
        <w:spacing w:after="240" w:line="240" w:lineRule="auto"/>
        <w:ind w:left="800" w:hanging="800"/>
      </w:pPr>
      <w:r>
        <w:t>77.</w:t>
      </w:r>
      <w:r>
        <w:tab/>
        <w:t xml:space="preserve">X. L. Zhang, W. H. Yang, C. Q. Dong, Levoglucosan formation mechanisms during cellulose pyrolysis. </w:t>
      </w:r>
      <w:r>
        <w:rPr>
          <w:i/>
          <w:iCs/>
        </w:rPr>
        <w:t>Journal of Analytical and Applied Pyrolysis</w:t>
      </w:r>
      <w:r>
        <w:t xml:space="preserve">. </w:t>
      </w:r>
      <w:r>
        <w:rPr>
          <w:b/>
          <w:bCs/>
        </w:rPr>
        <w:t>104</w:t>
      </w:r>
      <w:r>
        <w:t>, 19–27 (2013).</w:t>
      </w:r>
    </w:p>
    <w:p w14:paraId="5B67EED1" w14:textId="77777777" w:rsidR="00807999" w:rsidRDefault="00807999" w:rsidP="00807999">
      <w:pPr>
        <w:widowControl w:val="0"/>
        <w:tabs>
          <w:tab w:val="left" w:pos="800"/>
        </w:tabs>
        <w:autoSpaceDE w:val="0"/>
        <w:autoSpaceDN w:val="0"/>
        <w:adjustRightInd w:val="0"/>
        <w:spacing w:after="240" w:line="240" w:lineRule="auto"/>
        <w:ind w:left="800" w:hanging="800"/>
      </w:pPr>
      <w:r>
        <w:t>78.</w:t>
      </w:r>
      <w:r>
        <w:tab/>
        <w:t xml:space="preserve">R. Vanholme, R. Van Acker, W. Boerjan, Potential of Arabidopsis systems biology to advance the biofuel field. </w:t>
      </w:r>
      <w:r>
        <w:rPr>
          <w:i/>
          <w:iCs/>
        </w:rPr>
        <w:t>Trends in Biotechnology</w:t>
      </w:r>
      <w:r>
        <w:t xml:space="preserve">. </w:t>
      </w:r>
      <w:r>
        <w:rPr>
          <w:b/>
          <w:bCs/>
        </w:rPr>
        <w:t>28</w:t>
      </w:r>
      <w:r>
        <w:t>, 543–547 (2010).</w:t>
      </w:r>
    </w:p>
    <w:p w14:paraId="3D41BB64" w14:textId="77777777" w:rsidR="00807999" w:rsidRDefault="00807999" w:rsidP="00807999">
      <w:pPr>
        <w:widowControl w:val="0"/>
        <w:tabs>
          <w:tab w:val="left" w:pos="800"/>
        </w:tabs>
        <w:autoSpaceDE w:val="0"/>
        <w:autoSpaceDN w:val="0"/>
        <w:adjustRightInd w:val="0"/>
        <w:spacing w:after="240" w:line="240" w:lineRule="auto"/>
        <w:ind w:left="800" w:hanging="800"/>
      </w:pPr>
      <w:r>
        <w:t>79.</w:t>
      </w:r>
      <w:r>
        <w:tab/>
        <w:t xml:space="preserve">U. Räisänen, I. Pitkänen, H. Halttunen, Formation of the main degradation compounds from arabinose, xylose, mannose and arabinitol during pyrolysis. </w:t>
      </w:r>
      <w:r>
        <w:rPr>
          <w:i/>
          <w:iCs/>
        </w:rPr>
        <w:t>Journal of Thermal Analysis and Calorimetry</w:t>
      </w:r>
      <w:r>
        <w:t xml:space="preserve">. </w:t>
      </w:r>
      <w:r>
        <w:rPr>
          <w:b/>
          <w:bCs/>
        </w:rPr>
        <w:t>72</w:t>
      </w:r>
      <w:r>
        <w:t>, 481–488 (2003).</w:t>
      </w:r>
    </w:p>
    <w:p w14:paraId="1DBEC1A6" w14:textId="77777777" w:rsidR="00807999" w:rsidRDefault="00807999" w:rsidP="00807999">
      <w:pPr>
        <w:widowControl w:val="0"/>
        <w:tabs>
          <w:tab w:val="left" w:pos="800"/>
        </w:tabs>
        <w:autoSpaceDE w:val="0"/>
        <w:autoSpaceDN w:val="0"/>
        <w:adjustRightInd w:val="0"/>
        <w:spacing w:after="240" w:line="240" w:lineRule="auto"/>
        <w:ind w:left="800" w:hanging="800"/>
      </w:pPr>
      <w:r>
        <w:t>80.</w:t>
      </w:r>
      <w:r>
        <w:tab/>
        <w:t xml:space="preserve">C. A. Mullen, A. A. Boateng, K. B. Hicks, N. M. Goldberg, R. A. Moreau, Analysis and Comparison of Bio-Oil Produced by Fast Pyrolysis from Three Barley Biomass/Byproduct Streams. </w:t>
      </w:r>
      <w:r>
        <w:rPr>
          <w:i/>
          <w:iCs/>
        </w:rPr>
        <w:t>Energy &amp; Fuels</w:t>
      </w:r>
      <w:r>
        <w:t xml:space="preserve">. </w:t>
      </w:r>
      <w:r>
        <w:rPr>
          <w:b/>
          <w:bCs/>
        </w:rPr>
        <w:t>24</w:t>
      </w:r>
      <w:r>
        <w:t>, 699–706 (2010).</w:t>
      </w:r>
    </w:p>
    <w:p w14:paraId="3A17BA5F" w14:textId="77777777" w:rsidR="00807999" w:rsidRDefault="00807999" w:rsidP="00807999">
      <w:pPr>
        <w:widowControl w:val="0"/>
        <w:tabs>
          <w:tab w:val="left" w:pos="800"/>
        </w:tabs>
        <w:autoSpaceDE w:val="0"/>
        <w:autoSpaceDN w:val="0"/>
        <w:adjustRightInd w:val="0"/>
        <w:spacing w:after="240" w:line="240" w:lineRule="auto"/>
        <w:ind w:left="800" w:hanging="800"/>
      </w:pPr>
      <w:r>
        <w:t>81.</w:t>
      </w:r>
      <w:r>
        <w:tab/>
        <w:t xml:space="preserve">C. Sáiz-Jiménez, J. W. De Leeuw, Lignin pyrolysis products: their structures and their significance as biomarkers. </w:t>
      </w:r>
      <w:r>
        <w:rPr>
          <w:i/>
          <w:iCs/>
        </w:rPr>
        <w:t>Organic Geochemistry</w:t>
      </w:r>
      <w:r>
        <w:t xml:space="preserve"> (1986).</w:t>
      </w:r>
    </w:p>
    <w:p w14:paraId="3B55A9C6" w14:textId="77777777" w:rsidR="00807999" w:rsidRDefault="00807999" w:rsidP="00807999">
      <w:pPr>
        <w:widowControl w:val="0"/>
        <w:tabs>
          <w:tab w:val="left" w:pos="800"/>
        </w:tabs>
        <w:autoSpaceDE w:val="0"/>
        <w:autoSpaceDN w:val="0"/>
        <w:adjustRightInd w:val="0"/>
        <w:spacing w:after="240" w:line="240" w:lineRule="auto"/>
        <w:ind w:left="800" w:hanging="800"/>
      </w:pPr>
      <w:r>
        <w:t>82.</w:t>
      </w:r>
      <w:r>
        <w:tab/>
        <w:t xml:space="preserve">M. Li </w:t>
      </w:r>
      <w:r>
        <w:rPr>
          <w:i/>
          <w:iCs/>
        </w:rPr>
        <w:t>et al.</w:t>
      </w:r>
      <w:r>
        <w:t xml:space="preserve">, Structural characterization of alkaline hydrogen peroxide pretreated grasses exhibiting diverse lignin phenotypes. </w:t>
      </w:r>
      <w:r>
        <w:rPr>
          <w:i/>
          <w:iCs/>
        </w:rPr>
        <w:t>Biotechnol Biofuels</w:t>
      </w:r>
      <w:r>
        <w:t xml:space="preserve">. </w:t>
      </w:r>
      <w:r>
        <w:rPr>
          <w:b/>
          <w:bCs/>
        </w:rPr>
        <w:t>5</w:t>
      </w:r>
      <w:r>
        <w:t>, 38 (2012).</w:t>
      </w:r>
    </w:p>
    <w:p w14:paraId="605EF3E9" w14:textId="77777777" w:rsidR="00807999" w:rsidRDefault="00807999" w:rsidP="00807999">
      <w:pPr>
        <w:widowControl w:val="0"/>
        <w:tabs>
          <w:tab w:val="left" w:pos="800"/>
        </w:tabs>
        <w:autoSpaceDE w:val="0"/>
        <w:autoSpaceDN w:val="0"/>
        <w:adjustRightInd w:val="0"/>
        <w:spacing w:after="240" w:line="240" w:lineRule="auto"/>
        <w:ind w:left="800" w:hanging="800"/>
      </w:pPr>
      <w:r>
        <w:lastRenderedPageBreak/>
        <w:t>83.</w:t>
      </w:r>
      <w:r>
        <w:tab/>
        <w:t xml:space="preserve">V. Mendu </w:t>
      </w:r>
      <w:r>
        <w:rPr>
          <w:i/>
          <w:iCs/>
        </w:rPr>
        <w:t>et al.</w:t>
      </w:r>
      <w:r>
        <w:t xml:space="preserve">, Identification and thermochemical analysis of high-lignin feedstocks for biofuel and biochemical production. </w:t>
      </w:r>
      <w:r>
        <w:rPr>
          <w:i/>
          <w:iCs/>
        </w:rPr>
        <w:t>Biotechnol Biofuels</w:t>
      </w:r>
      <w:r>
        <w:t xml:space="preserve">. </w:t>
      </w:r>
      <w:r>
        <w:rPr>
          <w:b/>
          <w:bCs/>
        </w:rPr>
        <w:t>4</w:t>
      </w:r>
      <w:r>
        <w:t>, 1 (2011).</w:t>
      </w:r>
    </w:p>
    <w:p w14:paraId="35C00976" w14:textId="77777777" w:rsidR="00807999" w:rsidRDefault="00807999" w:rsidP="00807999">
      <w:pPr>
        <w:widowControl w:val="0"/>
        <w:tabs>
          <w:tab w:val="left" w:pos="800"/>
        </w:tabs>
        <w:autoSpaceDE w:val="0"/>
        <w:autoSpaceDN w:val="0"/>
        <w:adjustRightInd w:val="0"/>
        <w:spacing w:after="240" w:line="240" w:lineRule="auto"/>
        <w:ind w:left="800" w:hanging="800"/>
      </w:pPr>
      <w:r>
        <w:t>84.</w:t>
      </w:r>
      <w:r>
        <w:tab/>
        <w:t xml:space="preserve">I.-Y. Eom </w:t>
      </w:r>
      <w:r>
        <w:rPr>
          <w:i/>
          <w:iCs/>
        </w:rPr>
        <w:t>et al.</w:t>
      </w:r>
      <w:r>
        <w:t xml:space="preserve">, Characterization of primary thermal degradation features of lignocellulosic biomass after removal of inorganic metals by diverse solvents. </w:t>
      </w:r>
      <w:r>
        <w:rPr>
          <w:i/>
          <w:iCs/>
        </w:rPr>
        <w:t>Bioresource technology</w:t>
      </w:r>
      <w:r>
        <w:t xml:space="preserve">. </w:t>
      </w:r>
      <w:r>
        <w:rPr>
          <w:b/>
          <w:bCs/>
        </w:rPr>
        <w:t>102</w:t>
      </w:r>
      <w:r>
        <w:t>, 3437–3444 (2011).</w:t>
      </w:r>
    </w:p>
    <w:p w14:paraId="2337C936" w14:textId="77777777" w:rsidR="00807999" w:rsidRDefault="00807999" w:rsidP="00807999">
      <w:pPr>
        <w:widowControl w:val="0"/>
        <w:tabs>
          <w:tab w:val="left" w:pos="800"/>
        </w:tabs>
        <w:autoSpaceDE w:val="0"/>
        <w:autoSpaceDN w:val="0"/>
        <w:adjustRightInd w:val="0"/>
        <w:spacing w:after="240" w:line="240" w:lineRule="auto"/>
        <w:ind w:left="800" w:hanging="800"/>
      </w:pPr>
      <w:r>
        <w:t>85.</w:t>
      </w:r>
      <w:r>
        <w:tab/>
        <w:t xml:space="preserve">R. Lou, S. Wu, G. Lv, A. Zhang, Factors Related to Minerals and Ingredients Influencing the Distribution of Pyrolysates Derived from Herbaceous Biomass. </w:t>
      </w:r>
      <w:r>
        <w:rPr>
          <w:i/>
          <w:iCs/>
        </w:rPr>
        <w:t>Bioresources</w:t>
      </w:r>
      <w:r>
        <w:t xml:space="preserve"> (2013).</w:t>
      </w:r>
    </w:p>
    <w:p w14:paraId="2E2EF230" w14:textId="77777777" w:rsidR="00807999" w:rsidRDefault="00807999" w:rsidP="00807999">
      <w:pPr>
        <w:widowControl w:val="0"/>
        <w:tabs>
          <w:tab w:val="left" w:pos="800"/>
        </w:tabs>
        <w:autoSpaceDE w:val="0"/>
        <w:autoSpaceDN w:val="0"/>
        <w:adjustRightInd w:val="0"/>
        <w:spacing w:after="240" w:line="240" w:lineRule="auto"/>
        <w:ind w:left="800" w:hanging="800"/>
      </w:pPr>
      <w:r>
        <w:t>86.</w:t>
      </w:r>
      <w:r>
        <w:tab/>
        <w:t xml:space="preserve">F. Ronsse, X. Bai, W. Prins, R. C. Brown, Secondary reactions of levoglucosan and char in the fast pyrolysis of cellulose. </w:t>
      </w:r>
      <w:r>
        <w:rPr>
          <w:i/>
          <w:iCs/>
        </w:rPr>
        <w:t>Environ. Prog. Sustainable Energy</w:t>
      </w:r>
      <w:r>
        <w:t xml:space="preserve">. </w:t>
      </w:r>
      <w:r>
        <w:rPr>
          <w:b/>
          <w:bCs/>
        </w:rPr>
        <w:t>31</w:t>
      </w:r>
      <w:r>
        <w:t>, 256–260 (2012).</w:t>
      </w:r>
    </w:p>
    <w:p w14:paraId="5A0DDF8C" w14:textId="77777777" w:rsidR="00807999" w:rsidRDefault="00807999" w:rsidP="00807999">
      <w:pPr>
        <w:widowControl w:val="0"/>
        <w:tabs>
          <w:tab w:val="left" w:pos="800"/>
        </w:tabs>
        <w:autoSpaceDE w:val="0"/>
        <w:autoSpaceDN w:val="0"/>
        <w:adjustRightInd w:val="0"/>
        <w:spacing w:after="240" w:line="240" w:lineRule="auto"/>
        <w:ind w:left="800" w:hanging="800"/>
      </w:pPr>
      <w:r>
        <w:t>87.</w:t>
      </w:r>
      <w:r>
        <w:tab/>
        <w:t xml:space="preserve">R. Fahmi </w:t>
      </w:r>
      <w:r>
        <w:rPr>
          <w:i/>
          <w:iCs/>
        </w:rPr>
        <w:t>et al.</w:t>
      </w:r>
      <w:r>
        <w:t xml:space="preserve">, The effect of alkali metals on combustion and pyrolysis of Lolium and Festuca grasses, switchgrass and willow. </w:t>
      </w:r>
      <w:r>
        <w:rPr>
          <w:i/>
          <w:iCs/>
        </w:rPr>
        <w:t>Fuel</w:t>
      </w:r>
      <w:r>
        <w:t xml:space="preserve">. </w:t>
      </w:r>
      <w:r>
        <w:rPr>
          <w:b/>
          <w:bCs/>
        </w:rPr>
        <w:t>86</w:t>
      </w:r>
      <w:r>
        <w:t>, 1560–1569 (2007).</w:t>
      </w:r>
    </w:p>
    <w:p w14:paraId="6145DBF8" w14:textId="77777777" w:rsidR="00807999" w:rsidRDefault="00807999" w:rsidP="00807999">
      <w:pPr>
        <w:widowControl w:val="0"/>
        <w:tabs>
          <w:tab w:val="left" w:pos="800"/>
        </w:tabs>
        <w:autoSpaceDE w:val="0"/>
        <w:autoSpaceDN w:val="0"/>
        <w:adjustRightInd w:val="0"/>
        <w:spacing w:after="240" w:line="240" w:lineRule="auto"/>
        <w:ind w:left="800" w:hanging="800"/>
      </w:pPr>
      <w:r>
        <w:t>88.</w:t>
      </w:r>
      <w:r>
        <w:tab/>
        <w:t xml:space="preserve">P. R. Patwardhan, J. A. Satrio, R. C. Brown, B. H. Shanks, Influence of inorganic salts on the primary pyrolysis products of cellulose. </w:t>
      </w:r>
      <w:r>
        <w:rPr>
          <w:i/>
          <w:iCs/>
        </w:rPr>
        <w:t>Bioresource technology</w:t>
      </w:r>
      <w:r>
        <w:t xml:space="preserve">. </w:t>
      </w:r>
      <w:r>
        <w:rPr>
          <w:b/>
          <w:bCs/>
        </w:rPr>
        <w:t>101</w:t>
      </w:r>
      <w:r>
        <w:t>, 4646–4655 (2010).</w:t>
      </w:r>
    </w:p>
    <w:p w14:paraId="50149854" w14:textId="77777777" w:rsidR="00807999" w:rsidRDefault="00807999" w:rsidP="00807999">
      <w:pPr>
        <w:widowControl w:val="0"/>
        <w:tabs>
          <w:tab w:val="left" w:pos="800"/>
        </w:tabs>
        <w:autoSpaceDE w:val="0"/>
        <w:autoSpaceDN w:val="0"/>
        <w:adjustRightInd w:val="0"/>
        <w:spacing w:after="240" w:line="240" w:lineRule="auto"/>
        <w:ind w:left="800" w:hanging="800"/>
      </w:pPr>
      <w:r>
        <w:t>89.</w:t>
      </w:r>
      <w:r>
        <w:tab/>
        <w:t xml:space="preserve">M. Müller-Hagedorn, H. Bockhorn, L. Krebs, U. Müller, A comparative kinetic study on the pyrolysis of three different wood species. </w:t>
      </w:r>
      <w:r>
        <w:rPr>
          <w:i/>
          <w:iCs/>
        </w:rPr>
        <w:t>Journal of Analytical and Applied Pyrolysis</w:t>
      </w:r>
      <w:r>
        <w:t xml:space="preserve">. </w:t>
      </w:r>
      <w:r>
        <w:rPr>
          <w:b/>
          <w:bCs/>
        </w:rPr>
        <w:t>68-69</w:t>
      </w:r>
      <w:r>
        <w:t>, 231–249 (2003).</w:t>
      </w:r>
    </w:p>
    <w:p w14:paraId="4124A32F" w14:textId="77777777" w:rsidR="00807999" w:rsidRDefault="00807999" w:rsidP="00807999">
      <w:pPr>
        <w:widowControl w:val="0"/>
        <w:tabs>
          <w:tab w:val="left" w:pos="800"/>
        </w:tabs>
        <w:autoSpaceDE w:val="0"/>
        <w:autoSpaceDN w:val="0"/>
        <w:adjustRightInd w:val="0"/>
        <w:spacing w:after="240" w:line="240" w:lineRule="auto"/>
        <w:ind w:left="800" w:hanging="800"/>
      </w:pPr>
      <w:r>
        <w:t>90.</w:t>
      </w:r>
      <w:r>
        <w:tab/>
        <w:t xml:space="preserve">G. R. Ponder, G. N. Richards, T. T. Stevenson, Influence of linkage position and orientation in pyrolysis of polysaccharides: A study of several glucans. </w:t>
      </w:r>
      <w:r>
        <w:rPr>
          <w:i/>
          <w:iCs/>
        </w:rPr>
        <w:t>Journal of Analytical and Applied Pyrolysis</w:t>
      </w:r>
      <w:r>
        <w:t xml:space="preserve">. </w:t>
      </w:r>
      <w:r>
        <w:rPr>
          <w:b/>
          <w:bCs/>
        </w:rPr>
        <w:t>22</w:t>
      </w:r>
      <w:r>
        <w:t>, 217–229 (1992).</w:t>
      </w:r>
    </w:p>
    <w:p w14:paraId="359525A8" w14:textId="77777777" w:rsidR="00807999" w:rsidRDefault="00807999" w:rsidP="00807999">
      <w:pPr>
        <w:widowControl w:val="0"/>
        <w:tabs>
          <w:tab w:val="left" w:pos="800"/>
        </w:tabs>
        <w:autoSpaceDE w:val="0"/>
        <w:autoSpaceDN w:val="0"/>
        <w:adjustRightInd w:val="0"/>
        <w:spacing w:after="240" w:line="240" w:lineRule="auto"/>
        <w:ind w:left="800" w:hanging="800"/>
      </w:pPr>
      <w:r>
        <w:t>91.</w:t>
      </w:r>
      <w:r>
        <w:tab/>
        <w:t xml:space="preserve">M. Kleen, G. Gellerstedt, Influence of Inorganic Species on the Formation of Polysaccharide and Lignin Degradation Products in the Analytical Pyrolysis of Pulps. </w:t>
      </w:r>
      <w:r>
        <w:rPr>
          <w:i/>
          <w:iCs/>
        </w:rPr>
        <w:t>Journal of Analytical and Applied Pyrolysis</w:t>
      </w:r>
      <w:r>
        <w:t xml:space="preserve">. </w:t>
      </w:r>
      <w:r>
        <w:rPr>
          <w:b/>
          <w:bCs/>
        </w:rPr>
        <w:t>35</w:t>
      </w:r>
      <w:r>
        <w:t>, 15–41 (1995).</w:t>
      </w:r>
    </w:p>
    <w:p w14:paraId="35D260DE" w14:textId="77777777" w:rsidR="00807999" w:rsidRDefault="00807999" w:rsidP="00807999">
      <w:pPr>
        <w:widowControl w:val="0"/>
        <w:tabs>
          <w:tab w:val="left" w:pos="800"/>
        </w:tabs>
        <w:autoSpaceDE w:val="0"/>
        <w:autoSpaceDN w:val="0"/>
        <w:adjustRightInd w:val="0"/>
        <w:spacing w:after="240" w:line="240" w:lineRule="auto"/>
        <w:ind w:left="800" w:hanging="800"/>
      </w:pPr>
      <w:r>
        <w:t>92.</w:t>
      </w:r>
      <w:r>
        <w:tab/>
        <w:t xml:space="preserve">J. Zhang </w:t>
      </w:r>
      <w:r>
        <w:rPr>
          <w:i/>
          <w:iCs/>
        </w:rPr>
        <w:t>et al.</w:t>
      </w:r>
      <w:r>
        <w:t xml:space="preserve">, Cellulose–Hemicellulose and Cellulose–Lignin Interactions during Fast Pyrolysis. </w:t>
      </w:r>
      <w:r>
        <w:rPr>
          <w:i/>
          <w:iCs/>
        </w:rPr>
        <w:t>ACS Sustainable Chem. Eng.</w:t>
      </w:r>
      <w:r>
        <w:t xml:space="preserve"> </w:t>
      </w:r>
      <w:r>
        <w:rPr>
          <w:b/>
          <w:bCs/>
        </w:rPr>
        <w:t>3</w:t>
      </w:r>
      <w:r>
        <w:t>, 293–301 (2015).</w:t>
      </w:r>
    </w:p>
    <w:p w14:paraId="62DAFF63" w14:textId="77777777" w:rsidR="00807999" w:rsidRDefault="00807999" w:rsidP="00807999">
      <w:pPr>
        <w:widowControl w:val="0"/>
        <w:tabs>
          <w:tab w:val="left" w:pos="800"/>
        </w:tabs>
        <w:autoSpaceDE w:val="0"/>
        <w:autoSpaceDN w:val="0"/>
        <w:adjustRightInd w:val="0"/>
        <w:spacing w:after="240" w:line="240" w:lineRule="auto"/>
        <w:ind w:left="800" w:hanging="800"/>
      </w:pPr>
      <w:r>
        <w:t>93.</w:t>
      </w:r>
      <w:r>
        <w:tab/>
        <w:t xml:space="preserve">D. Mourant </w:t>
      </w:r>
      <w:r>
        <w:rPr>
          <w:i/>
          <w:iCs/>
        </w:rPr>
        <w:t>et al.</w:t>
      </w:r>
      <w:r>
        <w:t xml:space="preserve">, Mallee wood fast pyrolysis: Effects of alkali and alkaline earth metallic species on the yield and composition of bio-oil. </w:t>
      </w:r>
      <w:r>
        <w:rPr>
          <w:i/>
          <w:iCs/>
        </w:rPr>
        <w:t>Fuel</w:t>
      </w:r>
      <w:r>
        <w:t xml:space="preserve">. </w:t>
      </w:r>
      <w:r>
        <w:rPr>
          <w:b/>
          <w:bCs/>
        </w:rPr>
        <w:t>90</w:t>
      </w:r>
      <w:r>
        <w:t>, 2915–2922 (2011).</w:t>
      </w:r>
    </w:p>
    <w:p w14:paraId="06845189" w14:textId="77777777" w:rsidR="00807999" w:rsidRDefault="00807999" w:rsidP="00807999">
      <w:pPr>
        <w:widowControl w:val="0"/>
        <w:tabs>
          <w:tab w:val="left" w:pos="800"/>
        </w:tabs>
        <w:autoSpaceDE w:val="0"/>
        <w:autoSpaceDN w:val="0"/>
        <w:adjustRightInd w:val="0"/>
        <w:spacing w:after="240" w:line="240" w:lineRule="auto"/>
        <w:ind w:left="800" w:hanging="800"/>
      </w:pPr>
      <w:r>
        <w:t>94.</w:t>
      </w:r>
      <w:r>
        <w:tab/>
        <w:t xml:space="preserve">R. J. M. Westerhof, N. J. M. Kuipers, S. R. A. Kersten, W. P. M. van Swaaij, Controlling the Water Content of Biomass Fast Pyrolysis Oil. </w:t>
      </w:r>
      <w:r>
        <w:rPr>
          <w:i/>
          <w:iCs/>
        </w:rPr>
        <w:t>Ind. Eng. Chem. Res.</w:t>
      </w:r>
      <w:r>
        <w:t xml:space="preserve"> </w:t>
      </w:r>
      <w:r>
        <w:rPr>
          <w:b/>
          <w:bCs/>
        </w:rPr>
        <w:t>46</w:t>
      </w:r>
      <w:r>
        <w:t>, 9238–9247 (2007).</w:t>
      </w:r>
    </w:p>
    <w:p w14:paraId="1D389CB5" w14:textId="77777777" w:rsidR="00807999" w:rsidRDefault="00807999" w:rsidP="00807999">
      <w:pPr>
        <w:widowControl w:val="0"/>
        <w:tabs>
          <w:tab w:val="left" w:pos="800"/>
        </w:tabs>
        <w:autoSpaceDE w:val="0"/>
        <w:autoSpaceDN w:val="0"/>
        <w:adjustRightInd w:val="0"/>
        <w:spacing w:after="240" w:line="240" w:lineRule="auto"/>
        <w:ind w:left="800" w:hanging="800"/>
      </w:pPr>
      <w:r>
        <w:t>95.</w:t>
      </w:r>
      <w:r>
        <w:tab/>
        <w:t xml:space="preserve">L. Burhenne, M. Damiani, T. Aicher, Effect of feedstock water content and </w:t>
      </w:r>
      <w:r>
        <w:lastRenderedPageBreak/>
        <w:t xml:space="preserve">pyrolysis temperature on the structure and reactivity of spruce wood char produced in fixed bed pyrolysis. </w:t>
      </w:r>
      <w:r>
        <w:rPr>
          <w:i/>
          <w:iCs/>
        </w:rPr>
        <w:t>Fuel</w:t>
      </w:r>
      <w:r>
        <w:t xml:space="preserve">. </w:t>
      </w:r>
      <w:r>
        <w:rPr>
          <w:b/>
          <w:bCs/>
        </w:rPr>
        <w:t>107</w:t>
      </w:r>
      <w:r>
        <w:t>, 836–847 (2013).</w:t>
      </w:r>
    </w:p>
    <w:p w14:paraId="1FE09E7A" w14:textId="77777777" w:rsidR="00807999" w:rsidRDefault="00807999" w:rsidP="00807999">
      <w:pPr>
        <w:widowControl w:val="0"/>
        <w:tabs>
          <w:tab w:val="left" w:pos="800"/>
        </w:tabs>
        <w:autoSpaceDE w:val="0"/>
        <w:autoSpaceDN w:val="0"/>
        <w:adjustRightInd w:val="0"/>
        <w:spacing w:after="240" w:line="240" w:lineRule="auto"/>
        <w:ind w:left="800" w:hanging="800"/>
      </w:pPr>
      <w:r>
        <w:t>96.</w:t>
      </w:r>
      <w:r>
        <w:tab/>
        <w:t xml:space="preserve">R. He, X. P. Ye, B. C. English, J. A. Satrio, Influence of pyrolysis condition on switchgrass bio-oil yield and physicochemical properties. </w:t>
      </w:r>
      <w:r>
        <w:rPr>
          <w:i/>
          <w:iCs/>
        </w:rPr>
        <w:t>Bioresource technology</w:t>
      </w:r>
      <w:r>
        <w:t xml:space="preserve">. </w:t>
      </w:r>
      <w:r>
        <w:rPr>
          <w:b/>
          <w:bCs/>
        </w:rPr>
        <w:t>100</w:t>
      </w:r>
      <w:r>
        <w:t>, 5305–5311 (2009).</w:t>
      </w:r>
    </w:p>
    <w:p w14:paraId="072C762E" w14:textId="77777777" w:rsidR="00807999" w:rsidRDefault="00807999" w:rsidP="00807999">
      <w:pPr>
        <w:widowControl w:val="0"/>
        <w:tabs>
          <w:tab w:val="left" w:pos="800"/>
        </w:tabs>
        <w:autoSpaceDE w:val="0"/>
        <w:autoSpaceDN w:val="0"/>
        <w:adjustRightInd w:val="0"/>
        <w:spacing w:after="240" w:line="240" w:lineRule="auto"/>
        <w:ind w:left="800" w:hanging="800"/>
      </w:pPr>
      <w:r>
        <w:t>97.</w:t>
      </w:r>
      <w:r>
        <w:tab/>
        <w:t xml:space="preserve">A. Pictet, J. Sarasin, Sur la distillation de la cellulose et de l'amidon sous pression reduite. </w:t>
      </w:r>
      <w:r>
        <w:rPr>
          <w:i/>
          <w:iCs/>
        </w:rPr>
        <w:t>Helvetica Chimica Acta</w:t>
      </w:r>
      <w:r>
        <w:t xml:space="preserve"> (1918), doi:10.1002/hlca.19180010109/abstract.</w:t>
      </w:r>
    </w:p>
    <w:p w14:paraId="4FBE7D9B" w14:textId="77777777" w:rsidR="00807999" w:rsidRDefault="00807999" w:rsidP="00807999">
      <w:pPr>
        <w:widowControl w:val="0"/>
        <w:tabs>
          <w:tab w:val="left" w:pos="800"/>
        </w:tabs>
        <w:autoSpaceDE w:val="0"/>
        <w:autoSpaceDN w:val="0"/>
        <w:adjustRightInd w:val="0"/>
        <w:spacing w:after="240" w:line="240" w:lineRule="auto"/>
        <w:ind w:left="800" w:hanging="800"/>
      </w:pPr>
      <w:r>
        <w:t>98.</w:t>
      </w:r>
      <w:r>
        <w:tab/>
        <w:t xml:space="preserve">A. G. W. Bradbury, Y. Sakai, F. Shafizadeh, A kinetic model for pyrolysis of cellulose. </w:t>
      </w:r>
      <w:r>
        <w:rPr>
          <w:i/>
          <w:iCs/>
        </w:rPr>
        <w:t>Journal of Applied Polymer Science</w:t>
      </w:r>
      <w:r>
        <w:t xml:space="preserve">. </w:t>
      </w:r>
      <w:r>
        <w:rPr>
          <w:b/>
          <w:bCs/>
        </w:rPr>
        <w:t>23</w:t>
      </w:r>
      <w:r>
        <w:t>, 3271–3280 (1979).</w:t>
      </w:r>
    </w:p>
    <w:p w14:paraId="59E5744E" w14:textId="77777777" w:rsidR="00807999" w:rsidRDefault="00807999" w:rsidP="00807999">
      <w:pPr>
        <w:widowControl w:val="0"/>
        <w:tabs>
          <w:tab w:val="left" w:pos="800"/>
        </w:tabs>
        <w:autoSpaceDE w:val="0"/>
        <w:autoSpaceDN w:val="0"/>
        <w:adjustRightInd w:val="0"/>
        <w:spacing w:after="240" w:line="240" w:lineRule="auto"/>
        <w:ind w:left="800" w:hanging="800"/>
      </w:pPr>
      <w:r>
        <w:t>99.</w:t>
      </w:r>
      <w:r>
        <w:tab/>
        <w:t xml:space="preserve">B. W. Penning </w:t>
      </w:r>
      <w:r>
        <w:rPr>
          <w:i/>
          <w:iCs/>
        </w:rPr>
        <w:t>et al.</w:t>
      </w:r>
      <w:r>
        <w:t xml:space="preserve">, Validation of PyMBMS as a High-throughput Screen for Lignin Abundance in Lignocellulosic Biomass of Grasses. </w:t>
      </w:r>
      <w:r>
        <w:rPr>
          <w:i/>
          <w:iCs/>
        </w:rPr>
        <w:t>Bioenerg. Res.</w:t>
      </w:r>
      <w:r>
        <w:t xml:space="preserve"> </w:t>
      </w:r>
      <w:r>
        <w:rPr>
          <w:b/>
          <w:bCs/>
        </w:rPr>
        <w:t>7</w:t>
      </w:r>
      <w:r>
        <w:t>, 899–908 (2014).</w:t>
      </w:r>
    </w:p>
    <w:p w14:paraId="52ABBBBC" w14:textId="77777777" w:rsidR="00807999" w:rsidRDefault="00807999" w:rsidP="00807999">
      <w:pPr>
        <w:widowControl w:val="0"/>
        <w:tabs>
          <w:tab w:val="left" w:pos="800"/>
        </w:tabs>
        <w:autoSpaceDE w:val="0"/>
        <w:autoSpaceDN w:val="0"/>
        <w:adjustRightInd w:val="0"/>
        <w:spacing w:after="240" w:line="240" w:lineRule="auto"/>
        <w:ind w:left="800" w:hanging="800"/>
      </w:pPr>
      <w:r>
        <w:t>100.</w:t>
      </w:r>
      <w:r>
        <w:tab/>
        <w:t xml:space="preserve">P. R. Patwardhan, J. A. Satrio, R. C. Brown, Influence of inorganic salts on the primary pyrolysis products of cellulose. </w:t>
      </w:r>
      <w:r>
        <w:rPr>
          <w:i/>
          <w:iCs/>
        </w:rPr>
        <w:t>Bioresource technology</w:t>
      </w:r>
      <w:r>
        <w:t xml:space="preserve"> (2010), doi:10.1016/j.biortech.2010.01.112.</w:t>
      </w:r>
    </w:p>
    <w:p w14:paraId="214E0E9D" w14:textId="77777777" w:rsidR="00807999" w:rsidRDefault="00807999" w:rsidP="00807999">
      <w:pPr>
        <w:widowControl w:val="0"/>
        <w:tabs>
          <w:tab w:val="left" w:pos="800"/>
        </w:tabs>
        <w:autoSpaceDE w:val="0"/>
        <w:autoSpaceDN w:val="0"/>
        <w:adjustRightInd w:val="0"/>
        <w:spacing w:after="240" w:line="240" w:lineRule="auto"/>
        <w:ind w:left="800" w:hanging="800"/>
      </w:pPr>
      <w:r>
        <w:t>101.</w:t>
      </w:r>
      <w:r>
        <w:tab/>
        <w:t xml:space="preserve">I.-Y. Eom </w:t>
      </w:r>
      <w:r>
        <w:rPr>
          <w:i/>
          <w:iCs/>
        </w:rPr>
        <w:t>et al.</w:t>
      </w:r>
      <w:r>
        <w:t xml:space="preserve">, Effect of essential inorganic metals on primary thermal degradation of lignocellulosic biomass. </w:t>
      </w:r>
      <w:r>
        <w:rPr>
          <w:i/>
          <w:iCs/>
        </w:rPr>
        <w:t>Bioresource technology</w:t>
      </w:r>
      <w:r>
        <w:t xml:space="preserve">. </w:t>
      </w:r>
      <w:r>
        <w:rPr>
          <w:b/>
          <w:bCs/>
        </w:rPr>
        <w:t>104</w:t>
      </w:r>
      <w:r>
        <w:t>, 687–694 (2012).</w:t>
      </w:r>
    </w:p>
    <w:p w14:paraId="4A93656A" w14:textId="77777777" w:rsidR="00807999" w:rsidRDefault="00807999" w:rsidP="00807999">
      <w:pPr>
        <w:widowControl w:val="0"/>
        <w:tabs>
          <w:tab w:val="left" w:pos="800"/>
        </w:tabs>
        <w:autoSpaceDE w:val="0"/>
        <w:autoSpaceDN w:val="0"/>
        <w:adjustRightInd w:val="0"/>
        <w:spacing w:after="240" w:line="240" w:lineRule="auto"/>
        <w:ind w:left="800" w:hanging="800"/>
      </w:pPr>
      <w:r>
        <w:t>102.</w:t>
      </w:r>
      <w:r>
        <w:tab/>
        <w:t xml:space="preserve">Z. Jin, K. S. Katsumata, T. B. T. Lam, K. Iiyama, Covalent linkages between cellulose and lignin in cell walls of coniferous and nonconiferous woods. </w:t>
      </w:r>
      <w:r>
        <w:rPr>
          <w:i/>
          <w:iCs/>
        </w:rPr>
        <w:t>Biopolymers</w:t>
      </w:r>
      <w:r>
        <w:t xml:space="preserve">. </w:t>
      </w:r>
      <w:r>
        <w:rPr>
          <w:b/>
          <w:bCs/>
        </w:rPr>
        <w:t>83</w:t>
      </w:r>
      <w:r>
        <w:t>, 103–110 (2006).</w:t>
      </w:r>
    </w:p>
    <w:p w14:paraId="13A67F2F" w14:textId="77777777" w:rsidR="00807999" w:rsidRDefault="00807999" w:rsidP="00807999">
      <w:pPr>
        <w:widowControl w:val="0"/>
        <w:tabs>
          <w:tab w:val="left" w:pos="800"/>
        </w:tabs>
        <w:autoSpaceDE w:val="0"/>
        <w:autoSpaceDN w:val="0"/>
        <w:adjustRightInd w:val="0"/>
        <w:spacing w:after="240" w:line="240" w:lineRule="auto"/>
        <w:ind w:left="800" w:hanging="800"/>
      </w:pPr>
      <w:r>
        <w:t>103.</w:t>
      </w:r>
      <w:r>
        <w:tab/>
        <w:t xml:space="preserve">Y. Zhou, H. Stuart-Williams, G. D. Farquhar, C. H. Hocart, The use of natural abundance stable isotopic ratios to indicate the presence of oxygen-containing chemical linkages between cellulose and lignin in plant cell walls. </w:t>
      </w:r>
      <w:r>
        <w:rPr>
          <w:i/>
          <w:iCs/>
        </w:rPr>
        <w:t>Phytochemistry</w:t>
      </w:r>
      <w:r>
        <w:t xml:space="preserve">. </w:t>
      </w:r>
      <w:r>
        <w:rPr>
          <w:b/>
          <w:bCs/>
        </w:rPr>
        <w:t>71</w:t>
      </w:r>
      <w:r>
        <w:t>, 982–993 (2010).</w:t>
      </w:r>
    </w:p>
    <w:p w14:paraId="7569E239" w14:textId="77777777" w:rsidR="00807999" w:rsidRDefault="00807999" w:rsidP="00807999">
      <w:pPr>
        <w:widowControl w:val="0"/>
        <w:tabs>
          <w:tab w:val="left" w:pos="800"/>
        </w:tabs>
        <w:autoSpaceDE w:val="0"/>
        <w:autoSpaceDN w:val="0"/>
        <w:adjustRightInd w:val="0"/>
        <w:spacing w:after="240" w:line="240" w:lineRule="auto"/>
        <w:ind w:left="800" w:hanging="800"/>
      </w:pPr>
      <w:r>
        <w:t>104.</w:t>
      </w:r>
      <w:r>
        <w:tab/>
        <w:t xml:space="preserve">O. D. Mante, S. P. Babu, T. E. Amidon, A comprehensive study on relating cell-wall components of lignocellulosic biomass to oxygenated species formed during pyrolysis. </w:t>
      </w:r>
      <w:r>
        <w:rPr>
          <w:i/>
          <w:iCs/>
        </w:rPr>
        <w:t>Journal of Analytical and Applied Pyrolysis</w:t>
      </w:r>
      <w:r>
        <w:t xml:space="preserve">. </w:t>
      </w:r>
      <w:r>
        <w:rPr>
          <w:b/>
          <w:bCs/>
        </w:rPr>
        <w:t>108</w:t>
      </w:r>
      <w:r>
        <w:t>, 56–67 (2014).</w:t>
      </w:r>
    </w:p>
    <w:p w14:paraId="7A188EBA" w14:textId="77777777" w:rsidR="00807999" w:rsidRDefault="00807999" w:rsidP="00807999">
      <w:pPr>
        <w:widowControl w:val="0"/>
        <w:tabs>
          <w:tab w:val="left" w:pos="800"/>
        </w:tabs>
        <w:autoSpaceDE w:val="0"/>
        <w:autoSpaceDN w:val="0"/>
        <w:adjustRightInd w:val="0"/>
        <w:spacing w:after="240" w:line="240" w:lineRule="auto"/>
        <w:ind w:left="800" w:hanging="800"/>
      </w:pPr>
      <w:r>
        <w:t>105.</w:t>
      </w:r>
      <w:r>
        <w:tab/>
        <w:t xml:space="preserve">J. G. Pohlmann, E. Osório, A. C. F. Vilela, M. A. Diez, A. G. Borrego, </w:t>
      </w:r>
      <w:r>
        <w:rPr>
          <w:i/>
          <w:iCs/>
        </w:rPr>
        <w:t>Integrating physicochemical information to follow the transformations of biomass upon torrefaction and low-temperature carbonization</w:t>
      </w:r>
      <w:r>
        <w:t xml:space="preserve"> (2014), vol. 131.</w:t>
      </w:r>
    </w:p>
    <w:p w14:paraId="1B2876AD" w14:textId="77777777" w:rsidR="00807999" w:rsidRDefault="00807999" w:rsidP="00807999">
      <w:pPr>
        <w:widowControl w:val="0"/>
        <w:tabs>
          <w:tab w:val="left" w:pos="800"/>
        </w:tabs>
        <w:autoSpaceDE w:val="0"/>
        <w:autoSpaceDN w:val="0"/>
        <w:adjustRightInd w:val="0"/>
        <w:spacing w:after="240" w:line="240" w:lineRule="auto"/>
        <w:ind w:left="800" w:hanging="800"/>
      </w:pPr>
      <w:r>
        <w:t>106.</w:t>
      </w:r>
      <w:r>
        <w:tab/>
        <w:t xml:space="preserve">A. V. Bridgwater, D. Meier, D. Radlein, </w:t>
      </w:r>
      <w:r>
        <w:rPr>
          <w:i/>
          <w:iCs/>
        </w:rPr>
        <w:t>An overview of fast pyrolysis of biomass</w:t>
      </w:r>
      <w:r>
        <w:t xml:space="preserve"> (1999).</w:t>
      </w:r>
    </w:p>
    <w:p w14:paraId="7A5D7D1F" w14:textId="77777777" w:rsidR="00807999" w:rsidRDefault="00807999" w:rsidP="00807999">
      <w:pPr>
        <w:widowControl w:val="0"/>
        <w:tabs>
          <w:tab w:val="left" w:pos="800"/>
        </w:tabs>
        <w:autoSpaceDE w:val="0"/>
        <w:autoSpaceDN w:val="0"/>
        <w:adjustRightInd w:val="0"/>
        <w:spacing w:after="240" w:line="240" w:lineRule="auto"/>
        <w:ind w:left="800" w:hanging="800"/>
      </w:pPr>
      <w:r>
        <w:t>107.</w:t>
      </w:r>
      <w:r>
        <w:tab/>
        <w:t xml:space="preserve">K. M. Bryden, K. W. Ragland, C. J. Rutland, Modeling thermally thick </w:t>
      </w:r>
      <w:r>
        <w:lastRenderedPageBreak/>
        <w:t xml:space="preserve">pyrolysis of wood. </w:t>
      </w:r>
      <w:r>
        <w:rPr>
          <w:i/>
          <w:iCs/>
        </w:rPr>
        <w:t>Biomass and Bioenergy</w:t>
      </w:r>
      <w:r>
        <w:t xml:space="preserve">. </w:t>
      </w:r>
      <w:r>
        <w:rPr>
          <w:b/>
          <w:bCs/>
        </w:rPr>
        <w:t>22</w:t>
      </w:r>
      <w:r>
        <w:t>, 41–53 (2002).</w:t>
      </w:r>
    </w:p>
    <w:p w14:paraId="6F9609E4" w14:textId="77777777" w:rsidR="00807999" w:rsidRDefault="00807999" w:rsidP="00807999">
      <w:pPr>
        <w:widowControl w:val="0"/>
        <w:tabs>
          <w:tab w:val="left" w:pos="800"/>
        </w:tabs>
        <w:autoSpaceDE w:val="0"/>
        <w:autoSpaceDN w:val="0"/>
        <w:adjustRightInd w:val="0"/>
        <w:spacing w:after="240" w:line="240" w:lineRule="auto"/>
        <w:ind w:left="800" w:hanging="800"/>
      </w:pPr>
      <w:r>
        <w:t>108.</w:t>
      </w:r>
      <w:r>
        <w:tab/>
        <w:t xml:space="preserve">K. O. Davidsson, J. Pettersson, </w:t>
      </w:r>
      <w:r>
        <w:rPr>
          <w:i/>
          <w:iCs/>
        </w:rPr>
        <w:t>Birch wood particle shrinkage during rapid pyrolysis</w:t>
      </w:r>
      <w:r>
        <w:t xml:space="preserve"> (2002).</w:t>
      </w:r>
    </w:p>
    <w:p w14:paraId="6A0664F0" w14:textId="77777777" w:rsidR="00807999" w:rsidRDefault="00807999" w:rsidP="00807999">
      <w:pPr>
        <w:widowControl w:val="0"/>
        <w:tabs>
          <w:tab w:val="left" w:pos="800"/>
        </w:tabs>
        <w:autoSpaceDE w:val="0"/>
        <w:autoSpaceDN w:val="0"/>
        <w:adjustRightInd w:val="0"/>
        <w:spacing w:after="240" w:line="240" w:lineRule="auto"/>
        <w:ind w:left="800" w:hanging="800"/>
      </w:pPr>
      <w:r>
        <w:t>109.</w:t>
      </w:r>
      <w:r>
        <w:tab/>
        <w:t xml:space="preserve">D. S. Scott, J. Piskorz, The continuous flash pyrolysis of biomass. </w:t>
      </w:r>
      <w:r>
        <w:rPr>
          <w:i/>
          <w:iCs/>
        </w:rPr>
        <w:t>Can. J. Chem. Eng.</w:t>
      </w:r>
      <w:r>
        <w:t xml:space="preserve"> </w:t>
      </w:r>
      <w:r>
        <w:rPr>
          <w:b/>
          <w:bCs/>
        </w:rPr>
        <w:t>62</w:t>
      </w:r>
      <w:r>
        <w:t>, 404–412 (1984).</w:t>
      </w:r>
    </w:p>
    <w:p w14:paraId="125B47CC" w14:textId="77777777" w:rsidR="00807999" w:rsidRDefault="00807999" w:rsidP="00807999">
      <w:pPr>
        <w:widowControl w:val="0"/>
        <w:tabs>
          <w:tab w:val="left" w:pos="800"/>
        </w:tabs>
        <w:autoSpaceDE w:val="0"/>
        <w:autoSpaceDN w:val="0"/>
        <w:adjustRightInd w:val="0"/>
        <w:spacing w:after="240" w:line="240" w:lineRule="auto"/>
        <w:ind w:left="800" w:hanging="800"/>
      </w:pPr>
      <w:r>
        <w:t>110.</w:t>
      </w:r>
      <w:r>
        <w:tab/>
        <w:t xml:space="preserve">H. S. Fogler, </w:t>
      </w:r>
      <w:r>
        <w:rPr>
          <w:i/>
          <w:iCs/>
        </w:rPr>
        <w:t>Elements of chemical reaction engineering</w:t>
      </w:r>
      <w:r>
        <w:t xml:space="preserve"> (Prentice-Hall, Upper Saddle River, NJ, ed. 4, 2006).</w:t>
      </w:r>
    </w:p>
    <w:p w14:paraId="52DE1335" w14:textId="77777777" w:rsidR="00807999" w:rsidRDefault="00807999" w:rsidP="00807999">
      <w:pPr>
        <w:widowControl w:val="0"/>
        <w:tabs>
          <w:tab w:val="left" w:pos="800"/>
        </w:tabs>
        <w:autoSpaceDE w:val="0"/>
        <w:autoSpaceDN w:val="0"/>
        <w:adjustRightInd w:val="0"/>
        <w:spacing w:after="240" w:line="240" w:lineRule="auto"/>
        <w:ind w:left="800" w:hanging="800"/>
      </w:pPr>
      <w:r>
        <w:t>111.</w:t>
      </w:r>
      <w:r>
        <w:tab/>
        <w:t xml:space="preserve">K. B. Hicks, K. P. Vogel, A. A. Boateng, Pyrolysis of switchgrass (Panicum virgatum) harvested at several stages of maturity. </w:t>
      </w:r>
      <w:r>
        <w:rPr>
          <w:i/>
          <w:iCs/>
        </w:rPr>
        <w:t>Journal of Analytical and Applied Pyrolysis</w:t>
      </w:r>
      <w:r>
        <w:t xml:space="preserve">. </w:t>
      </w:r>
      <w:r>
        <w:rPr>
          <w:b/>
          <w:bCs/>
        </w:rPr>
        <w:t>75</w:t>
      </w:r>
      <w:r>
        <w:t>, 55–64 (2006).</w:t>
      </w:r>
    </w:p>
    <w:p w14:paraId="2C93B7A4" w14:textId="77777777" w:rsidR="00807999" w:rsidRDefault="00807999" w:rsidP="00807999">
      <w:pPr>
        <w:widowControl w:val="0"/>
        <w:tabs>
          <w:tab w:val="left" w:pos="800"/>
        </w:tabs>
        <w:autoSpaceDE w:val="0"/>
        <w:autoSpaceDN w:val="0"/>
        <w:adjustRightInd w:val="0"/>
        <w:spacing w:after="240" w:line="240" w:lineRule="auto"/>
        <w:ind w:left="800" w:hanging="800"/>
      </w:pPr>
      <w:r>
        <w:t>112.</w:t>
      </w:r>
      <w:r>
        <w:tab/>
        <w:t xml:space="preserve">L. Liu, X. P. Ye, A. R. Womac, S. Sokhansanj, Variability of biomass chemical composition and rapid analysis using FT-NIR techniques. </w:t>
      </w:r>
      <w:r>
        <w:rPr>
          <w:i/>
          <w:iCs/>
        </w:rPr>
        <w:t>Carbohydrate Polymers</w:t>
      </w:r>
      <w:r>
        <w:t xml:space="preserve">. </w:t>
      </w:r>
      <w:r>
        <w:rPr>
          <w:b/>
          <w:bCs/>
        </w:rPr>
        <w:t>81</w:t>
      </w:r>
      <w:r>
        <w:t>, 820–829 (2010).</w:t>
      </w:r>
    </w:p>
    <w:p w14:paraId="39F8CAD2" w14:textId="77777777" w:rsidR="00807999" w:rsidRDefault="00807999" w:rsidP="00807999">
      <w:pPr>
        <w:widowControl w:val="0"/>
        <w:tabs>
          <w:tab w:val="left" w:pos="800"/>
        </w:tabs>
        <w:autoSpaceDE w:val="0"/>
        <w:autoSpaceDN w:val="0"/>
        <w:adjustRightInd w:val="0"/>
        <w:spacing w:after="240" w:line="240" w:lineRule="auto"/>
        <w:ind w:left="800" w:hanging="800"/>
      </w:pPr>
      <w:r>
        <w:t>113.</w:t>
      </w:r>
      <w:r>
        <w:tab/>
        <w:t xml:space="preserve">R. Sykes </w:t>
      </w:r>
      <w:r>
        <w:rPr>
          <w:i/>
          <w:iCs/>
        </w:rPr>
        <w:t>et al.</w:t>
      </w:r>
      <w:r>
        <w:t xml:space="preserve">, in </w:t>
      </w:r>
      <w:r>
        <w:rPr>
          <w:i/>
          <w:iCs/>
        </w:rPr>
        <w:t>Biofuels</w:t>
      </w:r>
      <w:r>
        <w:t xml:space="preserve"> (Humana Press, Totowa, NJ, 2009), vol. 581 of </w:t>
      </w:r>
      <w:r>
        <w:rPr>
          <w:i/>
          <w:iCs/>
        </w:rPr>
        <w:t>Methods in Molecular Biology</w:t>
      </w:r>
      <w:r>
        <w:t>, pp. 169–183.</w:t>
      </w:r>
    </w:p>
    <w:p w14:paraId="1889B5A1" w14:textId="77777777" w:rsidR="00807999" w:rsidRDefault="00807999" w:rsidP="00807999">
      <w:pPr>
        <w:widowControl w:val="0"/>
        <w:tabs>
          <w:tab w:val="left" w:pos="800"/>
        </w:tabs>
        <w:autoSpaceDE w:val="0"/>
        <w:autoSpaceDN w:val="0"/>
        <w:adjustRightInd w:val="0"/>
        <w:spacing w:after="240" w:line="240" w:lineRule="auto"/>
        <w:ind w:left="800" w:hanging="800"/>
      </w:pPr>
      <w:r>
        <w:t>114.</w:t>
      </w:r>
      <w:r>
        <w:tab/>
        <w:t xml:space="preserve">J. L. Wegrzyn </w:t>
      </w:r>
      <w:r>
        <w:rPr>
          <w:i/>
          <w:iCs/>
        </w:rPr>
        <w:t>et al.</w:t>
      </w:r>
      <w:r>
        <w:t xml:space="preserve">, Association genetics of traits controlling lignin and cellulose biosynthesis in black cottonwood (Populus trichocarpa, Salicaceae) secondary xylem. </w:t>
      </w:r>
      <w:r>
        <w:rPr>
          <w:i/>
          <w:iCs/>
        </w:rPr>
        <w:t>New Phytologist</w:t>
      </w:r>
      <w:r>
        <w:t xml:space="preserve">. </w:t>
      </w:r>
      <w:r>
        <w:rPr>
          <w:b/>
          <w:bCs/>
        </w:rPr>
        <w:t>188</w:t>
      </w:r>
      <w:r>
        <w:t>, 515–532 (2010).</w:t>
      </w:r>
    </w:p>
    <w:p w14:paraId="7609A512" w14:textId="77777777" w:rsidR="00807999" w:rsidRDefault="00807999" w:rsidP="00807999">
      <w:pPr>
        <w:widowControl w:val="0"/>
        <w:tabs>
          <w:tab w:val="left" w:pos="800"/>
        </w:tabs>
        <w:autoSpaceDE w:val="0"/>
        <w:autoSpaceDN w:val="0"/>
        <w:adjustRightInd w:val="0"/>
        <w:spacing w:after="240" w:line="240" w:lineRule="auto"/>
        <w:ind w:left="800" w:hanging="800"/>
      </w:pPr>
      <w:r>
        <w:t>115.</w:t>
      </w:r>
      <w:r>
        <w:tab/>
        <w:t xml:space="preserve">B. W. Penning </w:t>
      </w:r>
      <w:r>
        <w:rPr>
          <w:i/>
          <w:iCs/>
        </w:rPr>
        <w:t>et al.</w:t>
      </w:r>
      <w:r>
        <w:t xml:space="preserve">, Genetic Determinants for Enzymatic Digestion of Lignocellulosic Biomass Are Independent of Those for Lignin Abundance in a Maize Recombinant Inbred Population. </w:t>
      </w:r>
      <w:r>
        <w:rPr>
          <w:i/>
          <w:iCs/>
        </w:rPr>
        <w:t>Plant Physiol.</w:t>
      </w:r>
      <w:r>
        <w:t xml:space="preserve"> </w:t>
      </w:r>
      <w:r>
        <w:rPr>
          <w:b/>
          <w:bCs/>
        </w:rPr>
        <w:t>165</w:t>
      </w:r>
      <w:r>
        <w:t>, 1475–1487 (2014).</w:t>
      </w:r>
    </w:p>
    <w:p w14:paraId="6B0E9D98" w14:textId="77777777" w:rsidR="00807999" w:rsidRDefault="00807999" w:rsidP="00807999">
      <w:pPr>
        <w:widowControl w:val="0"/>
        <w:tabs>
          <w:tab w:val="left" w:pos="800"/>
        </w:tabs>
        <w:autoSpaceDE w:val="0"/>
        <w:autoSpaceDN w:val="0"/>
        <w:adjustRightInd w:val="0"/>
        <w:spacing w:after="240" w:line="240" w:lineRule="auto"/>
        <w:ind w:left="800" w:hanging="800"/>
      </w:pPr>
      <w:r>
        <w:t>116.</w:t>
      </w:r>
      <w:r>
        <w:tab/>
        <w:t xml:space="preserve">L. E. Bartley, P. C. Ronald, Plant and microbial research seeks biofuel production from lignocellulose. </w:t>
      </w:r>
      <w:r>
        <w:rPr>
          <w:i/>
          <w:iCs/>
        </w:rPr>
        <w:t>California Agriculture</w:t>
      </w:r>
      <w:r>
        <w:t xml:space="preserve">. </w:t>
      </w:r>
      <w:r>
        <w:rPr>
          <w:b/>
          <w:bCs/>
        </w:rPr>
        <w:t>63</w:t>
      </w:r>
      <w:r>
        <w:t>, 178–184 (2009).</w:t>
      </w:r>
    </w:p>
    <w:p w14:paraId="2AC0CC60" w14:textId="77777777" w:rsidR="00807999" w:rsidRDefault="00807999" w:rsidP="00807999">
      <w:pPr>
        <w:widowControl w:val="0"/>
        <w:tabs>
          <w:tab w:val="left" w:pos="800"/>
        </w:tabs>
        <w:autoSpaceDE w:val="0"/>
        <w:autoSpaceDN w:val="0"/>
        <w:adjustRightInd w:val="0"/>
        <w:spacing w:after="240" w:line="240" w:lineRule="auto"/>
        <w:ind w:left="800" w:hanging="800"/>
      </w:pPr>
      <w:r>
        <w:t>117.</w:t>
      </w:r>
      <w:r>
        <w:tab/>
        <w:t xml:space="preserve">F. Yang </w:t>
      </w:r>
      <w:r>
        <w:rPr>
          <w:i/>
          <w:iCs/>
        </w:rPr>
        <w:t>et al.</w:t>
      </w:r>
      <w:r>
        <w:t xml:space="preserve">, Engineering secondary cell wall deposition in plants. </w:t>
      </w:r>
      <w:r>
        <w:rPr>
          <w:i/>
          <w:iCs/>
        </w:rPr>
        <w:t>Plant Biotechnol J</w:t>
      </w:r>
      <w:r>
        <w:t xml:space="preserve">. </w:t>
      </w:r>
      <w:r>
        <w:rPr>
          <w:b/>
          <w:bCs/>
        </w:rPr>
        <w:t>11</w:t>
      </w:r>
      <w:r>
        <w:t>, 325–335 (2013).</w:t>
      </w:r>
    </w:p>
    <w:p w14:paraId="416D57F7" w14:textId="77777777" w:rsidR="00807999" w:rsidRDefault="00807999" w:rsidP="00807999">
      <w:pPr>
        <w:widowControl w:val="0"/>
        <w:tabs>
          <w:tab w:val="left" w:pos="800"/>
        </w:tabs>
        <w:autoSpaceDE w:val="0"/>
        <w:autoSpaceDN w:val="0"/>
        <w:adjustRightInd w:val="0"/>
        <w:spacing w:after="240" w:line="240" w:lineRule="auto"/>
        <w:ind w:left="800" w:hanging="800"/>
      </w:pPr>
      <w:r>
        <w:t>118.</w:t>
      </w:r>
      <w:r>
        <w:tab/>
        <w:t xml:space="preserve">N. D. Bonawitz, C. Chapple, The Genetics of Lignin Biosynthesis: Connecting Genotype to Phenotype. </w:t>
      </w:r>
      <w:r>
        <w:rPr>
          <w:i/>
          <w:iCs/>
        </w:rPr>
        <w:t>Annu. Rev. Genet.</w:t>
      </w:r>
      <w:r>
        <w:t xml:space="preserve"> </w:t>
      </w:r>
      <w:r>
        <w:rPr>
          <w:b/>
          <w:bCs/>
        </w:rPr>
        <w:t>44</w:t>
      </w:r>
      <w:r>
        <w:t>, 337–363 (2010).</w:t>
      </w:r>
    </w:p>
    <w:p w14:paraId="1AD47773" w14:textId="77777777" w:rsidR="00807999" w:rsidRDefault="00807999" w:rsidP="00807999">
      <w:pPr>
        <w:widowControl w:val="0"/>
        <w:tabs>
          <w:tab w:val="left" w:pos="800"/>
        </w:tabs>
        <w:autoSpaceDE w:val="0"/>
        <w:autoSpaceDN w:val="0"/>
        <w:adjustRightInd w:val="0"/>
        <w:spacing w:after="240" w:line="240" w:lineRule="auto"/>
        <w:ind w:left="800" w:hanging="800"/>
      </w:pPr>
      <w:r>
        <w:t>119.</w:t>
      </w:r>
      <w:r>
        <w:tab/>
        <w:t xml:space="preserve">D. Chiniquy </w:t>
      </w:r>
      <w:r>
        <w:rPr>
          <w:i/>
          <w:iCs/>
        </w:rPr>
        <w:t>et al.</w:t>
      </w:r>
      <w:r>
        <w:t xml:space="preserve">, XAX1 from glycosyltransferase family 61 mediates xylosyltransfer to rice xylan. </w:t>
      </w:r>
      <w:r>
        <w:rPr>
          <w:i/>
          <w:iCs/>
        </w:rPr>
        <w:t>Proc. Natl. Acad. Sci. U.S.A.</w:t>
      </w:r>
      <w:r>
        <w:t xml:space="preserve"> </w:t>
      </w:r>
      <w:r>
        <w:rPr>
          <w:b/>
          <w:bCs/>
        </w:rPr>
        <w:t>109</w:t>
      </w:r>
      <w:r>
        <w:t>, 17117–17122 (2012).</w:t>
      </w:r>
    </w:p>
    <w:p w14:paraId="63F72CA6" w14:textId="77777777" w:rsidR="00807999" w:rsidRDefault="00807999" w:rsidP="00807999">
      <w:pPr>
        <w:widowControl w:val="0"/>
        <w:tabs>
          <w:tab w:val="left" w:pos="800"/>
        </w:tabs>
        <w:autoSpaceDE w:val="0"/>
        <w:autoSpaceDN w:val="0"/>
        <w:adjustRightInd w:val="0"/>
        <w:spacing w:after="240" w:line="240" w:lineRule="auto"/>
        <w:ind w:left="800" w:hanging="800"/>
      </w:pPr>
      <w:r>
        <w:t>120.</w:t>
      </w:r>
      <w:r>
        <w:tab/>
        <w:t xml:space="preserve">L. E. Bartley </w:t>
      </w:r>
      <w:r>
        <w:rPr>
          <w:i/>
          <w:iCs/>
        </w:rPr>
        <w:t>et al.</w:t>
      </w:r>
      <w:r>
        <w:t xml:space="preserve">, Overexpression of a BAHD Acyltransferase, OsAt10, Alters Rice Cell Wall Hydroxycinnamic Acid Content and Saccharification. </w:t>
      </w:r>
      <w:r>
        <w:rPr>
          <w:i/>
          <w:iCs/>
        </w:rPr>
        <w:t>Plant Physiol.</w:t>
      </w:r>
      <w:r>
        <w:t xml:space="preserve"> </w:t>
      </w:r>
      <w:r>
        <w:rPr>
          <w:b/>
          <w:bCs/>
        </w:rPr>
        <w:t>161</w:t>
      </w:r>
      <w:r>
        <w:t>, 1615–1633 (2013).</w:t>
      </w:r>
    </w:p>
    <w:p w14:paraId="1C78CD26" w14:textId="77777777" w:rsidR="00807999" w:rsidRDefault="00807999" w:rsidP="00807999">
      <w:pPr>
        <w:widowControl w:val="0"/>
        <w:tabs>
          <w:tab w:val="left" w:pos="800"/>
        </w:tabs>
        <w:autoSpaceDE w:val="0"/>
        <w:autoSpaceDN w:val="0"/>
        <w:adjustRightInd w:val="0"/>
        <w:spacing w:after="240" w:line="240" w:lineRule="auto"/>
        <w:ind w:left="800" w:hanging="800"/>
      </w:pPr>
      <w:r>
        <w:t>121.</w:t>
      </w:r>
      <w:r>
        <w:tab/>
        <w:t xml:space="preserve">A. Schultink, D. Naylor, M. Dama, M. Pauly, The role of the plant-specific </w:t>
      </w:r>
      <w:r>
        <w:lastRenderedPageBreak/>
        <w:t xml:space="preserve">ALTERED XYLOGLUCAN9 protein in Arabidopsis cell wall polysaccharide O-acetylation. </w:t>
      </w:r>
      <w:r>
        <w:rPr>
          <w:i/>
          <w:iCs/>
        </w:rPr>
        <w:t>Plant Physiol.</w:t>
      </w:r>
      <w:r>
        <w:t xml:space="preserve"> </w:t>
      </w:r>
      <w:r>
        <w:rPr>
          <w:b/>
          <w:bCs/>
        </w:rPr>
        <w:t>167</w:t>
      </w:r>
      <w:r>
        <w:t>, 1271–1283 (2015).</w:t>
      </w:r>
    </w:p>
    <w:p w14:paraId="6162F369" w14:textId="77777777" w:rsidR="00807999" w:rsidRDefault="00807999" w:rsidP="00807999">
      <w:pPr>
        <w:widowControl w:val="0"/>
        <w:tabs>
          <w:tab w:val="left" w:pos="800"/>
        </w:tabs>
        <w:autoSpaceDE w:val="0"/>
        <w:autoSpaceDN w:val="0"/>
        <w:adjustRightInd w:val="0"/>
        <w:spacing w:after="240" w:line="240" w:lineRule="auto"/>
        <w:ind w:left="800" w:hanging="800"/>
      </w:pPr>
      <w:r>
        <w:t>122.</w:t>
      </w:r>
      <w:r>
        <w:tab/>
        <w:t xml:space="preserve">Q. Zhao, R. A. Dixon, Transcriptional networks for lignin biosynthesis: more complex than we thought? </w:t>
      </w:r>
      <w:r>
        <w:rPr>
          <w:i/>
          <w:iCs/>
        </w:rPr>
        <w:t>Trends in Plant Science</w:t>
      </w:r>
      <w:r>
        <w:t xml:space="preserve">. </w:t>
      </w:r>
      <w:r>
        <w:rPr>
          <w:b/>
          <w:bCs/>
        </w:rPr>
        <w:t>16</w:t>
      </w:r>
      <w:r>
        <w:t>, 227–233 (2011).</w:t>
      </w:r>
    </w:p>
    <w:p w14:paraId="2C20DD5C" w14:textId="77777777" w:rsidR="00807999" w:rsidRDefault="00807999" w:rsidP="00807999">
      <w:pPr>
        <w:widowControl w:val="0"/>
        <w:tabs>
          <w:tab w:val="left" w:pos="800"/>
        </w:tabs>
        <w:autoSpaceDE w:val="0"/>
        <w:autoSpaceDN w:val="0"/>
        <w:adjustRightInd w:val="0"/>
        <w:spacing w:after="240" w:line="240" w:lineRule="auto"/>
        <w:ind w:left="800" w:hanging="800"/>
      </w:pPr>
      <w:r>
        <w:t>123.</w:t>
      </w:r>
      <w:r>
        <w:tab/>
        <w:t xml:space="preserve">J. F. Ma </w:t>
      </w:r>
      <w:r>
        <w:rPr>
          <w:i/>
          <w:iCs/>
        </w:rPr>
        <w:t>et al.</w:t>
      </w:r>
      <w:r>
        <w:t xml:space="preserve">, A silicon transporter in rice. </w:t>
      </w:r>
      <w:r>
        <w:rPr>
          <w:i/>
          <w:iCs/>
        </w:rPr>
        <w:t>Nature</w:t>
      </w:r>
      <w:r>
        <w:t xml:space="preserve">. </w:t>
      </w:r>
      <w:r>
        <w:rPr>
          <w:b/>
          <w:bCs/>
        </w:rPr>
        <w:t>440</w:t>
      </w:r>
      <w:r>
        <w:t>, 688–691 (2006).</w:t>
      </w:r>
    </w:p>
    <w:p w14:paraId="03D8E093" w14:textId="77777777" w:rsidR="00807999" w:rsidRDefault="00807999" w:rsidP="00807999">
      <w:pPr>
        <w:widowControl w:val="0"/>
        <w:tabs>
          <w:tab w:val="left" w:pos="800"/>
        </w:tabs>
        <w:autoSpaceDE w:val="0"/>
        <w:autoSpaceDN w:val="0"/>
        <w:adjustRightInd w:val="0"/>
        <w:spacing w:after="240" w:line="240" w:lineRule="auto"/>
        <w:ind w:left="800" w:hanging="800"/>
      </w:pPr>
      <w:r>
        <w:t>124.</w:t>
      </w:r>
      <w:r>
        <w:tab/>
        <w:t xml:space="preserve">N. Yamaji, J. F. Ma, A Transporter at the Node Responsible for Intervascular Transfer of Silicon in Rice. </w:t>
      </w:r>
      <w:r>
        <w:rPr>
          <w:i/>
          <w:iCs/>
        </w:rPr>
        <w:t>Plant Cell</w:t>
      </w:r>
      <w:r>
        <w:t xml:space="preserve">. </w:t>
      </w:r>
      <w:r>
        <w:rPr>
          <w:b/>
          <w:bCs/>
        </w:rPr>
        <w:t>21</w:t>
      </w:r>
      <w:r>
        <w:t>, 2878–2883 (2009).</w:t>
      </w:r>
    </w:p>
    <w:p w14:paraId="322C2C30" w14:textId="77777777" w:rsidR="00807999" w:rsidRDefault="00807999" w:rsidP="00807999">
      <w:pPr>
        <w:widowControl w:val="0"/>
        <w:tabs>
          <w:tab w:val="left" w:pos="800"/>
        </w:tabs>
        <w:autoSpaceDE w:val="0"/>
        <w:autoSpaceDN w:val="0"/>
        <w:adjustRightInd w:val="0"/>
        <w:spacing w:after="240" w:line="240" w:lineRule="auto"/>
        <w:ind w:left="800" w:hanging="800"/>
      </w:pPr>
      <w:r>
        <w:t>125.</w:t>
      </w:r>
      <w:r>
        <w:tab/>
        <w:t xml:space="preserve">R. Zhong, Z. H. Ye, Secondary Cell Walls: Biosynthesis, Patterned Deposition and Transcriptional Regulation. </w:t>
      </w:r>
      <w:r>
        <w:rPr>
          <w:i/>
          <w:iCs/>
        </w:rPr>
        <w:t>Plant &amp; cell physiology</w:t>
      </w:r>
      <w:r>
        <w:t xml:space="preserve">. </w:t>
      </w:r>
      <w:r>
        <w:rPr>
          <w:b/>
          <w:bCs/>
        </w:rPr>
        <w:t>56</w:t>
      </w:r>
      <w:r>
        <w:t>, 195–214 (2015).</w:t>
      </w:r>
    </w:p>
    <w:p w14:paraId="63A7FD89" w14:textId="77777777" w:rsidR="00807999" w:rsidRDefault="00807999" w:rsidP="00807999">
      <w:pPr>
        <w:widowControl w:val="0"/>
        <w:tabs>
          <w:tab w:val="left" w:pos="800"/>
        </w:tabs>
        <w:autoSpaceDE w:val="0"/>
        <w:autoSpaceDN w:val="0"/>
        <w:adjustRightInd w:val="0"/>
        <w:spacing w:after="240" w:line="240" w:lineRule="auto"/>
        <w:ind w:left="800" w:hanging="800"/>
      </w:pPr>
      <w:r>
        <w:t>126.</w:t>
      </w:r>
      <w:r>
        <w:tab/>
        <w:t xml:space="preserve">H. L. Baxter </w:t>
      </w:r>
      <w:r>
        <w:rPr>
          <w:i/>
          <w:iCs/>
        </w:rPr>
        <w:t>et al.</w:t>
      </w:r>
      <w:r>
        <w:t xml:space="preserve">, Two-year field analysis of reduced recalcitrance transgenic switchgrass. </w:t>
      </w:r>
      <w:r>
        <w:rPr>
          <w:i/>
          <w:iCs/>
        </w:rPr>
        <w:t>Plant Biotechnol J</w:t>
      </w:r>
      <w:r>
        <w:t xml:space="preserve">. </w:t>
      </w:r>
      <w:r>
        <w:rPr>
          <w:b/>
          <w:bCs/>
        </w:rPr>
        <w:t>12</w:t>
      </w:r>
      <w:r>
        <w:t>, 914–924 (2014).</w:t>
      </w:r>
    </w:p>
    <w:p w14:paraId="3EB65147" w14:textId="77777777" w:rsidR="00807999" w:rsidRDefault="00807999" w:rsidP="00807999">
      <w:pPr>
        <w:widowControl w:val="0"/>
        <w:tabs>
          <w:tab w:val="left" w:pos="800"/>
        </w:tabs>
        <w:autoSpaceDE w:val="0"/>
        <w:autoSpaceDN w:val="0"/>
        <w:adjustRightInd w:val="0"/>
        <w:spacing w:after="240" w:line="240" w:lineRule="auto"/>
        <w:ind w:left="800" w:hanging="800"/>
      </w:pPr>
      <w:r>
        <w:t>127.</w:t>
      </w:r>
      <w:r>
        <w:tab/>
        <w:t xml:space="preserve">H. Baxter </w:t>
      </w:r>
      <w:r>
        <w:rPr>
          <w:i/>
          <w:iCs/>
        </w:rPr>
        <w:t>et al.</w:t>
      </w:r>
      <w:r>
        <w:t xml:space="preserve">, Field Evaluation of Transgenic Switchgrass Plants Overexpressing PvMYB4 for Reduced Biomass Recalcitrance. </w:t>
      </w:r>
      <w:r>
        <w:rPr>
          <w:i/>
          <w:iCs/>
        </w:rPr>
        <w:t>Bioenerg. Res.</w:t>
      </w:r>
      <w:r>
        <w:t>, 1–12 (2015).</w:t>
      </w:r>
    </w:p>
    <w:p w14:paraId="7358E8D5" w14:textId="77777777" w:rsidR="00807999" w:rsidRDefault="00807999" w:rsidP="00807999">
      <w:pPr>
        <w:widowControl w:val="0"/>
        <w:tabs>
          <w:tab w:val="left" w:pos="800"/>
        </w:tabs>
        <w:autoSpaceDE w:val="0"/>
        <w:autoSpaceDN w:val="0"/>
        <w:adjustRightInd w:val="0"/>
        <w:spacing w:after="240" w:line="240" w:lineRule="auto"/>
        <w:ind w:left="800" w:hanging="800"/>
      </w:pPr>
      <w:r>
        <w:t>128.</w:t>
      </w:r>
      <w:r>
        <w:tab/>
        <w:t xml:space="preserve">L. E. Bartley, X. Tao, C. Zhang, H. Nguyen, in </w:t>
      </w:r>
      <w:r>
        <w:rPr>
          <w:i/>
          <w:iCs/>
        </w:rPr>
        <w:t>Compendium of Bioenergy Plants Switchgrass</w:t>
      </w:r>
      <w:r>
        <w:t xml:space="preserve"> (… of Bioenergy Plants: …, 2014), p. 109.</w:t>
      </w:r>
    </w:p>
    <w:p w14:paraId="34E91DA1" w14:textId="77777777" w:rsidR="00807999" w:rsidRDefault="00807999" w:rsidP="00807999">
      <w:pPr>
        <w:widowControl w:val="0"/>
        <w:tabs>
          <w:tab w:val="left" w:pos="800"/>
        </w:tabs>
        <w:autoSpaceDE w:val="0"/>
        <w:autoSpaceDN w:val="0"/>
        <w:adjustRightInd w:val="0"/>
        <w:spacing w:after="240" w:line="240" w:lineRule="auto"/>
        <w:ind w:left="800" w:hanging="800"/>
      </w:pPr>
      <w:r>
        <w:t>129.</w:t>
      </w:r>
      <w:r>
        <w:tab/>
        <w:t xml:space="preserve">C. Lee, Q. Teng, R. Zhong, Z.-H. Ye, The four Arabidopsis reduced wall acetylation genes are expressed in secondary wall-containing cells and required for the acetylation of xylan. </w:t>
      </w:r>
      <w:r>
        <w:rPr>
          <w:i/>
          <w:iCs/>
        </w:rPr>
        <w:t>Plant &amp; cell physiology</w:t>
      </w:r>
      <w:r>
        <w:t xml:space="preserve">. </w:t>
      </w:r>
      <w:r>
        <w:rPr>
          <w:b/>
          <w:bCs/>
        </w:rPr>
        <w:t>52</w:t>
      </w:r>
      <w:r>
        <w:t>, 1289–1301 (2011).</w:t>
      </w:r>
    </w:p>
    <w:p w14:paraId="6E2272D7" w14:textId="77777777" w:rsidR="00807999" w:rsidRDefault="00807999" w:rsidP="00807999">
      <w:pPr>
        <w:widowControl w:val="0"/>
        <w:tabs>
          <w:tab w:val="left" w:pos="800"/>
        </w:tabs>
        <w:autoSpaceDE w:val="0"/>
        <w:autoSpaceDN w:val="0"/>
        <w:adjustRightInd w:val="0"/>
        <w:spacing w:after="240" w:line="240" w:lineRule="auto"/>
        <w:ind w:left="800" w:hanging="800"/>
      </w:pPr>
      <w:r>
        <w:t>130.</w:t>
      </w:r>
      <w:r>
        <w:tab/>
        <w:t xml:space="preserve">G. Xiong, K. Cheng, M. Pauly, Xylan O-Acetylation Impacts Xylem Development and Enzymatic Recalcitrance as Indicated by the Arabidopsis Mutant tbl29. </w:t>
      </w:r>
      <w:r>
        <w:rPr>
          <w:i/>
          <w:iCs/>
        </w:rPr>
        <w:t>Molecular Plant</w:t>
      </w:r>
      <w:r>
        <w:t xml:space="preserve">. </w:t>
      </w:r>
      <w:r>
        <w:rPr>
          <w:b/>
          <w:bCs/>
        </w:rPr>
        <w:t>6</w:t>
      </w:r>
      <w:r>
        <w:t>, 1373–1375 (2013).</w:t>
      </w:r>
    </w:p>
    <w:p w14:paraId="3A9C9BA4" w14:textId="77777777" w:rsidR="00807999" w:rsidRDefault="00807999" w:rsidP="00807999">
      <w:pPr>
        <w:widowControl w:val="0"/>
        <w:tabs>
          <w:tab w:val="left" w:pos="800"/>
        </w:tabs>
        <w:autoSpaceDE w:val="0"/>
        <w:autoSpaceDN w:val="0"/>
        <w:adjustRightInd w:val="0"/>
        <w:spacing w:after="240" w:line="240" w:lineRule="auto"/>
        <w:ind w:left="800" w:hanging="800"/>
      </w:pPr>
      <w:r>
        <w:t>131.</w:t>
      </w:r>
      <w:r>
        <w:tab/>
        <w:t xml:space="preserve">A. Zheng </w:t>
      </w:r>
      <w:r>
        <w:rPr>
          <w:i/>
          <w:iCs/>
        </w:rPr>
        <w:t>et al.</w:t>
      </w:r>
      <w:r>
        <w:t xml:space="preserve">, Effect of torrefaction on structure and fast pyrolysis behavior of corncobs. </w:t>
      </w:r>
      <w:r>
        <w:rPr>
          <w:i/>
          <w:iCs/>
        </w:rPr>
        <w:t>Bioresource technology</w:t>
      </w:r>
      <w:r>
        <w:t xml:space="preserve">. </w:t>
      </w:r>
      <w:r>
        <w:rPr>
          <w:b/>
          <w:bCs/>
        </w:rPr>
        <w:t>128</w:t>
      </w:r>
      <w:r>
        <w:t>, 370–377 (2013).</w:t>
      </w:r>
    </w:p>
    <w:p w14:paraId="250BAE08" w14:textId="77777777" w:rsidR="00807999" w:rsidRDefault="00807999" w:rsidP="00807999">
      <w:pPr>
        <w:widowControl w:val="0"/>
        <w:tabs>
          <w:tab w:val="left" w:pos="800"/>
        </w:tabs>
        <w:autoSpaceDE w:val="0"/>
        <w:autoSpaceDN w:val="0"/>
        <w:adjustRightInd w:val="0"/>
        <w:spacing w:after="240" w:line="240" w:lineRule="auto"/>
        <w:ind w:left="800" w:hanging="800"/>
      </w:pPr>
      <w:r>
        <w:t>132.</w:t>
      </w:r>
      <w:r>
        <w:tab/>
        <w:t xml:space="preserve">S. W. Banks, D. J. Nowakowski, A. V. Bridgwater, Fast pyrolysis processing of surfactant washed Miscanthus. </w:t>
      </w:r>
      <w:r>
        <w:rPr>
          <w:i/>
          <w:iCs/>
        </w:rPr>
        <w:t>Fuel Processing Technology</w:t>
      </w:r>
      <w:r>
        <w:t xml:space="preserve">. </w:t>
      </w:r>
      <w:r>
        <w:rPr>
          <w:b/>
          <w:bCs/>
        </w:rPr>
        <w:t>128</w:t>
      </w:r>
      <w:r>
        <w:t>, 94–103 (2014).</w:t>
      </w:r>
    </w:p>
    <w:p w14:paraId="4C203F60" w14:textId="77777777" w:rsidR="00807999" w:rsidRDefault="00807999" w:rsidP="00807999">
      <w:pPr>
        <w:widowControl w:val="0"/>
        <w:tabs>
          <w:tab w:val="left" w:pos="800"/>
        </w:tabs>
        <w:autoSpaceDE w:val="0"/>
        <w:autoSpaceDN w:val="0"/>
        <w:adjustRightInd w:val="0"/>
        <w:spacing w:after="240" w:line="240" w:lineRule="auto"/>
        <w:ind w:left="800" w:hanging="800"/>
      </w:pPr>
      <w:r>
        <w:t>133.</w:t>
      </w:r>
      <w:r>
        <w:tab/>
        <w:t xml:space="preserve">M. M. I. Sheikh </w:t>
      </w:r>
      <w:r>
        <w:rPr>
          <w:i/>
          <w:iCs/>
        </w:rPr>
        <w:t>et al.</w:t>
      </w:r>
      <w:r>
        <w:t xml:space="preserve">, Effect of torrefaction for the pretreatment of rice straw for ethanol production. </w:t>
      </w:r>
      <w:r>
        <w:rPr>
          <w:i/>
          <w:iCs/>
        </w:rPr>
        <w:t>J. Sci. Food Agric.</w:t>
      </w:r>
      <w:r>
        <w:t xml:space="preserve"> </w:t>
      </w:r>
      <w:r>
        <w:rPr>
          <w:b/>
          <w:bCs/>
        </w:rPr>
        <w:t>93</w:t>
      </w:r>
      <w:r>
        <w:t>, 3198–3204 (2013).</w:t>
      </w:r>
    </w:p>
    <w:p w14:paraId="0C2C10E2" w14:textId="77777777" w:rsidR="00807999" w:rsidRDefault="00807999" w:rsidP="00807999">
      <w:pPr>
        <w:widowControl w:val="0"/>
        <w:tabs>
          <w:tab w:val="left" w:pos="800"/>
        </w:tabs>
        <w:autoSpaceDE w:val="0"/>
        <w:autoSpaceDN w:val="0"/>
        <w:adjustRightInd w:val="0"/>
        <w:spacing w:after="240" w:line="240" w:lineRule="auto"/>
        <w:ind w:left="800" w:hanging="800"/>
      </w:pPr>
      <w:r>
        <w:t>134.</w:t>
      </w:r>
      <w:r>
        <w:tab/>
        <w:t xml:space="preserve">J. A. Cunha </w:t>
      </w:r>
      <w:r>
        <w:rPr>
          <w:i/>
          <w:iCs/>
        </w:rPr>
        <w:t>et al.</w:t>
      </w:r>
      <w:r>
        <w:t xml:space="preserve">, Waste biomass to liquids: Low temperature conversion of sugarcane bagasse to bio-oil. The effect of combined hydrolysis treatments. </w:t>
      </w:r>
      <w:r>
        <w:rPr>
          <w:i/>
          <w:iCs/>
        </w:rPr>
        <w:t>Biomass and Bioenergy</w:t>
      </w:r>
      <w:r>
        <w:t xml:space="preserve">. </w:t>
      </w:r>
      <w:r>
        <w:rPr>
          <w:b/>
          <w:bCs/>
        </w:rPr>
        <w:t>35</w:t>
      </w:r>
      <w:r>
        <w:t>, 2106–2116 (2011).</w:t>
      </w:r>
    </w:p>
    <w:p w14:paraId="11905AC3" w14:textId="77777777" w:rsidR="00807999" w:rsidRDefault="00807999" w:rsidP="00807999">
      <w:pPr>
        <w:widowControl w:val="0"/>
        <w:tabs>
          <w:tab w:val="left" w:pos="800"/>
        </w:tabs>
        <w:autoSpaceDE w:val="0"/>
        <w:autoSpaceDN w:val="0"/>
        <w:adjustRightInd w:val="0"/>
        <w:spacing w:after="240" w:line="240" w:lineRule="auto"/>
        <w:ind w:left="800" w:hanging="800"/>
      </w:pPr>
      <w:r>
        <w:t>135.</w:t>
      </w:r>
      <w:r>
        <w:tab/>
        <w:t xml:space="preserve">S. Wan </w:t>
      </w:r>
      <w:r>
        <w:rPr>
          <w:i/>
          <w:iCs/>
        </w:rPr>
        <w:t>et al.</w:t>
      </w:r>
      <w:r>
        <w:t xml:space="preserve">, Direct catalytic upgrading of biomass pyrolysis vapors by a dual function Ru/TiO2 catalyst. </w:t>
      </w:r>
      <w:r>
        <w:rPr>
          <w:i/>
          <w:iCs/>
        </w:rPr>
        <w:t>AIChE J.</w:t>
      </w:r>
      <w:r>
        <w:t xml:space="preserve"> (2013), doi:10.1002/aic.14038.</w:t>
      </w:r>
    </w:p>
    <w:p w14:paraId="69F6A834" w14:textId="77777777" w:rsidR="00807999" w:rsidRDefault="00807999" w:rsidP="00807999">
      <w:pPr>
        <w:widowControl w:val="0"/>
        <w:tabs>
          <w:tab w:val="left" w:pos="800"/>
        </w:tabs>
        <w:autoSpaceDE w:val="0"/>
        <w:autoSpaceDN w:val="0"/>
        <w:adjustRightInd w:val="0"/>
        <w:spacing w:after="240" w:line="240" w:lineRule="auto"/>
        <w:ind w:left="800" w:hanging="800"/>
      </w:pPr>
      <w:r>
        <w:lastRenderedPageBreak/>
        <w:t>136.</w:t>
      </w:r>
      <w:r>
        <w:tab/>
        <w:t xml:space="preserve">P. J. Dauenhauer, A. D. Paulsen, M. S. Mettler, The Role of Sample Dimension and Temperature in Cellulose Pyrolysis. </w:t>
      </w:r>
      <w:r>
        <w:rPr>
          <w:i/>
          <w:iCs/>
        </w:rPr>
        <w:t>Energy &amp; Fuels</w:t>
      </w:r>
      <w:r>
        <w:t xml:space="preserve">. </w:t>
      </w:r>
      <w:r>
        <w:rPr>
          <w:b/>
          <w:bCs/>
        </w:rPr>
        <w:t>27</w:t>
      </w:r>
      <w:r>
        <w:t>, 2126–2134 (2013).</w:t>
      </w:r>
    </w:p>
    <w:p w14:paraId="369FCA07" w14:textId="77777777" w:rsidR="00807999" w:rsidRDefault="00807999" w:rsidP="00807999">
      <w:pPr>
        <w:widowControl w:val="0"/>
        <w:tabs>
          <w:tab w:val="left" w:pos="800"/>
        </w:tabs>
        <w:autoSpaceDE w:val="0"/>
        <w:autoSpaceDN w:val="0"/>
        <w:adjustRightInd w:val="0"/>
        <w:spacing w:after="240" w:line="240" w:lineRule="auto"/>
        <w:ind w:left="800" w:hanging="800"/>
      </w:pPr>
      <w:r>
        <w:t>137.</w:t>
      </w:r>
      <w:r>
        <w:tab/>
        <w:t>N. Duong, thesis, Norman, OK (2014).</w:t>
      </w:r>
    </w:p>
    <w:p w14:paraId="2B16410A" w14:textId="77777777" w:rsidR="00807999" w:rsidRDefault="00807999" w:rsidP="00807999">
      <w:pPr>
        <w:widowControl w:val="0"/>
        <w:tabs>
          <w:tab w:val="left" w:pos="800"/>
        </w:tabs>
        <w:autoSpaceDE w:val="0"/>
        <w:autoSpaceDN w:val="0"/>
        <w:adjustRightInd w:val="0"/>
        <w:spacing w:after="240" w:line="240" w:lineRule="auto"/>
        <w:ind w:left="800" w:hanging="800"/>
      </w:pPr>
      <w:r>
        <w:t>138.</w:t>
      </w:r>
      <w:r>
        <w:tab/>
        <w:t xml:space="preserve">A. Romualdo S Fukushima, R. D. Hatfield, Extraction and Isolation of Lignin for Utilization as a Standard to Determine Lignin Concentration Using the Acetyl Bromide Spectrophotometric Method. </w:t>
      </w:r>
      <w:r>
        <w:rPr>
          <w:i/>
          <w:iCs/>
        </w:rPr>
        <w:t>J. Agric. Food Chem.</w:t>
      </w:r>
      <w:r>
        <w:t xml:space="preserve"> </w:t>
      </w:r>
      <w:r>
        <w:rPr>
          <w:b/>
          <w:bCs/>
        </w:rPr>
        <w:t>49</w:t>
      </w:r>
      <w:r>
        <w:t>, 3133–3139 (2001).</w:t>
      </w:r>
    </w:p>
    <w:p w14:paraId="0FC9F5F3" w14:textId="77777777" w:rsidR="00807999" w:rsidRDefault="00807999" w:rsidP="00807999">
      <w:pPr>
        <w:widowControl w:val="0"/>
        <w:tabs>
          <w:tab w:val="left" w:pos="800"/>
        </w:tabs>
        <w:autoSpaceDE w:val="0"/>
        <w:autoSpaceDN w:val="0"/>
        <w:adjustRightInd w:val="0"/>
        <w:spacing w:after="240" w:line="240" w:lineRule="auto"/>
        <w:ind w:left="800" w:hanging="800"/>
      </w:pPr>
      <w:r>
        <w:t>139.</w:t>
      </w:r>
      <w:r>
        <w:tab/>
        <w:t xml:space="preserve">N. Santoro </w:t>
      </w:r>
      <w:r>
        <w:rPr>
          <w:i/>
          <w:iCs/>
        </w:rPr>
        <w:t>et al.</w:t>
      </w:r>
      <w:r>
        <w:t xml:space="preserve">, A High-Throughput Platform for Screening Milligram Quantities of Plant Biomass for Lignocellulose Digestibility. </w:t>
      </w:r>
      <w:r>
        <w:rPr>
          <w:i/>
          <w:iCs/>
        </w:rPr>
        <w:t>Bioenerg. Res.</w:t>
      </w:r>
      <w:r>
        <w:t xml:space="preserve"> </w:t>
      </w:r>
      <w:r>
        <w:rPr>
          <w:b/>
          <w:bCs/>
        </w:rPr>
        <w:t>3</w:t>
      </w:r>
      <w:r>
        <w:t>, 93–102 (2010).</w:t>
      </w:r>
    </w:p>
    <w:p w14:paraId="51ED3289" w14:textId="77777777" w:rsidR="00807999" w:rsidRDefault="00807999" w:rsidP="00807999">
      <w:pPr>
        <w:widowControl w:val="0"/>
        <w:tabs>
          <w:tab w:val="left" w:pos="800"/>
        </w:tabs>
        <w:autoSpaceDE w:val="0"/>
        <w:autoSpaceDN w:val="0"/>
        <w:adjustRightInd w:val="0"/>
        <w:spacing w:after="240" w:line="240" w:lineRule="auto"/>
        <w:ind w:left="800" w:hanging="800"/>
      </w:pPr>
      <w:r>
        <w:t>140.</w:t>
      </w:r>
      <w:r>
        <w:tab/>
        <w:t xml:space="preserve">K. P. Vogel </w:t>
      </w:r>
      <w:r>
        <w:rPr>
          <w:i/>
          <w:iCs/>
        </w:rPr>
        <w:t>et al.</w:t>
      </w:r>
      <w:r>
        <w:t xml:space="preserve">, Quantifying Actual and Theoretical Ethanol Yields for Switchgrass Strains Using NIRS Analyses. </w:t>
      </w:r>
      <w:r>
        <w:rPr>
          <w:i/>
          <w:iCs/>
        </w:rPr>
        <w:t>Bioenerg. Res.</w:t>
      </w:r>
      <w:r>
        <w:t xml:space="preserve"> </w:t>
      </w:r>
      <w:r>
        <w:rPr>
          <w:b/>
          <w:bCs/>
        </w:rPr>
        <w:t>4</w:t>
      </w:r>
      <w:r>
        <w:t>, 96–110 (2010).</w:t>
      </w:r>
    </w:p>
    <w:p w14:paraId="13B881A5" w14:textId="77777777" w:rsidR="00807999" w:rsidRDefault="00807999" w:rsidP="00807999">
      <w:pPr>
        <w:widowControl w:val="0"/>
        <w:tabs>
          <w:tab w:val="left" w:pos="800"/>
        </w:tabs>
        <w:autoSpaceDE w:val="0"/>
        <w:autoSpaceDN w:val="0"/>
        <w:adjustRightInd w:val="0"/>
        <w:spacing w:after="240" w:line="240" w:lineRule="auto"/>
        <w:ind w:left="800" w:hanging="800"/>
      </w:pPr>
      <w:r>
        <w:t>141.</w:t>
      </w:r>
      <w:r>
        <w:tab/>
        <w:t xml:space="preserve">J. A. Guretzky, J. T. Biermacher, B. J. Cook, M. K. Kering, J. Mosali, Switchgrass for forage and bioenergy: harvest and nitrogen rate effects on biomass yields and nutrient composition. </w:t>
      </w:r>
      <w:r>
        <w:rPr>
          <w:i/>
          <w:iCs/>
        </w:rPr>
        <w:t>Plant Soil</w:t>
      </w:r>
      <w:r>
        <w:t xml:space="preserve">. </w:t>
      </w:r>
      <w:r>
        <w:rPr>
          <w:b/>
          <w:bCs/>
        </w:rPr>
        <w:t>339</w:t>
      </w:r>
      <w:r>
        <w:t>, 69–81 (2010).</w:t>
      </w:r>
    </w:p>
    <w:p w14:paraId="2852628C" w14:textId="77777777" w:rsidR="00807999" w:rsidRDefault="00807999" w:rsidP="00807999">
      <w:pPr>
        <w:widowControl w:val="0"/>
        <w:tabs>
          <w:tab w:val="left" w:pos="800"/>
        </w:tabs>
        <w:autoSpaceDE w:val="0"/>
        <w:autoSpaceDN w:val="0"/>
        <w:adjustRightInd w:val="0"/>
        <w:spacing w:after="240" w:line="240" w:lineRule="auto"/>
        <w:ind w:left="800" w:hanging="800"/>
      </w:pPr>
      <w:r>
        <w:t>142.</w:t>
      </w:r>
      <w:r>
        <w:tab/>
        <w:t xml:space="preserve">G. W. Huber </w:t>
      </w:r>
      <w:r>
        <w:rPr>
          <w:i/>
          <w:iCs/>
        </w:rPr>
        <w:t>et al.</w:t>
      </w:r>
      <w:r>
        <w:t>, Catalytic pyrolysis of solid biomass and related biofuels, Armoatic, and Olefin Compounds.</w:t>
      </w:r>
    </w:p>
    <w:p w14:paraId="7B9B52E6" w14:textId="77777777" w:rsidR="00807999" w:rsidRDefault="00807999" w:rsidP="00807999">
      <w:pPr>
        <w:widowControl w:val="0"/>
        <w:tabs>
          <w:tab w:val="left" w:pos="800"/>
        </w:tabs>
        <w:autoSpaceDE w:val="0"/>
        <w:autoSpaceDN w:val="0"/>
        <w:adjustRightInd w:val="0"/>
        <w:spacing w:after="240" w:line="240" w:lineRule="auto"/>
        <w:ind w:left="800" w:hanging="800"/>
      </w:pPr>
      <w:r>
        <w:t>143.</w:t>
      </w:r>
      <w:r>
        <w:tab/>
        <w:t xml:space="preserve">F. A. Agblevor, S. Beis, O. Mante, N. Abdoulmoumine, Fractional Catalytic Pyrolysis of Hybrid Poplar Wood. </w:t>
      </w:r>
      <w:r>
        <w:rPr>
          <w:i/>
          <w:iCs/>
        </w:rPr>
        <w:t>Ind. Eng. Chem. Res.</w:t>
      </w:r>
      <w:r>
        <w:t xml:space="preserve"> </w:t>
      </w:r>
      <w:r>
        <w:rPr>
          <w:b/>
          <w:bCs/>
        </w:rPr>
        <w:t>49</w:t>
      </w:r>
      <w:r>
        <w:t>, 3533–3538 (2010).</w:t>
      </w:r>
    </w:p>
    <w:p w14:paraId="10C82AAF" w14:textId="77777777" w:rsidR="00807999" w:rsidRDefault="00807999" w:rsidP="00807999">
      <w:pPr>
        <w:widowControl w:val="0"/>
        <w:tabs>
          <w:tab w:val="left" w:pos="800"/>
        </w:tabs>
        <w:autoSpaceDE w:val="0"/>
        <w:autoSpaceDN w:val="0"/>
        <w:adjustRightInd w:val="0"/>
        <w:spacing w:after="240" w:line="240" w:lineRule="auto"/>
        <w:ind w:left="800" w:hanging="800"/>
      </w:pPr>
      <w:r>
        <w:t>144.</w:t>
      </w:r>
      <w:r>
        <w:tab/>
        <w:t xml:space="preserve">A. Corma, G. HUBER, L. SAUVANAUD, P. OCONNOR, Processing biomass-derived oxygenates in the oil refinery: Catalytic cracking (FCC) reaction pathways and role of catalyst. </w:t>
      </w:r>
      <w:r>
        <w:rPr>
          <w:i/>
          <w:iCs/>
        </w:rPr>
        <w:t>Journal of Catalysis</w:t>
      </w:r>
      <w:r>
        <w:t xml:space="preserve">. </w:t>
      </w:r>
      <w:r>
        <w:rPr>
          <w:b/>
          <w:bCs/>
        </w:rPr>
        <w:t>247</w:t>
      </w:r>
      <w:r>
        <w:t>, 307–327 (2007).</w:t>
      </w:r>
    </w:p>
    <w:p w14:paraId="6A1A290E" w14:textId="77777777" w:rsidR="00807999" w:rsidRDefault="00807999" w:rsidP="00807999">
      <w:pPr>
        <w:widowControl w:val="0"/>
        <w:tabs>
          <w:tab w:val="left" w:pos="800"/>
        </w:tabs>
        <w:autoSpaceDE w:val="0"/>
        <w:autoSpaceDN w:val="0"/>
        <w:adjustRightInd w:val="0"/>
        <w:spacing w:after="240" w:line="240" w:lineRule="auto"/>
        <w:ind w:left="800" w:hanging="800"/>
      </w:pPr>
      <w:r>
        <w:t>145.</w:t>
      </w:r>
      <w:r>
        <w:tab/>
        <w:t xml:space="preserve">H. Zhang, Y.-T. Cheng, T. P. Vispute, R. Xiao, G. W. Huber, Catalytic conversion of biomass-derived feedstocks into olefins and aromatics with ZSM-5: the hydrogen to carbon effective ratio. </w:t>
      </w:r>
      <w:r>
        <w:rPr>
          <w:i/>
          <w:iCs/>
        </w:rPr>
        <w:t>Energy Environ. Sci.</w:t>
      </w:r>
      <w:r>
        <w:t xml:space="preserve"> </w:t>
      </w:r>
      <w:r>
        <w:rPr>
          <w:b/>
          <w:bCs/>
        </w:rPr>
        <w:t>4</w:t>
      </w:r>
      <w:r>
        <w:t>, 2297 (2011).</w:t>
      </w:r>
    </w:p>
    <w:p w14:paraId="08A5E1BF" w14:textId="77777777" w:rsidR="00807999" w:rsidRDefault="00807999" w:rsidP="00807999">
      <w:pPr>
        <w:widowControl w:val="0"/>
        <w:tabs>
          <w:tab w:val="left" w:pos="800"/>
        </w:tabs>
        <w:autoSpaceDE w:val="0"/>
        <w:autoSpaceDN w:val="0"/>
        <w:adjustRightInd w:val="0"/>
        <w:spacing w:after="240" w:line="240" w:lineRule="auto"/>
        <w:ind w:left="800" w:hanging="800"/>
      </w:pPr>
      <w:r>
        <w:t>146.</w:t>
      </w:r>
      <w:r>
        <w:tab/>
        <w:t xml:space="preserve">P. T. Williams, N. Nugranad, Comparison of products from the pyrolysis and catalytic pyrolysis of rice husks. </w:t>
      </w:r>
      <w:r>
        <w:rPr>
          <w:i/>
          <w:iCs/>
        </w:rPr>
        <w:t>Energy</w:t>
      </w:r>
      <w:r>
        <w:t xml:space="preserve">. </w:t>
      </w:r>
      <w:r>
        <w:rPr>
          <w:b/>
          <w:bCs/>
        </w:rPr>
        <w:t>25</w:t>
      </w:r>
      <w:r>
        <w:t>, 493–513 (2000).</w:t>
      </w:r>
    </w:p>
    <w:p w14:paraId="5ED1FFD4" w14:textId="77777777" w:rsidR="00807999" w:rsidRDefault="00807999" w:rsidP="00807999">
      <w:pPr>
        <w:widowControl w:val="0"/>
        <w:tabs>
          <w:tab w:val="left" w:pos="800"/>
        </w:tabs>
        <w:autoSpaceDE w:val="0"/>
        <w:autoSpaceDN w:val="0"/>
        <w:adjustRightInd w:val="0"/>
        <w:spacing w:after="240" w:line="240" w:lineRule="auto"/>
        <w:ind w:left="800" w:hanging="800"/>
      </w:pPr>
      <w:r>
        <w:t>147.</w:t>
      </w:r>
      <w:r>
        <w:tab/>
        <w:t xml:space="preserve">P. A. Horne, P. T. Williams, The effect of zeolite ZSM-5 catalyst deactivation during the upgrading of biomass-derived pyrolysis vapours. </w:t>
      </w:r>
      <w:r>
        <w:rPr>
          <w:i/>
          <w:iCs/>
        </w:rPr>
        <w:t>Journal of Analytical and Applied Pyrolysis</w:t>
      </w:r>
      <w:r>
        <w:t xml:space="preserve">. </w:t>
      </w:r>
      <w:r>
        <w:rPr>
          <w:b/>
          <w:bCs/>
        </w:rPr>
        <w:t>34</w:t>
      </w:r>
      <w:r>
        <w:t>, 65–85 (1995).</w:t>
      </w:r>
    </w:p>
    <w:p w14:paraId="39503EA2" w14:textId="77777777" w:rsidR="00807999" w:rsidRDefault="00807999" w:rsidP="00807999">
      <w:pPr>
        <w:widowControl w:val="0"/>
        <w:tabs>
          <w:tab w:val="left" w:pos="800"/>
        </w:tabs>
        <w:autoSpaceDE w:val="0"/>
        <w:autoSpaceDN w:val="0"/>
        <w:adjustRightInd w:val="0"/>
        <w:spacing w:after="240" w:line="240" w:lineRule="auto"/>
        <w:ind w:left="800" w:hanging="800"/>
      </w:pPr>
      <w:r>
        <w:t>148.</w:t>
      </w:r>
      <w:r>
        <w:tab/>
        <w:t xml:space="preserve">E. F. Iliopoulou, S. D. Stefanidis, Catalytic upgrading of biomass pyrolysis vapors using transition metal-modified ZSM-5 zeolite. </w:t>
      </w:r>
      <w:r>
        <w:rPr>
          <w:i/>
          <w:iCs/>
        </w:rPr>
        <w:t>Applied Catalysis B: Environmental</w:t>
      </w:r>
      <w:r>
        <w:t xml:space="preserve">. </w:t>
      </w:r>
      <w:r>
        <w:rPr>
          <w:b/>
          <w:bCs/>
        </w:rPr>
        <w:t>127</w:t>
      </w:r>
      <w:r>
        <w:t>, 281–290 (2012).</w:t>
      </w:r>
    </w:p>
    <w:p w14:paraId="567FA5CA" w14:textId="77777777" w:rsidR="00807999" w:rsidRDefault="00807999" w:rsidP="00807999">
      <w:pPr>
        <w:widowControl w:val="0"/>
        <w:tabs>
          <w:tab w:val="left" w:pos="800"/>
        </w:tabs>
        <w:autoSpaceDE w:val="0"/>
        <w:autoSpaceDN w:val="0"/>
        <w:adjustRightInd w:val="0"/>
        <w:spacing w:after="240" w:line="240" w:lineRule="auto"/>
        <w:ind w:left="800" w:hanging="800"/>
      </w:pPr>
      <w:r>
        <w:lastRenderedPageBreak/>
        <w:t>149.</w:t>
      </w:r>
      <w:r>
        <w:tab/>
        <w:t xml:space="preserve">J. Jae </w:t>
      </w:r>
      <w:r>
        <w:rPr>
          <w:i/>
          <w:iCs/>
        </w:rPr>
        <w:t>et al.</w:t>
      </w:r>
      <w:r>
        <w:t xml:space="preserve">, Investigation into the shape selectivity of zeolite catalysts for biomass conversion. </w:t>
      </w:r>
      <w:r>
        <w:rPr>
          <w:i/>
          <w:iCs/>
        </w:rPr>
        <w:t>Journal of Catalysis</w:t>
      </w:r>
      <w:r>
        <w:t xml:space="preserve">. </w:t>
      </w:r>
      <w:r>
        <w:rPr>
          <w:b/>
          <w:bCs/>
        </w:rPr>
        <w:t>279</w:t>
      </w:r>
      <w:r>
        <w:t>, 257–268 (2011).</w:t>
      </w:r>
    </w:p>
    <w:p w14:paraId="7A082785" w14:textId="77777777" w:rsidR="00807999" w:rsidRDefault="00807999" w:rsidP="00807999">
      <w:pPr>
        <w:widowControl w:val="0"/>
        <w:tabs>
          <w:tab w:val="left" w:pos="800"/>
        </w:tabs>
        <w:autoSpaceDE w:val="0"/>
        <w:autoSpaceDN w:val="0"/>
        <w:adjustRightInd w:val="0"/>
        <w:spacing w:after="240" w:line="240" w:lineRule="auto"/>
        <w:ind w:left="800" w:hanging="800"/>
      </w:pPr>
      <w:r>
        <w:t>150.</w:t>
      </w:r>
      <w:r>
        <w:tab/>
        <w:t xml:space="preserve">A. N. Mlinar, P. M. Zimmerman, F. E. Celik, M. Head-Gordon, A. T. Bell, Effects of Brønsted-acid site proximity on the oligomerization of propene in H-MFI. </w:t>
      </w:r>
      <w:r>
        <w:rPr>
          <w:i/>
          <w:iCs/>
        </w:rPr>
        <w:t>Journal of Catalysis</w:t>
      </w:r>
      <w:r>
        <w:t xml:space="preserve">. </w:t>
      </w:r>
      <w:r>
        <w:rPr>
          <w:b/>
          <w:bCs/>
        </w:rPr>
        <w:t>288</w:t>
      </w:r>
      <w:r>
        <w:t>, 65–73 (2012).</w:t>
      </w:r>
    </w:p>
    <w:p w14:paraId="25E12429" w14:textId="77777777" w:rsidR="00807999" w:rsidRDefault="00807999" w:rsidP="00807999">
      <w:pPr>
        <w:widowControl w:val="0"/>
        <w:tabs>
          <w:tab w:val="left" w:pos="800"/>
        </w:tabs>
        <w:autoSpaceDE w:val="0"/>
        <w:autoSpaceDN w:val="0"/>
        <w:adjustRightInd w:val="0"/>
        <w:spacing w:after="240" w:line="240" w:lineRule="auto"/>
        <w:ind w:left="800" w:hanging="800"/>
      </w:pPr>
      <w:r>
        <w:t>151.</w:t>
      </w:r>
      <w:r>
        <w:tab/>
        <w:t xml:space="preserve">T. R. Carlson, Y.-T. T. Cheng, J. Jae, G. W. Huber, Production of green aromatics and olefins by catalytic fast pyrolysis of wood sawdust - Energy &amp; Environmental Science (RSC Publishing) DOI:10.1039/C0EE00341G. </w:t>
      </w:r>
      <w:r>
        <w:rPr>
          <w:i/>
          <w:iCs/>
        </w:rPr>
        <w:t>Energy Environ. Sci.</w:t>
      </w:r>
      <w:r>
        <w:t xml:space="preserve"> (2011).</w:t>
      </w:r>
    </w:p>
    <w:p w14:paraId="493502B3" w14:textId="77777777" w:rsidR="00807999" w:rsidRDefault="00807999" w:rsidP="00807999">
      <w:pPr>
        <w:widowControl w:val="0"/>
        <w:tabs>
          <w:tab w:val="left" w:pos="800"/>
        </w:tabs>
        <w:autoSpaceDE w:val="0"/>
        <w:autoSpaceDN w:val="0"/>
        <w:adjustRightInd w:val="0"/>
        <w:spacing w:after="240" w:line="240" w:lineRule="auto"/>
        <w:ind w:left="800" w:hanging="800"/>
      </w:pPr>
      <w:r>
        <w:t>152.</w:t>
      </w:r>
      <w:r>
        <w:tab/>
        <w:t xml:space="preserve">D. J. Mihalcik, C. A. Mullen, A. A. Boateng, Screening acidic zeolites for catalytic fast pyrolysis of biomass and its components. </w:t>
      </w:r>
      <w:r>
        <w:rPr>
          <w:i/>
          <w:iCs/>
        </w:rPr>
        <w:t>Journal of Analytical and Applied Pyrolysis</w:t>
      </w:r>
      <w:r>
        <w:t xml:space="preserve">. </w:t>
      </w:r>
      <w:r>
        <w:rPr>
          <w:b/>
          <w:bCs/>
        </w:rPr>
        <w:t>92</w:t>
      </w:r>
      <w:r>
        <w:t>, 224–232 (2011).</w:t>
      </w:r>
    </w:p>
    <w:p w14:paraId="11B563A6" w14:textId="77777777" w:rsidR="00807999" w:rsidRDefault="00807999" w:rsidP="00807999">
      <w:pPr>
        <w:widowControl w:val="0"/>
        <w:tabs>
          <w:tab w:val="left" w:pos="800"/>
        </w:tabs>
        <w:autoSpaceDE w:val="0"/>
        <w:autoSpaceDN w:val="0"/>
        <w:adjustRightInd w:val="0"/>
        <w:spacing w:after="240" w:line="240" w:lineRule="auto"/>
        <w:ind w:left="800" w:hanging="800"/>
      </w:pPr>
      <w:r>
        <w:t>153.</w:t>
      </w:r>
      <w:r>
        <w:tab/>
        <w:t xml:space="preserve">C. Mukarakate </w:t>
      </w:r>
      <w:r>
        <w:rPr>
          <w:i/>
          <w:iCs/>
        </w:rPr>
        <w:t>et al.</w:t>
      </w:r>
      <w:r>
        <w:t xml:space="preserve">, Real-time monitoring of the deactivation of HZSM-5 during upgrading of pine pyrolysis vapors. </w:t>
      </w:r>
      <w:r>
        <w:rPr>
          <w:i/>
          <w:iCs/>
        </w:rPr>
        <w:t>Green Chem.</w:t>
      </w:r>
      <w:r>
        <w:t xml:space="preserve"> </w:t>
      </w:r>
      <w:r>
        <w:rPr>
          <w:b/>
          <w:bCs/>
        </w:rPr>
        <w:t>16</w:t>
      </w:r>
      <w:r>
        <w:t>, 1444–1461 (2014).</w:t>
      </w:r>
    </w:p>
    <w:p w14:paraId="76BC89E1" w14:textId="77777777" w:rsidR="00807999" w:rsidRDefault="00807999" w:rsidP="00807999">
      <w:pPr>
        <w:widowControl w:val="0"/>
        <w:tabs>
          <w:tab w:val="left" w:pos="800"/>
        </w:tabs>
        <w:autoSpaceDE w:val="0"/>
        <w:autoSpaceDN w:val="0"/>
        <w:adjustRightInd w:val="0"/>
        <w:spacing w:after="240" w:line="240" w:lineRule="auto"/>
        <w:ind w:left="800" w:hanging="800"/>
      </w:pPr>
      <w:r>
        <w:t>154.</w:t>
      </w:r>
      <w:r>
        <w:tab/>
        <w:t xml:space="preserve">C. Pereira, R. J. Gorte, Method for distinguishing Brønsted-acid sites in mixtures of H-ZSM-5, H-Y and silica-alumina. </w:t>
      </w:r>
      <w:r>
        <w:rPr>
          <w:i/>
          <w:iCs/>
        </w:rPr>
        <w:t>Applied Catalysis A: General</w:t>
      </w:r>
      <w:r>
        <w:t xml:space="preserve">. </w:t>
      </w:r>
      <w:r>
        <w:rPr>
          <w:b/>
          <w:bCs/>
        </w:rPr>
        <w:t>90</w:t>
      </w:r>
      <w:r>
        <w:t>, 145–157 (1992).</w:t>
      </w:r>
    </w:p>
    <w:p w14:paraId="3A026DE1" w14:textId="77777777" w:rsidR="00807999" w:rsidRDefault="00807999" w:rsidP="00807999">
      <w:pPr>
        <w:widowControl w:val="0"/>
        <w:tabs>
          <w:tab w:val="left" w:pos="800"/>
        </w:tabs>
        <w:autoSpaceDE w:val="0"/>
        <w:autoSpaceDN w:val="0"/>
        <w:adjustRightInd w:val="0"/>
        <w:spacing w:after="240" w:line="240" w:lineRule="auto"/>
        <w:ind w:left="800" w:hanging="800"/>
      </w:pPr>
      <w:r>
        <w:t>155.</w:t>
      </w:r>
      <w:r>
        <w:tab/>
        <w:t xml:space="preserve">J. Bedard, H. Chiang, A. Bhan, Kinetics and mechanism of acetic acid esterification with ethanol on zeolites. </w:t>
      </w:r>
      <w:r>
        <w:rPr>
          <w:i/>
          <w:iCs/>
        </w:rPr>
        <w:t>Journal of Catalysis</w:t>
      </w:r>
      <w:r>
        <w:t xml:space="preserve">. </w:t>
      </w:r>
      <w:r>
        <w:rPr>
          <w:b/>
          <w:bCs/>
        </w:rPr>
        <w:t>290</w:t>
      </w:r>
      <w:r>
        <w:t>, 210–219 (2012).</w:t>
      </w:r>
    </w:p>
    <w:p w14:paraId="0A3E355F" w14:textId="77777777" w:rsidR="00807999" w:rsidRDefault="00807999" w:rsidP="00807999">
      <w:pPr>
        <w:widowControl w:val="0"/>
        <w:tabs>
          <w:tab w:val="left" w:pos="800"/>
        </w:tabs>
        <w:autoSpaceDE w:val="0"/>
        <w:autoSpaceDN w:val="0"/>
        <w:adjustRightInd w:val="0"/>
        <w:spacing w:after="240" w:line="240" w:lineRule="auto"/>
        <w:ind w:left="800" w:hanging="800"/>
      </w:pPr>
      <w:r>
        <w:t>156.</w:t>
      </w:r>
      <w:r>
        <w:tab/>
        <w:t xml:space="preserve">T. Q. Hoang, X. Zhu, T. Sooknoi, D. E. Resasco, R. G. Mallinson, A comparison of the reactivities of propanal and propylene on HZSM-5. </w:t>
      </w:r>
      <w:r>
        <w:rPr>
          <w:i/>
          <w:iCs/>
        </w:rPr>
        <w:t>Journal of Catalysis</w:t>
      </w:r>
      <w:r>
        <w:t xml:space="preserve">. </w:t>
      </w:r>
      <w:r>
        <w:rPr>
          <w:b/>
          <w:bCs/>
        </w:rPr>
        <w:t>271</w:t>
      </w:r>
      <w:r>
        <w:t>, 201–208 (2010).</w:t>
      </w:r>
    </w:p>
    <w:p w14:paraId="0F922ED1" w14:textId="77777777" w:rsidR="00807999" w:rsidRDefault="00807999" w:rsidP="00807999">
      <w:pPr>
        <w:widowControl w:val="0"/>
        <w:tabs>
          <w:tab w:val="left" w:pos="800"/>
        </w:tabs>
        <w:autoSpaceDE w:val="0"/>
        <w:autoSpaceDN w:val="0"/>
        <w:adjustRightInd w:val="0"/>
        <w:spacing w:after="240" w:line="240" w:lineRule="auto"/>
        <w:ind w:left="800" w:hanging="800"/>
      </w:pPr>
      <w:r>
        <w:t>157.</w:t>
      </w:r>
      <w:r>
        <w:tab/>
        <w:t xml:space="preserve">D. J. Parrillo, C. Lee, R. J. Gorte, Heats of adsorption for ammonia and pyridine in H-ZSM-5: evidence for identical Brønsted-acid sites. </w:t>
      </w:r>
      <w:r>
        <w:rPr>
          <w:i/>
          <w:iCs/>
        </w:rPr>
        <w:t>Applied Catalysis A: General</w:t>
      </w:r>
      <w:r>
        <w:t xml:space="preserve">. </w:t>
      </w:r>
      <w:r>
        <w:rPr>
          <w:b/>
          <w:bCs/>
        </w:rPr>
        <w:t>110</w:t>
      </w:r>
      <w:r>
        <w:t>, 67–74 (1994).</w:t>
      </w:r>
    </w:p>
    <w:p w14:paraId="761ACF54" w14:textId="77777777" w:rsidR="00807999" w:rsidRDefault="00807999" w:rsidP="00807999">
      <w:pPr>
        <w:widowControl w:val="0"/>
        <w:tabs>
          <w:tab w:val="left" w:pos="800"/>
        </w:tabs>
        <w:autoSpaceDE w:val="0"/>
        <w:autoSpaceDN w:val="0"/>
        <w:adjustRightInd w:val="0"/>
        <w:spacing w:after="240" w:line="240" w:lineRule="auto"/>
        <w:ind w:left="800" w:hanging="800"/>
      </w:pPr>
      <w:r>
        <w:t>158.</w:t>
      </w:r>
      <w:r>
        <w:tab/>
        <w:t xml:space="preserve">D. Freude, M. Hunger, H. Pfeifer, W. Schwieger, 1H MAS NMR studies on the acidity of zeolites. </w:t>
      </w:r>
      <w:r>
        <w:rPr>
          <w:i/>
          <w:iCs/>
        </w:rPr>
        <w:t>Chemical Physics Letters</w:t>
      </w:r>
      <w:r>
        <w:t xml:space="preserve">. </w:t>
      </w:r>
      <w:r>
        <w:rPr>
          <w:b/>
          <w:bCs/>
        </w:rPr>
        <w:t>128</w:t>
      </w:r>
      <w:r>
        <w:t>, 62–66 (1986).</w:t>
      </w:r>
    </w:p>
    <w:p w14:paraId="7D90CDB0" w14:textId="77777777" w:rsidR="00807999" w:rsidRDefault="00807999" w:rsidP="00807999">
      <w:pPr>
        <w:widowControl w:val="0"/>
        <w:tabs>
          <w:tab w:val="left" w:pos="800"/>
        </w:tabs>
        <w:autoSpaceDE w:val="0"/>
        <w:autoSpaceDN w:val="0"/>
        <w:adjustRightInd w:val="0"/>
        <w:spacing w:after="240" w:line="240" w:lineRule="auto"/>
        <w:ind w:left="800" w:hanging="800"/>
      </w:pPr>
      <w:r>
        <w:t>159.</w:t>
      </w:r>
      <w:r>
        <w:tab/>
        <w:t xml:space="preserve">P. Sazama </w:t>
      </w:r>
      <w:r>
        <w:rPr>
          <w:i/>
          <w:iCs/>
        </w:rPr>
        <w:t>et al.</w:t>
      </w:r>
      <w:r>
        <w:t xml:space="preserve">, Effect of aluminium distribution in the framework of ZSM-5 on hydrocarbon transformation. Cracking of 1-butene. </w:t>
      </w:r>
      <w:r>
        <w:rPr>
          <w:i/>
          <w:iCs/>
        </w:rPr>
        <w:t>Journal of Catalysis</w:t>
      </w:r>
      <w:r>
        <w:t xml:space="preserve">. </w:t>
      </w:r>
      <w:r>
        <w:rPr>
          <w:b/>
          <w:bCs/>
        </w:rPr>
        <w:t>254</w:t>
      </w:r>
      <w:r>
        <w:t>, 180–189 (2008).</w:t>
      </w:r>
    </w:p>
    <w:p w14:paraId="372FC2AA" w14:textId="77777777" w:rsidR="00807999" w:rsidRDefault="00807999" w:rsidP="00807999">
      <w:pPr>
        <w:widowControl w:val="0"/>
        <w:tabs>
          <w:tab w:val="left" w:pos="800"/>
        </w:tabs>
        <w:autoSpaceDE w:val="0"/>
        <w:autoSpaceDN w:val="0"/>
        <w:adjustRightInd w:val="0"/>
        <w:spacing w:after="240" w:line="240" w:lineRule="auto"/>
        <w:ind w:left="800" w:hanging="800"/>
      </w:pPr>
      <w:r>
        <w:t>160.</w:t>
      </w:r>
      <w:r>
        <w:tab/>
        <w:t xml:space="preserve">U. Olsbye </w:t>
      </w:r>
      <w:r>
        <w:rPr>
          <w:i/>
          <w:iCs/>
        </w:rPr>
        <w:t>et al.</w:t>
      </w:r>
      <w:r>
        <w:t xml:space="preserve">, Conversion of methanol to hydrocarbons: how zeolite cavity and pore size controls product selectivity. </w:t>
      </w:r>
      <w:r>
        <w:rPr>
          <w:i/>
          <w:iCs/>
        </w:rPr>
        <w:t>Angew. Chem. Int. Ed.</w:t>
      </w:r>
      <w:r>
        <w:t xml:space="preserve"> </w:t>
      </w:r>
      <w:r>
        <w:rPr>
          <w:b/>
          <w:bCs/>
        </w:rPr>
        <w:t>51</w:t>
      </w:r>
      <w:r>
        <w:t>, 5810–5831 (2012).</w:t>
      </w:r>
    </w:p>
    <w:p w14:paraId="3E4BB2A0" w14:textId="77777777" w:rsidR="00807999" w:rsidRDefault="00807999" w:rsidP="00807999">
      <w:pPr>
        <w:widowControl w:val="0"/>
        <w:tabs>
          <w:tab w:val="left" w:pos="800"/>
        </w:tabs>
        <w:autoSpaceDE w:val="0"/>
        <w:autoSpaceDN w:val="0"/>
        <w:adjustRightInd w:val="0"/>
        <w:spacing w:after="240" w:line="240" w:lineRule="auto"/>
        <w:ind w:left="800" w:hanging="800"/>
      </w:pPr>
      <w:r>
        <w:t>161.</w:t>
      </w:r>
      <w:r>
        <w:tab/>
        <w:t xml:space="preserve">R. Gounder, E. Iglesia, Catalytic Consequences of Spatial Constraints and Acid Site Location for Monomolecular Alkane Activation on Zeolites. </w:t>
      </w:r>
      <w:r>
        <w:rPr>
          <w:i/>
          <w:iCs/>
        </w:rPr>
        <w:t xml:space="preserve">J. Am. Chem. </w:t>
      </w:r>
      <w:r>
        <w:rPr>
          <w:i/>
          <w:iCs/>
        </w:rPr>
        <w:lastRenderedPageBreak/>
        <w:t>Soc.</w:t>
      </w:r>
      <w:r>
        <w:t xml:space="preserve"> </w:t>
      </w:r>
      <w:r>
        <w:rPr>
          <w:b/>
          <w:bCs/>
        </w:rPr>
        <w:t>131</w:t>
      </w:r>
      <w:r>
        <w:t>, 1958–1971 (2009).</w:t>
      </w:r>
    </w:p>
    <w:p w14:paraId="791066CF" w14:textId="77777777" w:rsidR="00807999" w:rsidRDefault="00807999" w:rsidP="00807999">
      <w:pPr>
        <w:widowControl w:val="0"/>
        <w:tabs>
          <w:tab w:val="left" w:pos="800"/>
        </w:tabs>
        <w:autoSpaceDE w:val="0"/>
        <w:autoSpaceDN w:val="0"/>
        <w:adjustRightInd w:val="0"/>
        <w:spacing w:after="240" w:line="240" w:lineRule="auto"/>
        <w:ind w:left="800" w:hanging="800"/>
      </w:pPr>
      <w:r>
        <w:t>162.</w:t>
      </w:r>
      <w:r>
        <w:tab/>
        <w:t xml:space="preserve">T. R. Carlson, J. Jae, Y.-C. Lin, G. A. Tompsett, G. W. Huber, Catalytic fast pyrolysis of glucose with HZSM-5: The combined homogeneous and heterogeneous reactions. </w:t>
      </w:r>
      <w:r>
        <w:rPr>
          <w:i/>
          <w:iCs/>
        </w:rPr>
        <w:t>Journal of Catalysis</w:t>
      </w:r>
      <w:r>
        <w:t xml:space="preserve">. </w:t>
      </w:r>
      <w:r>
        <w:rPr>
          <w:b/>
          <w:bCs/>
        </w:rPr>
        <w:t>270</w:t>
      </w:r>
      <w:r>
        <w:t>, 110–124 (2010).</w:t>
      </w:r>
    </w:p>
    <w:p w14:paraId="0545065E" w14:textId="77777777" w:rsidR="00807999" w:rsidRDefault="00807999" w:rsidP="00807999">
      <w:pPr>
        <w:widowControl w:val="0"/>
        <w:tabs>
          <w:tab w:val="left" w:pos="800"/>
        </w:tabs>
        <w:autoSpaceDE w:val="0"/>
        <w:autoSpaceDN w:val="0"/>
        <w:adjustRightInd w:val="0"/>
        <w:spacing w:after="240" w:line="240" w:lineRule="auto"/>
        <w:ind w:left="800" w:hanging="800"/>
      </w:pPr>
      <w:r>
        <w:t>163.</w:t>
      </w:r>
      <w:r>
        <w:tab/>
        <w:t xml:space="preserve">W. H. Chen, P. C. Kuo, Torrefaction and co-torrefaction characterization of hemicellulose, cellulose and lignin as well as torrefaction of some basic constituents in biomass. </w:t>
      </w:r>
      <w:r>
        <w:rPr>
          <w:i/>
          <w:iCs/>
        </w:rPr>
        <w:t>Energy</w:t>
      </w:r>
      <w:r>
        <w:t xml:space="preserve"> (2011), doi:10.1016/j.energy.2010.12.036.</w:t>
      </w:r>
    </w:p>
    <w:p w14:paraId="4411FEAB" w14:textId="77777777" w:rsidR="00807999" w:rsidRDefault="00807999" w:rsidP="00807999">
      <w:pPr>
        <w:widowControl w:val="0"/>
        <w:tabs>
          <w:tab w:val="left" w:pos="800"/>
        </w:tabs>
        <w:autoSpaceDE w:val="0"/>
        <w:autoSpaceDN w:val="0"/>
        <w:adjustRightInd w:val="0"/>
        <w:spacing w:after="240" w:line="240" w:lineRule="auto"/>
        <w:ind w:left="800" w:hanging="800"/>
      </w:pPr>
      <w:r>
        <w:t>164.</w:t>
      </w:r>
      <w:r>
        <w:tab/>
        <w:t xml:space="preserve">W. H. Chen, P. C. Kuo, Isothermal torrefaction kinetics of hemicellulose, cellulose, lignin and xylan using thermogravimetric analysis. </w:t>
      </w:r>
      <w:r>
        <w:rPr>
          <w:i/>
          <w:iCs/>
        </w:rPr>
        <w:t>Energy</w:t>
      </w:r>
      <w:r>
        <w:t xml:space="preserve"> (2011), doi:10.1016/j.energy.2011.09.022.</w:t>
      </w:r>
    </w:p>
    <w:p w14:paraId="0163BAA5" w14:textId="77777777" w:rsidR="00807999" w:rsidRDefault="00807999" w:rsidP="00807999">
      <w:pPr>
        <w:widowControl w:val="0"/>
        <w:tabs>
          <w:tab w:val="left" w:pos="800"/>
        </w:tabs>
        <w:autoSpaceDE w:val="0"/>
        <w:autoSpaceDN w:val="0"/>
        <w:adjustRightInd w:val="0"/>
        <w:spacing w:after="240" w:line="240" w:lineRule="auto"/>
        <w:ind w:left="800" w:hanging="800"/>
      </w:pPr>
      <w:r>
        <w:t>165.</w:t>
      </w:r>
      <w:r>
        <w:tab/>
        <w:t xml:space="preserve">P. A. Horne, P. T. Williams, Influence of temperature on the products from the flash pyrolysis of biomass. </w:t>
      </w:r>
      <w:r>
        <w:rPr>
          <w:i/>
          <w:iCs/>
        </w:rPr>
        <w:t>Fuel</w:t>
      </w:r>
      <w:r>
        <w:t xml:space="preserve"> (1996).</w:t>
      </w:r>
    </w:p>
    <w:p w14:paraId="69FBFB38" w14:textId="77777777" w:rsidR="00807999" w:rsidRDefault="00807999" w:rsidP="00807999">
      <w:pPr>
        <w:widowControl w:val="0"/>
        <w:tabs>
          <w:tab w:val="left" w:pos="800"/>
        </w:tabs>
        <w:autoSpaceDE w:val="0"/>
        <w:autoSpaceDN w:val="0"/>
        <w:adjustRightInd w:val="0"/>
        <w:spacing w:after="240" w:line="240" w:lineRule="auto"/>
        <w:ind w:left="800" w:hanging="800"/>
      </w:pPr>
      <w:r>
        <w:t>166.</w:t>
      </w:r>
      <w:r>
        <w:tab/>
        <w:t xml:space="preserve">W. J. Grigsby, G. Varhegyi, C. Di Blasi, Thermogravimetric analysis and devolatilization kinetics of wood. </w:t>
      </w:r>
      <w:r>
        <w:rPr>
          <w:i/>
          <w:iCs/>
        </w:rPr>
        <w:t>Ind. Eng. Chem. Res.</w:t>
      </w:r>
      <w:r>
        <w:t xml:space="preserve"> (2002), doi:10.1016/j.carbpol.2014.01.086.</w:t>
      </w:r>
    </w:p>
    <w:p w14:paraId="02E184CA" w14:textId="77777777" w:rsidR="00807999" w:rsidRDefault="00807999" w:rsidP="00807999">
      <w:pPr>
        <w:widowControl w:val="0"/>
        <w:tabs>
          <w:tab w:val="left" w:pos="800"/>
        </w:tabs>
        <w:autoSpaceDE w:val="0"/>
        <w:autoSpaceDN w:val="0"/>
        <w:adjustRightInd w:val="0"/>
        <w:spacing w:after="240" w:line="240" w:lineRule="auto"/>
        <w:ind w:left="800" w:hanging="800"/>
      </w:pPr>
      <w:r>
        <w:t>167.</w:t>
      </w:r>
      <w:r>
        <w:tab/>
        <w:t xml:space="preserve">A. Broido, M. A. Nelson, Char yield on pyrolysis of cellulose. </w:t>
      </w:r>
      <w:r>
        <w:rPr>
          <w:i/>
          <w:iCs/>
        </w:rPr>
        <w:t>Combustion and Flame</w:t>
      </w:r>
      <w:r>
        <w:t xml:space="preserve"> (1975).</w:t>
      </w:r>
    </w:p>
    <w:p w14:paraId="20AFF87A" w14:textId="77777777" w:rsidR="00807999" w:rsidRDefault="00807999" w:rsidP="00807999">
      <w:pPr>
        <w:widowControl w:val="0"/>
        <w:tabs>
          <w:tab w:val="left" w:pos="800"/>
        </w:tabs>
        <w:autoSpaceDE w:val="0"/>
        <w:autoSpaceDN w:val="0"/>
        <w:adjustRightInd w:val="0"/>
        <w:spacing w:after="240" w:line="240" w:lineRule="auto"/>
        <w:ind w:left="800" w:hanging="800"/>
      </w:pPr>
      <w:r>
        <w:t>168.</w:t>
      </w:r>
      <w:r>
        <w:tab/>
        <w:t xml:space="preserve">T. Melkior </w:t>
      </w:r>
      <w:r>
        <w:rPr>
          <w:i/>
          <w:iCs/>
        </w:rPr>
        <w:t>et al.</w:t>
      </w:r>
      <w:r>
        <w:t xml:space="preserve">, NMR analysis of the transformation of wood constituents by torrefaction. </w:t>
      </w:r>
      <w:r>
        <w:rPr>
          <w:i/>
          <w:iCs/>
        </w:rPr>
        <w:t>Fuel</w:t>
      </w:r>
      <w:r>
        <w:t xml:space="preserve">. </w:t>
      </w:r>
      <w:r>
        <w:rPr>
          <w:b/>
          <w:bCs/>
        </w:rPr>
        <w:t>92</w:t>
      </w:r>
      <w:r>
        <w:t>, 271–280 (2012).</w:t>
      </w:r>
    </w:p>
    <w:p w14:paraId="19DC118E" w14:textId="77777777" w:rsidR="00807999" w:rsidRDefault="00807999" w:rsidP="00807999">
      <w:pPr>
        <w:widowControl w:val="0"/>
        <w:tabs>
          <w:tab w:val="left" w:pos="800"/>
        </w:tabs>
        <w:autoSpaceDE w:val="0"/>
        <w:autoSpaceDN w:val="0"/>
        <w:adjustRightInd w:val="0"/>
        <w:spacing w:after="240" w:line="240" w:lineRule="auto"/>
        <w:ind w:left="800" w:hanging="800"/>
      </w:pPr>
      <w:r>
        <w:t>169.</w:t>
      </w:r>
      <w:r>
        <w:tab/>
        <w:t xml:space="preserve">N. Baccile </w:t>
      </w:r>
      <w:r>
        <w:rPr>
          <w:i/>
          <w:iCs/>
        </w:rPr>
        <w:t>et al.</w:t>
      </w:r>
      <w:r>
        <w:t xml:space="preserve">, Structural Characterization of Hydrothermal Carbon Spheres by Advanced Solid-State MAS 13C NMR Investigations. </w:t>
      </w:r>
      <w:r>
        <w:rPr>
          <w:i/>
          <w:iCs/>
        </w:rPr>
        <w:t>J. Phys. Chem. C</w:t>
      </w:r>
      <w:r>
        <w:t xml:space="preserve">. </w:t>
      </w:r>
      <w:r>
        <w:rPr>
          <w:b/>
          <w:bCs/>
        </w:rPr>
        <w:t>113</w:t>
      </w:r>
      <w:r>
        <w:t>, 9644–9654 (2009).</w:t>
      </w:r>
    </w:p>
    <w:p w14:paraId="2A9A25AA" w14:textId="77777777" w:rsidR="00807999" w:rsidRDefault="00807999" w:rsidP="00807999">
      <w:pPr>
        <w:widowControl w:val="0"/>
        <w:tabs>
          <w:tab w:val="left" w:pos="800"/>
        </w:tabs>
        <w:autoSpaceDE w:val="0"/>
        <w:autoSpaceDN w:val="0"/>
        <w:adjustRightInd w:val="0"/>
        <w:spacing w:after="240" w:line="240" w:lineRule="auto"/>
        <w:ind w:left="800" w:hanging="800"/>
      </w:pPr>
      <w:r>
        <w:t>170.</w:t>
      </w:r>
      <w:r>
        <w:tab/>
        <w:t>Y.-C. Lin, J. Cho, G. A. Tompsett, P. R. Westmoreland, G. W. Huber, Kinetics and Mechanism of Cellulose Pyrolysis (2009).</w:t>
      </w:r>
    </w:p>
    <w:p w14:paraId="76A3C39F" w14:textId="77777777" w:rsidR="00807999" w:rsidRDefault="00807999" w:rsidP="00807999">
      <w:pPr>
        <w:widowControl w:val="0"/>
        <w:tabs>
          <w:tab w:val="left" w:pos="800"/>
        </w:tabs>
        <w:autoSpaceDE w:val="0"/>
        <w:autoSpaceDN w:val="0"/>
        <w:adjustRightInd w:val="0"/>
        <w:spacing w:after="240" w:line="240" w:lineRule="auto"/>
        <w:ind w:left="800" w:hanging="800"/>
      </w:pPr>
      <w:r>
        <w:t>171.</w:t>
      </w:r>
      <w:r>
        <w:tab/>
        <w:t xml:space="preserve">J.-L. Wen, S.-L. Sun, T.-Q. Yuan, F. Xu, R.-C. Sun, Understanding the chemical and structural transformations of lignin macromolecule during torrefaction. </w:t>
      </w:r>
      <w:r>
        <w:rPr>
          <w:i/>
          <w:iCs/>
        </w:rPr>
        <w:t>APPLIED ENERGY</w:t>
      </w:r>
      <w:r>
        <w:t xml:space="preserve">. </w:t>
      </w:r>
      <w:r>
        <w:rPr>
          <w:b/>
          <w:bCs/>
        </w:rPr>
        <w:t>121</w:t>
      </w:r>
      <w:r>
        <w:t>, 1–9 (2014).</w:t>
      </w:r>
    </w:p>
    <w:p w14:paraId="039494F0" w14:textId="77777777" w:rsidR="00807999" w:rsidRDefault="00807999" w:rsidP="00807999">
      <w:pPr>
        <w:widowControl w:val="0"/>
        <w:tabs>
          <w:tab w:val="left" w:pos="800"/>
        </w:tabs>
        <w:autoSpaceDE w:val="0"/>
        <w:autoSpaceDN w:val="0"/>
        <w:adjustRightInd w:val="0"/>
        <w:spacing w:after="240" w:line="240" w:lineRule="auto"/>
        <w:ind w:left="800" w:hanging="800"/>
      </w:pPr>
      <w:r>
        <w:t>172.</w:t>
      </w:r>
      <w:r>
        <w:tab/>
        <w:t xml:space="preserve">S. B. McLaughlin, L. Adams Kszos, Development of switchgrass (panicum virgatum) as a bioenergy feedstock in the United States. </w:t>
      </w:r>
      <w:r>
        <w:rPr>
          <w:i/>
          <w:iCs/>
        </w:rPr>
        <w:t>Biomass and Bioenergy</w:t>
      </w:r>
      <w:r>
        <w:t xml:space="preserve">. </w:t>
      </w:r>
      <w:r>
        <w:rPr>
          <w:b/>
          <w:bCs/>
        </w:rPr>
        <w:t>28</w:t>
      </w:r>
      <w:r>
        <w:t>, 515–535 (2005).</w:t>
      </w:r>
    </w:p>
    <w:p w14:paraId="76227D7F" w14:textId="77777777" w:rsidR="00807999" w:rsidRDefault="00807999" w:rsidP="00807999">
      <w:pPr>
        <w:widowControl w:val="0"/>
        <w:tabs>
          <w:tab w:val="left" w:pos="800"/>
        </w:tabs>
        <w:autoSpaceDE w:val="0"/>
        <w:autoSpaceDN w:val="0"/>
        <w:adjustRightInd w:val="0"/>
        <w:spacing w:after="240" w:line="240" w:lineRule="auto"/>
        <w:ind w:left="800" w:hanging="800"/>
      </w:pPr>
      <w:r>
        <w:t>173.</w:t>
      </w:r>
      <w:r>
        <w:tab/>
        <w:t xml:space="preserve">M. G. Ward, J. K. Ward, B. E. Anderson, Grazing selectivity and in vivo digestibility of switchgrass strains selected for differing digestibility. </w:t>
      </w:r>
      <w:r>
        <w:rPr>
          <w:i/>
          <w:iCs/>
        </w:rPr>
        <w:t>J. Anim Sci.</w:t>
      </w:r>
      <w:r>
        <w:t xml:space="preserve"> (1989).</w:t>
      </w:r>
    </w:p>
    <w:p w14:paraId="243567D3" w14:textId="77777777" w:rsidR="00807999" w:rsidRDefault="00807999" w:rsidP="00807999">
      <w:pPr>
        <w:widowControl w:val="0"/>
        <w:tabs>
          <w:tab w:val="left" w:pos="800"/>
        </w:tabs>
        <w:autoSpaceDE w:val="0"/>
        <w:autoSpaceDN w:val="0"/>
        <w:adjustRightInd w:val="0"/>
        <w:spacing w:after="240" w:line="240" w:lineRule="auto"/>
        <w:ind w:left="800" w:hanging="800"/>
      </w:pPr>
      <w:r>
        <w:t>174.</w:t>
      </w:r>
      <w:r>
        <w:tab/>
        <w:t xml:space="preserve">C. R. Krueger, D. C. Curtis, Evaluation of big bluestem, indiangrass, sideoats grama, and switchgrass pastures with yearling steers. </w:t>
      </w:r>
      <w:r>
        <w:rPr>
          <w:i/>
          <w:iCs/>
        </w:rPr>
        <w:t>Agron J</w:t>
      </w:r>
      <w:r>
        <w:t xml:space="preserve"> (1979).</w:t>
      </w:r>
    </w:p>
    <w:p w14:paraId="2FDCD8B4" w14:textId="77777777" w:rsidR="00807999" w:rsidRDefault="00807999" w:rsidP="00807999">
      <w:pPr>
        <w:widowControl w:val="0"/>
        <w:tabs>
          <w:tab w:val="left" w:pos="800"/>
        </w:tabs>
        <w:autoSpaceDE w:val="0"/>
        <w:autoSpaceDN w:val="0"/>
        <w:adjustRightInd w:val="0"/>
        <w:spacing w:after="240" w:line="240" w:lineRule="auto"/>
        <w:ind w:left="800" w:hanging="800"/>
      </w:pPr>
      <w:r>
        <w:lastRenderedPageBreak/>
        <w:t>175.</w:t>
      </w:r>
      <w:r>
        <w:tab/>
        <w:t xml:space="preserve">J. H. Fike </w:t>
      </w:r>
      <w:r>
        <w:rPr>
          <w:i/>
          <w:iCs/>
        </w:rPr>
        <w:t>et al.</w:t>
      </w:r>
      <w:r>
        <w:t xml:space="preserve">, Long-term yield potential of switchgrass-for-biofuel systems. </w:t>
      </w:r>
      <w:r>
        <w:rPr>
          <w:i/>
          <w:iCs/>
        </w:rPr>
        <w:t>Biomass and Bioenergy</w:t>
      </w:r>
      <w:r>
        <w:t xml:space="preserve">. </w:t>
      </w:r>
      <w:r>
        <w:rPr>
          <w:b/>
          <w:bCs/>
        </w:rPr>
        <w:t>30</w:t>
      </w:r>
      <w:r>
        <w:t>, 198–206 (2006).</w:t>
      </w:r>
    </w:p>
    <w:p w14:paraId="46723D11" w14:textId="77777777" w:rsidR="00807999" w:rsidRDefault="00807999" w:rsidP="00807999">
      <w:pPr>
        <w:widowControl w:val="0"/>
        <w:tabs>
          <w:tab w:val="left" w:pos="800"/>
        </w:tabs>
        <w:autoSpaceDE w:val="0"/>
        <w:autoSpaceDN w:val="0"/>
        <w:adjustRightInd w:val="0"/>
        <w:spacing w:after="240" w:line="240" w:lineRule="auto"/>
        <w:ind w:left="800" w:hanging="800"/>
      </w:pPr>
      <w:r>
        <w:t>176.</w:t>
      </w:r>
      <w:r>
        <w:tab/>
        <w:t xml:space="preserve">C. L. Porter Jr, An analysis of variation between upland and lowland switchgrass, Panicum virgatum L., in central Oklahoma. </w:t>
      </w:r>
      <w:r>
        <w:rPr>
          <w:i/>
          <w:iCs/>
        </w:rPr>
        <w:t>Ecology</w:t>
      </w:r>
      <w:r>
        <w:t xml:space="preserve"> (1966).</w:t>
      </w:r>
    </w:p>
    <w:p w14:paraId="279DA08D" w14:textId="77777777" w:rsidR="00807999" w:rsidRDefault="00807999" w:rsidP="00807999">
      <w:pPr>
        <w:widowControl w:val="0"/>
        <w:tabs>
          <w:tab w:val="left" w:pos="800"/>
        </w:tabs>
        <w:autoSpaceDE w:val="0"/>
        <w:autoSpaceDN w:val="0"/>
        <w:adjustRightInd w:val="0"/>
        <w:spacing w:after="240" w:line="240" w:lineRule="auto"/>
        <w:ind w:left="800" w:hanging="800"/>
      </w:pPr>
      <w:r>
        <w:t>177.</w:t>
      </w:r>
      <w:r>
        <w:tab/>
        <w:t xml:space="preserve">M. Kuhn, K. Johnson, </w:t>
      </w:r>
      <w:r>
        <w:rPr>
          <w:i/>
          <w:iCs/>
        </w:rPr>
        <w:t>Applied predictive modeling</w:t>
      </w:r>
      <w:r>
        <w:t xml:space="preserve"> (New York : Springer, 2013).</w:t>
      </w:r>
    </w:p>
    <w:p w14:paraId="6524FFDC" w14:textId="77777777" w:rsidR="00807999" w:rsidRDefault="00807999" w:rsidP="00807999">
      <w:pPr>
        <w:widowControl w:val="0"/>
        <w:tabs>
          <w:tab w:val="left" w:pos="800"/>
        </w:tabs>
        <w:autoSpaceDE w:val="0"/>
        <w:autoSpaceDN w:val="0"/>
        <w:adjustRightInd w:val="0"/>
        <w:spacing w:after="240" w:line="240" w:lineRule="auto"/>
        <w:ind w:left="800" w:hanging="800"/>
      </w:pPr>
      <w:r>
        <w:t>178.</w:t>
      </w:r>
      <w:r>
        <w:tab/>
        <w:t>R Core Team, R: A language and environment for statistical computing, (available at https://www.R-project.org/).</w:t>
      </w:r>
    </w:p>
    <w:p w14:paraId="5778956E" w14:textId="77777777" w:rsidR="00807999" w:rsidRDefault="00807999" w:rsidP="00807999">
      <w:pPr>
        <w:widowControl w:val="0"/>
        <w:tabs>
          <w:tab w:val="left" w:pos="800"/>
        </w:tabs>
        <w:autoSpaceDE w:val="0"/>
        <w:autoSpaceDN w:val="0"/>
        <w:adjustRightInd w:val="0"/>
        <w:spacing w:after="240" w:line="240" w:lineRule="auto"/>
        <w:ind w:left="800" w:hanging="800"/>
      </w:pPr>
      <w:r>
        <w:t>179.</w:t>
      </w:r>
      <w:r>
        <w:tab/>
        <w:t xml:space="preserve">M. Kuhn, Caret package. </w:t>
      </w:r>
      <w:r>
        <w:rPr>
          <w:i/>
          <w:iCs/>
        </w:rPr>
        <w:t>Journal of Statistical Software</w:t>
      </w:r>
      <w:r>
        <w:t xml:space="preserve"> (2008).</w:t>
      </w:r>
    </w:p>
    <w:p w14:paraId="48097620" w14:textId="77777777" w:rsidR="00807999" w:rsidRDefault="00807999" w:rsidP="00807999">
      <w:pPr>
        <w:widowControl w:val="0"/>
        <w:tabs>
          <w:tab w:val="left" w:pos="800"/>
        </w:tabs>
        <w:autoSpaceDE w:val="0"/>
        <w:autoSpaceDN w:val="0"/>
        <w:adjustRightInd w:val="0"/>
        <w:spacing w:after="240" w:line="240" w:lineRule="auto"/>
        <w:ind w:left="800" w:hanging="800"/>
      </w:pPr>
      <w:r>
        <w:t>180.</w:t>
      </w:r>
      <w:r>
        <w:tab/>
        <w:t xml:space="preserve">L. Breiman, Random Forests. </w:t>
      </w:r>
      <w:r>
        <w:rPr>
          <w:i/>
          <w:iCs/>
        </w:rPr>
        <w:t>Machine Learning</w:t>
      </w:r>
      <w:r>
        <w:t xml:space="preserve">. </w:t>
      </w:r>
      <w:r>
        <w:rPr>
          <w:b/>
          <w:bCs/>
        </w:rPr>
        <w:t>45</w:t>
      </w:r>
      <w:r>
        <w:t>, 5–32 (2001).</w:t>
      </w:r>
    </w:p>
    <w:p w14:paraId="2E05894F" w14:textId="77777777" w:rsidR="00807999" w:rsidRDefault="00807999" w:rsidP="00807999">
      <w:pPr>
        <w:widowControl w:val="0"/>
        <w:tabs>
          <w:tab w:val="left" w:pos="800"/>
        </w:tabs>
        <w:autoSpaceDE w:val="0"/>
        <w:autoSpaceDN w:val="0"/>
        <w:adjustRightInd w:val="0"/>
        <w:spacing w:after="240" w:line="240" w:lineRule="auto"/>
        <w:ind w:left="800" w:hanging="800"/>
      </w:pPr>
      <w:r>
        <w:t>181.</w:t>
      </w:r>
      <w:r>
        <w:tab/>
        <w:t xml:space="preserve">A. Liaw, M. Wiener, Classification and regression by randomForest. </w:t>
      </w:r>
      <w:r>
        <w:rPr>
          <w:i/>
          <w:iCs/>
        </w:rPr>
        <w:t>R news</w:t>
      </w:r>
      <w:r>
        <w:t xml:space="preserve"> (2002).</w:t>
      </w:r>
    </w:p>
    <w:p w14:paraId="257173D1" w14:textId="77777777" w:rsidR="00807999" w:rsidRDefault="00807999" w:rsidP="00807999">
      <w:pPr>
        <w:widowControl w:val="0"/>
        <w:tabs>
          <w:tab w:val="left" w:pos="800"/>
        </w:tabs>
        <w:autoSpaceDE w:val="0"/>
        <w:autoSpaceDN w:val="0"/>
        <w:adjustRightInd w:val="0"/>
        <w:spacing w:after="240" w:line="240" w:lineRule="auto"/>
        <w:ind w:left="800" w:hanging="800"/>
      </w:pPr>
      <w:r>
        <w:t>182.</w:t>
      </w:r>
      <w:r>
        <w:tab/>
        <w:t>T. Hastie, D. Pregibon, “Shrinking trees” (AT&amp;T Bell Laboratories, 1990).</w:t>
      </w:r>
    </w:p>
    <w:p w14:paraId="0C74E3C8" w14:textId="77777777" w:rsidR="00807999" w:rsidRDefault="00807999" w:rsidP="00807999">
      <w:pPr>
        <w:widowControl w:val="0"/>
        <w:tabs>
          <w:tab w:val="left" w:pos="800"/>
        </w:tabs>
        <w:autoSpaceDE w:val="0"/>
        <w:autoSpaceDN w:val="0"/>
        <w:adjustRightInd w:val="0"/>
        <w:spacing w:after="240" w:line="240" w:lineRule="auto"/>
        <w:ind w:left="800" w:hanging="800"/>
      </w:pPr>
      <w:r>
        <w:t>183.</w:t>
      </w:r>
      <w:r>
        <w:tab/>
        <w:t xml:space="preserve">J. Fox, S. Weisberg, </w:t>
      </w:r>
      <w:r>
        <w:rPr>
          <w:i/>
          <w:iCs/>
        </w:rPr>
        <w:t>An R Companion to Applied Regression</w:t>
      </w:r>
      <w:r>
        <w:t xml:space="preserve"> (Sage, Thousand Oaks, CA, 2011; http://socserv.socsci.mcmaster.ca/jfox/Books/Companion).</w:t>
      </w:r>
    </w:p>
    <w:p w14:paraId="7B5334BD" w14:textId="77777777" w:rsidR="00807999" w:rsidRDefault="00807999" w:rsidP="00807999">
      <w:pPr>
        <w:widowControl w:val="0"/>
        <w:tabs>
          <w:tab w:val="left" w:pos="800"/>
        </w:tabs>
        <w:autoSpaceDE w:val="0"/>
        <w:autoSpaceDN w:val="0"/>
        <w:adjustRightInd w:val="0"/>
        <w:spacing w:after="240" w:line="240" w:lineRule="auto"/>
        <w:ind w:left="800" w:hanging="800"/>
      </w:pPr>
      <w:r>
        <w:t>184.</w:t>
      </w:r>
      <w:r>
        <w:tab/>
        <w:t xml:space="preserve">P. R. Patwardhan, J. A. Satrio, R. C. Brown, B. H. Shanks, Product distribution from fast pyrolysis of glucose-based carbohydrates. </w:t>
      </w:r>
      <w:r>
        <w:rPr>
          <w:i/>
          <w:iCs/>
        </w:rPr>
        <w:t>Journal of Analytical and Applied Pyrolysis</w:t>
      </w:r>
      <w:r>
        <w:t xml:space="preserve">. </w:t>
      </w:r>
      <w:r>
        <w:rPr>
          <w:b/>
          <w:bCs/>
        </w:rPr>
        <w:t>86</w:t>
      </w:r>
      <w:r>
        <w:t>, 323–330 (2009).</w:t>
      </w:r>
    </w:p>
    <w:p w14:paraId="421B22A2" w14:textId="77777777" w:rsidR="00807999" w:rsidRDefault="00807999" w:rsidP="00807999">
      <w:pPr>
        <w:widowControl w:val="0"/>
        <w:tabs>
          <w:tab w:val="left" w:pos="800"/>
        </w:tabs>
        <w:autoSpaceDE w:val="0"/>
        <w:autoSpaceDN w:val="0"/>
        <w:adjustRightInd w:val="0"/>
        <w:spacing w:after="240" w:line="240" w:lineRule="auto"/>
        <w:ind w:left="800" w:hanging="800"/>
      </w:pPr>
      <w:r>
        <w:t>185.</w:t>
      </w:r>
      <w:r>
        <w:tab/>
        <w:t xml:space="preserve">K. Raveendran, A. Ganesh, K. C. Khilar, Influence of mineral matter on biomass pyrolysis characteristics. </w:t>
      </w:r>
      <w:r>
        <w:rPr>
          <w:i/>
          <w:iCs/>
        </w:rPr>
        <w:t>Fuel</w:t>
      </w:r>
      <w:r>
        <w:t xml:space="preserve">. </w:t>
      </w:r>
      <w:r>
        <w:rPr>
          <w:b/>
          <w:bCs/>
        </w:rPr>
        <w:t>74</w:t>
      </w:r>
      <w:r>
        <w:t>, 1812–1822 (1995).</w:t>
      </w:r>
    </w:p>
    <w:p w14:paraId="260C70F4" w14:textId="77777777" w:rsidR="00807999" w:rsidRDefault="00807999" w:rsidP="00807999">
      <w:pPr>
        <w:widowControl w:val="0"/>
        <w:tabs>
          <w:tab w:val="left" w:pos="800"/>
        </w:tabs>
        <w:autoSpaceDE w:val="0"/>
        <w:autoSpaceDN w:val="0"/>
        <w:adjustRightInd w:val="0"/>
        <w:spacing w:after="240" w:line="240" w:lineRule="auto"/>
        <w:ind w:left="800" w:hanging="800"/>
      </w:pPr>
      <w:r>
        <w:t>186.</w:t>
      </w:r>
      <w:r>
        <w:tab/>
        <w:t xml:space="preserve">S. Kim </w:t>
      </w:r>
      <w:r>
        <w:rPr>
          <w:i/>
          <w:iCs/>
        </w:rPr>
        <w:t>et al.</w:t>
      </w:r>
      <w:r>
        <w:t xml:space="preserve">, Computational Study of Bond Dissociation Enthalpies for a Large Range of Native and Modified Lignins. </w:t>
      </w:r>
      <w:r>
        <w:rPr>
          <w:i/>
          <w:iCs/>
        </w:rPr>
        <w:t>J. Phys. Chem. Lett.</w:t>
      </w:r>
      <w:r>
        <w:t xml:space="preserve"> </w:t>
      </w:r>
      <w:r>
        <w:rPr>
          <w:b/>
          <w:bCs/>
        </w:rPr>
        <w:t>2</w:t>
      </w:r>
      <w:r>
        <w:t>, 2846–2852 (2011).</w:t>
      </w:r>
    </w:p>
    <w:p w14:paraId="4655FAC9" w14:textId="77777777" w:rsidR="00807999" w:rsidRDefault="00807999" w:rsidP="00807999">
      <w:pPr>
        <w:widowControl w:val="0"/>
        <w:tabs>
          <w:tab w:val="left" w:pos="800"/>
        </w:tabs>
        <w:autoSpaceDE w:val="0"/>
        <w:autoSpaceDN w:val="0"/>
        <w:adjustRightInd w:val="0"/>
        <w:spacing w:after="240" w:line="240" w:lineRule="auto"/>
        <w:ind w:left="800" w:hanging="800"/>
      </w:pPr>
      <w:r>
        <w:t>187.</w:t>
      </w:r>
      <w:r>
        <w:tab/>
        <w:t xml:space="preserve">R. Parthasarathi, R. A. Romero, A. Redondo, S. Gnanakaran, Theoretical Study of the Remarkably Diverse Linkages in Lignin. </w:t>
      </w:r>
      <w:r>
        <w:rPr>
          <w:i/>
          <w:iCs/>
        </w:rPr>
        <w:t>J. Phys. Chem. Lett.</w:t>
      </w:r>
      <w:r>
        <w:t xml:space="preserve"> </w:t>
      </w:r>
      <w:r>
        <w:rPr>
          <w:b/>
          <w:bCs/>
        </w:rPr>
        <w:t>2</w:t>
      </w:r>
      <w:r>
        <w:t>, 2660–2666 (2011).</w:t>
      </w:r>
    </w:p>
    <w:p w14:paraId="6B82C90F" w14:textId="77777777" w:rsidR="00807999" w:rsidRDefault="00807999" w:rsidP="00807999">
      <w:pPr>
        <w:widowControl w:val="0"/>
        <w:tabs>
          <w:tab w:val="left" w:pos="800"/>
        </w:tabs>
        <w:autoSpaceDE w:val="0"/>
        <w:autoSpaceDN w:val="0"/>
        <w:adjustRightInd w:val="0"/>
        <w:spacing w:after="240" w:line="240" w:lineRule="auto"/>
        <w:ind w:left="800" w:hanging="800"/>
      </w:pPr>
      <w:r>
        <w:t>188.</w:t>
      </w:r>
      <w:r>
        <w:tab/>
        <w:t xml:space="preserve">T. Elder, Bond Dissociation Enthalpies of a Pinoresinol Lignin Model Compound. </w:t>
      </w:r>
      <w:r>
        <w:rPr>
          <w:i/>
          <w:iCs/>
        </w:rPr>
        <w:t>Energy &amp; Fuels</w:t>
      </w:r>
      <w:r>
        <w:t xml:space="preserve"> (2014), doi:10.1021/ef402310h.</w:t>
      </w:r>
    </w:p>
    <w:p w14:paraId="13682EB3" w14:textId="77777777" w:rsidR="00807999" w:rsidRDefault="00807999" w:rsidP="00807999">
      <w:pPr>
        <w:widowControl w:val="0"/>
        <w:tabs>
          <w:tab w:val="left" w:pos="800"/>
        </w:tabs>
        <w:autoSpaceDE w:val="0"/>
        <w:autoSpaceDN w:val="0"/>
        <w:adjustRightInd w:val="0"/>
        <w:spacing w:after="240" w:line="240" w:lineRule="auto"/>
        <w:ind w:left="800" w:hanging="800"/>
      </w:pPr>
      <w:r>
        <w:t>189.</w:t>
      </w:r>
      <w:r>
        <w:tab/>
        <w:t xml:space="preserve">N. A. Palmer </w:t>
      </w:r>
      <w:r>
        <w:rPr>
          <w:i/>
          <w:iCs/>
        </w:rPr>
        <w:t>et al.</w:t>
      </w:r>
      <w:r>
        <w:t xml:space="preserve">, Genetic background impacts soluble and cell wall-bound aromatics in brown midrib mutants of sorghum. </w:t>
      </w:r>
      <w:r>
        <w:rPr>
          <w:i/>
          <w:iCs/>
        </w:rPr>
        <w:t>Planta</w:t>
      </w:r>
      <w:r>
        <w:t xml:space="preserve">. </w:t>
      </w:r>
      <w:r>
        <w:rPr>
          <w:b/>
          <w:bCs/>
        </w:rPr>
        <w:t>229</w:t>
      </w:r>
      <w:r>
        <w:t>, 115–127 (2008).</w:t>
      </w:r>
    </w:p>
    <w:p w14:paraId="1ED45262" w14:textId="77777777" w:rsidR="00807999" w:rsidRDefault="00807999" w:rsidP="00807999">
      <w:pPr>
        <w:widowControl w:val="0"/>
        <w:tabs>
          <w:tab w:val="left" w:pos="800"/>
        </w:tabs>
        <w:autoSpaceDE w:val="0"/>
        <w:autoSpaceDN w:val="0"/>
        <w:adjustRightInd w:val="0"/>
        <w:spacing w:after="240" w:line="240" w:lineRule="auto"/>
        <w:ind w:left="800" w:hanging="800"/>
      </w:pPr>
      <w:r>
        <w:t>190.</w:t>
      </w:r>
      <w:r>
        <w:tab/>
        <w:t xml:space="preserve">K. M. Holtman, H. M. Chang, H. Jameel, J. F. Kadla, Quantitative 13C NMR Characterization of Milled Wood Lignins Isolated by Different Milling Techniques. </w:t>
      </w:r>
      <w:r>
        <w:rPr>
          <w:i/>
          <w:iCs/>
        </w:rPr>
        <w:t>Journal of Wood Chemistry and Technology</w:t>
      </w:r>
      <w:r>
        <w:t xml:space="preserve">. </w:t>
      </w:r>
      <w:r>
        <w:rPr>
          <w:b/>
          <w:bCs/>
        </w:rPr>
        <w:t>26</w:t>
      </w:r>
      <w:r>
        <w:t>, 21–34 (2006).</w:t>
      </w:r>
    </w:p>
    <w:p w14:paraId="52694CC5" w14:textId="77777777" w:rsidR="00807999" w:rsidRDefault="00807999" w:rsidP="00807999">
      <w:pPr>
        <w:widowControl w:val="0"/>
        <w:tabs>
          <w:tab w:val="left" w:pos="800"/>
        </w:tabs>
        <w:autoSpaceDE w:val="0"/>
        <w:autoSpaceDN w:val="0"/>
        <w:adjustRightInd w:val="0"/>
        <w:spacing w:after="240" w:line="240" w:lineRule="auto"/>
        <w:ind w:left="800" w:hanging="800"/>
      </w:pPr>
      <w:r>
        <w:lastRenderedPageBreak/>
        <w:t>191.</w:t>
      </w:r>
      <w:r>
        <w:tab/>
        <w:t xml:space="preserve">Ewellyn A Capanema, A. Mikhail Y Balakshin, J. F. Kadla, A Comprehensive Approach for Quantitative Lignin Characterization by NMR Spectroscopy. </w:t>
      </w:r>
      <w:r>
        <w:rPr>
          <w:i/>
          <w:iCs/>
        </w:rPr>
        <w:t>J. Agric. Food Chem.</w:t>
      </w:r>
      <w:r>
        <w:t xml:space="preserve"> </w:t>
      </w:r>
      <w:r>
        <w:rPr>
          <w:b/>
          <w:bCs/>
        </w:rPr>
        <w:t>52</w:t>
      </w:r>
      <w:r>
        <w:t>, 1850–1860 (2004).</w:t>
      </w:r>
    </w:p>
    <w:p w14:paraId="2CB3133C" w14:textId="77777777" w:rsidR="00807999" w:rsidRDefault="00807999" w:rsidP="00807999">
      <w:pPr>
        <w:widowControl w:val="0"/>
        <w:tabs>
          <w:tab w:val="left" w:pos="800"/>
        </w:tabs>
        <w:autoSpaceDE w:val="0"/>
        <w:autoSpaceDN w:val="0"/>
        <w:adjustRightInd w:val="0"/>
        <w:spacing w:after="240" w:line="240" w:lineRule="auto"/>
        <w:ind w:left="800" w:hanging="800"/>
      </w:pPr>
      <w:r>
        <w:t>192.</w:t>
      </w:r>
      <w:r>
        <w:tab/>
        <w:t xml:space="preserve">Ewellyn A Capanema, A. Mikhail Yu Balakshin, J. F. Kadla, Quantitative Characterization of a Hardwood Milled Wood Lignin by Nuclear Magnetic Resonance Spectroscopy. </w:t>
      </w:r>
      <w:r>
        <w:rPr>
          <w:i/>
          <w:iCs/>
        </w:rPr>
        <w:t>J. Agric. Food Chem.</w:t>
      </w:r>
      <w:r>
        <w:t xml:space="preserve"> </w:t>
      </w:r>
      <w:r>
        <w:rPr>
          <w:b/>
          <w:bCs/>
        </w:rPr>
        <w:t>53</w:t>
      </w:r>
      <w:r>
        <w:t>, 9639–9649 (2005).</w:t>
      </w:r>
    </w:p>
    <w:p w14:paraId="6CF5AD53" w14:textId="77777777" w:rsidR="00807999" w:rsidRDefault="00807999" w:rsidP="00807999">
      <w:pPr>
        <w:widowControl w:val="0"/>
        <w:tabs>
          <w:tab w:val="left" w:pos="800"/>
        </w:tabs>
        <w:autoSpaceDE w:val="0"/>
        <w:autoSpaceDN w:val="0"/>
        <w:adjustRightInd w:val="0"/>
        <w:spacing w:after="240" w:line="240" w:lineRule="auto"/>
        <w:ind w:left="800" w:hanging="800"/>
      </w:pPr>
      <w:r>
        <w:t>193.</w:t>
      </w:r>
      <w:r>
        <w:tab/>
        <w:t xml:space="preserve">M. Hinchee </w:t>
      </w:r>
      <w:r>
        <w:rPr>
          <w:i/>
          <w:iCs/>
        </w:rPr>
        <w:t>et al.</w:t>
      </w:r>
      <w:r>
        <w:t xml:space="preserve">, Short-rotation woody crops for bioenergy and biofuels applications. </w:t>
      </w:r>
      <w:r>
        <w:rPr>
          <w:i/>
          <w:iCs/>
        </w:rPr>
        <w:t>In Vitro Cell.Dev.Biol.-Plant</w:t>
      </w:r>
      <w:r>
        <w:t xml:space="preserve">. </w:t>
      </w:r>
      <w:r>
        <w:rPr>
          <w:b/>
          <w:bCs/>
        </w:rPr>
        <w:t>45</w:t>
      </w:r>
      <w:r>
        <w:t>, 619–629 (2009).</w:t>
      </w:r>
    </w:p>
    <w:p w14:paraId="280742C3" w14:textId="77777777" w:rsidR="00807999" w:rsidRDefault="00807999" w:rsidP="00807999">
      <w:pPr>
        <w:widowControl w:val="0"/>
        <w:tabs>
          <w:tab w:val="left" w:pos="800"/>
        </w:tabs>
        <w:autoSpaceDE w:val="0"/>
        <w:autoSpaceDN w:val="0"/>
        <w:adjustRightInd w:val="0"/>
        <w:spacing w:after="240" w:line="240" w:lineRule="auto"/>
        <w:ind w:left="800" w:hanging="800"/>
      </w:pPr>
      <w:r>
        <w:t>194.</w:t>
      </w:r>
      <w:r>
        <w:tab/>
        <w:t xml:space="preserve">Z. Barth, Invasion of the Eastern Red Cedar. </w:t>
      </w:r>
      <w:r>
        <w:rPr>
          <w:i/>
          <w:iCs/>
        </w:rPr>
        <w:t>Rangelands</w:t>
      </w:r>
      <w:r>
        <w:t xml:space="preserve"> (2002), doi:10.2307/4001794.</w:t>
      </w:r>
    </w:p>
    <w:p w14:paraId="39990530" w14:textId="77777777" w:rsidR="00807999" w:rsidRDefault="00807999" w:rsidP="00807999">
      <w:pPr>
        <w:widowControl w:val="0"/>
        <w:tabs>
          <w:tab w:val="left" w:pos="800"/>
        </w:tabs>
        <w:autoSpaceDE w:val="0"/>
        <w:autoSpaceDN w:val="0"/>
        <w:adjustRightInd w:val="0"/>
        <w:spacing w:after="240" w:line="240" w:lineRule="auto"/>
        <w:ind w:left="800" w:hanging="800"/>
      </w:pPr>
      <w:r>
        <w:t>195.</w:t>
      </w:r>
      <w:r>
        <w:tab/>
        <w:t xml:space="preserve">R. Tibshirani, Regression shrinkage and selection via the lasso. </w:t>
      </w:r>
      <w:r>
        <w:rPr>
          <w:i/>
          <w:iCs/>
        </w:rPr>
        <w:t>Journal of the Royal Statistical Society Series B ( …</w:t>
      </w:r>
      <w:r>
        <w:t xml:space="preserve"> (1996), doi:10.2307/2346178.</w:t>
      </w:r>
    </w:p>
    <w:p w14:paraId="3E68CDD1" w14:textId="77777777" w:rsidR="00807999" w:rsidRDefault="00807999" w:rsidP="00807999">
      <w:pPr>
        <w:widowControl w:val="0"/>
        <w:tabs>
          <w:tab w:val="left" w:pos="800"/>
        </w:tabs>
        <w:autoSpaceDE w:val="0"/>
        <w:autoSpaceDN w:val="0"/>
        <w:adjustRightInd w:val="0"/>
        <w:spacing w:after="240" w:line="240" w:lineRule="auto"/>
        <w:ind w:left="800" w:hanging="800"/>
      </w:pPr>
      <w:r>
        <w:t>196.</w:t>
      </w:r>
      <w:r>
        <w:tab/>
        <w:t xml:space="preserve">H. Zou, T. Hastie, Regularization and variable selection via the elastic net. </w:t>
      </w:r>
      <w:r>
        <w:rPr>
          <w:i/>
          <w:iCs/>
        </w:rPr>
        <w:t>Journal of the Royal Statistical Society: Series B (Statistical Methodology)</w:t>
      </w:r>
      <w:r>
        <w:t xml:space="preserve">. </w:t>
      </w:r>
      <w:r>
        <w:rPr>
          <w:b/>
          <w:bCs/>
        </w:rPr>
        <w:t>67</w:t>
      </w:r>
      <w:r>
        <w:t>, 301–320 (2005).</w:t>
      </w:r>
    </w:p>
    <w:p w14:paraId="55AC9A6C" w14:textId="77777777" w:rsidR="00807999" w:rsidRDefault="00807999" w:rsidP="00807999">
      <w:pPr>
        <w:widowControl w:val="0"/>
        <w:tabs>
          <w:tab w:val="left" w:pos="800"/>
        </w:tabs>
        <w:autoSpaceDE w:val="0"/>
        <w:autoSpaceDN w:val="0"/>
        <w:adjustRightInd w:val="0"/>
        <w:spacing w:after="240" w:line="240" w:lineRule="auto"/>
        <w:ind w:left="800" w:hanging="800"/>
      </w:pPr>
      <w:r>
        <w:t>197.</w:t>
      </w:r>
      <w:r>
        <w:tab/>
        <w:t xml:space="preserve">C. A. Mullen, A. A. Boateng, Catalytic pyrolysis-GC/MS of lignin from several sources. </w:t>
      </w:r>
      <w:r>
        <w:rPr>
          <w:i/>
          <w:iCs/>
        </w:rPr>
        <w:t>Fuel Processing Technology</w:t>
      </w:r>
      <w:r>
        <w:t xml:space="preserve">. </w:t>
      </w:r>
      <w:r>
        <w:rPr>
          <w:b/>
          <w:bCs/>
        </w:rPr>
        <w:t>91</w:t>
      </w:r>
      <w:r>
        <w:t>, 1446–1458 (2010).</w:t>
      </w:r>
    </w:p>
    <w:p w14:paraId="73912585" w14:textId="49B51090" w:rsidR="00BD4152" w:rsidRDefault="00BD4152" w:rsidP="00807999">
      <w:pPr>
        <w:widowControl w:val="0"/>
        <w:tabs>
          <w:tab w:val="left" w:pos="800"/>
        </w:tabs>
        <w:autoSpaceDE w:val="0"/>
        <w:autoSpaceDN w:val="0"/>
        <w:adjustRightInd w:val="0"/>
        <w:spacing w:after="240" w:line="240" w:lineRule="auto"/>
        <w:ind w:left="800" w:hanging="800"/>
      </w:pPr>
      <w:r>
        <w:fldChar w:fldCharType="end"/>
      </w:r>
    </w:p>
    <w:p w14:paraId="7F932BB6" w14:textId="21E69DAF" w:rsidR="009D70EE" w:rsidRDefault="009D70EE" w:rsidP="009D70EE">
      <w:r>
        <w:br w:type="page"/>
      </w:r>
    </w:p>
    <w:p w14:paraId="62D981AA" w14:textId="2E6E58CF" w:rsidR="002B25A4" w:rsidRDefault="002B25A4" w:rsidP="002B25A4">
      <w:pPr>
        <w:pStyle w:val="Heading1"/>
      </w:pPr>
      <w:bookmarkStart w:id="216" w:name="_Toc310579475"/>
      <w:bookmarkStart w:id="217" w:name="_Toc449964918"/>
      <w:bookmarkEnd w:id="9"/>
      <w:r>
        <w:lastRenderedPageBreak/>
        <w:t>Appendix A: Source code for implementati</w:t>
      </w:r>
      <w:r w:rsidR="00AB42C0">
        <w:t>on of</w:t>
      </w:r>
      <w:r>
        <w:br/>
        <w:t>torrefaction weight loss model</w:t>
      </w:r>
      <w:bookmarkEnd w:id="217"/>
    </w:p>
    <w:p w14:paraId="17A3E5E7" w14:textId="77777777" w:rsidR="002B25A4" w:rsidRPr="0030440E" w:rsidRDefault="002B25A4" w:rsidP="0030440E">
      <w:pPr>
        <w:pStyle w:val="SourceCode"/>
        <w:rPr>
          <w:rFonts w:eastAsia="SimSun"/>
        </w:rPr>
      </w:pPr>
      <w:r w:rsidRPr="0030440E">
        <w:rPr>
          <w:rFonts w:eastAsia="SimSun"/>
        </w:rPr>
        <w:t>## Implementation of oak weight loss model as described in</w:t>
      </w:r>
    </w:p>
    <w:p w14:paraId="05B79667" w14:textId="77777777" w:rsidR="002B25A4" w:rsidRPr="0030440E" w:rsidRDefault="002B25A4" w:rsidP="0030440E">
      <w:pPr>
        <w:pStyle w:val="SourceCode"/>
        <w:rPr>
          <w:rFonts w:eastAsia="SimSun"/>
        </w:rPr>
      </w:pPr>
      <w:r w:rsidRPr="0030440E">
        <w:rPr>
          <w:rFonts w:eastAsia="SimSun"/>
        </w:rPr>
        <w:t>## W. J. Grigsby, G. Varhegyi, C. Di Blasi,</w:t>
      </w:r>
    </w:p>
    <w:p w14:paraId="6F11ABD5" w14:textId="77777777" w:rsidR="002B25A4" w:rsidRPr="0030440E" w:rsidRDefault="002B25A4" w:rsidP="0030440E">
      <w:pPr>
        <w:pStyle w:val="SourceCode"/>
        <w:rPr>
          <w:rFonts w:eastAsia="SimSun"/>
        </w:rPr>
      </w:pPr>
      <w:r w:rsidRPr="0030440E">
        <w:rPr>
          <w:rFonts w:eastAsia="SimSun"/>
        </w:rPr>
        <w:t>## Thermogravimetric analysis and devolatilization kinetics of wood.</w:t>
      </w:r>
    </w:p>
    <w:p w14:paraId="13F9EFFC" w14:textId="77777777" w:rsidR="002B25A4" w:rsidRPr="0030440E" w:rsidRDefault="002B25A4" w:rsidP="0030440E">
      <w:pPr>
        <w:pStyle w:val="SourceCode"/>
        <w:rPr>
          <w:rFonts w:eastAsia="SimSun"/>
        </w:rPr>
      </w:pPr>
      <w:r w:rsidRPr="0030440E">
        <w:rPr>
          <w:rFonts w:eastAsia="SimSun"/>
        </w:rPr>
        <w:t>## Industrial &amp; Engineering Chemistry Research (2002),</w:t>
      </w:r>
    </w:p>
    <w:p w14:paraId="767855B5" w14:textId="77777777" w:rsidR="002B25A4" w:rsidRPr="0030440E" w:rsidRDefault="002B25A4" w:rsidP="0030440E">
      <w:pPr>
        <w:pStyle w:val="SourceCode"/>
        <w:rPr>
          <w:rFonts w:eastAsia="SimSun"/>
        </w:rPr>
      </w:pPr>
      <w:r w:rsidRPr="0030440E">
        <w:rPr>
          <w:rFonts w:eastAsia="SimSun"/>
        </w:rPr>
        <w:t>## doi:10.1021/ie0201157.</w:t>
      </w:r>
    </w:p>
    <w:p w14:paraId="017D05AE" w14:textId="77777777" w:rsidR="002B25A4" w:rsidRPr="0030440E" w:rsidRDefault="002B25A4" w:rsidP="0030440E">
      <w:pPr>
        <w:pStyle w:val="SourceCode"/>
        <w:rPr>
          <w:rFonts w:eastAsia="SimSun"/>
        </w:rPr>
      </w:pPr>
      <w:r w:rsidRPr="0030440E">
        <w:rPr>
          <w:rFonts w:eastAsia="SimSun"/>
        </w:rPr>
        <w:t>##</w:t>
      </w:r>
    </w:p>
    <w:p w14:paraId="344FA0AE" w14:textId="77777777" w:rsidR="002B25A4" w:rsidRPr="0030440E" w:rsidRDefault="002B25A4" w:rsidP="0030440E">
      <w:pPr>
        <w:pStyle w:val="SourceCode"/>
        <w:rPr>
          <w:rFonts w:eastAsia="SimSun"/>
        </w:rPr>
      </w:pPr>
      <w:r w:rsidRPr="0030440E">
        <w:rPr>
          <w:rFonts w:eastAsia="SimSun"/>
        </w:rPr>
        <w:t>## Last Modified March 17, 2016</w:t>
      </w:r>
    </w:p>
    <w:p w14:paraId="6DD3FD17" w14:textId="77777777" w:rsidR="002B25A4" w:rsidRPr="0030440E" w:rsidRDefault="002B25A4" w:rsidP="0030440E">
      <w:pPr>
        <w:pStyle w:val="SourceCode"/>
        <w:rPr>
          <w:rFonts w:eastAsia="SimSun"/>
        </w:rPr>
      </w:pPr>
      <w:r w:rsidRPr="0030440E">
        <w:rPr>
          <w:rFonts w:eastAsia="SimSun"/>
        </w:rPr>
        <w:t>## Christopher Waters</w:t>
      </w:r>
    </w:p>
    <w:p w14:paraId="78A14470" w14:textId="77777777" w:rsidR="002B25A4" w:rsidRPr="0030440E" w:rsidRDefault="002B25A4" w:rsidP="0030440E">
      <w:pPr>
        <w:pStyle w:val="SourceCode"/>
        <w:rPr>
          <w:rFonts w:eastAsia="SimSun"/>
        </w:rPr>
      </w:pPr>
      <w:r w:rsidRPr="0030440E">
        <w:rPr>
          <w:rFonts w:eastAsia="SimSun"/>
        </w:rPr>
        <w:t>## cwaters@ou.edu</w:t>
      </w:r>
    </w:p>
    <w:p w14:paraId="5DCB86A1" w14:textId="77777777" w:rsidR="002B25A4" w:rsidRPr="0030440E" w:rsidRDefault="002B25A4" w:rsidP="0030440E">
      <w:pPr>
        <w:pStyle w:val="SourceCode"/>
        <w:rPr>
          <w:rFonts w:eastAsia="SimSun"/>
        </w:rPr>
      </w:pPr>
      <w:r w:rsidRPr="0030440E">
        <w:rPr>
          <w:rFonts w:eastAsia="SimSun"/>
        </w:rPr>
        <w:t>## University of Oklahoma</w:t>
      </w:r>
    </w:p>
    <w:p w14:paraId="63F8B7C3" w14:textId="77777777" w:rsidR="002B25A4" w:rsidRPr="0030440E" w:rsidRDefault="002B25A4" w:rsidP="0030440E">
      <w:pPr>
        <w:pStyle w:val="SourceCode"/>
        <w:rPr>
          <w:rFonts w:eastAsia="SimSun"/>
        </w:rPr>
      </w:pPr>
      <w:r w:rsidRPr="0030440E">
        <w:rPr>
          <w:rFonts w:eastAsia="SimSun"/>
        </w:rPr>
        <w:t>## College of Engineering</w:t>
      </w:r>
    </w:p>
    <w:p w14:paraId="57AE958C" w14:textId="77777777" w:rsidR="002B25A4" w:rsidRPr="0030440E" w:rsidRDefault="002B25A4" w:rsidP="0030440E">
      <w:pPr>
        <w:pStyle w:val="SourceCode"/>
        <w:rPr>
          <w:rFonts w:eastAsia="SimSun"/>
        </w:rPr>
      </w:pPr>
      <w:r w:rsidRPr="0030440E">
        <w:rPr>
          <w:rFonts w:eastAsia="SimSun"/>
        </w:rPr>
        <w:t>## School of Chemical, Biological, and Materials Engineering</w:t>
      </w:r>
    </w:p>
    <w:p w14:paraId="5FABF04D" w14:textId="77777777" w:rsidR="002B25A4" w:rsidRPr="0030440E" w:rsidRDefault="002B25A4" w:rsidP="0030440E">
      <w:pPr>
        <w:pStyle w:val="SourceCode"/>
        <w:rPr>
          <w:rFonts w:eastAsia="SimSun"/>
        </w:rPr>
      </w:pPr>
      <w:r w:rsidRPr="0030440E">
        <w:rPr>
          <w:rFonts w:eastAsia="SimSun"/>
        </w:rPr>
        <w:t>## Center for Biofuels Refining</w:t>
      </w:r>
    </w:p>
    <w:p w14:paraId="622EAF02" w14:textId="77777777" w:rsidR="002B25A4" w:rsidRDefault="002B25A4" w:rsidP="0030440E">
      <w:pPr>
        <w:pStyle w:val="SourceCode"/>
        <w:rPr>
          <w:rFonts w:eastAsia="SimSun"/>
        </w:rPr>
      </w:pPr>
      <w:r w:rsidRPr="0030440E">
        <w:rPr>
          <w:rFonts w:eastAsia="SimSun"/>
        </w:rPr>
        <w:t>## Pyrolysis Lab Group</w:t>
      </w:r>
    </w:p>
    <w:p w14:paraId="395B7650" w14:textId="04D6A997" w:rsidR="00BA5AC6" w:rsidRPr="0030440E" w:rsidRDefault="00BA5AC6" w:rsidP="0030440E">
      <w:pPr>
        <w:pStyle w:val="SourceCode"/>
        <w:rPr>
          <w:rFonts w:eastAsia="SimSun"/>
        </w:rPr>
      </w:pPr>
      <w:r>
        <w:rPr>
          <w:rFonts w:eastAsia="SimSun"/>
        </w:rPr>
        <w:t>## Script for the R programming language</w:t>
      </w:r>
    </w:p>
    <w:p w14:paraId="33FCD54A" w14:textId="77777777" w:rsidR="002B25A4" w:rsidRPr="0030440E" w:rsidRDefault="002B25A4" w:rsidP="0030440E">
      <w:pPr>
        <w:pStyle w:val="SourceCode"/>
      </w:pPr>
    </w:p>
    <w:p w14:paraId="058F5180" w14:textId="77777777" w:rsidR="002B25A4" w:rsidRPr="0030440E" w:rsidRDefault="002B25A4" w:rsidP="0030440E">
      <w:pPr>
        <w:pStyle w:val="SourceCode"/>
      </w:pPr>
      <w:r w:rsidRPr="0030440E">
        <w:t>## Output 10 digits when printing values</w:t>
      </w:r>
    </w:p>
    <w:p w14:paraId="66365844" w14:textId="77777777" w:rsidR="002B25A4" w:rsidRPr="0030440E" w:rsidRDefault="002B25A4" w:rsidP="0030440E">
      <w:pPr>
        <w:pStyle w:val="SourceCode"/>
      </w:pPr>
      <w:r w:rsidRPr="0030440E">
        <w:t>options(digits=10)</w:t>
      </w:r>
    </w:p>
    <w:p w14:paraId="4DE50E75" w14:textId="77777777" w:rsidR="002B25A4" w:rsidRPr="0030440E" w:rsidRDefault="002B25A4" w:rsidP="0030440E">
      <w:pPr>
        <w:pStyle w:val="SourceCode"/>
      </w:pPr>
    </w:p>
    <w:p w14:paraId="67686B9A" w14:textId="77777777" w:rsidR="002B25A4" w:rsidRPr="0030440E" w:rsidRDefault="002B25A4" w:rsidP="0030440E">
      <w:pPr>
        <w:pStyle w:val="SourceCode"/>
      </w:pPr>
      <w:r w:rsidRPr="0030440E">
        <w:lastRenderedPageBreak/>
        <w:t>## Global constants</w:t>
      </w:r>
    </w:p>
    <w:p w14:paraId="2BF4EFA1" w14:textId="77777777" w:rsidR="002B25A4" w:rsidRPr="0030440E" w:rsidRDefault="002B25A4" w:rsidP="0030440E">
      <w:pPr>
        <w:pStyle w:val="SourceCode"/>
      </w:pPr>
      <w:r w:rsidRPr="0030440E">
        <w:t>R &lt;- (8.314 * 10^-3) # kJ/mol * K</w:t>
      </w:r>
    </w:p>
    <w:p w14:paraId="191712DA" w14:textId="0EB45630" w:rsidR="002B25A4" w:rsidRPr="0030440E" w:rsidRDefault="002B25A4" w:rsidP="0030440E">
      <w:pPr>
        <w:pStyle w:val="SourceCode"/>
      </w:pPr>
      <w:r w:rsidRPr="0030440E">
        <w:t xml:space="preserve">t_0 &lt;- 0 # Initial time, </w:t>
      </w:r>
      <w:r w:rsidR="00FD5C76" w:rsidRPr="0030440E">
        <w:t>seconds; do not change this</w:t>
      </w:r>
    </w:p>
    <w:p w14:paraId="5BF2DA7A" w14:textId="77777777" w:rsidR="00FD5C76" w:rsidRPr="0030440E" w:rsidRDefault="00FD5C76" w:rsidP="0030440E">
      <w:pPr>
        <w:pStyle w:val="SourceCode"/>
      </w:pPr>
    </w:p>
    <w:p w14:paraId="253AF1F7" w14:textId="77777777" w:rsidR="002B25A4" w:rsidRPr="0030440E" w:rsidRDefault="002B25A4" w:rsidP="0030440E">
      <w:pPr>
        <w:pStyle w:val="SourceCode"/>
      </w:pPr>
      <w:r w:rsidRPr="0030440E">
        <w:t># Wt % of original biomass</w:t>
      </w:r>
    </w:p>
    <w:p w14:paraId="6161501E" w14:textId="77777777" w:rsidR="002B25A4" w:rsidRPr="0030440E" w:rsidRDefault="002B25A4" w:rsidP="0030440E">
      <w:pPr>
        <w:pStyle w:val="SourceCode"/>
      </w:pPr>
      <w:r w:rsidRPr="0030440E">
        <w:t>c_ext &lt;- 0.00 #extractives</w:t>
      </w:r>
    </w:p>
    <w:p w14:paraId="6D4B825C" w14:textId="77777777" w:rsidR="002B25A4" w:rsidRPr="0030440E" w:rsidRDefault="002B25A4" w:rsidP="0030440E">
      <w:pPr>
        <w:pStyle w:val="SourceCode"/>
      </w:pPr>
      <w:r w:rsidRPr="0030440E">
        <w:t>c_hc &lt;- 0.3024 #hemicellulose</w:t>
      </w:r>
    </w:p>
    <w:p w14:paraId="04D5001B" w14:textId="77777777" w:rsidR="002B25A4" w:rsidRPr="0030440E" w:rsidRDefault="002B25A4" w:rsidP="0030440E">
      <w:pPr>
        <w:pStyle w:val="SourceCode"/>
      </w:pPr>
      <w:r w:rsidRPr="0030440E">
        <w:t>c_c &lt;- 0.277 #cellulose</w:t>
      </w:r>
    </w:p>
    <w:p w14:paraId="7A71C8DF" w14:textId="77777777" w:rsidR="002B25A4" w:rsidRPr="0030440E" w:rsidRDefault="002B25A4" w:rsidP="0030440E">
      <w:pPr>
        <w:pStyle w:val="SourceCode"/>
      </w:pPr>
      <w:r w:rsidRPr="0030440E">
        <w:t>c_L &lt;- 0.2267 #lignin</w:t>
      </w:r>
    </w:p>
    <w:p w14:paraId="7A3414A2" w14:textId="77777777" w:rsidR="002B25A4" w:rsidRPr="0030440E" w:rsidRDefault="002B25A4" w:rsidP="0030440E">
      <w:pPr>
        <w:pStyle w:val="SourceCode"/>
      </w:pPr>
    </w:p>
    <w:p w14:paraId="3B089458" w14:textId="77777777" w:rsidR="002B25A4" w:rsidRPr="0030440E" w:rsidRDefault="002B25A4" w:rsidP="0030440E">
      <w:pPr>
        <w:pStyle w:val="SourceCode"/>
      </w:pPr>
      <w:r w:rsidRPr="0030440E">
        <w:t>## Kinetic constants, found in Table 3</w:t>
      </w:r>
    </w:p>
    <w:p w14:paraId="532FD9CC" w14:textId="77777777" w:rsidR="002B25A4" w:rsidRPr="0030440E" w:rsidRDefault="002B25A4" w:rsidP="0030440E">
      <w:pPr>
        <w:pStyle w:val="SourceCode"/>
      </w:pPr>
      <w:r w:rsidRPr="0030440E">
        <w:t>## Extractives</w:t>
      </w:r>
    </w:p>
    <w:p w14:paraId="6DC33B2D" w14:textId="77777777" w:rsidR="002B25A4" w:rsidRPr="0030440E" w:rsidRDefault="002B25A4" w:rsidP="0030440E">
      <w:pPr>
        <w:pStyle w:val="SourceCode"/>
      </w:pPr>
      <w:r w:rsidRPr="0030440E">
        <w:t>A_ext &lt;- 10^10.05 #s^-1</w:t>
      </w:r>
    </w:p>
    <w:p w14:paraId="75C225E8" w14:textId="77777777" w:rsidR="002B25A4" w:rsidRPr="0030440E" w:rsidRDefault="002B25A4" w:rsidP="0030440E">
      <w:pPr>
        <w:pStyle w:val="SourceCode"/>
      </w:pPr>
      <w:r w:rsidRPr="0030440E">
        <w:t>E_ext &lt;- 127 #kJ/mol</w:t>
      </w:r>
    </w:p>
    <w:p w14:paraId="34351929" w14:textId="77777777" w:rsidR="002B25A4" w:rsidRPr="0030440E" w:rsidRDefault="002B25A4" w:rsidP="0030440E">
      <w:pPr>
        <w:pStyle w:val="SourceCode"/>
      </w:pPr>
    </w:p>
    <w:p w14:paraId="741318AD" w14:textId="77777777" w:rsidR="002B25A4" w:rsidRPr="0030440E" w:rsidRDefault="002B25A4" w:rsidP="0030440E">
      <w:pPr>
        <w:pStyle w:val="SourceCode"/>
      </w:pPr>
      <w:r w:rsidRPr="0030440E">
        <w:t>## Hemicellulose</w:t>
      </w:r>
    </w:p>
    <w:p w14:paraId="1BA69C70" w14:textId="77777777" w:rsidR="002B25A4" w:rsidRPr="0030440E" w:rsidRDefault="002B25A4" w:rsidP="0030440E">
      <w:pPr>
        <w:pStyle w:val="SourceCode"/>
      </w:pPr>
      <w:r w:rsidRPr="0030440E">
        <w:t>A_hc &lt;- 10^6.84 #s^-1</w:t>
      </w:r>
    </w:p>
    <w:p w14:paraId="61CC2444" w14:textId="77777777" w:rsidR="002B25A4" w:rsidRPr="0030440E" w:rsidRDefault="002B25A4" w:rsidP="0030440E">
      <w:pPr>
        <w:pStyle w:val="SourceCode"/>
      </w:pPr>
      <w:r w:rsidRPr="0030440E">
        <w:t>E_hc &lt;- 100 #kJ/mol</w:t>
      </w:r>
    </w:p>
    <w:p w14:paraId="6F982BA7" w14:textId="77777777" w:rsidR="002B25A4" w:rsidRPr="0030440E" w:rsidRDefault="002B25A4" w:rsidP="0030440E">
      <w:pPr>
        <w:pStyle w:val="SourceCode"/>
      </w:pPr>
    </w:p>
    <w:p w14:paraId="3BCF9589" w14:textId="77777777" w:rsidR="002B25A4" w:rsidRPr="0030440E" w:rsidRDefault="002B25A4" w:rsidP="0030440E">
      <w:pPr>
        <w:pStyle w:val="SourceCode"/>
      </w:pPr>
      <w:r w:rsidRPr="0030440E">
        <w:t>## Cellulose</w:t>
      </w:r>
    </w:p>
    <w:p w14:paraId="25A889F4" w14:textId="77777777" w:rsidR="002B25A4" w:rsidRPr="0030440E" w:rsidRDefault="002B25A4" w:rsidP="0030440E">
      <w:pPr>
        <w:pStyle w:val="SourceCode"/>
      </w:pPr>
      <w:r w:rsidRPr="0030440E">
        <w:t>A_c &lt;- 10^17.97 #s^-1</w:t>
      </w:r>
    </w:p>
    <w:p w14:paraId="4DC11FAB" w14:textId="77777777" w:rsidR="002B25A4" w:rsidRPr="0030440E" w:rsidRDefault="002B25A4" w:rsidP="0030440E">
      <w:pPr>
        <w:pStyle w:val="SourceCode"/>
      </w:pPr>
      <w:r w:rsidRPr="0030440E">
        <w:lastRenderedPageBreak/>
        <w:t>E_c &lt;- 236 #kJ/mol</w:t>
      </w:r>
    </w:p>
    <w:p w14:paraId="04E8CEA6" w14:textId="77777777" w:rsidR="002B25A4" w:rsidRPr="0030440E" w:rsidRDefault="002B25A4" w:rsidP="0030440E">
      <w:pPr>
        <w:pStyle w:val="SourceCode"/>
      </w:pPr>
    </w:p>
    <w:p w14:paraId="724C5C84" w14:textId="77777777" w:rsidR="002B25A4" w:rsidRPr="0030440E" w:rsidRDefault="002B25A4" w:rsidP="0030440E">
      <w:pPr>
        <w:pStyle w:val="SourceCode"/>
      </w:pPr>
      <w:r w:rsidRPr="0030440E">
        <w:t>## Lignin</w:t>
      </w:r>
    </w:p>
    <w:p w14:paraId="76862637" w14:textId="77777777" w:rsidR="002B25A4" w:rsidRPr="0030440E" w:rsidRDefault="002B25A4" w:rsidP="0030440E">
      <w:pPr>
        <w:pStyle w:val="SourceCode"/>
      </w:pPr>
      <w:r w:rsidRPr="0030440E">
        <w:t>A_L &lt;- 10^0.6 #s^-1</w:t>
      </w:r>
    </w:p>
    <w:p w14:paraId="13750C56" w14:textId="77777777" w:rsidR="002B25A4" w:rsidRPr="0030440E" w:rsidRDefault="002B25A4" w:rsidP="0030440E">
      <w:pPr>
        <w:pStyle w:val="SourceCode"/>
      </w:pPr>
      <w:r w:rsidRPr="0030440E">
        <w:t>E_L &lt;- 46 #kJ/mol</w:t>
      </w:r>
    </w:p>
    <w:p w14:paraId="0C66F891" w14:textId="77777777" w:rsidR="002B25A4" w:rsidRPr="0030440E" w:rsidRDefault="002B25A4" w:rsidP="0030440E">
      <w:pPr>
        <w:pStyle w:val="SourceCode"/>
      </w:pPr>
    </w:p>
    <w:p w14:paraId="655A846D" w14:textId="77777777" w:rsidR="002B25A4" w:rsidRPr="0030440E" w:rsidRDefault="002B25A4" w:rsidP="0030440E">
      <w:pPr>
        <w:pStyle w:val="SourceCode"/>
      </w:pPr>
      <w:r w:rsidRPr="0030440E">
        <w:t>## Kinetic parameters defined as functions of temperature, according to</w:t>
      </w:r>
    </w:p>
    <w:p w14:paraId="5C973AD0" w14:textId="77777777" w:rsidR="002B25A4" w:rsidRPr="0030440E" w:rsidRDefault="002B25A4" w:rsidP="0030440E">
      <w:pPr>
        <w:pStyle w:val="SourceCode"/>
      </w:pPr>
      <w:r w:rsidRPr="0030440E">
        <w:t>## Equation 1 in the Kinetic Modeling section</w:t>
      </w:r>
    </w:p>
    <w:p w14:paraId="30B82903" w14:textId="77777777" w:rsidR="002B25A4" w:rsidRPr="0030440E" w:rsidRDefault="002B25A4" w:rsidP="0030440E">
      <w:pPr>
        <w:pStyle w:val="SourceCode"/>
      </w:pPr>
      <w:r w:rsidRPr="0030440E">
        <w:t>k_ext &lt;- function(T) {</w:t>
      </w:r>
    </w:p>
    <w:p w14:paraId="240A1DB3" w14:textId="77777777" w:rsidR="002B25A4" w:rsidRPr="0030440E" w:rsidRDefault="002B25A4" w:rsidP="0030440E">
      <w:pPr>
        <w:pStyle w:val="SourceCode"/>
      </w:pPr>
      <w:r w:rsidRPr="0030440E">
        <w:t xml:space="preserve">  return(A_ext * exp(-E_ext / (R * T)))</w:t>
      </w:r>
    </w:p>
    <w:p w14:paraId="33222C0D" w14:textId="77777777" w:rsidR="002B25A4" w:rsidRPr="0030440E" w:rsidRDefault="002B25A4" w:rsidP="0030440E">
      <w:pPr>
        <w:pStyle w:val="SourceCode"/>
      </w:pPr>
      <w:r w:rsidRPr="0030440E">
        <w:t>}</w:t>
      </w:r>
    </w:p>
    <w:p w14:paraId="4100C843" w14:textId="77777777" w:rsidR="002B25A4" w:rsidRPr="0030440E" w:rsidRDefault="002B25A4" w:rsidP="0030440E">
      <w:pPr>
        <w:pStyle w:val="SourceCode"/>
      </w:pPr>
    </w:p>
    <w:p w14:paraId="560F8E80" w14:textId="77777777" w:rsidR="002B25A4" w:rsidRPr="0030440E" w:rsidRDefault="002B25A4" w:rsidP="0030440E">
      <w:pPr>
        <w:pStyle w:val="SourceCode"/>
      </w:pPr>
      <w:r w:rsidRPr="0030440E">
        <w:t>k_hc &lt;- function(T) {</w:t>
      </w:r>
    </w:p>
    <w:p w14:paraId="2DDAAE60" w14:textId="77777777" w:rsidR="002B25A4" w:rsidRPr="0030440E" w:rsidRDefault="002B25A4" w:rsidP="0030440E">
      <w:pPr>
        <w:pStyle w:val="SourceCode"/>
      </w:pPr>
      <w:r w:rsidRPr="0030440E">
        <w:t xml:space="preserve">  return(A_hc * exp(-E_hc / (R * T)))</w:t>
      </w:r>
    </w:p>
    <w:p w14:paraId="3960659A" w14:textId="77777777" w:rsidR="002B25A4" w:rsidRPr="0030440E" w:rsidRDefault="002B25A4" w:rsidP="0030440E">
      <w:pPr>
        <w:pStyle w:val="SourceCode"/>
      </w:pPr>
      <w:r w:rsidRPr="0030440E">
        <w:t>}</w:t>
      </w:r>
    </w:p>
    <w:p w14:paraId="42269EC9" w14:textId="77777777" w:rsidR="002B25A4" w:rsidRPr="0030440E" w:rsidRDefault="002B25A4" w:rsidP="0030440E">
      <w:pPr>
        <w:pStyle w:val="SourceCode"/>
      </w:pPr>
    </w:p>
    <w:p w14:paraId="5EA656B1" w14:textId="77777777" w:rsidR="002B25A4" w:rsidRPr="0030440E" w:rsidRDefault="002B25A4" w:rsidP="0030440E">
      <w:pPr>
        <w:pStyle w:val="SourceCode"/>
      </w:pPr>
      <w:r w:rsidRPr="0030440E">
        <w:t>k_c &lt;- function(T) {</w:t>
      </w:r>
    </w:p>
    <w:p w14:paraId="2E589DB1" w14:textId="77777777" w:rsidR="002B25A4" w:rsidRPr="0030440E" w:rsidRDefault="002B25A4" w:rsidP="0030440E">
      <w:pPr>
        <w:pStyle w:val="SourceCode"/>
      </w:pPr>
      <w:r w:rsidRPr="0030440E">
        <w:t xml:space="preserve">  return(A_c * exp(-E_c / (R * T)))</w:t>
      </w:r>
    </w:p>
    <w:p w14:paraId="18A65D87" w14:textId="77777777" w:rsidR="002B25A4" w:rsidRPr="0030440E" w:rsidRDefault="002B25A4" w:rsidP="0030440E">
      <w:pPr>
        <w:pStyle w:val="SourceCode"/>
      </w:pPr>
      <w:r w:rsidRPr="0030440E">
        <w:t>}</w:t>
      </w:r>
    </w:p>
    <w:p w14:paraId="415ECFCC" w14:textId="77777777" w:rsidR="002B25A4" w:rsidRPr="0030440E" w:rsidRDefault="002B25A4" w:rsidP="0030440E">
      <w:pPr>
        <w:pStyle w:val="SourceCode"/>
      </w:pPr>
    </w:p>
    <w:p w14:paraId="6D569116" w14:textId="77777777" w:rsidR="002B25A4" w:rsidRPr="0030440E" w:rsidRDefault="002B25A4" w:rsidP="0030440E">
      <w:pPr>
        <w:pStyle w:val="SourceCode"/>
      </w:pPr>
      <w:r w:rsidRPr="0030440E">
        <w:t>k_L &lt;- function(T) {</w:t>
      </w:r>
    </w:p>
    <w:p w14:paraId="2D08D9E0" w14:textId="77777777" w:rsidR="002B25A4" w:rsidRPr="0030440E" w:rsidRDefault="002B25A4" w:rsidP="0030440E">
      <w:pPr>
        <w:pStyle w:val="SourceCode"/>
      </w:pPr>
      <w:r w:rsidRPr="0030440E">
        <w:lastRenderedPageBreak/>
        <w:t xml:space="preserve">  return(A_L * exp(-E_L / (R * T)))</w:t>
      </w:r>
    </w:p>
    <w:p w14:paraId="479B3AF8" w14:textId="77777777" w:rsidR="002B25A4" w:rsidRPr="0030440E" w:rsidRDefault="002B25A4" w:rsidP="0030440E">
      <w:pPr>
        <w:pStyle w:val="SourceCode"/>
      </w:pPr>
      <w:r w:rsidRPr="0030440E">
        <w:t>}</w:t>
      </w:r>
    </w:p>
    <w:p w14:paraId="293218B5" w14:textId="77777777" w:rsidR="002B25A4" w:rsidRPr="0030440E" w:rsidRDefault="002B25A4" w:rsidP="0030440E">
      <w:pPr>
        <w:pStyle w:val="SourceCode"/>
      </w:pPr>
    </w:p>
    <w:p w14:paraId="01EA9EB7" w14:textId="77777777" w:rsidR="002B25A4" w:rsidRPr="0030440E" w:rsidRDefault="002B25A4" w:rsidP="0030440E">
      <w:pPr>
        <w:pStyle w:val="SourceCode"/>
      </w:pPr>
      <w:r w:rsidRPr="0030440E">
        <w:t>## This function will numerically calculate the mass loss of the fractions ----</w:t>
      </w:r>
    </w:p>
    <w:p w14:paraId="20D7867C" w14:textId="77777777" w:rsidR="002B25A4" w:rsidRPr="0030440E" w:rsidRDefault="002B25A4" w:rsidP="0030440E">
      <w:pPr>
        <w:pStyle w:val="SourceCode"/>
      </w:pPr>
      <w:r w:rsidRPr="0030440E">
        <w:t>runModel &lt;- function(T, t_f, dt) {</w:t>
      </w:r>
    </w:p>
    <w:p w14:paraId="074EF8C7" w14:textId="77777777" w:rsidR="002B25A4" w:rsidRPr="0030440E" w:rsidRDefault="002B25A4" w:rsidP="0030440E">
      <w:pPr>
        <w:pStyle w:val="SourceCode"/>
      </w:pPr>
      <w:r w:rsidRPr="0030440E">
        <w:t xml:space="preserve">  ## T:   Isothermal temperature at which the model will run.</w:t>
      </w:r>
    </w:p>
    <w:p w14:paraId="7BAA9779" w14:textId="77777777" w:rsidR="002B25A4" w:rsidRPr="0030440E" w:rsidRDefault="002B25A4" w:rsidP="0030440E">
      <w:pPr>
        <w:pStyle w:val="SourceCode"/>
      </w:pPr>
      <w:r w:rsidRPr="0030440E">
        <w:t xml:space="preserve">  ##      Temperatures must be passed in as Celsius.</w:t>
      </w:r>
    </w:p>
    <w:p w14:paraId="5A81EB1A" w14:textId="77777777" w:rsidR="002B25A4" w:rsidRPr="0030440E" w:rsidRDefault="002B25A4" w:rsidP="0030440E">
      <w:pPr>
        <w:pStyle w:val="SourceCode"/>
      </w:pPr>
      <w:r w:rsidRPr="0030440E">
        <w:t xml:space="preserve">  ##      This could theoretically be passed in as a temperature profile in a</w:t>
      </w:r>
    </w:p>
    <w:p w14:paraId="45251EE2" w14:textId="77777777" w:rsidR="002B25A4" w:rsidRPr="0030440E" w:rsidRDefault="002B25A4" w:rsidP="0030440E">
      <w:pPr>
        <w:pStyle w:val="SourceCode"/>
      </w:pPr>
      <w:r w:rsidRPr="0030440E">
        <w:t xml:space="preserve">  ##      more advanced implementation.</w:t>
      </w:r>
    </w:p>
    <w:p w14:paraId="3C1EA728" w14:textId="77777777" w:rsidR="002B25A4" w:rsidRPr="0030440E" w:rsidRDefault="002B25A4" w:rsidP="0030440E">
      <w:pPr>
        <w:pStyle w:val="SourceCode"/>
      </w:pPr>
      <w:r w:rsidRPr="0030440E">
        <w:t xml:space="preserve">  ##</w:t>
      </w:r>
    </w:p>
    <w:p w14:paraId="7EFF8850" w14:textId="77777777" w:rsidR="002B25A4" w:rsidRPr="0030440E" w:rsidRDefault="002B25A4" w:rsidP="0030440E">
      <w:pPr>
        <w:pStyle w:val="SourceCode"/>
      </w:pPr>
      <w:r w:rsidRPr="0030440E">
        <w:t xml:space="preserve">  ## t_f: Final time.</w:t>
      </w:r>
    </w:p>
    <w:p w14:paraId="2C1D5CA6" w14:textId="77777777" w:rsidR="002B25A4" w:rsidRPr="0030440E" w:rsidRDefault="002B25A4" w:rsidP="0030440E">
      <w:pPr>
        <w:pStyle w:val="SourceCode"/>
      </w:pPr>
      <w:r w:rsidRPr="0030440E">
        <w:t xml:space="preserve">  ##      All time unis in this model are in seconds.</w:t>
      </w:r>
    </w:p>
    <w:p w14:paraId="7D78223E" w14:textId="77777777" w:rsidR="002B25A4" w:rsidRPr="0030440E" w:rsidRDefault="002B25A4" w:rsidP="0030440E">
      <w:pPr>
        <w:pStyle w:val="SourceCode"/>
      </w:pPr>
      <w:r w:rsidRPr="0030440E">
        <w:t xml:space="preserve">  ##      This is for how long the mass losses will be calculated.</w:t>
      </w:r>
    </w:p>
    <w:p w14:paraId="04C6B1D8" w14:textId="77777777" w:rsidR="002B25A4" w:rsidRPr="0030440E" w:rsidRDefault="002B25A4" w:rsidP="0030440E">
      <w:pPr>
        <w:pStyle w:val="SourceCode"/>
      </w:pPr>
      <w:r w:rsidRPr="0030440E">
        <w:t xml:space="preserve">  ##</w:t>
      </w:r>
    </w:p>
    <w:p w14:paraId="55A14EC2" w14:textId="77777777" w:rsidR="002B25A4" w:rsidRPr="0030440E" w:rsidRDefault="002B25A4" w:rsidP="0030440E">
      <w:pPr>
        <w:pStyle w:val="SourceCode"/>
      </w:pPr>
      <w:r w:rsidRPr="0030440E">
        <w:t xml:space="preserve">  ## dt:  Time step for the model</w:t>
      </w:r>
    </w:p>
    <w:p w14:paraId="28575786" w14:textId="77777777" w:rsidR="002B25A4" w:rsidRPr="0030440E" w:rsidRDefault="002B25A4" w:rsidP="0030440E">
      <w:pPr>
        <w:pStyle w:val="SourceCode"/>
      </w:pPr>
      <w:r w:rsidRPr="0030440E">
        <w:t xml:space="preserve">  ##      This is also in seconds.</w:t>
      </w:r>
    </w:p>
    <w:p w14:paraId="39C56A80" w14:textId="77777777" w:rsidR="002B25A4" w:rsidRPr="0030440E" w:rsidRDefault="002B25A4" w:rsidP="0030440E">
      <w:pPr>
        <w:pStyle w:val="SourceCode"/>
      </w:pPr>
    </w:p>
    <w:p w14:paraId="65937A87" w14:textId="77777777" w:rsidR="002B25A4" w:rsidRPr="0030440E" w:rsidRDefault="002B25A4" w:rsidP="0030440E">
      <w:pPr>
        <w:pStyle w:val="SourceCode"/>
      </w:pPr>
      <w:r w:rsidRPr="0030440E">
        <w:t xml:space="preserve">  ## Conversion of input temperature to Kelvin</w:t>
      </w:r>
    </w:p>
    <w:p w14:paraId="65D07890" w14:textId="77777777" w:rsidR="002B25A4" w:rsidRPr="0030440E" w:rsidRDefault="002B25A4" w:rsidP="0030440E">
      <w:pPr>
        <w:pStyle w:val="SourceCode"/>
      </w:pPr>
      <w:r w:rsidRPr="0030440E">
        <w:t xml:space="preserve">  T &lt;- T + 273</w:t>
      </w:r>
    </w:p>
    <w:p w14:paraId="09AE1F42" w14:textId="77777777" w:rsidR="002B25A4" w:rsidRPr="0030440E" w:rsidRDefault="002B25A4" w:rsidP="0030440E">
      <w:pPr>
        <w:pStyle w:val="SourceCode"/>
      </w:pPr>
    </w:p>
    <w:p w14:paraId="77F1CC83" w14:textId="77777777" w:rsidR="002B25A4" w:rsidRPr="0030440E" w:rsidRDefault="002B25A4" w:rsidP="0030440E">
      <w:pPr>
        <w:pStyle w:val="SourceCode"/>
      </w:pPr>
      <w:r w:rsidRPr="0030440E">
        <w:t xml:space="preserve">  ## First, calculate kinetic parameters at the selected temperature</w:t>
      </w:r>
    </w:p>
    <w:p w14:paraId="123FBDDF" w14:textId="77777777" w:rsidR="002B25A4" w:rsidRPr="0030440E" w:rsidRDefault="002B25A4" w:rsidP="0030440E">
      <w:pPr>
        <w:pStyle w:val="SourceCode"/>
      </w:pPr>
      <w:r w:rsidRPr="0030440E">
        <w:lastRenderedPageBreak/>
        <w:t xml:space="preserve">  k_ext_i &lt;- k_ext(T)</w:t>
      </w:r>
    </w:p>
    <w:p w14:paraId="3263C64A" w14:textId="77777777" w:rsidR="002B25A4" w:rsidRPr="0030440E" w:rsidRDefault="002B25A4" w:rsidP="0030440E">
      <w:pPr>
        <w:pStyle w:val="SourceCode"/>
      </w:pPr>
      <w:r w:rsidRPr="0030440E">
        <w:t xml:space="preserve">  k_hc_i &lt;- k_hc(T)</w:t>
      </w:r>
    </w:p>
    <w:p w14:paraId="38BADA27" w14:textId="77777777" w:rsidR="002B25A4" w:rsidRPr="0030440E" w:rsidRDefault="002B25A4" w:rsidP="0030440E">
      <w:pPr>
        <w:pStyle w:val="SourceCode"/>
      </w:pPr>
      <w:r w:rsidRPr="0030440E">
        <w:t xml:space="preserve">  k_c_i &lt;- k_c(T)</w:t>
      </w:r>
    </w:p>
    <w:p w14:paraId="734FD8C4" w14:textId="77777777" w:rsidR="002B25A4" w:rsidRPr="0030440E" w:rsidRDefault="002B25A4" w:rsidP="0030440E">
      <w:pPr>
        <w:pStyle w:val="SourceCode"/>
      </w:pPr>
      <w:r w:rsidRPr="0030440E">
        <w:t xml:space="preserve">  k_L_i &lt;- k_L(T)</w:t>
      </w:r>
    </w:p>
    <w:p w14:paraId="593BC5CC" w14:textId="77777777" w:rsidR="002B25A4" w:rsidRPr="0030440E" w:rsidRDefault="002B25A4" w:rsidP="0030440E">
      <w:pPr>
        <w:pStyle w:val="SourceCode"/>
      </w:pPr>
    </w:p>
    <w:p w14:paraId="652000D8" w14:textId="77777777" w:rsidR="002B25A4" w:rsidRPr="0030440E" w:rsidRDefault="002B25A4" w:rsidP="0030440E">
      <w:pPr>
        <w:pStyle w:val="SourceCode"/>
      </w:pPr>
      <w:r w:rsidRPr="0030440E">
        <w:t xml:space="preserve">  ## This defines the structure of the data frame where the results go</w:t>
      </w:r>
    </w:p>
    <w:p w14:paraId="17CD413A" w14:textId="77777777" w:rsidR="002B25A4" w:rsidRPr="0030440E" w:rsidRDefault="002B25A4" w:rsidP="0030440E">
      <w:pPr>
        <w:pStyle w:val="SourceCode"/>
      </w:pPr>
      <w:r w:rsidRPr="0030440E">
        <w:t xml:space="preserve">  results.frame &lt;- data.frame(t = 0, a_ext = 0, a_hc = 0, a_c = 0, a_L = 0)</w:t>
      </w:r>
    </w:p>
    <w:p w14:paraId="384C10FB" w14:textId="77777777" w:rsidR="002B25A4" w:rsidRPr="0030440E" w:rsidRDefault="002B25A4" w:rsidP="0030440E">
      <w:pPr>
        <w:pStyle w:val="SourceCode"/>
      </w:pPr>
    </w:p>
    <w:p w14:paraId="59344EE4" w14:textId="77777777" w:rsidR="002B25A4" w:rsidRPr="0030440E" w:rsidRDefault="002B25A4" w:rsidP="0030440E">
      <w:pPr>
        <w:pStyle w:val="SourceCode"/>
      </w:pPr>
      <w:r w:rsidRPr="0030440E">
        <w:t xml:space="preserve">  ## Sets up the iteration step limits for the numeric solution.</w:t>
      </w:r>
    </w:p>
    <w:p w14:paraId="46C35546" w14:textId="77777777" w:rsidR="002B25A4" w:rsidRPr="0030440E" w:rsidRDefault="002B25A4" w:rsidP="0030440E">
      <w:pPr>
        <w:pStyle w:val="SourceCode"/>
      </w:pPr>
      <w:r w:rsidRPr="0030440E">
        <w:t xml:space="preserve">  step_0 &lt;- t_0 / dt</w:t>
      </w:r>
    </w:p>
    <w:p w14:paraId="4EAB2D1B" w14:textId="77777777" w:rsidR="002B25A4" w:rsidRPr="0030440E" w:rsidRDefault="002B25A4" w:rsidP="0030440E">
      <w:pPr>
        <w:pStyle w:val="SourceCode"/>
      </w:pPr>
      <w:r w:rsidRPr="0030440E">
        <w:t xml:space="preserve">  step_f &lt;- t_f / dt</w:t>
      </w:r>
    </w:p>
    <w:p w14:paraId="17EE3403" w14:textId="77777777" w:rsidR="002B25A4" w:rsidRPr="0030440E" w:rsidRDefault="002B25A4" w:rsidP="0030440E">
      <w:pPr>
        <w:pStyle w:val="SourceCode"/>
      </w:pPr>
    </w:p>
    <w:p w14:paraId="284E0A58" w14:textId="77777777" w:rsidR="002B25A4" w:rsidRPr="0030440E" w:rsidRDefault="002B25A4" w:rsidP="0030440E">
      <w:pPr>
        <w:pStyle w:val="SourceCode"/>
      </w:pPr>
      <w:r w:rsidRPr="0030440E">
        <w:t xml:space="preserve">  ## Initial boundary conditions: No mass loss.</w:t>
      </w:r>
    </w:p>
    <w:p w14:paraId="54EF8EBC" w14:textId="77777777" w:rsidR="002B25A4" w:rsidRPr="0030440E" w:rsidRDefault="002B25A4" w:rsidP="0030440E">
      <w:pPr>
        <w:pStyle w:val="SourceCode"/>
      </w:pPr>
      <w:r w:rsidRPr="0030440E">
        <w:t xml:space="preserve">  a_ext &lt;- 0</w:t>
      </w:r>
    </w:p>
    <w:p w14:paraId="0543A80E" w14:textId="77777777" w:rsidR="002B25A4" w:rsidRPr="0030440E" w:rsidRDefault="002B25A4" w:rsidP="0030440E">
      <w:pPr>
        <w:pStyle w:val="SourceCode"/>
      </w:pPr>
      <w:r w:rsidRPr="0030440E">
        <w:t xml:space="preserve">  a_hc &lt;- 0</w:t>
      </w:r>
    </w:p>
    <w:p w14:paraId="0F92C7D4" w14:textId="77777777" w:rsidR="002B25A4" w:rsidRPr="0030440E" w:rsidRDefault="002B25A4" w:rsidP="0030440E">
      <w:pPr>
        <w:pStyle w:val="SourceCode"/>
      </w:pPr>
      <w:r w:rsidRPr="0030440E">
        <w:t xml:space="preserve">  a_c &lt;- 0</w:t>
      </w:r>
    </w:p>
    <w:p w14:paraId="0D08BFF9" w14:textId="77777777" w:rsidR="002B25A4" w:rsidRPr="0030440E" w:rsidRDefault="002B25A4" w:rsidP="0030440E">
      <w:pPr>
        <w:pStyle w:val="SourceCode"/>
      </w:pPr>
      <w:r w:rsidRPr="0030440E">
        <w:t xml:space="preserve">  a_L &lt;- 0</w:t>
      </w:r>
    </w:p>
    <w:p w14:paraId="23B97087" w14:textId="77777777" w:rsidR="002B25A4" w:rsidRPr="0030440E" w:rsidRDefault="002B25A4" w:rsidP="0030440E">
      <w:pPr>
        <w:pStyle w:val="SourceCode"/>
      </w:pPr>
    </w:p>
    <w:p w14:paraId="1C1E9FF2" w14:textId="77777777" w:rsidR="002B25A4" w:rsidRPr="0030440E" w:rsidRDefault="002B25A4" w:rsidP="0030440E">
      <w:pPr>
        <w:pStyle w:val="SourceCode"/>
      </w:pPr>
      <w:r w:rsidRPr="0030440E">
        <w:t xml:space="preserve">  ## This loop calculates each iteration of the model.</w:t>
      </w:r>
    </w:p>
    <w:p w14:paraId="5DEAC388" w14:textId="77777777" w:rsidR="002B25A4" w:rsidRPr="0030440E" w:rsidRDefault="002B25A4" w:rsidP="0030440E">
      <w:pPr>
        <w:pStyle w:val="SourceCode"/>
      </w:pPr>
      <w:r w:rsidRPr="0030440E">
        <w:t xml:space="preserve">  for(iteration in step_0:step_f) {</w:t>
      </w:r>
    </w:p>
    <w:p w14:paraId="125C103A" w14:textId="77777777" w:rsidR="002B25A4" w:rsidRPr="0030440E" w:rsidRDefault="002B25A4" w:rsidP="0030440E">
      <w:pPr>
        <w:pStyle w:val="SourceCode"/>
      </w:pPr>
      <w:r w:rsidRPr="0030440E">
        <w:t xml:space="preserve">      if(iteration == 0) {</w:t>
      </w:r>
    </w:p>
    <w:p w14:paraId="70E7300C" w14:textId="77777777" w:rsidR="002B25A4" w:rsidRPr="0030440E" w:rsidRDefault="002B25A4" w:rsidP="0030440E">
      <w:pPr>
        <w:pStyle w:val="SourceCode"/>
      </w:pPr>
      <w:r w:rsidRPr="0030440E">
        <w:lastRenderedPageBreak/>
        <w:t xml:space="preserve">        ## This is the boundary condition and we know the a_'s here (0's)</w:t>
      </w:r>
    </w:p>
    <w:p w14:paraId="702B384A" w14:textId="77777777" w:rsidR="002B25A4" w:rsidRPr="0030440E" w:rsidRDefault="002B25A4" w:rsidP="0030440E">
      <w:pPr>
        <w:pStyle w:val="SourceCode"/>
      </w:pPr>
      <w:r w:rsidRPr="0030440E">
        <w:t xml:space="preserve">        next ## just skip it</w:t>
      </w:r>
    </w:p>
    <w:p w14:paraId="451B5981" w14:textId="77777777" w:rsidR="002B25A4" w:rsidRPr="0030440E" w:rsidRDefault="002B25A4" w:rsidP="0030440E">
      <w:pPr>
        <w:pStyle w:val="SourceCode"/>
      </w:pPr>
      <w:r w:rsidRPr="0030440E">
        <w:t xml:space="preserve">      }</w:t>
      </w:r>
    </w:p>
    <w:p w14:paraId="454595FC" w14:textId="77777777" w:rsidR="002B25A4" w:rsidRPr="0030440E" w:rsidRDefault="002B25A4" w:rsidP="0030440E">
      <w:pPr>
        <w:pStyle w:val="SourceCode"/>
      </w:pPr>
    </w:p>
    <w:p w14:paraId="6E0DC685" w14:textId="66107C23" w:rsidR="002B25A4" w:rsidRPr="0030440E" w:rsidRDefault="002B25A4" w:rsidP="0030440E">
      <w:pPr>
        <w:pStyle w:val="SourceCode"/>
      </w:pPr>
      <w:r w:rsidRPr="0030440E">
        <w:t xml:space="preserve">    ## A brief algebraic exposition follows, for clarity</w:t>
      </w:r>
    </w:p>
    <w:p w14:paraId="2185DF98" w14:textId="77777777" w:rsidR="002B25A4" w:rsidRPr="0030440E" w:rsidRDefault="002B25A4" w:rsidP="0030440E">
      <w:pPr>
        <w:pStyle w:val="SourceCode"/>
      </w:pPr>
      <w:r w:rsidRPr="0030440E">
        <w:t xml:space="preserve">    ## From equation 1 in the kinetic modeling section:</w:t>
      </w:r>
    </w:p>
    <w:p w14:paraId="453ED7D1" w14:textId="217742AD" w:rsidR="002B25A4" w:rsidRPr="0030440E" w:rsidRDefault="002B25A4" w:rsidP="0030440E">
      <w:pPr>
        <w:pStyle w:val="SourceCode"/>
      </w:pPr>
      <w:r w:rsidRPr="0030440E">
        <w:t xml:space="preserve">    ##                      d</w:t>
      </w:r>
      <w:r w:rsidRPr="0030440E">
        <w:rPr>
          <w:rFonts w:ascii="Calibri" w:eastAsia="Calibri" w:hAnsi="Calibri" w:cs="Calibri"/>
        </w:rPr>
        <w:t>α</w:t>
      </w:r>
      <w:r w:rsidRPr="0030440E">
        <w:t>j/dt = kj*(1-</w:t>
      </w:r>
      <w:r w:rsidRPr="0030440E">
        <w:rPr>
          <w:rFonts w:ascii="Calibri" w:eastAsia="Calibri" w:hAnsi="Calibri" w:cs="Calibri"/>
        </w:rPr>
        <w:t>α</w:t>
      </w:r>
      <w:r w:rsidRPr="0030440E">
        <w:t>j)</w:t>
      </w:r>
    </w:p>
    <w:p w14:paraId="16EA4A84" w14:textId="77777777" w:rsidR="002B25A4" w:rsidRPr="0030440E" w:rsidRDefault="002B25A4" w:rsidP="0030440E">
      <w:pPr>
        <w:pStyle w:val="SourceCode"/>
      </w:pPr>
      <w:r w:rsidRPr="0030440E">
        <w:t xml:space="preserve">    ## Applying the fundamental theorem of calculus:</w:t>
      </w:r>
    </w:p>
    <w:p w14:paraId="74017F4B" w14:textId="7745B944" w:rsidR="002B25A4" w:rsidRPr="0030440E" w:rsidRDefault="002B25A4" w:rsidP="0030440E">
      <w:pPr>
        <w:pStyle w:val="SourceCode"/>
      </w:pPr>
      <w:r w:rsidRPr="0030440E">
        <w:t xml:space="preserve">    ##           d</w:t>
      </w:r>
      <w:r w:rsidRPr="0030440E">
        <w:rPr>
          <w:rFonts w:ascii="Calibri" w:eastAsia="Calibri" w:hAnsi="Calibri" w:cs="Calibri"/>
        </w:rPr>
        <w:t>α</w:t>
      </w:r>
      <w:r w:rsidRPr="0030440E">
        <w:t>/dt = lim(dt -&gt; 0) of (</w:t>
      </w:r>
      <w:r w:rsidRPr="0030440E">
        <w:rPr>
          <w:rFonts w:ascii="Calibri" w:eastAsia="Calibri" w:hAnsi="Calibri" w:cs="Calibri"/>
        </w:rPr>
        <w:t>α</w:t>
      </w:r>
      <w:r w:rsidRPr="0030440E">
        <w:t>(t+dt) - a(t)) / dt</w:t>
      </w:r>
    </w:p>
    <w:p w14:paraId="787D6790" w14:textId="77777777" w:rsidR="002B25A4" w:rsidRPr="0030440E" w:rsidRDefault="002B25A4" w:rsidP="0030440E">
      <w:pPr>
        <w:pStyle w:val="SourceCode"/>
      </w:pPr>
      <w:r w:rsidRPr="0030440E">
        <w:t xml:space="preserve">    ## Substituting</w:t>
      </w:r>
    </w:p>
    <w:p w14:paraId="216E3999" w14:textId="48E15E6A" w:rsidR="002B25A4" w:rsidRPr="0030440E" w:rsidRDefault="002B25A4" w:rsidP="0030440E">
      <w:pPr>
        <w:pStyle w:val="SourceCode"/>
      </w:pPr>
      <w:r w:rsidRPr="0030440E">
        <w:t xml:space="preserve">    ##      k*(1-</w:t>
      </w:r>
      <w:r w:rsidRPr="0030440E">
        <w:rPr>
          <w:rFonts w:ascii="Calibri" w:eastAsia="Calibri" w:hAnsi="Calibri" w:cs="Calibri"/>
        </w:rPr>
        <w:t>α</w:t>
      </w:r>
      <w:r w:rsidRPr="0030440E">
        <w:t>[t]) = lim(dt -&gt; 0) of (</w:t>
      </w:r>
      <w:r w:rsidRPr="0030440E">
        <w:rPr>
          <w:rFonts w:ascii="Calibri" w:eastAsia="Calibri" w:hAnsi="Calibri" w:cs="Calibri"/>
        </w:rPr>
        <w:t>α</w:t>
      </w:r>
      <w:r w:rsidRPr="0030440E">
        <w:t xml:space="preserve">[t + dt] - </w:t>
      </w:r>
      <w:r w:rsidRPr="0030440E">
        <w:rPr>
          <w:rFonts w:ascii="Calibri" w:eastAsia="Calibri" w:hAnsi="Calibri" w:cs="Calibri"/>
        </w:rPr>
        <w:t>α</w:t>
      </w:r>
      <w:r w:rsidRPr="0030440E">
        <w:t>[t]) / dt</w:t>
      </w:r>
    </w:p>
    <w:p w14:paraId="1CA46CD7" w14:textId="77777777" w:rsidR="002B25A4" w:rsidRPr="0030440E" w:rsidRDefault="002B25A4" w:rsidP="0030440E">
      <w:pPr>
        <w:pStyle w:val="SourceCode"/>
      </w:pPr>
      <w:r w:rsidRPr="0030440E">
        <w:t xml:space="preserve">    ## Rewriting, as we want to look backwards in time when we iterate</w:t>
      </w:r>
    </w:p>
    <w:p w14:paraId="1A33F06A" w14:textId="08EFD3F7" w:rsidR="002B25A4" w:rsidRPr="0030440E" w:rsidRDefault="002B25A4" w:rsidP="0030440E">
      <w:pPr>
        <w:pStyle w:val="SourceCode"/>
      </w:pPr>
      <w:r w:rsidRPr="0030440E">
        <w:t xml:space="preserve">    ##      k*(1-</w:t>
      </w:r>
      <w:r w:rsidRPr="0030440E">
        <w:rPr>
          <w:rFonts w:ascii="Calibri" w:eastAsia="Calibri" w:hAnsi="Calibri" w:cs="Calibri"/>
        </w:rPr>
        <w:t>α</w:t>
      </w:r>
      <w:r w:rsidRPr="0030440E">
        <w:t>[t]) = lim(dt -&gt; 0) of (</w:t>
      </w:r>
      <w:r w:rsidRPr="0030440E">
        <w:rPr>
          <w:rFonts w:ascii="Calibri" w:eastAsia="Calibri" w:hAnsi="Calibri" w:cs="Calibri"/>
        </w:rPr>
        <w:t>α</w:t>
      </w:r>
      <w:r w:rsidRPr="0030440E">
        <w:t xml:space="preserve">(t) - </w:t>
      </w:r>
      <w:r w:rsidRPr="0030440E">
        <w:rPr>
          <w:rFonts w:ascii="Calibri" w:eastAsia="Calibri" w:hAnsi="Calibri" w:cs="Calibri"/>
        </w:rPr>
        <w:t>α</w:t>
      </w:r>
      <w:r w:rsidRPr="0030440E">
        <w:t>[t - dt]) / dt</w:t>
      </w:r>
    </w:p>
    <w:p w14:paraId="559ADF9C" w14:textId="77777777" w:rsidR="002B25A4" w:rsidRPr="0030440E" w:rsidRDefault="002B25A4" w:rsidP="0030440E">
      <w:pPr>
        <w:pStyle w:val="SourceCode"/>
      </w:pPr>
      <w:r w:rsidRPr="0030440E">
        <w:t xml:space="preserve">    ## Dropping the limit</w:t>
      </w:r>
    </w:p>
    <w:p w14:paraId="459A8257" w14:textId="73A35AD5" w:rsidR="002B25A4" w:rsidRPr="0030440E" w:rsidRDefault="002B25A4" w:rsidP="0030440E">
      <w:pPr>
        <w:pStyle w:val="SourceCode"/>
      </w:pPr>
      <w:r w:rsidRPr="0030440E">
        <w:t xml:space="preserve">    ##             k*(1-</w:t>
      </w:r>
      <w:r w:rsidRPr="0030440E">
        <w:rPr>
          <w:rFonts w:ascii="Calibri" w:eastAsia="Calibri" w:hAnsi="Calibri" w:cs="Calibri"/>
        </w:rPr>
        <w:t>α</w:t>
      </w:r>
      <w:r w:rsidRPr="0030440E">
        <w:t>[t]) = (</w:t>
      </w:r>
      <w:r w:rsidRPr="0030440E">
        <w:rPr>
          <w:rFonts w:ascii="Calibri" w:eastAsia="Calibri" w:hAnsi="Calibri" w:cs="Calibri"/>
        </w:rPr>
        <w:t>α</w:t>
      </w:r>
      <w:r w:rsidRPr="0030440E">
        <w:t xml:space="preserve">[t] - </w:t>
      </w:r>
      <w:r w:rsidRPr="0030440E">
        <w:rPr>
          <w:rFonts w:ascii="Calibri" w:eastAsia="Calibri" w:hAnsi="Calibri" w:cs="Calibri"/>
        </w:rPr>
        <w:t>α</w:t>
      </w:r>
      <w:r w:rsidRPr="0030440E">
        <w:t>[t - dt]) / dt</w:t>
      </w:r>
    </w:p>
    <w:p w14:paraId="53871EDE" w14:textId="77777777" w:rsidR="002B25A4" w:rsidRPr="0030440E" w:rsidRDefault="002B25A4" w:rsidP="0030440E">
      <w:pPr>
        <w:pStyle w:val="SourceCode"/>
      </w:pPr>
      <w:r w:rsidRPr="0030440E">
        <w:t xml:space="preserve">    ## Rearranging and solving for current iteration’s </w:t>
      </w:r>
      <w:r w:rsidRPr="0030440E">
        <w:rPr>
          <w:rFonts w:ascii="Calibri" w:eastAsia="Calibri" w:hAnsi="Calibri" w:cs="Calibri"/>
        </w:rPr>
        <w:t>α</w:t>
      </w:r>
    </w:p>
    <w:p w14:paraId="01B80DA2" w14:textId="77777777" w:rsidR="002B25A4" w:rsidRPr="0030440E" w:rsidRDefault="002B25A4" w:rsidP="0030440E">
      <w:pPr>
        <w:pStyle w:val="SourceCode"/>
      </w:pPr>
      <w:r w:rsidRPr="0030440E">
        <w:t xml:space="preserve">    ##             k*(1-</w:t>
      </w:r>
      <w:r w:rsidRPr="0030440E">
        <w:rPr>
          <w:rFonts w:ascii="Calibri" w:eastAsia="Calibri" w:hAnsi="Calibri" w:cs="Calibri"/>
        </w:rPr>
        <w:t>α</w:t>
      </w:r>
      <w:r w:rsidRPr="0030440E">
        <w:t>[t]) = (</w:t>
      </w:r>
      <w:r w:rsidRPr="0030440E">
        <w:rPr>
          <w:rFonts w:ascii="Calibri" w:eastAsia="Calibri" w:hAnsi="Calibri" w:cs="Calibri"/>
        </w:rPr>
        <w:t>α</w:t>
      </w:r>
      <w:r w:rsidRPr="0030440E">
        <w:t xml:space="preserve">[t] - </w:t>
      </w:r>
      <w:r w:rsidRPr="0030440E">
        <w:rPr>
          <w:rFonts w:ascii="Calibri" w:eastAsia="Calibri" w:hAnsi="Calibri" w:cs="Calibri"/>
        </w:rPr>
        <w:t>α</w:t>
      </w:r>
      <w:r w:rsidRPr="0030440E">
        <w:t>[t - dt]) / dt</w:t>
      </w:r>
    </w:p>
    <w:p w14:paraId="0CEFB14F" w14:textId="77777777" w:rsidR="002B25A4" w:rsidRPr="0030440E" w:rsidRDefault="002B25A4" w:rsidP="0030440E">
      <w:pPr>
        <w:pStyle w:val="SourceCode"/>
      </w:pPr>
      <w:r w:rsidRPr="0030440E">
        <w:t xml:space="preserve">    ##           dt * k * (1 - </w:t>
      </w:r>
      <w:r w:rsidRPr="0030440E">
        <w:rPr>
          <w:rFonts w:ascii="Calibri" w:eastAsia="Calibri" w:hAnsi="Calibri" w:cs="Calibri"/>
        </w:rPr>
        <w:t>α</w:t>
      </w:r>
      <w:r w:rsidRPr="0030440E">
        <w:t>[t]) = (</w:t>
      </w:r>
      <w:r w:rsidRPr="0030440E">
        <w:rPr>
          <w:rFonts w:ascii="Calibri" w:eastAsia="Calibri" w:hAnsi="Calibri" w:cs="Calibri"/>
        </w:rPr>
        <w:t>α</w:t>
      </w:r>
      <w:r w:rsidRPr="0030440E">
        <w:t xml:space="preserve">[t] - </w:t>
      </w:r>
      <w:r w:rsidRPr="0030440E">
        <w:rPr>
          <w:rFonts w:ascii="Calibri" w:eastAsia="Calibri" w:hAnsi="Calibri" w:cs="Calibri"/>
        </w:rPr>
        <w:t>α</w:t>
      </w:r>
      <w:r w:rsidRPr="0030440E">
        <w:t>[t - dt])</w:t>
      </w:r>
    </w:p>
    <w:p w14:paraId="6271D2AE" w14:textId="77777777" w:rsidR="002B25A4" w:rsidRPr="0030440E" w:rsidRDefault="002B25A4" w:rsidP="0030440E">
      <w:pPr>
        <w:pStyle w:val="SourceCode"/>
      </w:pPr>
      <w:r w:rsidRPr="0030440E">
        <w:t xml:space="preserve">    ##         (dt * k) - (dt * k * </w:t>
      </w:r>
      <w:r w:rsidRPr="0030440E">
        <w:rPr>
          <w:rFonts w:ascii="Calibri" w:eastAsia="Calibri" w:hAnsi="Calibri" w:cs="Calibri"/>
        </w:rPr>
        <w:t>α</w:t>
      </w:r>
      <w:r w:rsidRPr="0030440E">
        <w:t xml:space="preserve">[t]) = </w:t>
      </w:r>
      <w:r w:rsidRPr="0030440E">
        <w:rPr>
          <w:rFonts w:ascii="Calibri" w:eastAsia="Calibri" w:hAnsi="Calibri" w:cs="Calibri"/>
        </w:rPr>
        <w:t>α</w:t>
      </w:r>
      <w:r w:rsidRPr="0030440E">
        <w:t xml:space="preserve">[t] - </w:t>
      </w:r>
      <w:r w:rsidRPr="0030440E">
        <w:rPr>
          <w:rFonts w:ascii="Calibri" w:eastAsia="Calibri" w:hAnsi="Calibri" w:cs="Calibri"/>
        </w:rPr>
        <w:t>α</w:t>
      </w:r>
      <w:r w:rsidRPr="0030440E">
        <w:t>[t - dt]</w:t>
      </w:r>
    </w:p>
    <w:p w14:paraId="43AC49C6" w14:textId="77777777" w:rsidR="002B25A4" w:rsidRPr="0030440E" w:rsidRDefault="002B25A4" w:rsidP="0030440E">
      <w:pPr>
        <w:pStyle w:val="SourceCode"/>
      </w:pPr>
      <w:r w:rsidRPr="0030440E">
        <w:t xml:space="preserve">    ##         (dt * k) - (dt * k * </w:t>
      </w:r>
      <w:r w:rsidRPr="0030440E">
        <w:rPr>
          <w:rFonts w:ascii="Calibri" w:eastAsia="Calibri" w:hAnsi="Calibri" w:cs="Calibri"/>
        </w:rPr>
        <w:t>α</w:t>
      </w:r>
      <w:r w:rsidRPr="0030440E">
        <w:t xml:space="preserve">[t]) - </w:t>
      </w:r>
      <w:r w:rsidRPr="0030440E">
        <w:rPr>
          <w:rFonts w:ascii="Calibri" w:eastAsia="Calibri" w:hAnsi="Calibri" w:cs="Calibri"/>
        </w:rPr>
        <w:t>α</w:t>
      </w:r>
      <w:r w:rsidRPr="0030440E">
        <w:t>[t] = -</w:t>
      </w:r>
      <w:r w:rsidRPr="0030440E">
        <w:rPr>
          <w:rFonts w:ascii="Calibri" w:eastAsia="Calibri" w:hAnsi="Calibri" w:cs="Calibri"/>
        </w:rPr>
        <w:t>α</w:t>
      </w:r>
      <w:r w:rsidRPr="0030440E">
        <w:t>[t - dt]</w:t>
      </w:r>
    </w:p>
    <w:p w14:paraId="4397030D" w14:textId="77777777" w:rsidR="002B25A4" w:rsidRPr="0030440E" w:rsidRDefault="002B25A4" w:rsidP="0030440E">
      <w:pPr>
        <w:pStyle w:val="SourceCode"/>
      </w:pPr>
      <w:r w:rsidRPr="0030440E">
        <w:t xml:space="preserve">    ## Sign flip</w:t>
      </w:r>
    </w:p>
    <w:p w14:paraId="135CE690" w14:textId="77777777" w:rsidR="002B25A4" w:rsidRPr="0030440E" w:rsidRDefault="002B25A4" w:rsidP="0030440E">
      <w:pPr>
        <w:pStyle w:val="SourceCode"/>
      </w:pPr>
      <w:r w:rsidRPr="0030440E">
        <w:lastRenderedPageBreak/>
        <w:t xml:space="preserve">    ##          -(dt * k) + (dt * k * </w:t>
      </w:r>
      <w:r w:rsidRPr="0030440E">
        <w:rPr>
          <w:rFonts w:ascii="Calibri" w:eastAsia="Calibri" w:hAnsi="Calibri" w:cs="Calibri"/>
        </w:rPr>
        <w:t>α</w:t>
      </w:r>
      <w:r w:rsidRPr="0030440E">
        <w:t xml:space="preserve">[t]) + </w:t>
      </w:r>
      <w:r w:rsidRPr="0030440E">
        <w:rPr>
          <w:rFonts w:ascii="Calibri" w:eastAsia="Calibri" w:hAnsi="Calibri" w:cs="Calibri"/>
        </w:rPr>
        <w:t>α</w:t>
      </w:r>
      <w:r w:rsidRPr="0030440E">
        <w:t xml:space="preserve">[t] = </w:t>
      </w:r>
      <w:r w:rsidRPr="0030440E">
        <w:rPr>
          <w:rFonts w:ascii="Calibri" w:eastAsia="Calibri" w:hAnsi="Calibri" w:cs="Calibri"/>
        </w:rPr>
        <w:t>α</w:t>
      </w:r>
      <w:r w:rsidRPr="0030440E">
        <w:t>[t - dt]</w:t>
      </w:r>
    </w:p>
    <w:p w14:paraId="6E05D7CF" w14:textId="77777777" w:rsidR="002B25A4" w:rsidRPr="0030440E" w:rsidRDefault="002B25A4" w:rsidP="0030440E">
      <w:pPr>
        <w:pStyle w:val="SourceCode"/>
      </w:pPr>
      <w:r w:rsidRPr="0030440E">
        <w:t xml:space="preserve">    ##           (dt * k * </w:t>
      </w:r>
      <w:r w:rsidRPr="0030440E">
        <w:rPr>
          <w:rFonts w:ascii="Calibri" w:eastAsia="Calibri" w:hAnsi="Calibri" w:cs="Calibri"/>
        </w:rPr>
        <w:t>α</w:t>
      </w:r>
      <w:r w:rsidRPr="0030440E">
        <w:t xml:space="preserve">[t]) + </w:t>
      </w:r>
      <w:r w:rsidRPr="0030440E">
        <w:rPr>
          <w:rFonts w:ascii="Calibri" w:eastAsia="Calibri" w:hAnsi="Calibri" w:cs="Calibri"/>
        </w:rPr>
        <w:t>α</w:t>
      </w:r>
      <w:r w:rsidRPr="0030440E">
        <w:t xml:space="preserve">[t] = </w:t>
      </w:r>
      <w:r w:rsidRPr="0030440E">
        <w:rPr>
          <w:rFonts w:ascii="Calibri" w:eastAsia="Calibri" w:hAnsi="Calibri" w:cs="Calibri"/>
        </w:rPr>
        <w:t>α</w:t>
      </w:r>
      <w:r w:rsidRPr="0030440E">
        <w:t>[t - dt] + (dt * k)</w:t>
      </w:r>
    </w:p>
    <w:p w14:paraId="7135148F" w14:textId="77777777" w:rsidR="002B25A4" w:rsidRPr="0030440E" w:rsidRDefault="002B25A4" w:rsidP="0030440E">
      <w:pPr>
        <w:pStyle w:val="SourceCode"/>
      </w:pPr>
      <w:r w:rsidRPr="0030440E">
        <w:t xml:space="preserve">    ##           (dt * k + 1) * </w:t>
      </w:r>
      <w:r w:rsidRPr="0030440E">
        <w:rPr>
          <w:rFonts w:ascii="Calibri" w:eastAsia="Calibri" w:hAnsi="Calibri" w:cs="Calibri"/>
        </w:rPr>
        <w:t>α</w:t>
      </w:r>
      <w:r w:rsidRPr="0030440E">
        <w:t xml:space="preserve">[t] = </w:t>
      </w:r>
      <w:r w:rsidRPr="0030440E">
        <w:rPr>
          <w:rFonts w:ascii="Calibri" w:eastAsia="Calibri" w:hAnsi="Calibri" w:cs="Calibri"/>
        </w:rPr>
        <w:t>α</w:t>
      </w:r>
      <w:r w:rsidRPr="0030440E">
        <w:t>[t - dt] + (dt * k)</w:t>
      </w:r>
    </w:p>
    <w:p w14:paraId="1C62B59A" w14:textId="77777777" w:rsidR="002B25A4" w:rsidRPr="0030440E" w:rsidRDefault="002B25A4" w:rsidP="0030440E">
      <w:pPr>
        <w:pStyle w:val="SourceCode"/>
      </w:pPr>
      <w:r w:rsidRPr="0030440E">
        <w:t xml:space="preserve">    ## Arriving at the final expression</w:t>
      </w:r>
    </w:p>
    <w:p w14:paraId="11DD8DF8" w14:textId="77777777" w:rsidR="002B25A4" w:rsidRPr="0030440E" w:rsidRDefault="002B25A4" w:rsidP="0030440E">
      <w:pPr>
        <w:pStyle w:val="SourceCode"/>
      </w:pPr>
      <w:r w:rsidRPr="0030440E">
        <w:t xml:space="preserve">    ##          </w:t>
      </w:r>
      <w:r w:rsidRPr="0030440E">
        <w:rPr>
          <w:rFonts w:ascii="Calibri" w:eastAsia="Calibri" w:hAnsi="Calibri" w:cs="Calibri"/>
        </w:rPr>
        <w:t>α</w:t>
      </w:r>
      <w:r w:rsidRPr="0030440E">
        <w:t>[t] = (</w:t>
      </w:r>
      <w:r w:rsidRPr="0030440E">
        <w:rPr>
          <w:rFonts w:ascii="Calibri" w:eastAsia="Calibri" w:hAnsi="Calibri" w:cs="Calibri"/>
        </w:rPr>
        <w:t>α</w:t>
      </w:r>
      <w:r w:rsidRPr="0030440E">
        <w:t>[t - dt] + (dt * k)) / ((dt * k) + 1)</w:t>
      </w:r>
    </w:p>
    <w:p w14:paraId="7B9C1F55" w14:textId="77777777" w:rsidR="002B25A4" w:rsidRPr="0030440E" w:rsidRDefault="002B25A4" w:rsidP="0030440E">
      <w:pPr>
        <w:pStyle w:val="SourceCode"/>
      </w:pPr>
    </w:p>
    <w:p w14:paraId="2F6B0195" w14:textId="77777777" w:rsidR="002B25A4" w:rsidRPr="0030440E" w:rsidRDefault="002B25A4" w:rsidP="0030440E">
      <w:pPr>
        <w:pStyle w:val="SourceCode"/>
      </w:pPr>
      <w:r w:rsidRPr="0030440E">
        <w:t xml:space="preserve">    ## The a_j variables here will overwrite every time the model iterates.</w:t>
      </w:r>
    </w:p>
    <w:p w14:paraId="372874CA" w14:textId="77777777" w:rsidR="002B25A4" w:rsidRPr="0030440E" w:rsidRDefault="002B25A4" w:rsidP="0030440E">
      <w:pPr>
        <w:pStyle w:val="SourceCode"/>
      </w:pPr>
      <w:r w:rsidRPr="0030440E">
        <w:t xml:space="preserve">    ## R always starts counting at 1, but our model begins at t = 0. Since</w:t>
      </w:r>
    </w:p>
    <w:p w14:paraId="2615440C" w14:textId="77777777" w:rsidR="002B25A4" w:rsidRPr="0030440E" w:rsidRDefault="002B25A4" w:rsidP="0030440E">
      <w:pPr>
        <w:pStyle w:val="SourceCode"/>
      </w:pPr>
      <w:r w:rsidRPr="0030440E">
        <w:t xml:space="preserve">    ## we skip the first iteration (at t = 0), the a_j values stored in</w:t>
      </w:r>
    </w:p>
    <w:p w14:paraId="18E051F6" w14:textId="77777777" w:rsidR="002B25A4" w:rsidRPr="0030440E" w:rsidRDefault="002B25A4" w:rsidP="0030440E">
      <w:pPr>
        <w:pStyle w:val="SourceCode"/>
      </w:pPr>
      <w:r w:rsidRPr="0030440E">
        <w:t xml:space="preserve">    ## the results.frame on the row equal to the current value of [iteration]</w:t>
      </w:r>
    </w:p>
    <w:p w14:paraId="70B4F66C" w14:textId="77777777" w:rsidR="002B25A4" w:rsidRPr="0030440E" w:rsidRDefault="002B25A4" w:rsidP="0030440E">
      <w:pPr>
        <w:pStyle w:val="SourceCode"/>
      </w:pPr>
      <w:r w:rsidRPr="0030440E">
        <w:t xml:space="preserve">    ## are at the time step before the current one being calculated.</w:t>
      </w:r>
    </w:p>
    <w:p w14:paraId="695E85F1" w14:textId="77777777" w:rsidR="002B25A4" w:rsidRPr="0030440E" w:rsidRDefault="002B25A4" w:rsidP="0030440E">
      <w:pPr>
        <w:pStyle w:val="SourceCode"/>
      </w:pPr>
      <w:r w:rsidRPr="0030440E">
        <w:t xml:space="preserve">    ## The results are appended to the bottom of results.frame.</w:t>
      </w:r>
    </w:p>
    <w:p w14:paraId="6A45605D" w14:textId="77777777" w:rsidR="002B25A4" w:rsidRPr="0030440E" w:rsidRDefault="002B25A4" w:rsidP="0030440E">
      <w:pPr>
        <w:pStyle w:val="SourceCode"/>
      </w:pPr>
    </w:p>
    <w:p w14:paraId="028ECC9F" w14:textId="77777777" w:rsidR="002B25A4" w:rsidRPr="0030440E" w:rsidRDefault="002B25A4" w:rsidP="0030440E">
      <w:pPr>
        <w:pStyle w:val="SourceCode"/>
      </w:pPr>
      <w:r w:rsidRPr="0030440E">
        <w:t xml:space="preserve">    a_ext &lt;- (results.frame$a_ext[iteration] + (dt * k_ext_i)) /</w:t>
      </w:r>
    </w:p>
    <w:p w14:paraId="3B4C9467" w14:textId="77777777" w:rsidR="002B25A4" w:rsidRPr="0030440E" w:rsidRDefault="002B25A4" w:rsidP="0030440E">
      <w:pPr>
        <w:pStyle w:val="SourceCode"/>
      </w:pPr>
      <w:r w:rsidRPr="0030440E">
        <w:t xml:space="preserve">                                               ((dt * k_ext_i) + 1)</w:t>
      </w:r>
    </w:p>
    <w:p w14:paraId="03E60672" w14:textId="77777777" w:rsidR="002B25A4" w:rsidRPr="0030440E" w:rsidRDefault="002B25A4" w:rsidP="0030440E">
      <w:pPr>
        <w:pStyle w:val="SourceCode"/>
      </w:pPr>
      <w:r w:rsidRPr="0030440E">
        <w:t xml:space="preserve">    a_hc &lt;- (results.frame$a_hc[iteration] + (dt * k_hc_i)) /</w:t>
      </w:r>
    </w:p>
    <w:p w14:paraId="2A91F16C" w14:textId="77777777" w:rsidR="002B25A4" w:rsidRPr="0030440E" w:rsidRDefault="002B25A4" w:rsidP="0030440E">
      <w:pPr>
        <w:pStyle w:val="SourceCode"/>
      </w:pPr>
      <w:r w:rsidRPr="0030440E">
        <w:t xml:space="preserve">                                             ((dt * k_hc_i) + 1)</w:t>
      </w:r>
    </w:p>
    <w:p w14:paraId="3BE783F1" w14:textId="77777777" w:rsidR="002B25A4" w:rsidRPr="0030440E" w:rsidRDefault="002B25A4" w:rsidP="0030440E">
      <w:pPr>
        <w:pStyle w:val="SourceCode"/>
      </w:pPr>
      <w:r w:rsidRPr="0030440E">
        <w:t xml:space="preserve">    a_c &lt;- (results.frame$a_c[iteration] + (dt * k_c_i)) / </w:t>
      </w:r>
    </w:p>
    <w:p w14:paraId="3BBD87DF" w14:textId="77777777" w:rsidR="002B25A4" w:rsidRPr="0030440E" w:rsidRDefault="002B25A4" w:rsidP="0030440E">
      <w:pPr>
        <w:pStyle w:val="SourceCode"/>
      </w:pPr>
      <w:r w:rsidRPr="0030440E">
        <w:t xml:space="preserve">                                           ((dt * k_c_i) + 1)</w:t>
      </w:r>
    </w:p>
    <w:p w14:paraId="71124F40" w14:textId="77777777" w:rsidR="002B25A4" w:rsidRPr="0030440E" w:rsidRDefault="002B25A4" w:rsidP="0030440E">
      <w:pPr>
        <w:pStyle w:val="SourceCode"/>
      </w:pPr>
      <w:r w:rsidRPr="0030440E">
        <w:t xml:space="preserve">    a_L &lt;- (results.frame$a_L[iteration] + (dt * k_L_i)) / </w:t>
      </w:r>
    </w:p>
    <w:p w14:paraId="667730E6" w14:textId="77777777" w:rsidR="002B25A4" w:rsidRPr="0030440E" w:rsidRDefault="002B25A4" w:rsidP="0030440E">
      <w:pPr>
        <w:pStyle w:val="SourceCode"/>
      </w:pPr>
      <w:r w:rsidRPr="0030440E">
        <w:t xml:space="preserve">                                           ((dt * k_L_i) + 1)</w:t>
      </w:r>
    </w:p>
    <w:p w14:paraId="059BE211" w14:textId="77777777" w:rsidR="002B25A4" w:rsidRPr="0030440E" w:rsidRDefault="002B25A4" w:rsidP="0030440E">
      <w:pPr>
        <w:pStyle w:val="SourceCode"/>
      </w:pPr>
    </w:p>
    <w:p w14:paraId="483C58FA" w14:textId="77777777" w:rsidR="002B25A4" w:rsidRPr="0030440E" w:rsidRDefault="002B25A4" w:rsidP="0030440E">
      <w:pPr>
        <w:pStyle w:val="SourceCode"/>
      </w:pPr>
      <w:r w:rsidRPr="0030440E">
        <w:t xml:space="preserve">    # Binding to the frame</w:t>
      </w:r>
    </w:p>
    <w:p w14:paraId="4E2E4E81" w14:textId="77777777" w:rsidR="002B25A4" w:rsidRPr="0030440E" w:rsidRDefault="002B25A4" w:rsidP="0030440E">
      <w:pPr>
        <w:pStyle w:val="SourceCode"/>
      </w:pPr>
      <w:r w:rsidRPr="0030440E">
        <w:t xml:space="preserve">    results.frame &lt;- rbind.data.frame(results.frame, c((iteration * dt),</w:t>
      </w:r>
    </w:p>
    <w:p w14:paraId="618682FA" w14:textId="77777777" w:rsidR="002B25A4" w:rsidRPr="0030440E" w:rsidRDefault="002B25A4" w:rsidP="0030440E">
      <w:pPr>
        <w:pStyle w:val="SourceCode"/>
      </w:pPr>
      <w:r w:rsidRPr="0030440E">
        <w:t xml:space="preserve">                                                       a_ext, a_hc, a_c, a_L))</w:t>
      </w:r>
    </w:p>
    <w:p w14:paraId="005BA20B" w14:textId="77777777" w:rsidR="002B25A4" w:rsidRPr="0030440E" w:rsidRDefault="002B25A4" w:rsidP="0030440E">
      <w:pPr>
        <w:pStyle w:val="SourceCode"/>
      </w:pPr>
      <w:r w:rsidRPr="0030440E">
        <w:t xml:space="preserve">   }</w:t>
      </w:r>
    </w:p>
    <w:p w14:paraId="56641EB7" w14:textId="77777777" w:rsidR="002B25A4" w:rsidRPr="0030440E" w:rsidRDefault="002B25A4" w:rsidP="0030440E">
      <w:pPr>
        <w:pStyle w:val="SourceCode"/>
      </w:pPr>
    </w:p>
    <w:p w14:paraId="59FB3E74" w14:textId="77777777" w:rsidR="002B25A4" w:rsidRPr="0030440E" w:rsidRDefault="002B25A4" w:rsidP="0030440E">
      <w:pPr>
        <w:pStyle w:val="SourceCode"/>
      </w:pPr>
      <w:r w:rsidRPr="0030440E">
        <w:t xml:space="preserve">  ## The overall mass loss is not part of the converison frame, so we can just</w:t>
      </w:r>
    </w:p>
    <w:p w14:paraId="1697C68E" w14:textId="77777777" w:rsidR="002B25A4" w:rsidRPr="0030440E" w:rsidRDefault="002B25A4" w:rsidP="0030440E">
      <w:pPr>
        <w:pStyle w:val="SourceCode"/>
      </w:pPr>
      <w:r w:rsidRPr="0030440E">
        <w:t xml:space="preserve">  ## print it out at the end.</w:t>
      </w:r>
    </w:p>
    <w:p w14:paraId="57A8E3F7" w14:textId="77777777" w:rsidR="002B25A4" w:rsidRPr="0030440E" w:rsidRDefault="002B25A4" w:rsidP="0030440E">
      <w:pPr>
        <w:pStyle w:val="SourceCode"/>
      </w:pPr>
      <w:r w:rsidRPr="0030440E">
        <w:t xml:space="preserve">  final.values &lt;- tail(results.frame, n=1)[2:5]</w:t>
      </w:r>
    </w:p>
    <w:p w14:paraId="053E6548" w14:textId="77777777" w:rsidR="002B25A4" w:rsidRPr="0030440E" w:rsidRDefault="002B25A4" w:rsidP="0030440E">
      <w:pPr>
        <w:pStyle w:val="SourceCode"/>
      </w:pPr>
    </w:p>
    <w:p w14:paraId="45C039DF" w14:textId="77777777" w:rsidR="002B25A4" w:rsidRPr="0030440E" w:rsidRDefault="002B25A4" w:rsidP="0030440E">
      <w:pPr>
        <w:pStyle w:val="SourceCode"/>
      </w:pPr>
      <w:r w:rsidRPr="0030440E">
        <w:t xml:space="preserve">  mass.loss &lt;- final.values$a_ext * c_ext +</w:t>
      </w:r>
    </w:p>
    <w:p w14:paraId="7A78FB1F" w14:textId="77777777" w:rsidR="002B25A4" w:rsidRPr="0030440E" w:rsidRDefault="002B25A4" w:rsidP="0030440E">
      <w:pPr>
        <w:pStyle w:val="SourceCode"/>
      </w:pPr>
      <w:r w:rsidRPr="0030440E">
        <w:t xml:space="preserve">               final.values$a_hc * c_hc +</w:t>
      </w:r>
    </w:p>
    <w:p w14:paraId="0E46CFAC" w14:textId="77777777" w:rsidR="002B25A4" w:rsidRPr="0030440E" w:rsidRDefault="002B25A4" w:rsidP="0030440E">
      <w:pPr>
        <w:pStyle w:val="SourceCode"/>
      </w:pPr>
      <w:r w:rsidRPr="0030440E">
        <w:t xml:space="preserve">               final.values$a_c * c_c +</w:t>
      </w:r>
    </w:p>
    <w:p w14:paraId="4D99B341" w14:textId="77777777" w:rsidR="002B25A4" w:rsidRPr="0030440E" w:rsidRDefault="002B25A4" w:rsidP="0030440E">
      <w:pPr>
        <w:pStyle w:val="SourceCode"/>
      </w:pPr>
      <w:r w:rsidRPr="0030440E">
        <w:t xml:space="preserve">               final.values$a_L * c_L</w:t>
      </w:r>
    </w:p>
    <w:p w14:paraId="1C7EA02E" w14:textId="77777777" w:rsidR="002B25A4" w:rsidRPr="0030440E" w:rsidRDefault="002B25A4" w:rsidP="0030440E">
      <w:pPr>
        <w:pStyle w:val="SourceCode"/>
      </w:pPr>
    </w:p>
    <w:p w14:paraId="40D3B6D7" w14:textId="77777777" w:rsidR="002B25A4" w:rsidRPr="0030440E" w:rsidRDefault="002B25A4" w:rsidP="0030440E">
      <w:pPr>
        <w:pStyle w:val="SourceCode"/>
      </w:pPr>
      <w:r w:rsidRPr="0030440E">
        <w:t xml:space="preserve">  print(paste("Mass loss: ", mass.loss * 100, "%", sep=""))</w:t>
      </w:r>
    </w:p>
    <w:p w14:paraId="151A1D71" w14:textId="77777777" w:rsidR="002B25A4" w:rsidRPr="0030440E" w:rsidRDefault="002B25A4" w:rsidP="0030440E">
      <w:pPr>
        <w:pStyle w:val="SourceCode"/>
      </w:pPr>
    </w:p>
    <w:p w14:paraId="25E82888" w14:textId="77777777" w:rsidR="002B25A4" w:rsidRPr="0030440E" w:rsidRDefault="002B25A4" w:rsidP="0030440E">
      <w:pPr>
        <w:pStyle w:val="SourceCode"/>
      </w:pPr>
      <w:r w:rsidRPr="0030440E">
        <w:t xml:space="preserve">  return(results.frame)</w:t>
      </w:r>
    </w:p>
    <w:p w14:paraId="5667B0E3" w14:textId="77777777" w:rsidR="002B25A4" w:rsidRPr="0030440E" w:rsidRDefault="002B25A4" w:rsidP="0030440E">
      <w:pPr>
        <w:pStyle w:val="SourceCode"/>
      </w:pPr>
      <w:r w:rsidRPr="0030440E">
        <w:t>}</w:t>
      </w:r>
    </w:p>
    <w:p w14:paraId="62F9D93E" w14:textId="77777777" w:rsidR="002B25A4" w:rsidRPr="0030440E" w:rsidRDefault="002B25A4" w:rsidP="0030440E">
      <w:pPr>
        <w:pStyle w:val="SourceCode"/>
      </w:pPr>
    </w:p>
    <w:p w14:paraId="26100521" w14:textId="77777777" w:rsidR="002B25A4" w:rsidRPr="0030440E" w:rsidRDefault="002B25A4" w:rsidP="0030440E">
      <w:pPr>
        <w:pStyle w:val="SourceCode"/>
      </w:pPr>
      <w:r w:rsidRPr="0030440E">
        <w:t>## This function makes a quick &amp; dirty plot of the model  ----</w:t>
      </w:r>
    </w:p>
    <w:p w14:paraId="4FA18227" w14:textId="77777777" w:rsidR="002B25A4" w:rsidRPr="0030440E" w:rsidRDefault="002B25A4" w:rsidP="0030440E">
      <w:pPr>
        <w:pStyle w:val="SourceCode"/>
      </w:pPr>
      <w:r w:rsidRPr="0030440E">
        <w:lastRenderedPageBreak/>
        <w:t>plotModel &lt;- function(T, t_f, dt) {</w:t>
      </w:r>
    </w:p>
    <w:p w14:paraId="020AF0BB" w14:textId="77777777" w:rsidR="002B25A4" w:rsidRPr="0030440E" w:rsidRDefault="002B25A4" w:rsidP="0030440E">
      <w:pPr>
        <w:pStyle w:val="SourceCode"/>
      </w:pPr>
      <w:r w:rsidRPr="0030440E">
        <w:t xml:space="preserve">  ## Notice that we call the modeling function here.</w:t>
      </w:r>
    </w:p>
    <w:p w14:paraId="78C1F23F" w14:textId="77777777" w:rsidR="002B25A4" w:rsidRPr="0030440E" w:rsidRDefault="002B25A4" w:rsidP="0030440E">
      <w:pPr>
        <w:pStyle w:val="SourceCode"/>
      </w:pPr>
      <w:r w:rsidRPr="0030440E">
        <w:t xml:space="preserve">  result &lt;- runModel(T, t_f, dt)</w:t>
      </w:r>
    </w:p>
    <w:p w14:paraId="4377638F" w14:textId="77777777" w:rsidR="002B25A4" w:rsidRPr="0030440E" w:rsidRDefault="002B25A4" w:rsidP="0030440E">
      <w:pPr>
        <w:pStyle w:val="SourceCode"/>
      </w:pPr>
      <w:r w:rsidRPr="0030440E">
        <w:t xml:space="preserve">  ## Plot the first component, then overlay the rest on the same plot object.</w:t>
      </w:r>
    </w:p>
    <w:p w14:paraId="56333B7E" w14:textId="77777777" w:rsidR="002B25A4" w:rsidRPr="0030440E" w:rsidRDefault="002B25A4" w:rsidP="0030440E">
      <w:pPr>
        <w:pStyle w:val="SourceCode"/>
      </w:pPr>
      <w:r w:rsidRPr="0030440E">
        <w:t xml:space="preserve">  plot(result$t, result$a_ext, type = "l", col="red",</w:t>
      </w:r>
    </w:p>
    <w:p w14:paraId="067E22C0" w14:textId="77777777" w:rsidR="002B25A4" w:rsidRPr="0030440E" w:rsidRDefault="002B25A4" w:rsidP="0030440E">
      <w:pPr>
        <w:pStyle w:val="SourceCode"/>
      </w:pPr>
      <w:r w:rsidRPr="0030440E">
        <w:t xml:space="preserve">       xlim = c(0, max(result$t)), ylim = c(0, 1))</w:t>
      </w:r>
    </w:p>
    <w:p w14:paraId="3007C84A" w14:textId="77777777" w:rsidR="002B25A4" w:rsidRPr="0030440E" w:rsidRDefault="002B25A4" w:rsidP="0030440E">
      <w:pPr>
        <w:pStyle w:val="SourceCode"/>
      </w:pPr>
      <w:r w:rsidRPr="0030440E">
        <w:t xml:space="preserve">  points(result$t, result$a_hc, type = "l", col="blue")</w:t>
      </w:r>
    </w:p>
    <w:p w14:paraId="359B7CA0" w14:textId="77777777" w:rsidR="002B25A4" w:rsidRPr="0030440E" w:rsidRDefault="002B25A4" w:rsidP="0030440E">
      <w:pPr>
        <w:pStyle w:val="SourceCode"/>
      </w:pPr>
      <w:r w:rsidRPr="0030440E">
        <w:t xml:space="preserve">  points(result$t, result$a_c, type = "l", col="green")</w:t>
      </w:r>
    </w:p>
    <w:p w14:paraId="2908D361" w14:textId="77777777" w:rsidR="002B25A4" w:rsidRPr="0030440E" w:rsidRDefault="002B25A4" w:rsidP="0030440E">
      <w:pPr>
        <w:pStyle w:val="SourceCode"/>
      </w:pPr>
      <w:r w:rsidRPr="0030440E">
        <w:t xml:space="preserve">  points(result$t, result$a_L, type = "l", col="brown")</w:t>
      </w:r>
    </w:p>
    <w:p w14:paraId="52A1EE21" w14:textId="77777777" w:rsidR="002B25A4" w:rsidRPr="0030440E" w:rsidRDefault="002B25A4" w:rsidP="0030440E">
      <w:pPr>
        <w:pStyle w:val="SourceCode"/>
      </w:pPr>
      <w:r w:rsidRPr="0030440E">
        <w:t>}</w:t>
      </w:r>
    </w:p>
    <w:p w14:paraId="2939432D" w14:textId="77777777" w:rsidR="002B25A4" w:rsidRPr="0030440E" w:rsidRDefault="002B25A4" w:rsidP="0030440E">
      <w:pPr>
        <w:pStyle w:val="SourceCode"/>
      </w:pPr>
    </w:p>
    <w:p w14:paraId="14D2F15D" w14:textId="77777777" w:rsidR="002B25A4" w:rsidRPr="0030440E" w:rsidRDefault="002B25A4" w:rsidP="0030440E">
      <w:pPr>
        <w:pStyle w:val="SourceCode"/>
      </w:pPr>
      <w:r w:rsidRPr="0030440E">
        <w:t>## This function makes a plot of the model using ggplot2  ----</w:t>
      </w:r>
    </w:p>
    <w:p w14:paraId="7B82325B" w14:textId="77777777" w:rsidR="002B25A4" w:rsidRPr="0030440E" w:rsidRDefault="002B25A4" w:rsidP="0030440E">
      <w:pPr>
        <w:pStyle w:val="SourceCode"/>
      </w:pPr>
      <w:r w:rsidRPr="0030440E">
        <w:t>ggPlotModel &lt;- function(T, t_f, dt) {</w:t>
      </w:r>
    </w:p>
    <w:p w14:paraId="4CD2C864" w14:textId="77777777" w:rsidR="002B25A4" w:rsidRPr="0030440E" w:rsidRDefault="002B25A4" w:rsidP="0030440E">
      <w:pPr>
        <w:pStyle w:val="SourceCode"/>
      </w:pPr>
      <w:r w:rsidRPr="0030440E">
        <w:t xml:space="preserve">  require(ggplot2)</w:t>
      </w:r>
    </w:p>
    <w:p w14:paraId="4D5E7D91" w14:textId="77777777" w:rsidR="002B25A4" w:rsidRPr="0030440E" w:rsidRDefault="002B25A4" w:rsidP="0030440E">
      <w:pPr>
        <w:pStyle w:val="SourceCode"/>
      </w:pPr>
      <w:r w:rsidRPr="0030440E">
        <w:t xml:space="preserve">  require(reshape2)</w:t>
      </w:r>
    </w:p>
    <w:p w14:paraId="3D040A54" w14:textId="77777777" w:rsidR="002B25A4" w:rsidRPr="0030440E" w:rsidRDefault="002B25A4" w:rsidP="0030440E">
      <w:pPr>
        <w:pStyle w:val="SourceCode"/>
      </w:pPr>
      <w:r w:rsidRPr="0030440E">
        <w:t xml:space="preserve">  result &lt;- runModel(T, t_f, dt)</w:t>
      </w:r>
    </w:p>
    <w:p w14:paraId="5F0D0C82" w14:textId="77777777" w:rsidR="002B25A4" w:rsidRPr="0030440E" w:rsidRDefault="002B25A4" w:rsidP="0030440E">
      <w:pPr>
        <w:pStyle w:val="SourceCode"/>
      </w:pPr>
      <w:r w:rsidRPr="0030440E">
        <w:t xml:space="preserve">  m.result &lt;- melt(result, id.vars = "t")</w:t>
      </w:r>
    </w:p>
    <w:p w14:paraId="12A5C8D2" w14:textId="77777777" w:rsidR="002B25A4" w:rsidRPr="0030440E" w:rsidRDefault="002B25A4" w:rsidP="0030440E">
      <w:pPr>
        <w:pStyle w:val="SourceCode"/>
      </w:pPr>
    </w:p>
    <w:p w14:paraId="7D15E1D9" w14:textId="77777777" w:rsidR="002B25A4" w:rsidRPr="0030440E" w:rsidRDefault="002B25A4" w:rsidP="0030440E">
      <w:pPr>
        <w:pStyle w:val="SourceCode"/>
      </w:pPr>
      <w:r w:rsidRPr="0030440E">
        <w:t xml:space="preserve">  p &lt;- ggplot(data = m.result) + theme_bw(base_size = 30)</w:t>
      </w:r>
    </w:p>
    <w:p w14:paraId="4B863F90" w14:textId="77777777" w:rsidR="002B25A4" w:rsidRPr="0030440E" w:rsidRDefault="002B25A4" w:rsidP="0030440E">
      <w:pPr>
        <w:pStyle w:val="SourceCode"/>
      </w:pPr>
    </w:p>
    <w:p w14:paraId="7841495B" w14:textId="77777777" w:rsidR="002B25A4" w:rsidRPr="0030440E" w:rsidRDefault="002B25A4" w:rsidP="0030440E">
      <w:pPr>
        <w:pStyle w:val="SourceCode"/>
      </w:pPr>
      <w:r w:rsidRPr="0030440E">
        <w:t xml:space="preserve">  p + geom_path(aes(x = t, y = 1 - value, col = variable))</w:t>
      </w:r>
    </w:p>
    <w:p w14:paraId="7BA82449" w14:textId="77777777" w:rsidR="002B25A4" w:rsidRPr="0030440E" w:rsidRDefault="002B25A4" w:rsidP="0030440E">
      <w:pPr>
        <w:pStyle w:val="SourceCode"/>
      </w:pPr>
      <w:r w:rsidRPr="0030440E">
        <w:lastRenderedPageBreak/>
        <w:t>}</w:t>
      </w:r>
    </w:p>
    <w:p w14:paraId="7C850B03" w14:textId="77777777" w:rsidR="002B25A4" w:rsidRPr="0030440E" w:rsidRDefault="002B25A4" w:rsidP="0030440E">
      <w:pPr>
        <w:pStyle w:val="SourceCode"/>
      </w:pPr>
    </w:p>
    <w:p w14:paraId="17047418" w14:textId="77777777" w:rsidR="002B25A4" w:rsidRPr="0030440E" w:rsidRDefault="002B25A4" w:rsidP="0030440E">
      <w:pPr>
        <w:pStyle w:val="SourceCode"/>
      </w:pPr>
      <w:r w:rsidRPr="0030440E">
        <w:t>ggPlotModel(270, 1250, 1)</w:t>
      </w:r>
    </w:p>
    <w:p w14:paraId="20E675E4" w14:textId="77777777" w:rsidR="002B25A4" w:rsidRPr="0030440E" w:rsidRDefault="002B25A4" w:rsidP="0030440E">
      <w:pPr>
        <w:pStyle w:val="SourceCode"/>
      </w:pPr>
      <w:r w:rsidRPr="0030440E">
        <w:t>ggPlotModel(350, 300, 1)</w:t>
      </w:r>
    </w:p>
    <w:p w14:paraId="104FC31A" w14:textId="44457602" w:rsidR="002B25A4" w:rsidRPr="0030440E" w:rsidRDefault="002B25A4" w:rsidP="0030440E">
      <w:pPr>
        <w:pStyle w:val="SourceCode"/>
      </w:pPr>
      <w:r w:rsidRPr="0030440E">
        <w:t>ggPlotModel(500, 60, 1)</w:t>
      </w:r>
    </w:p>
    <w:p w14:paraId="29A1A53F" w14:textId="500AEB61" w:rsidR="002B25A4" w:rsidRPr="0030440E" w:rsidRDefault="002B25A4" w:rsidP="0030440E">
      <w:pPr>
        <w:pStyle w:val="SourceCode"/>
        <w:rPr>
          <w:rFonts w:asciiTheme="majorHAnsi" w:hAnsiTheme="majorHAnsi"/>
          <w:b/>
          <w:bCs/>
          <w:lang w:bidi="en-US"/>
        </w:rPr>
      </w:pPr>
      <w:r w:rsidRPr="0030440E">
        <w:br w:type="page"/>
      </w:r>
    </w:p>
    <w:p w14:paraId="0B837B3A" w14:textId="7604D743" w:rsidR="00AA0B13" w:rsidRDefault="00AA0B13" w:rsidP="00FD62BF">
      <w:pPr>
        <w:pStyle w:val="Heading1"/>
      </w:pPr>
      <w:bookmarkStart w:id="218" w:name="_Toc449964919"/>
      <w:r>
        <w:lastRenderedPageBreak/>
        <w:t xml:space="preserve">Appendix </w:t>
      </w:r>
      <w:r w:rsidR="002B25A4">
        <w:t>B</w:t>
      </w:r>
      <w:r>
        <w:t xml:space="preserve">: </w:t>
      </w:r>
      <w:bookmarkEnd w:id="216"/>
      <w:r w:rsidR="008819A8">
        <w:t>Source code for linear models</w:t>
      </w:r>
      <w:r w:rsidR="005C7E19">
        <w:t xml:space="preserve"> data preparation</w:t>
      </w:r>
      <w:bookmarkEnd w:id="218"/>
    </w:p>
    <w:p w14:paraId="475A5C56" w14:textId="77777777" w:rsidR="00FC5070" w:rsidRPr="009D68FF" w:rsidRDefault="00FC5070" w:rsidP="0030440E">
      <w:pPr>
        <w:pStyle w:val="SourceCode"/>
      </w:pPr>
      <w:r w:rsidRPr="009D68FF">
        <w:t># Copyright Statement:</w:t>
      </w:r>
    </w:p>
    <w:p w14:paraId="70952901" w14:textId="77777777" w:rsidR="00FC5070" w:rsidRPr="009D68FF" w:rsidRDefault="00FC5070" w:rsidP="0030440E">
      <w:pPr>
        <w:pStyle w:val="SourceCode"/>
      </w:pPr>
      <w:r w:rsidRPr="009D68FF">
        <w:t># This work is licensed under a Creative Commons</w:t>
      </w:r>
    </w:p>
    <w:p w14:paraId="2552FC6F" w14:textId="77777777" w:rsidR="00FC5070" w:rsidRPr="009D68FF" w:rsidRDefault="00FC5070" w:rsidP="0030440E">
      <w:pPr>
        <w:pStyle w:val="SourceCode"/>
      </w:pPr>
      <w:r w:rsidRPr="009D68FF">
        <w:t># Attribution-NonCommercial-ShareAlike 3.0 Unported License.</w:t>
      </w:r>
    </w:p>
    <w:p w14:paraId="7BAAE58B" w14:textId="77777777" w:rsidR="00FC5070" w:rsidRPr="009D68FF" w:rsidRDefault="00FC5070" w:rsidP="0030440E">
      <w:pPr>
        <w:pStyle w:val="SourceCode"/>
      </w:pPr>
    </w:p>
    <w:p w14:paraId="663500AD" w14:textId="459C8786" w:rsidR="00FC5070" w:rsidRPr="009D68FF" w:rsidRDefault="00FC5070" w:rsidP="0030440E">
      <w:pPr>
        <w:pStyle w:val="SourceCode"/>
      </w:pPr>
      <w:r w:rsidRPr="009D68FF">
        <w:t># torrefaction data preparation.r</w:t>
      </w:r>
    </w:p>
    <w:p w14:paraId="1A67DE5E" w14:textId="4C5D9992" w:rsidR="00FC5070" w:rsidRPr="009D68FF" w:rsidRDefault="00FC5070" w:rsidP="0030440E">
      <w:pPr>
        <w:pStyle w:val="SourceCode"/>
      </w:pPr>
      <w:r w:rsidRPr="009D68FF">
        <w:t># Version 1.0</w:t>
      </w:r>
    </w:p>
    <w:p w14:paraId="1DCA76BF" w14:textId="1F11094D" w:rsidR="00FC5070" w:rsidRPr="009D68FF" w:rsidRDefault="00FC5070" w:rsidP="0030440E">
      <w:pPr>
        <w:pStyle w:val="SourceCode"/>
      </w:pPr>
      <w:r w:rsidRPr="009D68FF">
        <w:t># November 14, 2015</w:t>
      </w:r>
    </w:p>
    <w:p w14:paraId="7B3A3282" w14:textId="77777777" w:rsidR="00FC5070" w:rsidRPr="009D68FF" w:rsidRDefault="00FC5070" w:rsidP="0030440E">
      <w:pPr>
        <w:pStyle w:val="SourceCode"/>
      </w:pPr>
      <w:r w:rsidRPr="009D68FF">
        <w:t># Christopher Waters</w:t>
      </w:r>
    </w:p>
    <w:p w14:paraId="02B09D1E" w14:textId="77777777" w:rsidR="00FC5070" w:rsidRPr="009D68FF" w:rsidRDefault="00FC5070" w:rsidP="0030440E">
      <w:pPr>
        <w:pStyle w:val="SourceCode"/>
      </w:pPr>
      <w:r w:rsidRPr="009D68FF">
        <w:t># cwaters@ou.edu</w:t>
      </w:r>
    </w:p>
    <w:p w14:paraId="4C882CFD" w14:textId="77777777" w:rsidR="00FC5070" w:rsidRPr="009D68FF" w:rsidRDefault="00FC5070" w:rsidP="0030440E">
      <w:pPr>
        <w:pStyle w:val="SourceCode"/>
      </w:pPr>
      <w:r w:rsidRPr="009D68FF">
        <w:t># University of Oklahoma</w:t>
      </w:r>
    </w:p>
    <w:p w14:paraId="1F32BC62" w14:textId="77777777" w:rsidR="00FC5070" w:rsidRPr="009D68FF" w:rsidRDefault="00FC5070" w:rsidP="0030440E">
      <w:pPr>
        <w:pStyle w:val="SourceCode"/>
      </w:pPr>
      <w:r w:rsidRPr="009D68FF">
        <w:t># College of Engineering</w:t>
      </w:r>
    </w:p>
    <w:p w14:paraId="7871B73E" w14:textId="77777777" w:rsidR="00FC5070" w:rsidRPr="009D68FF" w:rsidRDefault="00FC5070" w:rsidP="0030440E">
      <w:pPr>
        <w:pStyle w:val="SourceCode"/>
      </w:pPr>
      <w:r w:rsidRPr="009D68FF">
        <w:t># School of Chemical, Biological, and Materials Engineering</w:t>
      </w:r>
    </w:p>
    <w:p w14:paraId="3D8FB5D7" w14:textId="77777777" w:rsidR="00FC5070" w:rsidRPr="009D68FF" w:rsidRDefault="00FC5070" w:rsidP="0030440E">
      <w:pPr>
        <w:pStyle w:val="SourceCode"/>
      </w:pPr>
      <w:r w:rsidRPr="009D68FF">
        <w:t># Center for Biofuels Refining</w:t>
      </w:r>
    </w:p>
    <w:p w14:paraId="6B9E96FA" w14:textId="77777777" w:rsidR="00FC5070" w:rsidRPr="009D68FF" w:rsidRDefault="00FC5070" w:rsidP="0030440E">
      <w:pPr>
        <w:pStyle w:val="SourceCode"/>
      </w:pPr>
      <w:r w:rsidRPr="009D68FF">
        <w:t># Pyrolysis Lab Group</w:t>
      </w:r>
    </w:p>
    <w:p w14:paraId="75C23635" w14:textId="77777777" w:rsidR="00FC5070" w:rsidRPr="009D68FF" w:rsidRDefault="00FC5070" w:rsidP="0030440E">
      <w:pPr>
        <w:pStyle w:val="SourceCode"/>
      </w:pPr>
    </w:p>
    <w:p w14:paraId="034CAA49" w14:textId="749DFB1E" w:rsidR="009D68FF" w:rsidRDefault="009D68FF" w:rsidP="0030440E">
      <w:pPr>
        <w:pStyle w:val="SourceCode"/>
      </w:pPr>
      <w:r w:rsidRPr="009D68FF">
        <w:t># A collection of utility functions for da</w:t>
      </w:r>
      <w:r w:rsidR="0044763F">
        <w:t>ta preparation written in the R</w:t>
      </w:r>
    </w:p>
    <w:p w14:paraId="020AD51A" w14:textId="6BB7A256" w:rsidR="0044763F" w:rsidRPr="009D68FF" w:rsidRDefault="0044763F" w:rsidP="0030440E">
      <w:pPr>
        <w:pStyle w:val="SourceCode"/>
      </w:pPr>
      <w:r>
        <w:t># programming language.</w:t>
      </w:r>
    </w:p>
    <w:p w14:paraId="7A97E5DA" w14:textId="77777777" w:rsidR="009D68FF" w:rsidRPr="009D68FF" w:rsidRDefault="009D68FF" w:rsidP="0030440E">
      <w:pPr>
        <w:pStyle w:val="SourceCode"/>
      </w:pPr>
    </w:p>
    <w:p w14:paraId="3059DCB3" w14:textId="77777777" w:rsidR="009D68FF" w:rsidRPr="009D68FF" w:rsidRDefault="009D68FF" w:rsidP="0030440E">
      <w:pPr>
        <w:pStyle w:val="SourceCode"/>
      </w:pPr>
      <w:r w:rsidRPr="009D68FF">
        <w:t>rm(list = ls()) #Removes all items from the workspace</w:t>
      </w:r>
    </w:p>
    <w:p w14:paraId="0274864A" w14:textId="77777777" w:rsidR="009D68FF" w:rsidRPr="009D68FF" w:rsidRDefault="009D68FF" w:rsidP="0030440E">
      <w:pPr>
        <w:pStyle w:val="SourceCode"/>
      </w:pPr>
    </w:p>
    <w:p w14:paraId="4B506E65" w14:textId="77777777" w:rsidR="009D68FF" w:rsidRPr="009D68FF" w:rsidRDefault="009D68FF" w:rsidP="0030440E">
      <w:pPr>
        <w:pStyle w:val="SourceCode"/>
      </w:pPr>
      <w:r w:rsidRPr="009D68FF">
        <w:lastRenderedPageBreak/>
        <w:t>library(reshape2)</w:t>
      </w:r>
    </w:p>
    <w:p w14:paraId="67A7E44B" w14:textId="77777777" w:rsidR="009D68FF" w:rsidRPr="009D68FF" w:rsidRDefault="009D68FF" w:rsidP="0030440E">
      <w:pPr>
        <w:pStyle w:val="SourceCode"/>
      </w:pPr>
    </w:p>
    <w:p w14:paraId="2EEE0CA8" w14:textId="77777777" w:rsidR="009D68FF" w:rsidRPr="009D68FF" w:rsidRDefault="009D68FF" w:rsidP="0030440E">
      <w:pPr>
        <w:pStyle w:val="SourceCode"/>
      </w:pPr>
      <w:r w:rsidRPr="009D68FF">
        <w:t># Association panel load ----</w:t>
      </w:r>
    </w:p>
    <w:p w14:paraId="7D6842B9" w14:textId="77777777" w:rsidR="009D68FF" w:rsidRPr="009D68FF" w:rsidRDefault="009D68FF" w:rsidP="0030440E">
      <w:pPr>
        <w:pStyle w:val="SourceCode"/>
      </w:pPr>
      <w:r w:rsidRPr="009D68FF">
        <w:t>sg.comp &lt;- read.csv("original composition data.csv")</w:t>
      </w:r>
    </w:p>
    <w:p w14:paraId="23D4AE2B" w14:textId="77777777" w:rsidR="009D68FF" w:rsidRPr="009D68FF" w:rsidRDefault="009D68FF" w:rsidP="0030440E">
      <w:pPr>
        <w:pStyle w:val="SourceCode"/>
      </w:pPr>
      <w:r w:rsidRPr="009D68FF">
        <w:t>sg.comp &lt;- sg.comp[complete.cases(sg.comp),]</w:t>
      </w:r>
    </w:p>
    <w:p w14:paraId="312A5DF2" w14:textId="77777777" w:rsidR="009D68FF" w:rsidRPr="009D68FF" w:rsidRDefault="009D68FF" w:rsidP="0030440E">
      <w:pPr>
        <w:pStyle w:val="SourceCode"/>
      </w:pPr>
    </w:p>
    <w:p w14:paraId="4162DAD7" w14:textId="77777777" w:rsidR="009D68FF" w:rsidRPr="009D68FF" w:rsidRDefault="009D68FF" w:rsidP="0030440E">
      <w:pPr>
        <w:pStyle w:val="SourceCode"/>
      </w:pPr>
      <w:r w:rsidRPr="009D68FF">
        <w:t># Compositional subset load - 22 obs. that go with thermochemical samples----</w:t>
      </w:r>
    </w:p>
    <w:p w14:paraId="0872405A" w14:textId="77777777" w:rsidR="009D68FF" w:rsidRPr="009D68FF" w:rsidRDefault="009D68FF" w:rsidP="0030440E">
      <w:pPr>
        <w:pStyle w:val="SourceCode"/>
      </w:pPr>
      <w:r w:rsidRPr="009D68FF">
        <w:t>sg.comp.sub &lt;- read.csv("original subset composition data.csv")</w:t>
      </w:r>
    </w:p>
    <w:p w14:paraId="221B72CC" w14:textId="77777777" w:rsidR="009D68FF" w:rsidRPr="009D68FF" w:rsidRDefault="009D68FF" w:rsidP="0030440E">
      <w:pPr>
        <w:pStyle w:val="SourceCode"/>
      </w:pPr>
    </w:p>
    <w:p w14:paraId="120FB522" w14:textId="77777777" w:rsidR="009D68FF" w:rsidRPr="009D68FF" w:rsidRDefault="009D68FF" w:rsidP="0030440E">
      <w:pPr>
        <w:pStyle w:val="SourceCode"/>
      </w:pPr>
      <w:r w:rsidRPr="009D68FF">
        <w:t># Thermochemical data load ----</w:t>
      </w:r>
    </w:p>
    <w:p w14:paraId="7FA49597" w14:textId="77777777" w:rsidR="009D68FF" w:rsidRPr="009D68FF" w:rsidRDefault="009D68FF" w:rsidP="0030440E">
      <w:pPr>
        <w:pStyle w:val="SourceCode"/>
      </w:pPr>
      <w:r w:rsidRPr="009D68FF">
        <w:t>tc &lt;- read.csv("torrefaction switchgrass data.csv")</w:t>
      </w:r>
    </w:p>
    <w:p w14:paraId="680BC38E" w14:textId="77777777" w:rsidR="009D68FF" w:rsidRPr="009D68FF" w:rsidRDefault="009D68FF" w:rsidP="0030440E">
      <w:pPr>
        <w:pStyle w:val="SourceCode"/>
      </w:pPr>
      <w:r w:rsidRPr="009D68FF">
        <w:t>tc[which(tc$lumps=="Unid."),]$lumps &lt;- "Unknown"</w:t>
      </w:r>
    </w:p>
    <w:p w14:paraId="265A089D" w14:textId="77777777" w:rsidR="009D68FF" w:rsidRPr="009D68FF" w:rsidRDefault="009D68FF" w:rsidP="0030440E">
      <w:pPr>
        <w:pStyle w:val="SourceCode"/>
      </w:pPr>
    </w:p>
    <w:p w14:paraId="67092355" w14:textId="77777777" w:rsidR="009D68FF" w:rsidRPr="009D68FF" w:rsidRDefault="009D68FF" w:rsidP="0030440E">
      <w:pPr>
        <w:pStyle w:val="SourceCode"/>
      </w:pPr>
      <w:r w:rsidRPr="009D68FF">
        <w:t># Do means of each compound per sample replicate ----</w:t>
      </w:r>
    </w:p>
    <w:p w14:paraId="649D6BD6" w14:textId="77777777" w:rsidR="009D68FF" w:rsidRPr="009D68FF" w:rsidRDefault="009D68FF" w:rsidP="0030440E">
      <w:pPr>
        <w:pStyle w:val="SourceCode"/>
      </w:pPr>
      <w:r w:rsidRPr="009D68FF">
        <w:t>tc.c.m &lt;- melt(tc)</w:t>
      </w:r>
    </w:p>
    <w:p w14:paraId="063EE988" w14:textId="77777777" w:rsidR="009D68FF" w:rsidRPr="009D68FF" w:rsidRDefault="009D68FF" w:rsidP="0030440E">
      <w:pPr>
        <w:pStyle w:val="SourceCode"/>
      </w:pPr>
    </w:p>
    <w:p w14:paraId="3691B264" w14:textId="77777777" w:rsidR="009D68FF" w:rsidRPr="009D68FF" w:rsidRDefault="009D68FF" w:rsidP="0030440E">
      <w:pPr>
        <w:pStyle w:val="SourceCode"/>
      </w:pPr>
      <w:r w:rsidRPr="009D68FF">
        <w:t># rename samples to just the switchgrass identifier</w:t>
      </w:r>
    </w:p>
    <w:p w14:paraId="0E7571B6" w14:textId="77777777" w:rsidR="009D68FF" w:rsidRPr="009D68FF" w:rsidRDefault="009D68FF" w:rsidP="0030440E">
      <w:pPr>
        <w:pStyle w:val="SourceCode"/>
      </w:pPr>
      <w:r w:rsidRPr="009D68FF">
        <w:t xml:space="preserve"> tc.c.m$variable &lt;- as.character(tc.c.m$variable)</w:t>
      </w:r>
    </w:p>
    <w:p w14:paraId="4A97FC41" w14:textId="77777777" w:rsidR="009D68FF" w:rsidRPr="009D68FF" w:rsidRDefault="009D68FF" w:rsidP="0030440E">
      <w:pPr>
        <w:pStyle w:val="SourceCode"/>
      </w:pPr>
      <w:r w:rsidRPr="009D68FF">
        <w:t>for(i in 1:nrow(tc.c.m)){</w:t>
      </w:r>
    </w:p>
    <w:p w14:paraId="43B518BD" w14:textId="77777777" w:rsidR="009D68FF" w:rsidRPr="009D68FF" w:rsidRDefault="009D68FF" w:rsidP="0030440E">
      <w:pPr>
        <w:pStyle w:val="SourceCode"/>
      </w:pPr>
      <w:r w:rsidRPr="009D68FF">
        <w:t xml:space="preserve">  tc.c.m$variable[i] &lt;- unlist(strsplit(tc.c.m$variable[i], split="\\_"))[3]</w:t>
      </w:r>
    </w:p>
    <w:p w14:paraId="1582DD4F" w14:textId="77777777" w:rsidR="009D68FF" w:rsidRPr="009D68FF" w:rsidRDefault="009D68FF" w:rsidP="0030440E">
      <w:pPr>
        <w:pStyle w:val="SourceCode"/>
      </w:pPr>
      <w:r w:rsidRPr="009D68FF">
        <w:t>}</w:t>
      </w:r>
    </w:p>
    <w:p w14:paraId="5870E096" w14:textId="77777777" w:rsidR="009D68FF" w:rsidRPr="009D68FF" w:rsidRDefault="009D68FF" w:rsidP="0030440E">
      <w:pPr>
        <w:pStyle w:val="SourceCode"/>
      </w:pPr>
      <w:r w:rsidRPr="009D68FF">
        <w:lastRenderedPageBreak/>
        <w:t>tc.c.m$variable &lt;- as.factor(tc.c.m$variable)</w:t>
      </w:r>
    </w:p>
    <w:p w14:paraId="7D64BFDE" w14:textId="77777777" w:rsidR="009D68FF" w:rsidRPr="009D68FF" w:rsidRDefault="009D68FF" w:rsidP="0030440E">
      <w:pPr>
        <w:pStyle w:val="SourceCode"/>
      </w:pPr>
    </w:p>
    <w:p w14:paraId="1D219EA3" w14:textId="77777777" w:rsidR="009D68FF" w:rsidRPr="009D68FF" w:rsidRDefault="009D68FF" w:rsidP="0030440E">
      <w:pPr>
        <w:pStyle w:val="SourceCode"/>
      </w:pPr>
      <w:r w:rsidRPr="009D68FF">
        <w:t># Aggregate the mean &amp; recast, and get rid of stuff we don't need</w:t>
      </w:r>
    </w:p>
    <w:p w14:paraId="2DCF97C7" w14:textId="77777777" w:rsidR="009D68FF" w:rsidRPr="009D68FF" w:rsidRDefault="009D68FF" w:rsidP="0030440E">
      <w:pPr>
        <w:pStyle w:val="SourceCode"/>
      </w:pPr>
      <w:r w:rsidRPr="009D68FF">
        <w:t xml:space="preserve">tc.c.mean &lt;- aggregate(tc.c.m, by = list(tc.c.m$variable, </w:t>
      </w:r>
    </w:p>
    <w:p w14:paraId="0FFE687D" w14:textId="77777777" w:rsidR="009D68FF" w:rsidRPr="009D68FF" w:rsidRDefault="009D68FF" w:rsidP="0030440E">
      <w:pPr>
        <w:pStyle w:val="SourceCode"/>
      </w:pPr>
      <w:r w:rsidRPr="009D68FF">
        <w:t xml:space="preserve">                                         tc.c.m$Name), FUN=mean)[,c(1,2,6)]</w:t>
      </w:r>
    </w:p>
    <w:p w14:paraId="2DFB49EB" w14:textId="77777777" w:rsidR="009D68FF" w:rsidRPr="009D68FF" w:rsidRDefault="009D68FF" w:rsidP="0030440E">
      <w:pPr>
        <w:pStyle w:val="SourceCode"/>
      </w:pPr>
      <w:r w:rsidRPr="009D68FF">
        <w:t>colnames(tc.c.mean) &lt;- c("sample", "compound", "value")</w:t>
      </w:r>
    </w:p>
    <w:p w14:paraId="1C4F934A" w14:textId="77777777" w:rsidR="009D68FF" w:rsidRPr="009D68FF" w:rsidRDefault="009D68FF" w:rsidP="0030440E">
      <w:pPr>
        <w:pStyle w:val="SourceCode"/>
      </w:pPr>
      <w:r w:rsidRPr="009D68FF">
        <w:t>tc.mean &lt;- dcast(tc.c.mean, compound ~ sample)</w:t>
      </w:r>
    </w:p>
    <w:p w14:paraId="33D24C55" w14:textId="77777777" w:rsidR="009D68FF" w:rsidRPr="009D68FF" w:rsidRDefault="009D68FF" w:rsidP="0030440E">
      <w:pPr>
        <w:pStyle w:val="SourceCode"/>
      </w:pPr>
      <w:r w:rsidRPr="009D68FF">
        <w:t>tc.mean &lt;- as.data.frame(t(tc.mean))</w:t>
      </w:r>
    </w:p>
    <w:p w14:paraId="25C7398A" w14:textId="77777777" w:rsidR="009D68FF" w:rsidRPr="009D68FF" w:rsidRDefault="009D68FF" w:rsidP="0030440E">
      <w:pPr>
        <w:pStyle w:val="SourceCode"/>
      </w:pPr>
      <w:r w:rsidRPr="009D68FF">
        <w:t>colnames(tc.mean) &lt;- as.character(unlist(tc.mean[1,]))</w:t>
      </w:r>
    </w:p>
    <w:p w14:paraId="66F722BF" w14:textId="77777777" w:rsidR="009D68FF" w:rsidRPr="009D68FF" w:rsidRDefault="009D68FF" w:rsidP="0030440E">
      <w:pPr>
        <w:pStyle w:val="SourceCode"/>
      </w:pPr>
      <w:r w:rsidRPr="009D68FF">
        <w:t>tc.mean &lt;- tc.mean[-1,]</w:t>
      </w:r>
    </w:p>
    <w:p w14:paraId="31FCDB65" w14:textId="77777777" w:rsidR="009D68FF" w:rsidRPr="009D68FF" w:rsidRDefault="009D68FF" w:rsidP="0030440E">
      <w:pPr>
        <w:pStyle w:val="SourceCode"/>
      </w:pPr>
      <w:r w:rsidRPr="009D68FF">
        <w:t>for(i in 1:ncol(tc.mean)){</w:t>
      </w:r>
    </w:p>
    <w:p w14:paraId="4C797BA5" w14:textId="77777777" w:rsidR="009D68FF" w:rsidRPr="009D68FF" w:rsidRDefault="009D68FF" w:rsidP="0030440E">
      <w:pPr>
        <w:pStyle w:val="SourceCode"/>
      </w:pPr>
      <w:r w:rsidRPr="009D68FF">
        <w:t xml:space="preserve">  tc.mean[,i] &lt;- as.double(as.character(tc.mean[,i]))</w:t>
      </w:r>
    </w:p>
    <w:p w14:paraId="6B894D7E" w14:textId="77777777" w:rsidR="009D68FF" w:rsidRPr="009D68FF" w:rsidRDefault="009D68FF" w:rsidP="0030440E">
      <w:pPr>
        <w:pStyle w:val="SourceCode"/>
      </w:pPr>
      <w:r w:rsidRPr="009D68FF">
        <w:t>}</w:t>
      </w:r>
    </w:p>
    <w:p w14:paraId="0D6ED1D7" w14:textId="77777777" w:rsidR="009D68FF" w:rsidRPr="009D68FF" w:rsidRDefault="009D68FF" w:rsidP="0030440E">
      <w:pPr>
        <w:pStyle w:val="SourceCode"/>
      </w:pPr>
      <w:r w:rsidRPr="009D68FF">
        <w:t>rm(tc.c.mean)</w:t>
      </w:r>
    </w:p>
    <w:p w14:paraId="6F74CA58" w14:textId="77777777" w:rsidR="009D68FF" w:rsidRPr="009D68FF" w:rsidRDefault="009D68FF" w:rsidP="0030440E">
      <w:pPr>
        <w:pStyle w:val="SourceCode"/>
      </w:pPr>
    </w:p>
    <w:p w14:paraId="6E83765F" w14:textId="77777777" w:rsidR="009D68FF" w:rsidRPr="009D68FF" w:rsidRDefault="009D68FF" w:rsidP="0030440E">
      <w:pPr>
        <w:pStyle w:val="SourceCode"/>
      </w:pPr>
      <w:r w:rsidRPr="009D68FF">
        <w:t># Dimensionality reduction: Thermochemical data means, combined on lumps ----</w:t>
      </w:r>
    </w:p>
    <w:p w14:paraId="446103A3" w14:textId="77777777" w:rsidR="009D68FF" w:rsidRPr="009D68FF" w:rsidRDefault="009D68FF" w:rsidP="0030440E">
      <w:pPr>
        <w:pStyle w:val="SourceCode"/>
      </w:pPr>
      <w:r w:rsidRPr="009D68FF">
        <w:t xml:space="preserve">tc.c.lump &lt;- aggregate(tc.c.m, by = list(tc.c.m$variable, </w:t>
      </w:r>
    </w:p>
    <w:p w14:paraId="58D5580F" w14:textId="77777777" w:rsidR="009D68FF" w:rsidRPr="009D68FF" w:rsidRDefault="009D68FF" w:rsidP="0030440E">
      <w:pPr>
        <w:pStyle w:val="SourceCode"/>
      </w:pPr>
      <w:r w:rsidRPr="009D68FF">
        <w:t xml:space="preserve">                                         tc.c.m$lumps), FUN=mean)[,c(1,2,6)]</w:t>
      </w:r>
    </w:p>
    <w:p w14:paraId="0BA01B1B" w14:textId="77777777" w:rsidR="009D68FF" w:rsidRPr="009D68FF" w:rsidRDefault="009D68FF" w:rsidP="0030440E">
      <w:pPr>
        <w:pStyle w:val="SourceCode"/>
      </w:pPr>
      <w:r w:rsidRPr="009D68FF">
        <w:t>colnames(tc.c.lump) &lt;- c("sample", "lump", "value")</w:t>
      </w:r>
    </w:p>
    <w:p w14:paraId="183CA49E" w14:textId="77777777" w:rsidR="009D68FF" w:rsidRPr="009D68FF" w:rsidRDefault="009D68FF" w:rsidP="0030440E">
      <w:pPr>
        <w:pStyle w:val="SourceCode"/>
      </w:pPr>
      <w:r w:rsidRPr="009D68FF">
        <w:t>tc.lump &lt;- dcast(tc.c.lump, lump ~ sample)</w:t>
      </w:r>
    </w:p>
    <w:p w14:paraId="6983F1A6" w14:textId="77777777" w:rsidR="009D68FF" w:rsidRPr="009D68FF" w:rsidRDefault="009D68FF" w:rsidP="0030440E">
      <w:pPr>
        <w:pStyle w:val="SourceCode"/>
      </w:pPr>
      <w:r w:rsidRPr="009D68FF">
        <w:t>tc.lump &lt;- as.data.frame(t(tc.lump))</w:t>
      </w:r>
    </w:p>
    <w:p w14:paraId="05DA6C9D" w14:textId="77777777" w:rsidR="009D68FF" w:rsidRPr="009D68FF" w:rsidRDefault="009D68FF" w:rsidP="0030440E">
      <w:pPr>
        <w:pStyle w:val="SourceCode"/>
      </w:pPr>
      <w:r w:rsidRPr="009D68FF">
        <w:lastRenderedPageBreak/>
        <w:t>colnames(tc.lump) &lt;- as.character(unlist(tc.lump[1,]))</w:t>
      </w:r>
    </w:p>
    <w:p w14:paraId="27856774" w14:textId="77777777" w:rsidR="009D68FF" w:rsidRPr="009D68FF" w:rsidRDefault="009D68FF" w:rsidP="0030440E">
      <w:pPr>
        <w:pStyle w:val="SourceCode"/>
      </w:pPr>
      <w:r w:rsidRPr="009D68FF">
        <w:t>tc.lump &lt;- tc.lump[-1,]</w:t>
      </w:r>
    </w:p>
    <w:p w14:paraId="43DE8B42" w14:textId="77777777" w:rsidR="009D68FF" w:rsidRPr="009D68FF" w:rsidRDefault="009D68FF" w:rsidP="0030440E">
      <w:pPr>
        <w:pStyle w:val="SourceCode"/>
      </w:pPr>
      <w:r w:rsidRPr="009D68FF">
        <w:t># Fix the data to be numeric</w:t>
      </w:r>
    </w:p>
    <w:p w14:paraId="4B912CB5" w14:textId="77777777" w:rsidR="009D68FF" w:rsidRPr="009D68FF" w:rsidRDefault="009D68FF" w:rsidP="0030440E">
      <w:pPr>
        <w:pStyle w:val="SourceCode"/>
      </w:pPr>
      <w:r w:rsidRPr="009D68FF">
        <w:t>for(i in 1:ncol(tc.lump)){</w:t>
      </w:r>
    </w:p>
    <w:p w14:paraId="1B6CEB68" w14:textId="77777777" w:rsidR="009D68FF" w:rsidRPr="009D68FF" w:rsidRDefault="009D68FF" w:rsidP="0030440E">
      <w:pPr>
        <w:pStyle w:val="SourceCode"/>
      </w:pPr>
      <w:r w:rsidRPr="009D68FF">
        <w:t xml:space="preserve">  tc.lump[,i] &lt;- as.double(as.character(tc.lump[,i]))</w:t>
      </w:r>
    </w:p>
    <w:p w14:paraId="3C8FAB7B" w14:textId="77777777" w:rsidR="009D68FF" w:rsidRPr="009D68FF" w:rsidRDefault="009D68FF" w:rsidP="0030440E">
      <w:pPr>
        <w:pStyle w:val="SourceCode"/>
      </w:pPr>
      <w:r w:rsidRPr="009D68FF">
        <w:t>}</w:t>
      </w:r>
    </w:p>
    <w:p w14:paraId="6EB25816" w14:textId="77777777" w:rsidR="009D68FF" w:rsidRPr="009D68FF" w:rsidRDefault="009D68FF" w:rsidP="0030440E">
      <w:pPr>
        <w:pStyle w:val="SourceCode"/>
      </w:pPr>
      <w:r w:rsidRPr="009D68FF">
        <w:t>rm(tc.c.m)</w:t>
      </w:r>
    </w:p>
    <w:p w14:paraId="4AEA2BFE" w14:textId="77777777" w:rsidR="009D68FF" w:rsidRPr="009D68FF" w:rsidRDefault="009D68FF" w:rsidP="0030440E">
      <w:pPr>
        <w:pStyle w:val="SourceCode"/>
      </w:pPr>
      <w:r w:rsidRPr="009D68FF">
        <w:t>rm(tc.c.lump)</w:t>
      </w:r>
    </w:p>
    <w:p w14:paraId="14A68D9C" w14:textId="77777777" w:rsidR="009D68FF" w:rsidRPr="009D68FF" w:rsidRDefault="009D68FF" w:rsidP="0030440E">
      <w:pPr>
        <w:pStyle w:val="SourceCode"/>
      </w:pPr>
      <w:r w:rsidRPr="009D68FF">
        <w:t>rm(i)</w:t>
      </w:r>
    </w:p>
    <w:p w14:paraId="54936772" w14:textId="77777777" w:rsidR="009D68FF" w:rsidRPr="009D68FF" w:rsidRDefault="009D68FF" w:rsidP="0030440E">
      <w:pPr>
        <w:pStyle w:val="SourceCode"/>
      </w:pPr>
      <w:r w:rsidRPr="009D68FF">
        <w:t># Manually assigned "friendlier" names for the columns</w:t>
      </w:r>
    </w:p>
    <w:p w14:paraId="35F46F16" w14:textId="77777777" w:rsidR="009D68FF" w:rsidRPr="009D68FF" w:rsidRDefault="009D68FF" w:rsidP="0030440E">
      <w:pPr>
        <w:pStyle w:val="SourceCode"/>
      </w:pPr>
      <w:r w:rsidRPr="009D68FF">
        <w:t># (should make modeling easier)</w:t>
      </w:r>
    </w:p>
    <w:p w14:paraId="7D565D54" w14:textId="77777777" w:rsidR="009D68FF" w:rsidRPr="009D68FF" w:rsidRDefault="009D68FF" w:rsidP="0030440E">
      <w:pPr>
        <w:pStyle w:val="SourceCode"/>
      </w:pPr>
      <w:r w:rsidRPr="009D68FF">
        <w:t>colnames(tc.lump) &lt;- c("acetic", "akph", "furfurals", "lightgas",</w:t>
      </w:r>
    </w:p>
    <w:p w14:paraId="75476483" w14:textId="77777777" w:rsidR="009D68FF" w:rsidRPr="009D68FF" w:rsidRDefault="009D68FF" w:rsidP="0030440E">
      <w:pPr>
        <w:pStyle w:val="SourceCode"/>
      </w:pPr>
      <w:r w:rsidRPr="009D68FF">
        <w:t xml:space="preserve">                       "lightoxy", "moxph", "pyran", "sugars", "unknown")</w:t>
      </w:r>
    </w:p>
    <w:p w14:paraId="4EE7DF50" w14:textId="77777777" w:rsidR="009D68FF" w:rsidRPr="009D68FF" w:rsidRDefault="009D68FF" w:rsidP="0030440E">
      <w:pPr>
        <w:pStyle w:val="SourceCode"/>
      </w:pPr>
    </w:p>
    <w:p w14:paraId="306EE54B" w14:textId="77777777" w:rsidR="009D68FF" w:rsidRPr="009D68FF" w:rsidRDefault="009D68FF" w:rsidP="0030440E">
      <w:pPr>
        <w:pStyle w:val="SourceCode"/>
      </w:pPr>
    </w:p>
    <w:p w14:paraId="295F30EF" w14:textId="77777777" w:rsidR="009D68FF" w:rsidRPr="009D68FF" w:rsidRDefault="009D68FF" w:rsidP="0030440E">
      <w:pPr>
        <w:pStyle w:val="SourceCode"/>
      </w:pPr>
      <w:r w:rsidRPr="009D68FF">
        <w:t># This function combines the TC &amp; Comp data ----</w:t>
      </w:r>
    </w:p>
    <w:p w14:paraId="43E50DA0" w14:textId="77777777" w:rsidR="009D68FF" w:rsidRPr="009D68FF" w:rsidRDefault="009D68FF" w:rsidP="0030440E">
      <w:pPr>
        <w:pStyle w:val="SourceCode"/>
      </w:pPr>
      <w:r w:rsidRPr="009D68FF">
        <w:t>combine.datasets &lt;- function(tc = tc.lump, comp = sg.comp.sub) {</w:t>
      </w:r>
    </w:p>
    <w:p w14:paraId="454893EF" w14:textId="77777777" w:rsidR="009D68FF" w:rsidRPr="009D68FF" w:rsidRDefault="009D68FF" w:rsidP="0030440E">
      <w:pPr>
        <w:pStyle w:val="SourceCode"/>
      </w:pPr>
      <w:r w:rsidRPr="009D68FF">
        <w:t xml:space="preserve">  # Function extracts the order of the rows from tc, then sorts comp by that</w:t>
      </w:r>
    </w:p>
    <w:p w14:paraId="0C600561" w14:textId="77777777" w:rsidR="009D68FF" w:rsidRPr="009D68FF" w:rsidRDefault="009D68FF" w:rsidP="0030440E">
      <w:pPr>
        <w:pStyle w:val="SourceCode"/>
      </w:pPr>
      <w:r w:rsidRPr="009D68FF">
        <w:t xml:space="preserve">  # order, then appends the data frame.</w:t>
      </w:r>
    </w:p>
    <w:p w14:paraId="5ABB0DA3" w14:textId="77777777" w:rsidR="009D68FF" w:rsidRPr="009D68FF" w:rsidRDefault="009D68FF" w:rsidP="0030440E">
      <w:pPr>
        <w:pStyle w:val="SourceCode"/>
      </w:pPr>
      <w:r w:rsidRPr="009D68FF">
        <w:t xml:space="preserve">  plots &lt;- as.factor(as.numeric(substring(rownames(tc), 3)))</w:t>
      </w:r>
    </w:p>
    <w:p w14:paraId="55071748" w14:textId="77777777" w:rsidR="009D68FF" w:rsidRPr="009D68FF" w:rsidRDefault="009D68FF" w:rsidP="0030440E">
      <w:pPr>
        <w:pStyle w:val="SourceCode"/>
      </w:pPr>
      <w:r w:rsidRPr="009D68FF">
        <w:t xml:space="preserve">  comp &lt;- comp[match(plots, comp$Plot),]</w:t>
      </w:r>
    </w:p>
    <w:p w14:paraId="0C1502AC" w14:textId="77777777" w:rsidR="009D68FF" w:rsidRPr="009D68FF" w:rsidRDefault="009D68FF" w:rsidP="0030440E">
      <w:pPr>
        <w:pStyle w:val="SourceCode"/>
      </w:pPr>
      <w:r w:rsidRPr="009D68FF">
        <w:lastRenderedPageBreak/>
        <w:t xml:space="preserve">  return.frame &lt;- cbind.data.frame(tc,comp)</w:t>
      </w:r>
    </w:p>
    <w:p w14:paraId="1D1427F9" w14:textId="77777777" w:rsidR="009D68FF" w:rsidRPr="009D68FF" w:rsidRDefault="009D68FF" w:rsidP="0030440E">
      <w:pPr>
        <w:pStyle w:val="SourceCode"/>
      </w:pPr>
      <w:r w:rsidRPr="009D68FF">
        <w:t xml:space="preserve">  return(return.frame)</w:t>
      </w:r>
    </w:p>
    <w:p w14:paraId="294E4ABC" w14:textId="77777777" w:rsidR="009D68FF" w:rsidRPr="009D68FF" w:rsidRDefault="009D68FF" w:rsidP="0030440E">
      <w:pPr>
        <w:pStyle w:val="SourceCode"/>
      </w:pPr>
      <w:r w:rsidRPr="009D68FF">
        <w:t>}</w:t>
      </w:r>
    </w:p>
    <w:p w14:paraId="3B95C884" w14:textId="77777777" w:rsidR="009D68FF" w:rsidRPr="009D68FF" w:rsidRDefault="009D68FF" w:rsidP="0030440E">
      <w:pPr>
        <w:pStyle w:val="SourceCode"/>
      </w:pPr>
      <w:r w:rsidRPr="009D68FF">
        <w:t>sg.combined &lt;- combine.datasets()</w:t>
      </w:r>
    </w:p>
    <w:p w14:paraId="7C3A4EF5" w14:textId="77777777" w:rsidR="009D68FF" w:rsidRPr="009D68FF" w:rsidRDefault="009D68FF" w:rsidP="009D68FF">
      <w:pPr>
        <w:pStyle w:val="SourceCode"/>
        <w:rPr>
          <w:sz w:val="18"/>
        </w:rPr>
      </w:pPr>
    </w:p>
    <w:p w14:paraId="6759B2AF" w14:textId="7728CF18" w:rsidR="009D68FF" w:rsidRDefault="009D68FF">
      <w:pPr>
        <w:rPr>
          <w:rFonts w:ascii="Courier New" w:hAnsi="Courier New"/>
          <w:sz w:val="18"/>
        </w:rPr>
      </w:pPr>
      <w:r>
        <w:br w:type="page"/>
      </w:r>
    </w:p>
    <w:p w14:paraId="6797D052" w14:textId="1BB4A96E" w:rsidR="005C7E19" w:rsidRDefault="005C7E19" w:rsidP="005C7E19">
      <w:pPr>
        <w:pStyle w:val="Heading1"/>
      </w:pPr>
      <w:bookmarkStart w:id="219" w:name="_Toc449964920"/>
      <w:r>
        <w:lastRenderedPageBreak/>
        <w:t>Appendix C: Source code for torrefaction models</w:t>
      </w:r>
      <w:bookmarkEnd w:id="219"/>
    </w:p>
    <w:p w14:paraId="08097102" w14:textId="77777777" w:rsidR="009D68FF" w:rsidRPr="009D68FF" w:rsidRDefault="009D68FF" w:rsidP="0030440E">
      <w:pPr>
        <w:pStyle w:val="SourceCode"/>
      </w:pPr>
      <w:r w:rsidRPr="009D68FF">
        <w:t># Copyright Statement:</w:t>
      </w:r>
    </w:p>
    <w:p w14:paraId="6D410BC7" w14:textId="77777777" w:rsidR="009D68FF" w:rsidRPr="009D68FF" w:rsidRDefault="009D68FF" w:rsidP="0030440E">
      <w:pPr>
        <w:pStyle w:val="SourceCode"/>
      </w:pPr>
      <w:r w:rsidRPr="009D68FF">
        <w:t># This work is licensed under a Creative Commons</w:t>
      </w:r>
    </w:p>
    <w:p w14:paraId="736DB804" w14:textId="77777777" w:rsidR="009D68FF" w:rsidRPr="009D68FF" w:rsidRDefault="009D68FF" w:rsidP="0030440E">
      <w:pPr>
        <w:pStyle w:val="SourceCode"/>
      </w:pPr>
      <w:r w:rsidRPr="009D68FF">
        <w:t># Attribution-NonCommercial-ShareAlike 3.0 Unported License.</w:t>
      </w:r>
    </w:p>
    <w:p w14:paraId="533972DA" w14:textId="77777777" w:rsidR="009D68FF" w:rsidRPr="009D68FF" w:rsidRDefault="009D68FF" w:rsidP="0030440E">
      <w:pPr>
        <w:pStyle w:val="SourceCode"/>
      </w:pPr>
    </w:p>
    <w:p w14:paraId="5DF809B5" w14:textId="59382323" w:rsidR="009D68FF" w:rsidRPr="009D68FF" w:rsidRDefault="009D68FF" w:rsidP="0030440E">
      <w:pPr>
        <w:pStyle w:val="SourceCode"/>
      </w:pPr>
      <w:r w:rsidRPr="009D68FF">
        <w:t xml:space="preserve"># torrefaction </w:t>
      </w:r>
      <w:r>
        <w:t>modeling for thesis</w:t>
      </w:r>
      <w:r w:rsidRPr="009D68FF">
        <w:t>.r</w:t>
      </w:r>
    </w:p>
    <w:p w14:paraId="0F994FE8" w14:textId="77777777" w:rsidR="009D68FF" w:rsidRPr="009D68FF" w:rsidRDefault="009D68FF" w:rsidP="0030440E">
      <w:pPr>
        <w:pStyle w:val="SourceCode"/>
      </w:pPr>
      <w:r w:rsidRPr="009D68FF">
        <w:t># Version 1.0</w:t>
      </w:r>
    </w:p>
    <w:p w14:paraId="079B2105" w14:textId="5D1B6901" w:rsidR="009D68FF" w:rsidRPr="009D68FF" w:rsidRDefault="009D68FF" w:rsidP="0030440E">
      <w:pPr>
        <w:pStyle w:val="SourceCode"/>
      </w:pPr>
      <w:r w:rsidRPr="009D68FF">
        <w:t xml:space="preserve"># </w:t>
      </w:r>
      <w:r>
        <w:t>April 1</w:t>
      </w:r>
      <w:r w:rsidRPr="009D68FF">
        <w:t>,</w:t>
      </w:r>
      <w:r>
        <w:t xml:space="preserve"> 2016</w:t>
      </w:r>
    </w:p>
    <w:p w14:paraId="654E76F5" w14:textId="77777777" w:rsidR="009D68FF" w:rsidRPr="009D68FF" w:rsidRDefault="009D68FF" w:rsidP="0030440E">
      <w:pPr>
        <w:pStyle w:val="SourceCode"/>
      </w:pPr>
      <w:r w:rsidRPr="009D68FF">
        <w:t># Christopher Waters</w:t>
      </w:r>
    </w:p>
    <w:p w14:paraId="0E369369" w14:textId="77777777" w:rsidR="009D68FF" w:rsidRPr="009D68FF" w:rsidRDefault="009D68FF" w:rsidP="0030440E">
      <w:pPr>
        <w:pStyle w:val="SourceCode"/>
      </w:pPr>
      <w:r w:rsidRPr="009D68FF">
        <w:t># cwaters@ou.edu</w:t>
      </w:r>
    </w:p>
    <w:p w14:paraId="5EC1E707" w14:textId="77777777" w:rsidR="009D68FF" w:rsidRPr="009D68FF" w:rsidRDefault="009D68FF" w:rsidP="0030440E">
      <w:pPr>
        <w:pStyle w:val="SourceCode"/>
      </w:pPr>
      <w:r w:rsidRPr="009D68FF">
        <w:t># University of Oklahoma</w:t>
      </w:r>
    </w:p>
    <w:p w14:paraId="4FC8E71C" w14:textId="77777777" w:rsidR="009D68FF" w:rsidRPr="009D68FF" w:rsidRDefault="009D68FF" w:rsidP="0030440E">
      <w:pPr>
        <w:pStyle w:val="SourceCode"/>
      </w:pPr>
      <w:r w:rsidRPr="009D68FF">
        <w:t># College of Engineering</w:t>
      </w:r>
    </w:p>
    <w:p w14:paraId="695708C4" w14:textId="77777777" w:rsidR="009D68FF" w:rsidRPr="009D68FF" w:rsidRDefault="009D68FF" w:rsidP="0030440E">
      <w:pPr>
        <w:pStyle w:val="SourceCode"/>
      </w:pPr>
      <w:r w:rsidRPr="009D68FF">
        <w:t># School of Chemical, Biological, and Materials Engineering</w:t>
      </w:r>
    </w:p>
    <w:p w14:paraId="4AF8411C" w14:textId="77777777" w:rsidR="009D68FF" w:rsidRPr="009D68FF" w:rsidRDefault="009D68FF" w:rsidP="0030440E">
      <w:pPr>
        <w:pStyle w:val="SourceCode"/>
      </w:pPr>
      <w:r w:rsidRPr="009D68FF">
        <w:t># Center for Biofuels Refining</w:t>
      </w:r>
    </w:p>
    <w:p w14:paraId="09F89D42" w14:textId="1EF9A6B7" w:rsidR="009D68FF" w:rsidRDefault="009D68FF" w:rsidP="0030440E">
      <w:pPr>
        <w:pStyle w:val="SourceCode"/>
      </w:pPr>
      <w:r w:rsidRPr="009D68FF">
        <w:t># Pyrolysis Lab Group</w:t>
      </w:r>
    </w:p>
    <w:p w14:paraId="6A7D8F99" w14:textId="77777777" w:rsidR="009D68FF" w:rsidRDefault="009D68FF" w:rsidP="0030440E">
      <w:pPr>
        <w:pStyle w:val="SourceCode"/>
      </w:pPr>
    </w:p>
    <w:p w14:paraId="6E4E0A81" w14:textId="75E313A2" w:rsidR="0044763F" w:rsidRPr="009D68FF" w:rsidRDefault="00487A67" w:rsidP="0044763F">
      <w:pPr>
        <w:pStyle w:val="SourceCode"/>
      </w:pPr>
      <w:r w:rsidRPr="00487A67">
        <w:t xml:space="preserve">## Modeling of torrefaction data for </w:t>
      </w:r>
      <w:r>
        <w:t>thesis</w:t>
      </w:r>
      <w:r w:rsidR="0044763F" w:rsidRPr="0044763F">
        <w:t xml:space="preserve"> </w:t>
      </w:r>
      <w:r w:rsidR="0044763F">
        <w:t>written in the R programming language.</w:t>
      </w:r>
    </w:p>
    <w:p w14:paraId="1B4FE90D" w14:textId="77777777" w:rsidR="00487A67" w:rsidRPr="00487A67" w:rsidRDefault="00487A67" w:rsidP="0030440E">
      <w:pPr>
        <w:pStyle w:val="SourceCode"/>
      </w:pPr>
    </w:p>
    <w:p w14:paraId="63AC6AD1" w14:textId="77777777" w:rsidR="00487A67" w:rsidRPr="00487A67" w:rsidRDefault="00487A67" w:rsidP="0030440E">
      <w:pPr>
        <w:pStyle w:val="SourceCode"/>
      </w:pPr>
      <w:r w:rsidRPr="00487A67">
        <w:t>rm(list = ls()) ## This clears out the global environment</w:t>
      </w:r>
    </w:p>
    <w:p w14:paraId="688ABE9F" w14:textId="77777777" w:rsidR="00487A67" w:rsidRPr="00487A67" w:rsidRDefault="00487A67" w:rsidP="0030440E">
      <w:pPr>
        <w:pStyle w:val="SourceCode"/>
      </w:pPr>
      <w:r w:rsidRPr="00487A67">
        <w:t>library(stats)</w:t>
      </w:r>
    </w:p>
    <w:p w14:paraId="2DBFCCC7" w14:textId="77777777" w:rsidR="00487A67" w:rsidRPr="00487A67" w:rsidRDefault="00487A67" w:rsidP="0030440E">
      <w:pPr>
        <w:pStyle w:val="SourceCode"/>
      </w:pPr>
      <w:r w:rsidRPr="00487A67">
        <w:t>library(randomForest)</w:t>
      </w:r>
    </w:p>
    <w:p w14:paraId="321FC12A" w14:textId="77777777" w:rsidR="00487A67" w:rsidRPr="00487A67" w:rsidRDefault="00487A67" w:rsidP="0030440E">
      <w:pPr>
        <w:pStyle w:val="SourceCode"/>
      </w:pPr>
      <w:r w:rsidRPr="00487A67">
        <w:lastRenderedPageBreak/>
        <w:t>library(caret)</w:t>
      </w:r>
    </w:p>
    <w:p w14:paraId="07423E0E" w14:textId="77777777" w:rsidR="00487A67" w:rsidRPr="00487A67" w:rsidRDefault="00487A67" w:rsidP="0030440E">
      <w:pPr>
        <w:pStyle w:val="SourceCode"/>
      </w:pPr>
      <w:r w:rsidRPr="00487A67">
        <w:t>library(MASS)</w:t>
      </w:r>
    </w:p>
    <w:p w14:paraId="135351BE" w14:textId="77777777" w:rsidR="00487A67" w:rsidRPr="00487A67" w:rsidRDefault="00487A67" w:rsidP="0030440E">
      <w:pPr>
        <w:pStyle w:val="SourceCode"/>
      </w:pPr>
      <w:r w:rsidRPr="00487A67">
        <w:t>library(car)</w:t>
      </w:r>
    </w:p>
    <w:p w14:paraId="7E739167" w14:textId="77777777" w:rsidR="00487A67" w:rsidRPr="00487A67" w:rsidRDefault="00487A67" w:rsidP="0030440E">
      <w:pPr>
        <w:pStyle w:val="SourceCode"/>
      </w:pPr>
      <w:r w:rsidRPr="00487A67">
        <w:t>library(ggplot2)</w:t>
      </w:r>
    </w:p>
    <w:p w14:paraId="329E2324" w14:textId="77777777" w:rsidR="00487A67" w:rsidRPr="00487A67" w:rsidRDefault="00487A67" w:rsidP="0030440E">
      <w:pPr>
        <w:pStyle w:val="SourceCode"/>
      </w:pPr>
      <w:r w:rsidRPr="00487A67">
        <w:t># Be sure you know if you're working with Torr or Pyro!</w:t>
      </w:r>
    </w:p>
    <w:p w14:paraId="77B6E654" w14:textId="77777777" w:rsidR="00487A67" w:rsidRPr="00487A67" w:rsidRDefault="00487A67" w:rsidP="0030440E">
      <w:pPr>
        <w:pStyle w:val="SourceCode"/>
      </w:pPr>
      <w:r w:rsidRPr="00487A67">
        <w:t>setwd("/Users/cwaters/Dropbox/Biomass Pyrolysis/Manuscripts/Switchgrass modeling/Data/torrefaction/")</w:t>
      </w:r>
    </w:p>
    <w:p w14:paraId="3EAF24F1" w14:textId="77777777" w:rsidR="00487A67" w:rsidRPr="00487A67" w:rsidRDefault="00487A67" w:rsidP="0030440E">
      <w:pPr>
        <w:pStyle w:val="SourceCode"/>
      </w:pPr>
      <w:r w:rsidRPr="00487A67">
        <w:t>source("torrefaction data preparation.r")</w:t>
      </w:r>
    </w:p>
    <w:p w14:paraId="60291847" w14:textId="77777777" w:rsidR="00487A67" w:rsidRPr="00487A67" w:rsidRDefault="00487A67" w:rsidP="0030440E">
      <w:pPr>
        <w:pStyle w:val="SourceCode"/>
      </w:pPr>
    </w:p>
    <w:p w14:paraId="239536C2" w14:textId="77777777" w:rsidR="00487A67" w:rsidRPr="00487A67" w:rsidRDefault="00487A67" w:rsidP="0030440E">
      <w:pPr>
        <w:pStyle w:val="SourceCode"/>
      </w:pPr>
      <w:r w:rsidRPr="00487A67">
        <w:t>## Prepare data for modeling ----</w:t>
      </w:r>
    </w:p>
    <w:p w14:paraId="2E627796" w14:textId="77777777" w:rsidR="00487A67" w:rsidRPr="00487A67" w:rsidRDefault="00487A67" w:rsidP="0030440E">
      <w:pPr>
        <w:pStyle w:val="SourceCode"/>
      </w:pPr>
      <w:r w:rsidRPr="00487A67">
        <w:t>## These column numbers are hard-coded to sg.combined so be careful.</w:t>
      </w:r>
    </w:p>
    <w:p w14:paraId="1292776F" w14:textId="77777777" w:rsidR="00487A67" w:rsidRPr="00487A67" w:rsidRDefault="00487A67" w:rsidP="0030440E">
      <w:pPr>
        <w:pStyle w:val="SourceCode"/>
      </w:pPr>
      <w:r w:rsidRPr="00487A67">
        <w:t>tc.columns &lt;- 1:9</w:t>
      </w:r>
    </w:p>
    <w:p w14:paraId="17FC8ACF" w14:textId="77777777" w:rsidR="00487A67" w:rsidRPr="00487A67" w:rsidRDefault="00487A67" w:rsidP="0030440E">
      <w:pPr>
        <w:pStyle w:val="SourceCode"/>
      </w:pPr>
      <w:r w:rsidRPr="00487A67">
        <w:t xml:space="preserve">compdata.columns &lt;- c(16:30, 32, 34, 41:43, 45:46, 48, 61:64, 68, 70, 72:76, </w:t>
      </w:r>
    </w:p>
    <w:p w14:paraId="4E65E47D" w14:textId="77777777" w:rsidR="00487A67" w:rsidRPr="00487A67" w:rsidRDefault="00487A67" w:rsidP="0030440E">
      <w:pPr>
        <w:pStyle w:val="SourceCode"/>
      </w:pPr>
      <w:r w:rsidRPr="00487A67">
        <w:t xml:space="preserve">                      78:80, 82:85, 90, 93:96) ## For the 'original' data</w:t>
      </w:r>
    </w:p>
    <w:p w14:paraId="35FB7F94" w14:textId="77777777" w:rsidR="00487A67" w:rsidRPr="00487A67" w:rsidRDefault="00487A67" w:rsidP="0030440E">
      <w:pPr>
        <w:pStyle w:val="SourceCode"/>
      </w:pPr>
    </w:p>
    <w:p w14:paraId="0C5A2763" w14:textId="77777777" w:rsidR="00487A67" w:rsidRPr="00487A67" w:rsidRDefault="00487A67" w:rsidP="0030440E">
      <w:pPr>
        <w:pStyle w:val="SourceCode"/>
      </w:pPr>
      <w:r w:rsidRPr="00487A67">
        <w:t>## Thermochemical collinearity check</w:t>
      </w:r>
    </w:p>
    <w:p w14:paraId="79A5B38A" w14:textId="77777777" w:rsidR="00487A67" w:rsidRPr="00487A67" w:rsidRDefault="00487A67" w:rsidP="0030440E">
      <w:pPr>
        <w:pStyle w:val="SourceCode"/>
      </w:pPr>
      <w:r w:rsidRPr="00487A67">
        <w:t>tclc &lt;- findLinearCombos(sg.combined[,tc.columns])</w:t>
      </w:r>
    </w:p>
    <w:p w14:paraId="64E5A646" w14:textId="77777777" w:rsidR="00487A67" w:rsidRPr="00487A67" w:rsidRDefault="00487A67" w:rsidP="0030440E">
      <w:pPr>
        <w:pStyle w:val="SourceCode"/>
      </w:pPr>
      <w:r w:rsidRPr="00487A67">
        <w:t>tclc ## no dependent variable suggested for removal</w:t>
      </w:r>
    </w:p>
    <w:p w14:paraId="5928B00F" w14:textId="77777777" w:rsidR="00487A67" w:rsidRPr="00487A67" w:rsidRDefault="00487A67" w:rsidP="0030440E">
      <w:pPr>
        <w:pStyle w:val="SourceCode"/>
      </w:pPr>
    </w:p>
    <w:p w14:paraId="08F7071E" w14:textId="77777777" w:rsidR="00487A67" w:rsidRPr="00487A67" w:rsidRDefault="00487A67" w:rsidP="0030440E">
      <w:pPr>
        <w:pStyle w:val="SourceCode"/>
      </w:pPr>
      <w:r w:rsidRPr="00487A67">
        <w:t>modeldata.acetic &lt;- sg.combined[,c(1, compdata.columns)]</w:t>
      </w:r>
    </w:p>
    <w:p w14:paraId="07D8D14F" w14:textId="77777777" w:rsidR="00487A67" w:rsidRPr="00487A67" w:rsidRDefault="00487A67" w:rsidP="0030440E">
      <w:pPr>
        <w:pStyle w:val="SourceCode"/>
      </w:pPr>
      <w:r w:rsidRPr="00487A67">
        <w:t>modeldata.akph &lt;- sg.combined[,c(2, compdata.columns)]</w:t>
      </w:r>
    </w:p>
    <w:p w14:paraId="23E27B26" w14:textId="77777777" w:rsidR="00487A67" w:rsidRPr="00487A67" w:rsidRDefault="00487A67" w:rsidP="0030440E">
      <w:pPr>
        <w:pStyle w:val="SourceCode"/>
      </w:pPr>
      <w:r w:rsidRPr="00487A67">
        <w:lastRenderedPageBreak/>
        <w:t>modeldata.furfurals &lt;- sg.combined[,c(3, compdata.columns)]</w:t>
      </w:r>
    </w:p>
    <w:p w14:paraId="429B242A" w14:textId="77777777" w:rsidR="00487A67" w:rsidRPr="00487A67" w:rsidRDefault="00487A67" w:rsidP="0030440E">
      <w:pPr>
        <w:pStyle w:val="SourceCode"/>
      </w:pPr>
      <w:r w:rsidRPr="00487A67">
        <w:t>modeldata.lightgas &lt;- sg.combined[,c(4, compdata.columns)]</w:t>
      </w:r>
    </w:p>
    <w:p w14:paraId="54C74469" w14:textId="77777777" w:rsidR="00487A67" w:rsidRPr="00487A67" w:rsidRDefault="00487A67" w:rsidP="0030440E">
      <w:pPr>
        <w:pStyle w:val="SourceCode"/>
      </w:pPr>
      <w:r w:rsidRPr="00487A67">
        <w:t>modeldata.lightoxy &lt;- sg.combined[,c(5, compdata.columns)]</w:t>
      </w:r>
    </w:p>
    <w:p w14:paraId="7B985239" w14:textId="77777777" w:rsidR="00487A67" w:rsidRPr="00487A67" w:rsidRDefault="00487A67" w:rsidP="0030440E">
      <w:pPr>
        <w:pStyle w:val="SourceCode"/>
      </w:pPr>
      <w:r w:rsidRPr="00487A67">
        <w:t>modeldata.moxph &lt;- sg.combined[,c(6, compdata.columns)]</w:t>
      </w:r>
    </w:p>
    <w:p w14:paraId="1D974BFF" w14:textId="77777777" w:rsidR="00487A67" w:rsidRPr="00487A67" w:rsidRDefault="00487A67" w:rsidP="0030440E">
      <w:pPr>
        <w:pStyle w:val="SourceCode"/>
      </w:pPr>
      <w:r w:rsidRPr="00487A67">
        <w:t>modeldata.pyran &lt;- sg.combined[,c(7, compdata.columns)]</w:t>
      </w:r>
    </w:p>
    <w:p w14:paraId="504B2FB5" w14:textId="77777777" w:rsidR="00487A67" w:rsidRPr="00487A67" w:rsidRDefault="00487A67" w:rsidP="0030440E">
      <w:pPr>
        <w:pStyle w:val="SourceCode"/>
      </w:pPr>
      <w:r w:rsidRPr="00487A67">
        <w:t>modeldata.sugars &lt;- sg.combined[,c(8, compdata.columns)]</w:t>
      </w:r>
    </w:p>
    <w:p w14:paraId="6F7203D3" w14:textId="77777777" w:rsidR="00487A67" w:rsidRPr="00487A67" w:rsidRDefault="00487A67" w:rsidP="0030440E">
      <w:pPr>
        <w:pStyle w:val="SourceCode"/>
      </w:pPr>
      <w:r w:rsidRPr="00487A67">
        <w:t>modeldata.unknown &lt;- sg.combined[,c(9, compdata.columns)]</w:t>
      </w:r>
    </w:p>
    <w:p w14:paraId="0409A407" w14:textId="77777777" w:rsidR="00487A67" w:rsidRPr="00487A67" w:rsidRDefault="00487A67" w:rsidP="0030440E">
      <w:pPr>
        <w:pStyle w:val="SourceCode"/>
      </w:pPr>
      <w:r w:rsidRPr="00487A67">
        <w:t>phenolics &lt;- (modeldata.akph[,1] + modeldata.moxph[,1])</w:t>
      </w:r>
    </w:p>
    <w:p w14:paraId="00E64317" w14:textId="77777777" w:rsidR="00487A67" w:rsidRPr="00487A67" w:rsidRDefault="00487A67" w:rsidP="0030440E">
      <w:pPr>
        <w:pStyle w:val="SourceCode"/>
      </w:pPr>
      <w:r w:rsidRPr="00487A67">
        <w:t xml:space="preserve">modeldata.phenolics &lt;- cbind.data.frame(phenolics, </w:t>
      </w:r>
    </w:p>
    <w:p w14:paraId="1CA872B8" w14:textId="77777777" w:rsidR="00487A67" w:rsidRPr="00487A67" w:rsidRDefault="00487A67" w:rsidP="0030440E">
      <w:pPr>
        <w:pStyle w:val="SourceCode"/>
      </w:pPr>
      <w:r w:rsidRPr="00487A67">
        <w:t xml:space="preserve">                                        sg.combined[,compdata.columns])</w:t>
      </w:r>
    </w:p>
    <w:p w14:paraId="0545BA84" w14:textId="77777777" w:rsidR="00487A67" w:rsidRPr="00487A67" w:rsidRDefault="00487A67" w:rsidP="0030440E">
      <w:pPr>
        <w:pStyle w:val="SourceCode"/>
      </w:pPr>
    </w:p>
    <w:p w14:paraId="5F11055F" w14:textId="77777777" w:rsidR="00487A67" w:rsidRPr="00487A67" w:rsidRDefault="00487A67" w:rsidP="0030440E">
      <w:pPr>
        <w:pStyle w:val="SourceCode"/>
      </w:pPr>
      <w:r w:rsidRPr="00487A67">
        <w:t>## Clean up stuff from this section</w:t>
      </w:r>
    </w:p>
    <w:p w14:paraId="2B080489" w14:textId="77777777" w:rsidR="00487A67" w:rsidRPr="00487A67" w:rsidRDefault="00487A67" w:rsidP="0030440E">
      <w:pPr>
        <w:pStyle w:val="SourceCode"/>
      </w:pPr>
      <w:r w:rsidRPr="00487A67">
        <w:t xml:space="preserve">rm(list = c("compdata.columns", "full.sg.removal", "tc.columns", </w:t>
      </w:r>
    </w:p>
    <w:p w14:paraId="6DA2D708" w14:textId="77777777" w:rsidR="00487A67" w:rsidRPr="00487A67" w:rsidRDefault="00487A67" w:rsidP="0030440E">
      <w:pPr>
        <w:pStyle w:val="SourceCode"/>
      </w:pPr>
      <w:r w:rsidRPr="00487A67">
        <w:t xml:space="preserve">            "tclc", "variables.to.remove"))</w:t>
      </w:r>
    </w:p>
    <w:p w14:paraId="1B2030E4" w14:textId="77777777" w:rsidR="00487A67" w:rsidRPr="00487A67" w:rsidRDefault="00487A67" w:rsidP="0030440E">
      <w:pPr>
        <w:pStyle w:val="SourceCode"/>
      </w:pPr>
    </w:p>
    <w:p w14:paraId="3D004C5B" w14:textId="77777777" w:rsidR="00487A67" w:rsidRPr="00487A67" w:rsidRDefault="00487A67" w:rsidP="0030440E">
      <w:pPr>
        <w:pStyle w:val="SourceCode"/>
      </w:pPr>
      <w:r w:rsidRPr="00487A67">
        <w:t>## Modeling function ----</w:t>
      </w:r>
    </w:p>
    <w:p w14:paraId="4F7E1B5F" w14:textId="77777777" w:rsidR="00487A67" w:rsidRPr="00487A67" w:rsidRDefault="00487A67" w:rsidP="0030440E">
      <w:pPr>
        <w:pStyle w:val="SourceCode"/>
      </w:pPr>
    </w:p>
    <w:p w14:paraId="33ECDCF6" w14:textId="77777777" w:rsidR="00487A67" w:rsidRPr="00487A67" w:rsidRDefault="00487A67" w:rsidP="0030440E">
      <w:pPr>
        <w:pStyle w:val="SourceCode"/>
      </w:pPr>
      <w:r w:rsidRPr="00487A67">
        <w:t xml:space="preserve">buildModel &lt;- function(modeldata, plots = FALSE, rf.variables = 7, </w:t>
      </w:r>
    </w:p>
    <w:p w14:paraId="20E58DDB" w14:textId="77777777" w:rsidR="00487A67" w:rsidRPr="00487A67" w:rsidRDefault="00487A67" w:rsidP="0030440E">
      <w:pPr>
        <w:pStyle w:val="SourceCode"/>
      </w:pPr>
      <w:r w:rsidRPr="00487A67">
        <w:t xml:space="preserve">                       return.model = "step", custom.call = NULL) {</w:t>
      </w:r>
    </w:p>
    <w:p w14:paraId="217FBEC9" w14:textId="77777777" w:rsidR="00487A67" w:rsidRPr="00487A67" w:rsidRDefault="00487A67" w:rsidP="0030440E">
      <w:pPr>
        <w:pStyle w:val="SourceCode"/>
      </w:pPr>
      <w:r w:rsidRPr="00487A67">
        <w:t xml:space="preserve">  ## The final approach used was random forest -&gt; Top 7 important variables -&gt;</w:t>
      </w:r>
    </w:p>
    <w:p w14:paraId="3CC6EFA6" w14:textId="11E50F8A" w:rsidR="00487A67" w:rsidRPr="00487A67" w:rsidRDefault="00376DE2" w:rsidP="0030440E">
      <w:pPr>
        <w:pStyle w:val="SourceCode"/>
      </w:pPr>
      <w:r>
        <w:t xml:space="preserve">  ## OLS model -&gt; forward/</w:t>
      </w:r>
      <w:r w:rsidR="00487A67" w:rsidRPr="00487A67">
        <w:t>backward selection -&gt; Test for collinearity -&gt; Final</w:t>
      </w:r>
    </w:p>
    <w:p w14:paraId="00D1511D" w14:textId="77777777" w:rsidR="00376DE2" w:rsidRDefault="00376DE2" w:rsidP="0030440E">
      <w:pPr>
        <w:pStyle w:val="SourceCode"/>
      </w:pPr>
      <w:r>
        <w:lastRenderedPageBreak/>
        <w:t xml:space="preserve">  </w:t>
      </w:r>
    </w:p>
    <w:p w14:paraId="78891BCD" w14:textId="139C803B" w:rsidR="00487A67" w:rsidRPr="00487A67" w:rsidRDefault="00376DE2" w:rsidP="0030440E">
      <w:pPr>
        <w:pStyle w:val="SourceCode"/>
      </w:pPr>
      <w:r>
        <w:t xml:space="preserve">  </w:t>
      </w:r>
      <w:r w:rsidR="00487A67" w:rsidRPr="00487A67">
        <w:t>## Model 'call' built from the column names of the data passed in</w:t>
      </w:r>
    </w:p>
    <w:p w14:paraId="3EFC7CBC" w14:textId="77777777" w:rsidR="00487A67" w:rsidRPr="00487A67" w:rsidRDefault="00487A67" w:rsidP="0030440E">
      <w:pPr>
        <w:pStyle w:val="SourceCode"/>
      </w:pPr>
      <w:r w:rsidRPr="00487A67">
        <w:t xml:space="preserve">  ## This makes it easier for our interpretation later</w:t>
      </w:r>
    </w:p>
    <w:p w14:paraId="774A1C79" w14:textId="77777777" w:rsidR="00487A67" w:rsidRPr="00487A67" w:rsidRDefault="00487A67" w:rsidP="0030440E">
      <w:pPr>
        <w:pStyle w:val="SourceCode"/>
      </w:pPr>
      <w:r w:rsidRPr="00487A67">
        <w:t xml:space="preserve">  dependent &lt;- paste(colnames(modeldata)[1], "~")</w:t>
      </w:r>
    </w:p>
    <w:p w14:paraId="71334889" w14:textId="77777777" w:rsidR="00487A67" w:rsidRPr="00487A67" w:rsidRDefault="00487A67" w:rsidP="0030440E">
      <w:pPr>
        <w:pStyle w:val="SourceCode"/>
      </w:pPr>
      <w:r w:rsidRPr="00487A67">
        <w:t xml:space="preserve">  call.full &lt;- paste(dependent, ".")</w:t>
      </w:r>
    </w:p>
    <w:p w14:paraId="5772B644" w14:textId="77777777" w:rsidR="00487A67" w:rsidRPr="00487A67" w:rsidRDefault="00487A67" w:rsidP="0030440E">
      <w:pPr>
        <w:pStyle w:val="SourceCode"/>
      </w:pPr>
      <w:r w:rsidRPr="00487A67">
        <w:t xml:space="preserve">  </w:t>
      </w:r>
    </w:p>
    <w:p w14:paraId="66C72A57" w14:textId="1E902725" w:rsidR="00487A67" w:rsidRPr="00487A67" w:rsidRDefault="00376DE2" w:rsidP="0030440E">
      <w:pPr>
        <w:pStyle w:val="SourceCode"/>
      </w:pPr>
      <w:r>
        <w:t xml:space="preserve">  #</w:t>
      </w:r>
      <w:r w:rsidR="00487A67" w:rsidRPr="00487A67">
        <w:t xml:space="preserve"> Center and scale data</w:t>
      </w:r>
    </w:p>
    <w:p w14:paraId="01B02B11" w14:textId="6302521C" w:rsidR="00487A67" w:rsidRPr="00487A67" w:rsidRDefault="00376DE2" w:rsidP="0030440E">
      <w:pPr>
        <w:pStyle w:val="SourceCode"/>
      </w:pPr>
      <w:r>
        <w:t xml:space="preserve">  #</w:t>
      </w:r>
      <w:r w:rsidR="00487A67" w:rsidRPr="00487A67">
        <w:t xml:space="preserve"> This can help us assess the relative importance of each final model </w:t>
      </w:r>
    </w:p>
    <w:p w14:paraId="5E70EE63" w14:textId="4819EDDD" w:rsidR="00487A67" w:rsidRPr="00487A67" w:rsidRDefault="00376DE2" w:rsidP="0030440E">
      <w:pPr>
        <w:pStyle w:val="SourceCode"/>
      </w:pPr>
      <w:r>
        <w:t xml:space="preserve">  #</w:t>
      </w:r>
      <w:r w:rsidR="00487A67" w:rsidRPr="00487A67">
        <w:t xml:space="preserve"> coefficient. It also prevents us from calculating predicted values by hand </w:t>
      </w:r>
    </w:p>
    <w:p w14:paraId="2D76232F" w14:textId="2DB00F02" w:rsidR="00487A67" w:rsidRPr="00487A67" w:rsidRDefault="00376DE2" w:rsidP="0030440E">
      <w:pPr>
        <w:pStyle w:val="SourceCode"/>
      </w:pPr>
      <w:r>
        <w:t xml:space="preserve">  #</w:t>
      </w:r>
      <w:r w:rsidR="00487A67" w:rsidRPr="00487A67">
        <w:t xml:space="preserve"> later. It's optional and can be commented out</w:t>
      </w:r>
    </w:p>
    <w:p w14:paraId="28309D0A" w14:textId="75F0243B" w:rsidR="00487A67" w:rsidRPr="00487A67" w:rsidRDefault="00487A67" w:rsidP="0030440E">
      <w:pPr>
        <w:pStyle w:val="SourceCode"/>
      </w:pPr>
      <w:r w:rsidRPr="00487A67">
        <w:t xml:space="preserve">  # modeldata &lt;- data.frame(scale(modeldata[,-1]), modeldata[1]) ## scaling</w:t>
      </w:r>
    </w:p>
    <w:p w14:paraId="6C054FBD" w14:textId="77777777" w:rsidR="00487A67" w:rsidRPr="00487A67" w:rsidRDefault="00487A67" w:rsidP="0030440E">
      <w:pPr>
        <w:pStyle w:val="SourceCode"/>
      </w:pPr>
      <w:r w:rsidRPr="00487A67">
        <w:t xml:space="preserve">  modeldata &lt;- data.frame(modeldata[,-1], modeldata[1]) ## For no scaling</w:t>
      </w:r>
    </w:p>
    <w:p w14:paraId="22D0EDF6" w14:textId="77777777" w:rsidR="00487A67" w:rsidRPr="00487A67" w:rsidRDefault="00487A67" w:rsidP="0030440E">
      <w:pPr>
        <w:pStyle w:val="SourceCode"/>
      </w:pPr>
      <w:r w:rsidRPr="00487A67">
        <w:t xml:space="preserve">  </w:t>
      </w:r>
    </w:p>
    <w:p w14:paraId="4445CA36" w14:textId="77777777" w:rsidR="00487A67" w:rsidRPr="00487A67" w:rsidRDefault="00487A67" w:rsidP="0030440E">
      <w:pPr>
        <w:pStyle w:val="SourceCode"/>
      </w:pPr>
      <w:r w:rsidRPr="00487A67">
        <w:t xml:space="preserve">  ## Generate the random forest object</w:t>
      </w:r>
    </w:p>
    <w:p w14:paraId="446B5D46" w14:textId="77777777" w:rsidR="00487A67" w:rsidRPr="00487A67" w:rsidRDefault="00487A67" w:rsidP="0030440E">
      <w:pPr>
        <w:pStyle w:val="SourceCode"/>
      </w:pPr>
      <w:r w:rsidRPr="00487A67">
        <w:t xml:space="preserve">  set.seed(20)</w:t>
      </w:r>
    </w:p>
    <w:p w14:paraId="65E6103B" w14:textId="77777777" w:rsidR="00487A67" w:rsidRPr="00487A67" w:rsidRDefault="00487A67" w:rsidP="0030440E">
      <w:pPr>
        <w:pStyle w:val="SourceCode"/>
      </w:pPr>
      <w:r w:rsidRPr="00487A67">
        <w:t xml:space="preserve">  model.RF &lt;- randomForest(as.formula(call.full), data=modeldata, </w:t>
      </w:r>
    </w:p>
    <w:p w14:paraId="4609A46A" w14:textId="77777777" w:rsidR="00487A67" w:rsidRPr="00487A67" w:rsidRDefault="00487A67" w:rsidP="0030440E">
      <w:pPr>
        <w:pStyle w:val="SourceCode"/>
      </w:pPr>
      <w:r w:rsidRPr="00487A67">
        <w:t xml:space="preserve">                           importance=T, mtry=20, ntree=15000)</w:t>
      </w:r>
    </w:p>
    <w:p w14:paraId="7AF54F72" w14:textId="77777777" w:rsidR="00487A67" w:rsidRPr="00487A67" w:rsidRDefault="00487A67" w:rsidP="0030440E">
      <w:pPr>
        <w:pStyle w:val="SourceCode"/>
      </w:pPr>
      <w:r w:rsidRPr="00487A67">
        <w:t xml:space="preserve">  </w:t>
      </w:r>
    </w:p>
    <w:p w14:paraId="2FF5B98F" w14:textId="77777777" w:rsidR="00487A67" w:rsidRPr="00487A67" w:rsidRDefault="00487A67" w:rsidP="0030440E">
      <w:pPr>
        <w:pStyle w:val="SourceCode"/>
      </w:pPr>
      <w:r w:rsidRPr="00487A67">
        <w:t xml:space="preserve">  if(return.model == "RF"){</w:t>
      </w:r>
    </w:p>
    <w:p w14:paraId="00DC6138" w14:textId="77777777" w:rsidR="00487A67" w:rsidRPr="00487A67" w:rsidRDefault="00487A67" w:rsidP="0030440E">
      <w:pPr>
        <w:pStyle w:val="SourceCode"/>
      </w:pPr>
      <w:r w:rsidRPr="00487A67">
        <w:t xml:space="preserve">    return(model.RF)</w:t>
      </w:r>
    </w:p>
    <w:p w14:paraId="218A52A6" w14:textId="77777777" w:rsidR="00487A67" w:rsidRPr="00487A67" w:rsidRDefault="00487A67" w:rsidP="0030440E">
      <w:pPr>
        <w:pStyle w:val="SourceCode"/>
      </w:pPr>
      <w:r w:rsidRPr="00487A67">
        <w:t xml:space="preserve">  }</w:t>
      </w:r>
    </w:p>
    <w:p w14:paraId="529171B6" w14:textId="77777777" w:rsidR="00487A67" w:rsidRPr="00487A67" w:rsidRDefault="00487A67" w:rsidP="0030440E">
      <w:pPr>
        <w:pStyle w:val="SourceCode"/>
      </w:pPr>
      <w:r w:rsidRPr="00487A67">
        <w:lastRenderedPageBreak/>
        <w:t xml:space="preserve">  </w:t>
      </w:r>
    </w:p>
    <w:p w14:paraId="30C43C6E" w14:textId="77777777" w:rsidR="00487A67" w:rsidRPr="00487A67" w:rsidRDefault="00487A67" w:rsidP="0030440E">
      <w:pPr>
        <w:pStyle w:val="SourceCode"/>
      </w:pPr>
      <w:r w:rsidRPr="00487A67">
        <w:t xml:space="preserve">  ## Pull the top 7 and make the final call for the OLS model</w:t>
      </w:r>
    </w:p>
    <w:p w14:paraId="734F19EE" w14:textId="77777777" w:rsidR="00487A67" w:rsidRPr="00487A67" w:rsidRDefault="00487A67" w:rsidP="0030440E">
      <w:pPr>
        <w:pStyle w:val="SourceCode"/>
      </w:pPr>
      <w:r w:rsidRPr="00487A67">
        <w:t xml:space="preserve">  var.importance &lt;- as.data.frame(model.RF$importance[,1])</w:t>
      </w:r>
    </w:p>
    <w:p w14:paraId="3CA2B4B9" w14:textId="77777777" w:rsidR="00487A67" w:rsidRPr="00487A67" w:rsidRDefault="00487A67" w:rsidP="0030440E">
      <w:pPr>
        <w:pStyle w:val="SourceCode"/>
      </w:pPr>
      <w:r w:rsidRPr="00487A67">
        <w:t xml:space="preserve">  important.variables &lt;- rownames(head(var.importance[order(-var.importance),,</w:t>
      </w:r>
    </w:p>
    <w:p w14:paraId="48FC0163" w14:textId="1714B19A" w:rsidR="00487A67" w:rsidRPr="00487A67" w:rsidRDefault="00487A67" w:rsidP="0030440E">
      <w:pPr>
        <w:pStyle w:val="SourceCode"/>
      </w:pPr>
      <w:r w:rsidRPr="00487A67">
        <w:t xml:space="preserve">                    </w:t>
      </w:r>
      <w:r w:rsidR="00376DE2">
        <w:t xml:space="preserve">                             </w:t>
      </w:r>
      <w:r w:rsidRPr="00487A67">
        <w:t xml:space="preserve">  </w:t>
      </w:r>
      <w:r w:rsidR="009F0724">
        <w:t xml:space="preserve">   </w:t>
      </w:r>
      <w:r w:rsidRPr="00487A67">
        <w:t>drop=FALSE], rf.variables))</w:t>
      </w:r>
    </w:p>
    <w:p w14:paraId="06CE0730" w14:textId="77777777" w:rsidR="00487A67" w:rsidRPr="00487A67" w:rsidRDefault="00487A67" w:rsidP="0030440E">
      <w:pPr>
        <w:pStyle w:val="SourceCode"/>
      </w:pPr>
      <w:r w:rsidRPr="00487A67">
        <w:t xml:space="preserve">  independent &lt;- paste(important.variables, collapse=" + ")</w:t>
      </w:r>
    </w:p>
    <w:p w14:paraId="28F67635" w14:textId="77777777" w:rsidR="00487A67" w:rsidRPr="00487A67" w:rsidRDefault="00487A67" w:rsidP="0030440E">
      <w:pPr>
        <w:pStyle w:val="SourceCode"/>
      </w:pPr>
      <w:r w:rsidRPr="00487A67">
        <w:t xml:space="preserve">  call.ols &lt;- paste(dependent, independent)</w:t>
      </w:r>
    </w:p>
    <w:p w14:paraId="1221AAD2" w14:textId="77777777" w:rsidR="00487A67" w:rsidRPr="00487A67" w:rsidRDefault="00487A67" w:rsidP="0030440E">
      <w:pPr>
        <w:pStyle w:val="SourceCode"/>
      </w:pPr>
      <w:r w:rsidRPr="00487A67">
        <w:t xml:space="preserve">  </w:t>
      </w:r>
    </w:p>
    <w:p w14:paraId="30A2EC6B" w14:textId="77777777" w:rsidR="00487A67" w:rsidRPr="00487A67" w:rsidRDefault="00487A67" w:rsidP="0030440E">
      <w:pPr>
        <w:pStyle w:val="SourceCode"/>
      </w:pPr>
      <w:r w:rsidRPr="00487A67">
        <w:t xml:space="preserve">  rm(dependent)</w:t>
      </w:r>
    </w:p>
    <w:p w14:paraId="75548C33" w14:textId="77777777" w:rsidR="00487A67" w:rsidRPr="00487A67" w:rsidRDefault="00487A67" w:rsidP="0030440E">
      <w:pPr>
        <w:pStyle w:val="SourceCode"/>
      </w:pPr>
      <w:r w:rsidRPr="00487A67">
        <w:t xml:space="preserve">  rm(independent)</w:t>
      </w:r>
    </w:p>
    <w:p w14:paraId="47937DBB" w14:textId="77777777" w:rsidR="00487A67" w:rsidRPr="00487A67" w:rsidRDefault="00487A67" w:rsidP="0030440E">
      <w:pPr>
        <w:pStyle w:val="SourceCode"/>
      </w:pPr>
      <w:r w:rsidRPr="00487A67">
        <w:t xml:space="preserve">  </w:t>
      </w:r>
    </w:p>
    <w:p w14:paraId="004B5CDC" w14:textId="77777777" w:rsidR="00487A67" w:rsidRPr="00487A67" w:rsidRDefault="00487A67" w:rsidP="0030440E">
      <w:pPr>
        <w:pStyle w:val="SourceCode"/>
      </w:pPr>
      <w:r w:rsidRPr="00487A67">
        <w:t xml:space="preserve">  ## Ordinary least squares using the 7 automatically selected features</w:t>
      </w:r>
    </w:p>
    <w:p w14:paraId="663602F1" w14:textId="77777777" w:rsidR="00487A67" w:rsidRPr="00487A67" w:rsidRDefault="00487A67" w:rsidP="0030440E">
      <w:pPr>
        <w:pStyle w:val="SourceCode"/>
      </w:pPr>
      <w:r w:rsidRPr="00487A67">
        <w:t xml:space="preserve">  model.OLS &lt;- lm(as.formula(call.ols), data=modeldata)</w:t>
      </w:r>
    </w:p>
    <w:p w14:paraId="411BB909" w14:textId="77777777" w:rsidR="00487A67" w:rsidRPr="00487A67" w:rsidRDefault="00487A67" w:rsidP="0030440E">
      <w:pPr>
        <w:pStyle w:val="SourceCode"/>
      </w:pPr>
      <w:r w:rsidRPr="00487A67">
        <w:t xml:space="preserve">  </w:t>
      </w:r>
    </w:p>
    <w:p w14:paraId="5F965C31" w14:textId="77777777" w:rsidR="00487A67" w:rsidRPr="00487A67" w:rsidRDefault="00487A67" w:rsidP="0030440E">
      <w:pPr>
        <w:pStyle w:val="SourceCode"/>
      </w:pPr>
      <w:r w:rsidRPr="00487A67">
        <w:t xml:space="preserve">  ## This is here in case we want to try some custom calls</w:t>
      </w:r>
    </w:p>
    <w:p w14:paraId="265BC069" w14:textId="77777777" w:rsidR="00487A67" w:rsidRPr="00487A67" w:rsidRDefault="00487A67" w:rsidP="0030440E">
      <w:pPr>
        <w:pStyle w:val="SourceCode"/>
      </w:pPr>
      <w:r w:rsidRPr="00487A67">
        <w:t xml:space="preserve">  ##  - e.g., after collinearity checks</w:t>
      </w:r>
    </w:p>
    <w:p w14:paraId="28F1323F" w14:textId="77777777" w:rsidR="00487A67" w:rsidRPr="00487A67" w:rsidRDefault="00487A67" w:rsidP="0030440E">
      <w:pPr>
        <w:pStyle w:val="SourceCode"/>
      </w:pPr>
      <w:r w:rsidRPr="00487A67">
        <w:t xml:space="preserve">  if(is.null(custom.call) == FALSE) {</w:t>
      </w:r>
    </w:p>
    <w:p w14:paraId="482153E8" w14:textId="77777777" w:rsidR="00487A67" w:rsidRPr="00487A67" w:rsidRDefault="00487A67" w:rsidP="0030440E">
      <w:pPr>
        <w:pStyle w:val="SourceCode"/>
      </w:pPr>
      <w:r w:rsidRPr="00487A67">
        <w:t xml:space="preserve">    model.OLS &lt;- lm(as.formula(custom.call), data=modeldata)</w:t>
      </w:r>
    </w:p>
    <w:p w14:paraId="419CCDE3" w14:textId="77777777" w:rsidR="00487A67" w:rsidRPr="00487A67" w:rsidRDefault="00487A67" w:rsidP="0030440E">
      <w:pPr>
        <w:pStyle w:val="SourceCode"/>
      </w:pPr>
      <w:r w:rsidRPr="00487A67">
        <w:t xml:space="preserve">  }</w:t>
      </w:r>
    </w:p>
    <w:p w14:paraId="379358CE" w14:textId="77777777" w:rsidR="00487A67" w:rsidRPr="00487A67" w:rsidRDefault="00487A67" w:rsidP="0030440E">
      <w:pPr>
        <w:pStyle w:val="SourceCode"/>
      </w:pPr>
      <w:r w:rsidRPr="00487A67">
        <w:t xml:space="preserve">  </w:t>
      </w:r>
    </w:p>
    <w:p w14:paraId="2AC29A6C" w14:textId="77777777" w:rsidR="00487A67" w:rsidRPr="00487A67" w:rsidRDefault="00487A67" w:rsidP="0030440E">
      <w:pPr>
        <w:pStyle w:val="SourceCode"/>
      </w:pPr>
      <w:r w:rsidRPr="00487A67">
        <w:t xml:space="preserve">  if(return.model == "OLS"){</w:t>
      </w:r>
    </w:p>
    <w:p w14:paraId="06AAF4EF" w14:textId="77777777" w:rsidR="00487A67" w:rsidRPr="00487A67" w:rsidRDefault="00487A67" w:rsidP="0030440E">
      <w:pPr>
        <w:pStyle w:val="SourceCode"/>
      </w:pPr>
      <w:r w:rsidRPr="00487A67">
        <w:lastRenderedPageBreak/>
        <w:t xml:space="preserve">    return(model.OLS)</w:t>
      </w:r>
    </w:p>
    <w:p w14:paraId="6783242D" w14:textId="77777777" w:rsidR="00487A67" w:rsidRPr="00487A67" w:rsidRDefault="00487A67" w:rsidP="0030440E">
      <w:pPr>
        <w:pStyle w:val="SourceCode"/>
      </w:pPr>
      <w:r w:rsidRPr="00487A67">
        <w:t xml:space="preserve">  }</w:t>
      </w:r>
    </w:p>
    <w:p w14:paraId="2D0FCAC2" w14:textId="77777777" w:rsidR="00487A67" w:rsidRPr="00487A67" w:rsidRDefault="00487A67" w:rsidP="0030440E">
      <w:pPr>
        <w:pStyle w:val="SourceCode"/>
      </w:pPr>
      <w:r w:rsidRPr="00487A67">
        <w:t xml:space="preserve">  </w:t>
      </w:r>
    </w:p>
    <w:p w14:paraId="51E24A58" w14:textId="77777777" w:rsidR="00487A67" w:rsidRPr="00487A67" w:rsidRDefault="00487A67" w:rsidP="0030440E">
      <w:pPr>
        <w:pStyle w:val="SourceCode"/>
      </w:pPr>
      <w:r w:rsidRPr="00487A67">
        <w:t xml:space="preserve">  ## Original model probably had insignificant features</w:t>
      </w:r>
    </w:p>
    <w:p w14:paraId="714AF1F3" w14:textId="77777777" w:rsidR="00487A67" w:rsidRPr="00487A67" w:rsidRDefault="00487A67" w:rsidP="0030440E">
      <w:pPr>
        <w:pStyle w:val="SourceCode"/>
      </w:pPr>
      <w:r w:rsidRPr="00487A67">
        <w:t xml:space="preserve">  ## Now doing a stepwise selection to try to improve model</w:t>
      </w:r>
    </w:p>
    <w:p w14:paraId="6330EB44" w14:textId="77777777" w:rsidR="00487A67" w:rsidRPr="00487A67" w:rsidRDefault="00487A67" w:rsidP="0030440E">
      <w:pPr>
        <w:pStyle w:val="SourceCode"/>
      </w:pPr>
      <w:r w:rsidRPr="00487A67">
        <w:t xml:space="preserve">  model.step &lt;- step(model.OLS, direction="both", trace = 0)</w:t>
      </w:r>
    </w:p>
    <w:p w14:paraId="66BE706F" w14:textId="77777777" w:rsidR="00487A67" w:rsidRPr="00487A67" w:rsidRDefault="00487A67" w:rsidP="0030440E">
      <w:pPr>
        <w:pStyle w:val="SourceCode"/>
      </w:pPr>
      <w:r w:rsidRPr="00487A67">
        <w:t xml:space="preserve">  </w:t>
      </w:r>
    </w:p>
    <w:p w14:paraId="32EC3F45" w14:textId="77777777" w:rsidR="00487A67" w:rsidRPr="00487A67" w:rsidRDefault="00487A67" w:rsidP="0030440E">
      <w:pPr>
        <w:pStyle w:val="SourceCode"/>
      </w:pPr>
      <w:r w:rsidRPr="00487A67">
        <w:t xml:space="preserve">  ## Variance inflation score check - prints out</w:t>
      </w:r>
    </w:p>
    <w:p w14:paraId="2C4417F4" w14:textId="77777777" w:rsidR="00487A67" w:rsidRPr="00487A67" w:rsidRDefault="00487A67" w:rsidP="0030440E">
      <w:pPr>
        <w:pStyle w:val="SourceCode"/>
      </w:pPr>
      <w:r w:rsidRPr="00487A67">
        <w:t xml:space="preserve">  print(paste(colnames(modeldata)[ncol(modeldata)], </w:t>
      </w:r>
    </w:p>
    <w:p w14:paraId="4B57B5F8" w14:textId="77777777" w:rsidR="00487A67" w:rsidRPr="00487A67" w:rsidRDefault="00487A67" w:rsidP="0030440E">
      <w:pPr>
        <w:pStyle w:val="SourceCode"/>
      </w:pPr>
      <w:r w:rsidRPr="00487A67">
        <w:t xml:space="preserve">              "step model variance inflation scores"))</w:t>
      </w:r>
    </w:p>
    <w:p w14:paraId="7EECCC1F" w14:textId="77777777" w:rsidR="00487A67" w:rsidRPr="00487A67" w:rsidRDefault="00487A67" w:rsidP="0030440E">
      <w:pPr>
        <w:pStyle w:val="SourceCode"/>
      </w:pPr>
      <w:r w:rsidRPr="00487A67">
        <w:t xml:space="preserve">  </w:t>
      </w:r>
    </w:p>
    <w:p w14:paraId="5D5FCA14" w14:textId="77777777" w:rsidR="00487A67" w:rsidRPr="00487A67" w:rsidRDefault="00487A67" w:rsidP="0030440E">
      <w:pPr>
        <w:pStyle w:val="SourceCode"/>
      </w:pPr>
      <w:r w:rsidRPr="00487A67">
        <w:t xml:space="preserve">  if(class(try(vif(model.step)))=="try-error") {</w:t>
      </w:r>
    </w:p>
    <w:p w14:paraId="3ED8552E" w14:textId="77777777" w:rsidR="00487A67" w:rsidRPr="00487A67" w:rsidRDefault="00487A67" w:rsidP="0030440E">
      <w:pPr>
        <w:pStyle w:val="SourceCode"/>
      </w:pPr>
      <w:r w:rsidRPr="00487A67">
        <w:t xml:space="preserve">    print("Only two variables: Nothing to do")</w:t>
      </w:r>
    </w:p>
    <w:p w14:paraId="0C489F7A" w14:textId="77777777" w:rsidR="00487A67" w:rsidRPr="00487A67" w:rsidRDefault="00487A67" w:rsidP="0030440E">
      <w:pPr>
        <w:pStyle w:val="SourceCode"/>
      </w:pPr>
      <w:r w:rsidRPr="00487A67">
        <w:t xml:space="preserve">  }</w:t>
      </w:r>
    </w:p>
    <w:p w14:paraId="591AD606" w14:textId="77777777" w:rsidR="00487A67" w:rsidRPr="00487A67" w:rsidRDefault="00487A67" w:rsidP="0030440E">
      <w:pPr>
        <w:pStyle w:val="SourceCode"/>
      </w:pPr>
      <w:r w:rsidRPr="00487A67">
        <w:t xml:space="preserve">  else{print(vif(model.step))}</w:t>
      </w:r>
    </w:p>
    <w:p w14:paraId="759181B0" w14:textId="77777777" w:rsidR="00487A67" w:rsidRPr="00487A67" w:rsidRDefault="00487A67" w:rsidP="0030440E">
      <w:pPr>
        <w:pStyle w:val="SourceCode"/>
      </w:pPr>
      <w:r w:rsidRPr="00487A67">
        <w:t xml:space="preserve">  </w:t>
      </w:r>
    </w:p>
    <w:p w14:paraId="6A293126" w14:textId="77777777" w:rsidR="00487A67" w:rsidRPr="00487A67" w:rsidRDefault="00487A67" w:rsidP="0030440E">
      <w:pPr>
        <w:pStyle w:val="SourceCode"/>
      </w:pPr>
      <w:r w:rsidRPr="00487A67">
        <w:t xml:space="preserve">  if(plots == TRUE) {</w:t>
      </w:r>
    </w:p>
    <w:p w14:paraId="494F7484" w14:textId="77777777" w:rsidR="00487A67" w:rsidRPr="00487A67" w:rsidRDefault="00487A67" w:rsidP="0030440E">
      <w:pPr>
        <w:pStyle w:val="SourceCode"/>
      </w:pPr>
      <w:r w:rsidRPr="00487A67">
        <w:t xml:space="preserve">    print("doing plots")</w:t>
      </w:r>
    </w:p>
    <w:p w14:paraId="0835D382" w14:textId="77777777" w:rsidR="00487A67" w:rsidRPr="00487A67" w:rsidRDefault="00487A67" w:rsidP="0030440E">
      <w:pPr>
        <w:pStyle w:val="SourceCode"/>
      </w:pPr>
      <w:r w:rsidRPr="00487A67">
        <w:t xml:space="preserve">    </w:t>
      </w:r>
    </w:p>
    <w:p w14:paraId="13FFD6C1" w14:textId="77777777" w:rsidR="00487A67" w:rsidRPr="00487A67" w:rsidRDefault="00487A67" w:rsidP="0030440E">
      <w:pPr>
        <w:pStyle w:val="SourceCode"/>
      </w:pPr>
      <w:r w:rsidRPr="00487A67">
        <w:t xml:space="preserve">    predicted.var &lt;- colnames(modeldata)[ncol(modeldata)]</w:t>
      </w:r>
    </w:p>
    <w:p w14:paraId="58DE6A40" w14:textId="77777777" w:rsidR="00487A67" w:rsidRPr="00487A67" w:rsidRDefault="00487A67" w:rsidP="0030440E">
      <w:pPr>
        <w:pStyle w:val="SourceCode"/>
      </w:pPr>
      <w:r w:rsidRPr="00487A67">
        <w:t xml:space="preserve">    </w:t>
      </w:r>
    </w:p>
    <w:p w14:paraId="679F05AB" w14:textId="77777777" w:rsidR="00487A67" w:rsidRPr="00487A67" w:rsidRDefault="00487A67" w:rsidP="0030440E">
      <w:pPr>
        <w:pStyle w:val="SourceCode"/>
      </w:pPr>
      <w:r w:rsidRPr="00487A67">
        <w:lastRenderedPageBreak/>
        <w:t xml:space="preserve">    print(varImpPlot(model.RF,</w:t>
      </w:r>
    </w:p>
    <w:p w14:paraId="5AA96AF4" w14:textId="77777777" w:rsidR="00487A67" w:rsidRPr="00487A67" w:rsidRDefault="00487A67" w:rsidP="0030440E">
      <w:pPr>
        <w:pStyle w:val="SourceCode"/>
      </w:pPr>
      <w:r w:rsidRPr="00487A67">
        <w:t xml:space="preserve">                     main=paste("Random Forest", predicted.var, </w:t>
      </w:r>
    </w:p>
    <w:p w14:paraId="3078F9D1" w14:textId="77777777" w:rsidR="00487A67" w:rsidRPr="00487A67" w:rsidRDefault="00487A67" w:rsidP="0030440E">
      <w:pPr>
        <w:pStyle w:val="SourceCode"/>
      </w:pPr>
      <w:r w:rsidRPr="00487A67">
        <w:t xml:space="preserve">                                "Importance Charts")))</w:t>
      </w:r>
    </w:p>
    <w:p w14:paraId="2F17A8FD" w14:textId="5AF1E528" w:rsidR="00487A67" w:rsidRPr="00487A67" w:rsidRDefault="00487A67" w:rsidP="0030440E">
      <w:pPr>
        <w:pStyle w:val="SourceCode"/>
      </w:pPr>
      <w:r w:rsidRPr="00487A67">
        <w:t xml:space="preserve">   </w:t>
      </w:r>
    </w:p>
    <w:p w14:paraId="39BAB618" w14:textId="77777777" w:rsidR="00487A67" w:rsidRPr="00487A67" w:rsidRDefault="00487A67" w:rsidP="0030440E">
      <w:pPr>
        <w:pStyle w:val="SourceCode"/>
      </w:pPr>
      <w:r w:rsidRPr="00487A67">
        <w:t xml:space="preserve">    ## Value fitting</w:t>
      </w:r>
    </w:p>
    <w:p w14:paraId="4AE89BCC" w14:textId="77777777" w:rsidR="00487A67" w:rsidRPr="00487A67" w:rsidRDefault="00487A67" w:rsidP="0030440E">
      <w:pPr>
        <w:pStyle w:val="SourceCode"/>
      </w:pPr>
      <w:r w:rsidRPr="00487A67">
        <w:t xml:space="preserve">    ## Only use this if you're making PDF, otherwise plots won't run</w:t>
      </w:r>
    </w:p>
    <w:p w14:paraId="58ADBC39" w14:textId="77777777" w:rsidR="00487A67" w:rsidRPr="00487A67" w:rsidRDefault="00487A67" w:rsidP="0030440E">
      <w:pPr>
        <w:pStyle w:val="SourceCode"/>
      </w:pPr>
      <w:r w:rsidRPr="00487A67">
        <w:t xml:space="preserve">    par(mfrow=c(1,2))</w:t>
      </w:r>
    </w:p>
    <w:p w14:paraId="1C1AABC1" w14:textId="77777777" w:rsidR="00487A67" w:rsidRPr="00487A67" w:rsidRDefault="00487A67" w:rsidP="0030440E">
      <w:pPr>
        <w:pStyle w:val="SourceCode"/>
      </w:pPr>
      <w:r w:rsidRPr="00487A67">
        <w:t xml:space="preserve">    </w:t>
      </w:r>
    </w:p>
    <w:p w14:paraId="463BC4CF" w14:textId="77777777" w:rsidR="00487A67" w:rsidRPr="00487A67" w:rsidRDefault="00487A67" w:rsidP="0030440E">
      <w:pPr>
        <w:pStyle w:val="SourceCode"/>
      </w:pPr>
      <w:r w:rsidRPr="00487A67">
        <w:t xml:space="preserve">    print(plot(modeldata[,1] ~ model.OLS$fitted.values,</w:t>
      </w:r>
    </w:p>
    <w:p w14:paraId="7DFA0DCA" w14:textId="77777777" w:rsidR="00487A67" w:rsidRPr="00487A67" w:rsidRDefault="00487A67" w:rsidP="0030440E">
      <w:pPr>
        <w:pStyle w:val="SourceCode"/>
      </w:pPr>
      <w:r w:rsidRPr="00487A67">
        <w:t xml:space="preserve">               main=paste("OLS prediction for", predicted.var),</w:t>
      </w:r>
    </w:p>
    <w:p w14:paraId="7CF0015B" w14:textId="77777777" w:rsidR="00487A67" w:rsidRPr="00487A67" w:rsidRDefault="00487A67" w:rsidP="0030440E">
      <w:pPr>
        <w:pStyle w:val="SourceCode"/>
      </w:pPr>
      <w:r w:rsidRPr="00487A67">
        <w:t xml:space="preserve">               xlab = "Predicted", ylab = "Observed"))</w:t>
      </w:r>
    </w:p>
    <w:p w14:paraId="1E70ED62" w14:textId="77777777" w:rsidR="00487A67" w:rsidRPr="00487A67" w:rsidRDefault="00487A67" w:rsidP="0030440E">
      <w:pPr>
        <w:pStyle w:val="SourceCode"/>
      </w:pPr>
      <w:r w:rsidRPr="00487A67">
        <w:t xml:space="preserve">    </w:t>
      </w:r>
    </w:p>
    <w:p w14:paraId="6D4F7CAD" w14:textId="77777777" w:rsidR="00487A67" w:rsidRPr="00487A67" w:rsidRDefault="00487A67" w:rsidP="0030440E">
      <w:pPr>
        <w:pStyle w:val="SourceCode"/>
      </w:pPr>
      <w:r w:rsidRPr="00487A67">
        <w:t xml:space="preserve">    print(plot(modeldata[,1] ~ model.step$fitted.values,</w:t>
      </w:r>
    </w:p>
    <w:p w14:paraId="1D6EDBE8" w14:textId="77777777" w:rsidR="00487A67" w:rsidRPr="00487A67" w:rsidRDefault="00487A67" w:rsidP="0030440E">
      <w:pPr>
        <w:pStyle w:val="SourceCode"/>
      </w:pPr>
      <w:r w:rsidRPr="00487A67">
        <w:t xml:space="preserve">               main=paste("Stepwise Prediction for", predicted.var),</w:t>
      </w:r>
    </w:p>
    <w:p w14:paraId="40F70BDA" w14:textId="77777777" w:rsidR="00487A67" w:rsidRPr="00487A67" w:rsidRDefault="00487A67" w:rsidP="0030440E">
      <w:pPr>
        <w:pStyle w:val="SourceCode"/>
      </w:pPr>
      <w:r w:rsidRPr="00487A67">
        <w:t xml:space="preserve">               xlab = "Predicted", ylab = "Observed"))</w:t>
      </w:r>
    </w:p>
    <w:p w14:paraId="608E895A" w14:textId="77777777" w:rsidR="00487A67" w:rsidRPr="00487A67" w:rsidRDefault="00487A67" w:rsidP="0030440E">
      <w:pPr>
        <w:pStyle w:val="SourceCode"/>
      </w:pPr>
      <w:r w:rsidRPr="00487A67">
        <w:t xml:space="preserve">    </w:t>
      </w:r>
    </w:p>
    <w:p w14:paraId="573835C2" w14:textId="77777777" w:rsidR="00487A67" w:rsidRPr="00487A67" w:rsidRDefault="00487A67" w:rsidP="0030440E">
      <w:pPr>
        <w:pStyle w:val="SourceCode"/>
      </w:pPr>
      <w:r w:rsidRPr="00487A67">
        <w:t xml:space="preserve">    par(mfrow=c(1,1))</w:t>
      </w:r>
    </w:p>
    <w:p w14:paraId="22733B2E" w14:textId="77777777" w:rsidR="00487A67" w:rsidRPr="00487A67" w:rsidRDefault="00487A67" w:rsidP="0030440E">
      <w:pPr>
        <w:pStyle w:val="SourceCode"/>
      </w:pPr>
      <w:r w:rsidRPr="00487A67">
        <w:t xml:space="preserve">    </w:t>
      </w:r>
    </w:p>
    <w:p w14:paraId="39B2162C" w14:textId="77777777" w:rsidR="00487A67" w:rsidRPr="00487A67" w:rsidRDefault="00487A67" w:rsidP="0030440E">
      <w:pPr>
        <w:pStyle w:val="SourceCode"/>
      </w:pPr>
      <w:r w:rsidRPr="00487A67">
        <w:t xml:space="preserve">    ## Bar plots for discussion</w:t>
      </w:r>
    </w:p>
    <w:p w14:paraId="00097440" w14:textId="77777777" w:rsidR="00487A67" w:rsidRPr="00487A67" w:rsidRDefault="00487A67" w:rsidP="0030440E">
      <w:pPr>
        <w:pStyle w:val="SourceCode"/>
      </w:pPr>
      <w:r w:rsidRPr="00487A67">
        <w:t xml:space="preserve">    ##OLS Coefficients</w:t>
      </w:r>
    </w:p>
    <w:p w14:paraId="05BD5BB3" w14:textId="77777777" w:rsidR="00487A67" w:rsidRPr="00487A67" w:rsidRDefault="00487A67" w:rsidP="0030440E">
      <w:pPr>
        <w:pStyle w:val="SourceCode"/>
      </w:pPr>
      <w:r w:rsidRPr="00487A67">
        <w:t xml:space="preserve">    barplot(rev(sort(model.OLS$coefficients[-1])),</w:t>
      </w:r>
    </w:p>
    <w:p w14:paraId="4C738818" w14:textId="77777777" w:rsidR="00487A67" w:rsidRPr="00487A67" w:rsidRDefault="00487A67" w:rsidP="0030440E">
      <w:pPr>
        <w:pStyle w:val="SourceCode"/>
      </w:pPr>
      <w:r w:rsidRPr="00487A67">
        <w:lastRenderedPageBreak/>
        <w:t xml:space="preserve">            main=paste("OLS Coefficients for", predicted.var, </w:t>
      </w:r>
    </w:p>
    <w:p w14:paraId="0738CC58" w14:textId="77777777" w:rsidR="00487A67" w:rsidRPr="00487A67" w:rsidRDefault="00487A67" w:rsidP="0030440E">
      <w:pPr>
        <w:pStyle w:val="SourceCode"/>
      </w:pPr>
      <w:r w:rsidRPr="00487A67">
        <w:t xml:space="preserve">                       "\n (Scaled &amp; Centered)"))</w:t>
      </w:r>
    </w:p>
    <w:p w14:paraId="29040225" w14:textId="77777777" w:rsidR="00487A67" w:rsidRPr="00487A67" w:rsidRDefault="00487A67" w:rsidP="0030440E">
      <w:pPr>
        <w:pStyle w:val="SourceCode"/>
      </w:pPr>
      <w:r w:rsidRPr="00487A67">
        <w:t xml:space="preserve">    </w:t>
      </w:r>
    </w:p>
    <w:p w14:paraId="19D3056F" w14:textId="77777777" w:rsidR="00487A67" w:rsidRPr="00487A67" w:rsidRDefault="00487A67" w:rsidP="0030440E">
      <w:pPr>
        <w:pStyle w:val="SourceCode"/>
      </w:pPr>
      <w:r w:rsidRPr="00487A67">
        <w:t xml:space="preserve">    ## Stepwise coefficients</w:t>
      </w:r>
    </w:p>
    <w:p w14:paraId="4F842B72" w14:textId="77777777" w:rsidR="00487A67" w:rsidRPr="00487A67" w:rsidRDefault="00487A67" w:rsidP="0030440E">
      <w:pPr>
        <w:pStyle w:val="SourceCode"/>
      </w:pPr>
      <w:r w:rsidRPr="00487A67">
        <w:t xml:space="preserve">    print(barplot(rev(sort(model.step$coefficients[-1])),</w:t>
      </w:r>
    </w:p>
    <w:p w14:paraId="1C839021" w14:textId="77777777" w:rsidR="00487A67" w:rsidRPr="00487A67" w:rsidRDefault="00487A67" w:rsidP="0030440E">
      <w:pPr>
        <w:pStyle w:val="SourceCode"/>
      </w:pPr>
      <w:r w:rsidRPr="00487A67">
        <w:t xml:space="preserve">                  main=paste("Stepwise OLS Coefficients for", predicted.var,</w:t>
      </w:r>
    </w:p>
    <w:p w14:paraId="7E3D020C" w14:textId="77777777" w:rsidR="00487A67" w:rsidRPr="00487A67" w:rsidRDefault="00487A67" w:rsidP="0030440E">
      <w:pPr>
        <w:pStyle w:val="SourceCode"/>
      </w:pPr>
      <w:r w:rsidRPr="00487A67">
        <w:t xml:space="preserve">                             "\n (Scaled &amp; Centered)")))</w:t>
      </w:r>
    </w:p>
    <w:p w14:paraId="0584922E" w14:textId="77777777" w:rsidR="00487A67" w:rsidRPr="00487A67" w:rsidRDefault="00487A67" w:rsidP="0030440E">
      <w:pPr>
        <w:pStyle w:val="SourceCode"/>
      </w:pPr>
      <w:r w:rsidRPr="00487A67">
        <w:t xml:space="preserve">  }</w:t>
      </w:r>
    </w:p>
    <w:p w14:paraId="49E8A017" w14:textId="77777777" w:rsidR="00487A67" w:rsidRPr="00487A67" w:rsidRDefault="00487A67" w:rsidP="0030440E">
      <w:pPr>
        <w:pStyle w:val="SourceCode"/>
      </w:pPr>
      <w:r w:rsidRPr="00487A67">
        <w:t xml:space="preserve">  </w:t>
      </w:r>
    </w:p>
    <w:p w14:paraId="7C5260BA" w14:textId="77777777" w:rsidR="00487A67" w:rsidRPr="00487A67" w:rsidRDefault="00487A67" w:rsidP="0030440E">
      <w:pPr>
        <w:pStyle w:val="SourceCode"/>
      </w:pPr>
      <w:r w:rsidRPr="00487A67">
        <w:t xml:space="preserve">  return(model.step)</w:t>
      </w:r>
    </w:p>
    <w:p w14:paraId="7F55BF9F" w14:textId="77777777" w:rsidR="00487A67" w:rsidRPr="00487A67" w:rsidRDefault="00487A67" w:rsidP="0030440E">
      <w:pPr>
        <w:pStyle w:val="SourceCode"/>
      </w:pPr>
      <w:r w:rsidRPr="00487A67">
        <w:t>}</w:t>
      </w:r>
    </w:p>
    <w:p w14:paraId="17A520F0" w14:textId="77777777" w:rsidR="00487A67" w:rsidRPr="00487A67" w:rsidRDefault="00487A67" w:rsidP="0030440E">
      <w:pPr>
        <w:pStyle w:val="SourceCode"/>
      </w:pPr>
    </w:p>
    <w:p w14:paraId="34ED5980" w14:textId="77777777" w:rsidR="00487A67" w:rsidRPr="00487A67" w:rsidRDefault="00487A67" w:rsidP="0030440E">
      <w:pPr>
        <w:pStyle w:val="SourceCode"/>
      </w:pPr>
      <w:r w:rsidRPr="00487A67">
        <w:t>## Final, "Locked in" calls to avoid high VIF's ----</w:t>
      </w:r>
    </w:p>
    <w:p w14:paraId="108F53D4" w14:textId="77777777" w:rsidR="00487A67" w:rsidRPr="00487A67" w:rsidRDefault="00487A67" w:rsidP="0030440E">
      <w:pPr>
        <w:pStyle w:val="SourceCode"/>
      </w:pPr>
      <w:r w:rsidRPr="00487A67">
        <w:t>acetic.model &lt;- buildModel(modeldata.acetic,</w:t>
      </w:r>
    </w:p>
    <w:p w14:paraId="658F94B3" w14:textId="77777777" w:rsidR="00487A67" w:rsidRPr="00487A67" w:rsidRDefault="00487A67" w:rsidP="0030440E">
      <w:pPr>
        <w:pStyle w:val="SourceCode"/>
      </w:pPr>
      <w:r w:rsidRPr="00487A67">
        <w:t xml:space="preserve">                           custom.call = "acetic ~ FEST + Ca + lignin.nrel")</w:t>
      </w:r>
    </w:p>
    <w:p w14:paraId="50488911" w14:textId="77777777" w:rsidR="00487A67" w:rsidRPr="00487A67" w:rsidRDefault="00487A67" w:rsidP="0030440E">
      <w:pPr>
        <w:pStyle w:val="SourceCode"/>
      </w:pPr>
      <w:r w:rsidRPr="00487A67">
        <w:t xml:space="preserve">akph.model &lt;- buildModel(modeldata.akph, </w:t>
      </w:r>
    </w:p>
    <w:p w14:paraId="09BF3C8D" w14:textId="77777777" w:rsidR="00487A67" w:rsidRPr="00487A67" w:rsidRDefault="00487A67" w:rsidP="0030440E">
      <w:pPr>
        <w:pStyle w:val="SourceCode"/>
      </w:pPr>
      <w:r w:rsidRPr="00487A67">
        <w:t xml:space="preserve">                         custom.call = "akph ~ pCA + Ash.forage + FEST + UA")</w:t>
      </w:r>
    </w:p>
    <w:p w14:paraId="0882ABDE" w14:textId="77777777" w:rsidR="00487A67" w:rsidRPr="00487A67" w:rsidRDefault="00487A67" w:rsidP="0030440E">
      <w:pPr>
        <w:pStyle w:val="SourceCode"/>
      </w:pPr>
      <w:r w:rsidRPr="00487A67">
        <w:t>furfurals.model &lt;- buildModel(modeldata.furfurals,</w:t>
      </w:r>
    </w:p>
    <w:p w14:paraId="1808116F" w14:textId="77777777" w:rsidR="00487A67" w:rsidRPr="00487A67" w:rsidRDefault="00487A67" w:rsidP="0030440E">
      <w:pPr>
        <w:pStyle w:val="SourceCode"/>
      </w:pPr>
      <w:r w:rsidRPr="00487A67">
        <w:t xml:space="preserve">                              custom.call = "furfurals ~ GLCS + ARA")</w:t>
      </w:r>
    </w:p>
    <w:p w14:paraId="08918221" w14:textId="77777777" w:rsidR="00487A67" w:rsidRPr="00487A67" w:rsidRDefault="00487A67" w:rsidP="0030440E">
      <w:pPr>
        <w:pStyle w:val="SourceCode"/>
      </w:pPr>
      <w:r w:rsidRPr="00487A67">
        <w:t>lightgas.model &lt;- buildModel(modeldata.lightgas)</w:t>
      </w:r>
    </w:p>
    <w:p w14:paraId="5139E54F" w14:textId="77777777" w:rsidR="00487A67" w:rsidRPr="00487A67" w:rsidRDefault="00487A67" w:rsidP="0030440E">
      <w:pPr>
        <w:pStyle w:val="SourceCode"/>
      </w:pPr>
      <w:r w:rsidRPr="00487A67">
        <w:t xml:space="preserve">lightoxy.model &lt;- buildModel(modeldata.lightoxy, </w:t>
      </w:r>
    </w:p>
    <w:p w14:paraId="351EDFD1" w14:textId="77777777" w:rsidR="00487A67" w:rsidRPr="00487A67" w:rsidRDefault="00487A67" w:rsidP="0030440E">
      <w:pPr>
        <w:pStyle w:val="SourceCode"/>
      </w:pPr>
      <w:r w:rsidRPr="00487A67">
        <w:lastRenderedPageBreak/>
        <w:t xml:space="preserve">                             custom.call = "lightoxy ~ RHA + C + ARA + HCA +</w:t>
      </w:r>
    </w:p>
    <w:p w14:paraId="7C7D1FC7" w14:textId="77777777" w:rsidR="00487A67" w:rsidRPr="00487A67" w:rsidRDefault="00487A67" w:rsidP="0030440E">
      <w:pPr>
        <w:pStyle w:val="SourceCode"/>
      </w:pPr>
      <w:r w:rsidRPr="00487A67">
        <w:t xml:space="preserve">                                            Lignin.forage + xylose.nrel")</w:t>
      </w:r>
    </w:p>
    <w:p w14:paraId="673900BD" w14:textId="77777777" w:rsidR="00487A67" w:rsidRPr="00487A67" w:rsidRDefault="00487A67" w:rsidP="0030440E">
      <w:pPr>
        <w:pStyle w:val="SourceCode"/>
      </w:pPr>
      <w:r w:rsidRPr="00487A67">
        <w:t xml:space="preserve">moxph.model &lt;- buildModel(modeldata.moxph, </w:t>
      </w:r>
    </w:p>
    <w:p w14:paraId="10DE3EC9" w14:textId="77777777" w:rsidR="00487A67" w:rsidRPr="00487A67" w:rsidRDefault="00487A67" w:rsidP="0030440E">
      <w:pPr>
        <w:pStyle w:val="SourceCode"/>
      </w:pPr>
      <w:r w:rsidRPr="00487A67">
        <w:t xml:space="preserve">                          custom.call = "moxph ~  KL + UA + GLCS + FEST + </w:t>
      </w:r>
    </w:p>
    <w:p w14:paraId="391B5C9E" w14:textId="77777777" w:rsidR="00487A67" w:rsidRPr="00487A67" w:rsidRDefault="00487A67" w:rsidP="0030440E">
      <w:pPr>
        <w:pStyle w:val="SourceCode"/>
      </w:pPr>
      <w:r w:rsidRPr="00487A67">
        <w:t xml:space="preserve">                                         PCA + Ash.forage")</w:t>
      </w:r>
    </w:p>
    <w:p w14:paraId="69BCEAB2" w14:textId="77777777" w:rsidR="00487A67" w:rsidRPr="00487A67" w:rsidRDefault="00487A67" w:rsidP="0030440E">
      <w:pPr>
        <w:pStyle w:val="SourceCode"/>
      </w:pPr>
      <w:r w:rsidRPr="00487A67">
        <w:t xml:space="preserve">pyran.model &lt;- buildModel(modeldata.pyran, </w:t>
      </w:r>
    </w:p>
    <w:p w14:paraId="0F848B94" w14:textId="77777777" w:rsidR="00487A67" w:rsidRPr="00487A67" w:rsidRDefault="00487A67" w:rsidP="0030440E">
      <w:pPr>
        <w:pStyle w:val="SourceCode"/>
      </w:pPr>
      <w:r w:rsidRPr="00487A67">
        <w:t xml:space="preserve">                          custom.call = "pyran ~ PENT + GLCS")</w:t>
      </w:r>
    </w:p>
    <w:p w14:paraId="6AEB693B" w14:textId="77777777" w:rsidR="00487A67" w:rsidRPr="00487A67" w:rsidRDefault="00487A67" w:rsidP="0030440E">
      <w:pPr>
        <w:pStyle w:val="SourceCode"/>
      </w:pPr>
      <w:r w:rsidRPr="00487A67">
        <w:t xml:space="preserve">sugars.model &lt;- buildModel(modeldata.sugars, </w:t>
      </w:r>
    </w:p>
    <w:p w14:paraId="6430ECAD" w14:textId="77777777" w:rsidR="00487A67" w:rsidRPr="00487A67" w:rsidRDefault="00487A67" w:rsidP="0030440E">
      <w:pPr>
        <w:pStyle w:val="SourceCode"/>
      </w:pPr>
      <w:r w:rsidRPr="00487A67">
        <w:t xml:space="preserve">                           custom.call = "sugars ~ sgratio.nrel + EE + ASH")</w:t>
      </w:r>
    </w:p>
    <w:p w14:paraId="43F48695" w14:textId="77777777" w:rsidR="00487A67" w:rsidRPr="00487A67" w:rsidRDefault="00487A67" w:rsidP="0030440E">
      <w:pPr>
        <w:pStyle w:val="SourceCode"/>
      </w:pPr>
    </w:p>
    <w:p w14:paraId="16DBE4E3" w14:textId="77777777" w:rsidR="00487A67" w:rsidRPr="00487A67" w:rsidRDefault="00487A67" w:rsidP="0030440E">
      <w:pPr>
        <w:pStyle w:val="SourceCode"/>
      </w:pPr>
      <w:r w:rsidRPr="00487A67">
        <w:t>## Print coefficients ----</w:t>
      </w:r>
    </w:p>
    <w:p w14:paraId="0CE89B61" w14:textId="77777777" w:rsidR="00487A67" w:rsidRPr="00487A67" w:rsidRDefault="00487A67" w:rsidP="0030440E">
      <w:pPr>
        <w:pStyle w:val="SourceCode"/>
      </w:pPr>
      <w:r w:rsidRPr="00487A67">
        <w:t>acetic.model$coefficients</w:t>
      </w:r>
    </w:p>
    <w:p w14:paraId="529D9395" w14:textId="77777777" w:rsidR="00487A67" w:rsidRPr="00487A67" w:rsidRDefault="00487A67" w:rsidP="0030440E">
      <w:pPr>
        <w:pStyle w:val="SourceCode"/>
      </w:pPr>
      <w:r w:rsidRPr="00487A67">
        <w:t>akph.model$coefficients</w:t>
      </w:r>
    </w:p>
    <w:p w14:paraId="02338F94" w14:textId="77777777" w:rsidR="00487A67" w:rsidRPr="00487A67" w:rsidRDefault="00487A67" w:rsidP="0030440E">
      <w:pPr>
        <w:pStyle w:val="SourceCode"/>
      </w:pPr>
      <w:r w:rsidRPr="00487A67">
        <w:t>furfurals.model$coefficients</w:t>
      </w:r>
    </w:p>
    <w:p w14:paraId="0F17C915" w14:textId="77777777" w:rsidR="00487A67" w:rsidRPr="00487A67" w:rsidRDefault="00487A67" w:rsidP="0030440E">
      <w:pPr>
        <w:pStyle w:val="SourceCode"/>
      </w:pPr>
      <w:r w:rsidRPr="00487A67">
        <w:t>lightgas.model$coefficients</w:t>
      </w:r>
    </w:p>
    <w:p w14:paraId="1E89D378" w14:textId="77777777" w:rsidR="00487A67" w:rsidRPr="00487A67" w:rsidRDefault="00487A67" w:rsidP="0030440E">
      <w:pPr>
        <w:pStyle w:val="SourceCode"/>
      </w:pPr>
      <w:r w:rsidRPr="00487A67">
        <w:t>lightoxy.model$coefficients</w:t>
      </w:r>
    </w:p>
    <w:p w14:paraId="28826CD9" w14:textId="77777777" w:rsidR="00487A67" w:rsidRPr="00487A67" w:rsidRDefault="00487A67" w:rsidP="0030440E">
      <w:pPr>
        <w:pStyle w:val="SourceCode"/>
      </w:pPr>
      <w:r w:rsidRPr="00487A67">
        <w:t>moxph.model$coefficients</w:t>
      </w:r>
    </w:p>
    <w:p w14:paraId="2E969AE6" w14:textId="77777777" w:rsidR="00487A67" w:rsidRPr="00487A67" w:rsidRDefault="00487A67" w:rsidP="0030440E">
      <w:pPr>
        <w:pStyle w:val="SourceCode"/>
      </w:pPr>
      <w:r w:rsidRPr="00487A67">
        <w:t>pyran.model$coefficients</w:t>
      </w:r>
    </w:p>
    <w:p w14:paraId="62C129C4" w14:textId="77777777" w:rsidR="00487A67" w:rsidRPr="00487A67" w:rsidRDefault="00487A67" w:rsidP="0030440E">
      <w:pPr>
        <w:pStyle w:val="SourceCode"/>
      </w:pPr>
      <w:r w:rsidRPr="00487A67">
        <w:t>sugars.model$coefficients</w:t>
      </w:r>
    </w:p>
    <w:p w14:paraId="276C3798" w14:textId="77777777" w:rsidR="00487A67" w:rsidRPr="00487A67" w:rsidRDefault="00487A67" w:rsidP="0030440E">
      <w:pPr>
        <w:pStyle w:val="SourceCode"/>
      </w:pPr>
    </w:p>
    <w:p w14:paraId="7D9D9190" w14:textId="77777777" w:rsidR="00487A67" w:rsidRPr="00487A67" w:rsidRDefault="00487A67" w:rsidP="0030440E">
      <w:pPr>
        <w:pStyle w:val="SourceCode"/>
      </w:pPr>
      <w:r w:rsidRPr="00487A67">
        <w:t>## Dump out performance info ----</w:t>
      </w:r>
    </w:p>
    <w:p w14:paraId="20E64F3B" w14:textId="77777777" w:rsidR="00487A67" w:rsidRPr="00487A67" w:rsidRDefault="00487A67" w:rsidP="0030440E">
      <w:pPr>
        <w:pStyle w:val="SourceCode"/>
      </w:pPr>
      <w:r w:rsidRPr="00487A67">
        <w:lastRenderedPageBreak/>
        <w:t>r2.values &lt;- as.data.frame(rbind(cbind('acetic', summary(acetic.model)$r.squared),</w:t>
      </w:r>
    </w:p>
    <w:p w14:paraId="3E7A3F1C" w14:textId="77777777" w:rsidR="00487A67" w:rsidRPr="00487A67" w:rsidRDefault="00487A67" w:rsidP="0030440E">
      <w:pPr>
        <w:pStyle w:val="SourceCode"/>
      </w:pPr>
      <w:r w:rsidRPr="00487A67">
        <w:t xml:space="preserve">                                 cbind('akph', summary(akph.model)$r.squared),</w:t>
      </w:r>
    </w:p>
    <w:p w14:paraId="72D3E33F" w14:textId="77777777" w:rsidR="00487A67" w:rsidRPr="00487A67" w:rsidRDefault="00487A67" w:rsidP="0030440E">
      <w:pPr>
        <w:pStyle w:val="SourceCode"/>
      </w:pPr>
      <w:r w:rsidRPr="00487A67">
        <w:t xml:space="preserve">                                 cbind('furfurals', summary(furfurals.model)$r.squared),</w:t>
      </w:r>
    </w:p>
    <w:p w14:paraId="45C1CC11" w14:textId="77777777" w:rsidR="00487A67" w:rsidRPr="00487A67" w:rsidRDefault="00487A67" w:rsidP="0030440E">
      <w:pPr>
        <w:pStyle w:val="SourceCode"/>
      </w:pPr>
      <w:r w:rsidRPr="00487A67">
        <w:t xml:space="preserve">                                 cbind('lightgas', summary(lightgas.model)$r.squared),</w:t>
      </w:r>
    </w:p>
    <w:p w14:paraId="36BE7C79" w14:textId="77777777" w:rsidR="00487A67" w:rsidRPr="00487A67" w:rsidRDefault="00487A67" w:rsidP="0030440E">
      <w:pPr>
        <w:pStyle w:val="SourceCode"/>
      </w:pPr>
      <w:r w:rsidRPr="00487A67">
        <w:t xml:space="preserve">                                 cbind('lightoxy', summary(lightoxy.model)$r.squared),</w:t>
      </w:r>
    </w:p>
    <w:p w14:paraId="44B9EEB2" w14:textId="77777777" w:rsidR="00487A67" w:rsidRPr="00487A67" w:rsidRDefault="00487A67" w:rsidP="0030440E">
      <w:pPr>
        <w:pStyle w:val="SourceCode"/>
      </w:pPr>
      <w:r w:rsidRPr="00487A67">
        <w:t xml:space="preserve">                                 cbind('moxph', summary(moxph.model)$r.squared),</w:t>
      </w:r>
    </w:p>
    <w:p w14:paraId="2C06FA1B" w14:textId="77777777" w:rsidR="00487A67" w:rsidRPr="00487A67" w:rsidRDefault="00487A67" w:rsidP="0030440E">
      <w:pPr>
        <w:pStyle w:val="SourceCode"/>
      </w:pPr>
      <w:r w:rsidRPr="00487A67">
        <w:t xml:space="preserve">                                 cbind('pyran', summary(pyran.model)$r.squared),</w:t>
      </w:r>
    </w:p>
    <w:p w14:paraId="22B5B6AD" w14:textId="77777777" w:rsidR="00487A67" w:rsidRPr="00487A67" w:rsidRDefault="00487A67" w:rsidP="0030440E">
      <w:pPr>
        <w:pStyle w:val="SourceCode"/>
      </w:pPr>
      <w:r w:rsidRPr="00487A67">
        <w:t xml:space="preserve">                                 cbind('sugars', summary(sugars.model)$r.squared)))</w:t>
      </w:r>
    </w:p>
    <w:p w14:paraId="302DCEA9" w14:textId="77777777" w:rsidR="00487A67" w:rsidRPr="00487A67" w:rsidRDefault="00487A67" w:rsidP="0030440E">
      <w:pPr>
        <w:pStyle w:val="SourceCode"/>
      </w:pPr>
    </w:p>
    <w:p w14:paraId="685DEBA1" w14:textId="77777777" w:rsidR="00487A67" w:rsidRPr="00487A67" w:rsidRDefault="00487A67" w:rsidP="0030440E">
      <w:pPr>
        <w:pStyle w:val="SourceCode"/>
      </w:pPr>
      <w:r w:rsidRPr="00487A67">
        <w:t>r2.values</w:t>
      </w:r>
    </w:p>
    <w:p w14:paraId="76256F34" w14:textId="77777777" w:rsidR="00487A67" w:rsidRPr="00487A67" w:rsidRDefault="00487A67" w:rsidP="0030440E">
      <w:pPr>
        <w:pStyle w:val="SourceCode"/>
      </w:pPr>
    </w:p>
    <w:p w14:paraId="1528176D" w14:textId="77777777" w:rsidR="00487A67" w:rsidRPr="00487A67" w:rsidRDefault="00487A67" w:rsidP="0030440E">
      <w:pPr>
        <w:pStyle w:val="SourceCode"/>
      </w:pPr>
      <w:r w:rsidRPr="00487A67">
        <w:t>## Transformed coefficient table ----</w:t>
      </w:r>
    </w:p>
    <w:p w14:paraId="3E177C0D" w14:textId="77777777" w:rsidR="00487A67" w:rsidRPr="00487A67" w:rsidRDefault="00487A67" w:rsidP="0030440E">
      <w:pPr>
        <w:pStyle w:val="SourceCode"/>
      </w:pPr>
    </w:p>
    <w:p w14:paraId="5FA34BDB" w14:textId="77777777" w:rsidR="00BA5F5C" w:rsidRPr="00BA5F5C" w:rsidRDefault="00BA5F5C" w:rsidP="0030440E">
      <w:pPr>
        <w:pStyle w:val="SourceCode"/>
      </w:pPr>
      <w:r w:rsidRPr="00BA5F5C">
        <w:t>## Let's pull a dataset of all of the 'good' model coefficients together</w:t>
      </w:r>
    </w:p>
    <w:p w14:paraId="16A209B8" w14:textId="77777777" w:rsidR="00BA5F5C" w:rsidRPr="00BA5F5C" w:rsidRDefault="00BA5F5C" w:rsidP="0030440E">
      <w:pPr>
        <w:pStyle w:val="SourceCode"/>
      </w:pPr>
      <w:r w:rsidRPr="00BA5F5C">
        <w:t>coeff.frm &lt;- data.frame()</w:t>
      </w:r>
    </w:p>
    <w:p w14:paraId="615BA6AB" w14:textId="77777777" w:rsidR="00BA5F5C" w:rsidRPr="00BA5F5C" w:rsidRDefault="00BA5F5C" w:rsidP="0030440E">
      <w:pPr>
        <w:pStyle w:val="SourceCode"/>
      </w:pPr>
      <w:r w:rsidRPr="00BA5F5C">
        <w:t xml:space="preserve">coeff.frm &lt;- rbind.data.frame(coeff.frm, </w:t>
      </w:r>
    </w:p>
    <w:p w14:paraId="1415CB43" w14:textId="77777777" w:rsidR="00BA5F5C" w:rsidRPr="00BA5F5C" w:rsidRDefault="00BA5F5C" w:rsidP="0030440E">
      <w:pPr>
        <w:pStyle w:val="SourceCode"/>
      </w:pPr>
      <w:r w:rsidRPr="00BA5F5C">
        <w:t xml:space="preserve">                              cbind("acetic", </w:t>
      </w:r>
    </w:p>
    <w:p w14:paraId="2323745A" w14:textId="77777777" w:rsidR="00BA5F5C" w:rsidRPr="00BA5F5C" w:rsidRDefault="00BA5F5C" w:rsidP="0030440E">
      <w:pPr>
        <w:pStyle w:val="SourceCode"/>
      </w:pPr>
      <w:r w:rsidRPr="00BA5F5C">
        <w:t xml:space="preserve">                                    names(acetic.model$coefficients)[-1], </w:t>
      </w:r>
    </w:p>
    <w:p w14:paraId="22335E37" w14:textId="77777777" w:rsidR="00BA5F5C" w:rsidRPr="00BA5F5C" w:rsidRDefault="00BA5F5C" w:rsidP="0030440E">
      <w:pPr>
        <w:pStyle w:val="SourceCode"/>
      </w:pPr>
      <w:r w:rsidRPr="00BA5F5C">
        <w:lastRenderedPageBreak/>
        <w:t xml:space="preserve">                                    as.numeric(sign(acetic.model$coefficients[-1]))))</w:t>
      </w:r>
    </w:p>
    <w:p w14:paraId="27B21C54" w14:textId="77777777" w:rsidR="00BA5F5C" w:rsidRPr="00BA5F5C" w:rsidRDefault="00BA5F5C" w:rsidP="0030440E">
      <w:pPr>
        <w:pStyle w:val="SourceCode"/>
      </w:pPr>
      <w:r w:rsidRPr="00BA5F5C">
        <w:t xml:space="preserve">coeff.frm &lt;- rbind.data.frame(coeff.frm, </w:t>
      </w:r>
    </w:p>
    <w:p w14:paraId="76F58CC4" w14:textId="77777777" w:rsidR="00BA5F5C" w:rsidRPr="00BA5F5C" w:rsidRDefault="00BA5F5C" w:rsidP="0030440E">
      <w:pPr>
        <w:pStyle w:val="SourceCode"/>
      </w:pPr>
      <w:r w:rsidRPr="00BA5F5C">
        <w:t xml:space="preserve">                              cbind("akph", </w:t>
      </w:r>
    </w:p>
    <w:p w14:paraId="45263BA1" w14:textId="77777777" w:rsidR="00BA5F5C" w:rsidRPr="00BA5F5C" w:rsidRDefault="00BA5F5C" w:rsidP="0030440E">
      <w:pPr>
        <w:pStyle w:val="SourceCode"/>
      </w:pPr>
      <w:r w:rsidRPr="00BA5F5C">
        <w:t xml:space="preserve">                                    names(akph.model$coefficients)[-1], </w:t>
      </w:r>
    </w:p>
    <w:p w14:paraId="66CA7637" w14:textId="77777777" w:rsidR="00BA5F5C" w:rsidRPr="00BA5F5C" w:rsidRDefault="00BA5F5C" w:rsidP="0030440E">
      <w:pPr>
        <w:pStyle w:val="SourceCode"/>
      </w:pPr>
      <w:r w:rsidRPr="00BA5F5C">
        <w:t xml:space="preserve">                                    as.numeric(sign(akph.model$coefficients[-1]))))</w:t>
      </w:r>
    </w:p>
    <w:p w14:paraId="0025F6F3" w14:textId="77777777" w:rsidR="00BA5F5C" w:rsidRPr="00BA5F5C" w:rsidRDefault="00BA5F5C" w:rsidP="0030440E">
      <w:pPr>
        <w:pStyle w:val="SourceCode"/>
      </w:pPr>
      <w:r w:rsidRPr="00BA5F5C">
        <w:t xml:space="preserve">coeff.frm &lt;- rbind.data.frame(coeff.frm, </w:t>
      </w:r>
    </w:p>
    <w:p w14:paraId="4B7F6905" w14:textId="77777777" w:rsidR="00BA5F5C" w:rsidRPr="00BA5F5C" w:rsidRDefault="00BA5F5C" w:rsidP="0030440E">
      <w:pPr>
        <w:pStyle w:val="SourceCode"/>
      </w:pPr>
      <w:r w:rsidRPr="00BA5F5C">
        <w:t xml:space="preserve">                              cbind("furfurals", </w:t>
      </w:r>
    </w:p>
    <w:p w14:paraId="71ECCD1E" w14:textId="77777777" w:rsidR="00BA5F5C" w:rsidRPr="00BA5F5C" w:rsidRDefault="00BA5F5C" w:rsidP="0030440E">
      <w:pPr>
        <w:pStyle w:val="SourceCode"/>
      </w:pPr>
      <w:r w:rsidRPr="00BA5F5C">
        <w:t xml:space="preserve">                                    names(furfurals.model$coefficients)[-1], </w:t>
      </w:r>
    </w:p>
    <w:p w14:paraId="2485DA22" w14:textId="77777777" w:rsidR="00BA5F5C" w:rsidRPr="00BA5F5C" w:rsidRDefault="00BA5F5C" w:rsidP="0030440E">
      <w:pPr>
        <w:pStyle w:val="SourceCode"/>
      </w:pPr>
      <w:r w:rsidRPr="00BA5F5C">
        <w:t xml:space="preserve">                                    as.numeric(sign(furfurals.model$coefficients[-1]))))</w:t>
      </w:r>
    </w:p>
    <w:p w14:paraId="3E0E02EC" w14:textId="77777777" w:rsidR="00BA5F5C" w:rsidRPr="00BA5F5C" w:rsidRDefault="00BA5F5C" w:rsidP="0030440E">
      <w:pPr>
        <w:pStyle w:val="SourceCode"/>
      </w:pPr>
      <w:r w:rsidRPr="00BA5F5C">
        <w:t xml:space="preserve">coeff.frm &lt;- rbind.data.frame(coeff.frm, </w:t>
      </w:r>
    </w:p>
    <w:p w14:paraId="3A92F6E5" w14:textId="77777777" w:rsidR="00BA5F5C" w:rsidRPr="00BA5F5C" w:rsidRDefault="00BA5F5C" w:rsidP="0030440E">
      <w:pPr>
        <w:pStyle w:val="SourceCode"/>
      </w:pPr>
      <w:r w:rsidRPr="00BA5F5C">
        <w:t xml:space="preserve">                              cbind("pyran", </w:t>
      </w:r>
    </w:p>
    <w:p w14:paraId="33167CE5" w14:textId="77777777" w:rsidR="00BA5F5C" w:rsidRPr="00BA5F5C" w:rsidRDefault="00BA5F5C" w:rsidP="0030440E">
      <w:pPr>
        <w:pStyle w:val="SourceCode"/>
      </w:pPr>
      <w:r w:rsidRPr="00BA5F5C">
        <w:t xml:space="preserve">                                    names(pyran.model$coefficients)[-1], </w:t>
      </w:r>
    </w:p>
    <w:p w14:paraId="00C21E88" w14:textId="77777777" w:rsidR="00BA5F5C" w:rsidRPr="00BA5F5C" w:rsidRDefault="00BA5F5C" w:rsidP="0030440E">
      <w:pPr>
        <w:pStyle w:val="SourceCode"/>
      </w:pPr>
      <w:r w:rsidRPr="00BA5F5C">
        <w:t xml:space="preserve">                                    as.numeric(sign(pyran.model$coefficients[-1]))))</w:t>
      </w:r>
    </w:p>
    <w:p w14:paraId="321A09DE" w14:textId="77777777" w:rsidR="00BA5F5C" w:rsidRPr="00BA5F5C" w:rsidRDefault="00BA5F5C" w:rsidP="0030440E">
      <w:pPr>
        <w:pStyle w:val="SourceCode"/>
      </w:pPr>
    </w:p>
    <w:p w14:paraId="2BF967E9" w14:textId="77777777" w:rsidR="00BA5F5C" w:rsidRPr="00BA5F5C" w:rsidRDefault="00BA5F5C" w:rsidP="0030440E">
      <w:pPr>
        <w:pStyle w:val="SourceCode"/>
      </w:pPr>
      <w:r w:rsidRPr="00BA5F5C">
        <w:t>colnames(coeff.frm) &lt;- c("model", "coefficient", "sign")</w:t>
      </w:r>
    </w:p>
    <w:p w14:paraId="1A1427F5" w14:textId="77777777" w:rsidR="00BA5F5C" w:rsidRPr="00BA5F5C" w:rsidRDefault="00BA5F5C" w:rsidP="0030440E">
      <w:pPr>
        <w:pStyle w:val="SourceCode"/>
      </w:pPr>
      <w:r w:rsidRPr="00BA5F5C">
        <w:t>coeff.frm$sign &lt;- as.integer(as.character(coeff.frm$sign))</w:t>
      </w:r>
    </w:p>
    <w:p w14:paraId="124D96B8" w14:textId="77777777" w:rsidR="00BA5F5C" w:rsidRPr="00BA5F5C" w:rsidRDefault="00BA5F5C" w:rsidP="0030440E">
      <w:pPr>
        <w:pStyle w:val="SourceCode"/>
      </w:pPr>
    </w:p>
    <w:p w14:paraId="459BCF39" w14:textId="77777777" w:rsidR="00BA5F5C" w:rsidRPr="00BA5F5C" w:rsidRDefault="00BA5F5C" w:rsidP="0030440E">
      <w:pPr>
        <w:pStyle w:val="SourceCode"/>
      </w:pPr>
      <w:r w:rsidRPr="00BA5F5C">
        <w:t>## Transforming it</w:t>
      </w:r>
    </w:p>
    <w:p w14:paraId="05698CA6" w14:textId="77777777" w:rsidR="00BA5F5C" w:rsidRPr="00BA5F5C" w:rsidRDefault="00BA5F5C" w:rsidP="0030440E">
      <w:pPr>
        <w:pStyle w:val="SourceCode"/>
      </w:pPr>
      <w:r w:rsidRPr="00BA5F5C">
        <w:t>dcast(coeff.frm, model ~ coefficient)</w:t>
      </w:r>
    </w:p>
    <w:p w14:paraId="3D456A50" w14:textId="77777777" w:rsidR="00BA5F5C" w:rsidRPr="00BA5F5C" w:rsidRDefault="00BA5F5C" w:rsidP="0030440E">
      <w:pPr>
        <w:pStyle w:val="SourceCode"/>
      </w:pPr>
    </w:p>
    <w:p w14:paraId="2B0C46C5" w14:textId="77777777" w:rsidR="00BA5F5C" w:rsidRPr="00BA5F5C" w:rsidRDefault="00BA5F5C" w:rsidP="0030440E">
      <w:pPr>
        <w:pStyle w:val="SourceCode"/>
      </w:pPr>
      <w:r w:rsidRPr="00BA5F5C">
        <w:t>## Residual explorations ----</w:t>
      </w:r>
    </w:p>
    <w:p w14:paraId="1103C6E4" w14:textId="77777777" w:rsidR="00BA5F5C" w:rsidRPr="00BA5F5C" w:rsidRDefault="00BA5F5C" w:rsidP="0030440E">
      <w:pPr>
        <w:pStyle w:val="SourceCode"/>
      </w:pPr>
      <w:r w:rsidRPr="00BA5F5C">
        <w:t>plot(acetic.model$fitted.values, acetic.model$residuals); abline(0,0)</w:t>
      </w:r>
    </w:p>
    <w:p w14:paraId="58F1CBB4" w14:textId="77777777" w:rsidR="00BA5F5C" w:rsidRPr="00BA5F5C" w:rsidRDefault="00BA5F5C" w:rsidP="0030440E">
      <w:pPr>
        <w:pStyle w:val="SourceCode"/>
      </w:pPr>
      <w:r w:rsidRPr="00BA5F5C">
        <w:t>plot(akph.model$fitted.values, akph.model$residuals); abline(0,0)</w:t>
      </w:r>
    </w:p>
    <w:p w14:paraId="4F209F0B" w14:textId="77777777" w:rsidR="00BA5F5C" w:rsidRPr="00BA5F5C" w:rsidRDefault="00BA5F5C" w:rsidP="0030440E">
      <w:pPr>
        <w:pStyle w:val="SourceCode"/>
      </w:pPr>
      <w:r w:rsidRPr="00BA5F5C">
        <w:t>plot(furfurals.model$fitted.values, furfurals.model$residuals); abline(0,0)</w:t>
      </w:r>
    </w:p>
    <w:p w14:paraId="31823CFE" w14:textId="77777777" w:rsidR="00BA5F5C" w:rsidRPr="00BA5F5C" w:rsidRDefault="00BA5F5C" w:rsidP="0030440E">
      <w:pPr>
        <w:pStyle w:val="SourceCode"/>
      </w:pPr>
      <w:r w:rsidRPr="00BA5F5C">
        <w:t>plot(pyran.model$fitted.values, pyran.model$residuals); abline(0,0)</w:t>
      </w:r>
    </w:p>
    <w:p w14:paraId="6C6AA780" w14:textId="77777777" w:rsidR="00BA5F5C" w:rsidRPr="00BA5F5C" w:rsidRDefault="00BA5F5C" w:rsidP="0030440E">
      <w:pPr>
        <w:pStyle w:val="SourceCode"/>
      </w:pPr>
    </w:p>
    <w:p w14:paraId="52A8C16D" w14:textId="77777777" w:rsidR="00BA5F5C" w:rsidRPr="00BA5F5C" w:rsidRDefault="00BA5F5C" w:rsidP="0030440E">
      <w:pPr>
        <w:pStyle w:val="SourceCode"/>
      </w:pPr>
      <w:r w:rsidRPr="00BA5F5C">
        <w:t>## Predict association panel for reasonable models ----</w:t>
      </w:r>
    </w:p>
    <w:p w14:paraId="2F114A0A" w14:textId="77777777" w:rsidR="00BA5F5C" w:rsidRPr="00BA5F5C" w:rsidRDefault="00BA5F5C" w:rsidP="0030440E">
      <w:pPr>
        <w:pStyle w:val="SourceCode"/>
      </w:pPr>
      <w:r w:rsidRPr="00BA5F5C">
        <w:t>acetic.predict &lt;- predict(acetic.model, newdata = sg.comp)</w:t>
      </w:r>
    </w:p>
    <w:p w14:paraId="45523A7F" w14:textId="77777777" w:rsidR="00BA5F5C" w:rsidRPr="00BA5F5C" w:rsidRDefault="00BA5F5C" w:rsidP="0030440E">
      <w:pPr>
        <w:pStyle w:val="SourceCode"/>
      </w:pPr>
      <w:r w:rsidRPr="00BA5F5C">
        <w:t>akph.predict &lt;- predict(akph.model, newdata = sg.comp)</w:t>
      </w:r>
    </w:p>
    <w:p w14:paraId="7E9B044E" w14:textId="77777777" w:rsidR="00BA5F5C" w:rsidRPr="00BA5F5C" w:rsidRDefault="00BA5F5C" w:rsidP="0030440E">
      <w:pPr>
        <w:pStyle w:val="SourceCode"/>
      </w:pPr>
      <w:r w:rsidRPr="00BA5F5C">
        <w:t>furfurals.predict &lt;- predict(furfurals.model, newdata = sg.comp)</w:t>
      </w:r>
    </w:p>
    <w:p w14:paraId="1C01334D" w14:textId="77777777" w:rsidR="00BA5F5C" w:rsidRPr="00BA5F5C" w:rsidRDefault="00BA5F5C" w:rsidP="0030440E">
      <w:pPr>
        <w:pStyle w:val="SourceCode"/>
      </w:pPr>
      <w:r w:rsidRPr="00BA5F5C">
        <w:t>pyran.predict &lt;- predict(pyran.model, newdata = sg.comp)</w:t>
      </w:r>
    </w:p>
    <w:p w14:paraId="7519DA53" w14:textId="77777777" w:rsidR="00BA5F5C" w:rsidRPr="00BA5F5C" w:rsidRDefault="00BA5F5C" w:rsidP="0030440E">
      <w:pPr>
        <w:pStyle w:val="SourceCode"/>
      </w:pPr>
    </w:p>
    <w:p w14:paraId="7BD99BAF" w14:textId="77777777" w:rsidR="00BA5F5C" w:rsidRPr="00BA5F5C" w:rsidRDefault="00BA5F5C" w:rsidP="0030440E">
      <w:pPr>
        <w:pStyle w:val="SourceCode"/>
      </w:pPr>
      <w:r w:rsidRPr="00BA5F5C">
        <w:t>## Create prediction frame ----</w:t>
      </w:r>
    </w:p>
    <w:p w14:paraId="66367A63" w14:textId="77777777" w:rsidR="00BA5F5C" w:rsidRPr="00BA5F5C" w:rsidRDefault="00BA5F5C" w:rsidP="0030440E">
      <w:pPr>
        <w:pStyle w:val="SourceCode"/>
      </w:pPr>
      <w:r w:rsidRPr="00BA5F5C">
        <w:t>pred.frame &lt;- as.data.frame(cbind(plot = sg.comp$Plot,</w:t>
      </w:r>
    </w:p>
    <w:p w14:paraId="530224DF" w14:textId="77777777" w:rsidR="00BA5F5C" w:rsidRPr="00BA5F5C" w:rsidRDefault="00BA5F5C" w:rsidP="0030440E">
      <w:pPr>
        <w:pStyle w:val="SourceCode"/>
      </w:pPr>
      <w:r w:rsidRPr="00BA5F5C">
        <w:t xml:space="preserve">                                  acetic = acetic.predict,</w:t>
      </w:r>
    </w:p>
    <w:p w14:paraId="144D50FC" w14:textId="77777777" w:rsidR="00BA5F5C" w:rsidRPr="00BA5F5C" w:rsidRDefault="00BA5F5C" w:rsidP="0030440E">
      <w:pPr>
        <w:pStyle w:val="SourceCode"/>
      </w:pPr>
      <w:r w:rsidRPr="00BA5F5C">
        <w:t xml:space="preserve">                                  akph = akph.predict,</w:t>
      </w:r>
    </w:p>
    <w:p w14:paraId="7528A272" w14:textId="77777777" w:rsidR="00BA5F5C" w:rsidRPr="00BA5F5C" w:rsidRDefault="00BA5F5C" w:rsidP="0030440E">
      <w:pPr>
        <w:pStyle w:val="SourceCode"/>
      </w:pPr>
      <w:r w:rsidRPr="00BA5F5C">
        <w:t xml:space="preserve">                                  furfurals = furfurals.predict,</w:t>
      </w:r>
    </w:p>
    <w:p w14:paraId="32ECD385" w14:textId="77777777" w:rsidR="00BA5F5C" w:rsidRPr="00BA5F5C" w:rsidRDefault="00BA5F5C" w:rsidP="0030440E">
      <w:pPr>
        <w:pStyle w:val="SourceCode"/>
      </w:pPr>
      <w:r w:rsidRPr="00BA5F5C">
        <w:t xml:space="preserve">                                  pyran = pyran.predict))</w:t>
      </w:r>
    </w:p>
    <w:p w14:paraId="427B6291" w14:textId="77777777" w:rsidR="00BA5F5C" w:rsidRPr="00BA5F5C" w:rsidRDefault="00BA5F5C" w:rsidP="0030440E">
      <w:pPr>
        <w:pStyle w:val="SourceCode"/>
      </w:pPr>
    </w:p>
    <w:p w14:paraId="128138EF" w14:textId="77777777" w:rsidR="00BA5F5C" w:rsidRPr="00BA5F5C" w:rsidRDefault="00BA5F5C" w:rsidP="0030440E">
      <w:pPr>
        <w:pStyle w:val="SourceCode"/>
      </w:pPr>
      <w:r w:rsidRPr="00BA5F5C">
        <w:t>## Changing the scale</w:t>
      </w:r>
    </w:p>
    <w:p w14:paraId="0271DDA7" w14:textId="77777777" w:rsidR="00BA5F5C" w:rsidRPr="00BA5F5C" w:rsidRDefault="00BA5F5C" w:rsidP="0030440E">
      <w:pPr>
        <w:pStyle w:val="SourceCode"/>
      </w:pPr>
      <w:r w:rsidRPr="00BA5F5C">
        <w:lastRenderedPageBreak/>
        <w:t>pred.frame[,2:ncol(pred.frame)] &lt;- pred.frame[,2:ncol(pred.frame)]/1000</w:t>
      </w:r>
    </w:p>
    <w:p w14:paraId="65510551" w14:textId="77777777" w:rsidR="00BA5F5C" w:rsidRPr="00BA5F5C" w:rsidRDefault="00BA5F5C" w:rsidP="0030440E">
      <w:pPr>
        <w:pStyle w:val="SourceCode"/>
      </w:pPr>
    </w:p>
    <w:p w14:paraId="7045D05D" w14:textId="77777777" w:rsidR="00BA5F5C" w:rsidRPr="00BA5F5C" w:rsidRDefault="00BA5F5C" w:rsidP="0030440E">
      <w:pPr>
        <w:pStyle w:val="SourceCode"/>
      </w:pPr>
      <w:r w:rsidRPr="00BA5F5C">
        <w:t>m.predict &lt;- melt(pred.frame, id.vars = 1)</w:t>
      </w:r>
    </w:p>
    <w:p w14:paraId="41576BC2" w14:textId="77777777" w:rsidR="00BA5F5C" w:rsidRPr="00BA5F5C" w:rsidRDefault="00BA5F5C" w:rsidP="0030440E">
      <w:pPr>
        <w:pStyle w:val="SourceCode"/>
      </w:pPr>
    </w:p>
    <w:p w14:paraId="51CDC193" w14:textId="77777777" w:rsidR="00BA5F5C" w:rsidRPr="00BA5F5C" w:rsidRDefault="00BA5F5C" w:rsidP="0030440E">
      <w:pPr>
        <w:pStyle w:val="SourceCode"/>
      </w:pPr>
      <w:r w:rsidRPr="00BA5F5C">
        <w:t>## Let's combine furfurals with pyrans</w:t>
      </w:r>
    </w:p>
    <w:p w14:paraId="5D8804E9" w14:textId="77777777" w:rsidR="00BA5F5C" w:rsidRPr="00BA5F5C" w:rsidRDefault="00BA5F5C" w:rsidP="0030440E">
      <w:pPr>
        <w:pStyle w:val="SourceCode"/>
      </w:pPr>
      <w:r w:rsidRPr="00BA5F5C">
        <w:t>pred.frame$furf.py &lt;- pred.frame$furfurals + pred.frame$pyran</w:t>
      </w:r>
    </w:p>
    <w:p w14:paraId="463136AF" w14:textId="77777777" w:rsidR="00BA5F5C" w:rsidRPr="00BA5F5C" w:rsidRDefault="00BA5F5C" w:rsidP="0030440E">
      <w:pPr>
        <w:pStyle w:val="SourceCode"/>
      </w:pPr>
    </w:p>
    <w:p w14:paraId="690BC1D2" w14:textId="77777777" w:rsidR="00BA5F5C" w:rsidRPr="00BA5F5C" w:rsidRDefault="00BA5F5C" w:rsidP="0030440E">
      <w:pPr>
        <w:pStyle w:val="SourceCode"/>
      </w:pPr>
      <w:r w:rsidRPr="00BA5F5C">
        <w:t>m.predict.combined &lt;- melt(pred.frame[,c(1,2,3,6)], id.vars = 1)</w:t>
      </w:r>
    </w:p>
    <w:p w14:paraId="031784DD" w14:textId="77777777" w:rsidR="00BA5F5C" w:rsidRPr="00BA5F5C" w:rsidRDefault="00BA5F5C" w:rsidP="0030440E">
      <w:pPr>
        <w:pStyle w:val="SourceCode"/>
      </w:pPr>
    </w:p>
    <w:p w14:paraId="3850B128" w14:textId="77777777" w:rsidR="00BA5F5C" w:rsidRPr="00BA5F5C" w:rsidRDefault="00BA5F5C" w:rsidP="0030440E">
      <w:pPr>
        <w:pStyle w:val="SourceCode"/>
      </w:pPr>
      <w:r w:rsidRPr="00BA5F5C">
        <w:t>## Compare observed &amp; predicted data (xy) ----</w:t>
      </w:r>
    </w:p>
    <w:p w14:paraId="0AA91F15" w14:textId="77777777" w:rsidR="00BA5F5C" w:rsidRPr="00BA5F5C" w:rsidRDefault="00BA5F5C" w:rsidP="0030440E">
      <w:pPr>
        <w:pStyle w:val="SourceCode"/>
      </w:pPr>
    </w:p>
    <w:p w14:paraId="151A210E" w14:textId="77777777" w:rsidR="00BA5F5C" w:rsidRPr="00BA5F5C" w:rsidRDefault="00BA5F5C" w:rsidP="0030440E">
      <w:pPr>
        <w:pStyle w:val="SourceCode"/>
      </w:pPr>
      <w:r w:rsidRPr="00BA5F5C">
        <w:t>## Vector of the plots we actually ran</w:t>
      </w:r>
    </w:p>
    <w:p w14:paraId="2672C0F2" w14:textId="77777777" w:rsidR="00BA5F5C" w:rsidRPr="00BA5F5C" w:rsidRDefault="00BA5F5C" w:rsidP="0030440E">
      <w:pPr>
        <w:pStyle w:val="SourceCode"/>
      </w:pPr>
      <w:r w:rsidRPr="00BA5F5C">
        <w:t>run.plots &lt;- as.numeric(c("2", "1055", "1095", "1129", "1347", "170", "207",</w:t>
      </w:r>
    </w:p>
    <w:p w14:paraId="1B60D9DC" w14:textId="77777777" w:rsidR="00BA5F5C" w:rsidRPr="00BA5F5C" w:rsidRDefault="00BA5F5C" w:rsidP="0030440E">
      <w:pPr>
        <w:pStyle w:val="SourceCode"/>
      </w:pPr>
      <w:r w:rsidRPr="00BA5F5C">
        <w:t xml:space="preserve">                          "217", "218", "246", "314", "325", "436", "452",</w:t>
      </w:r>
    </w:p>
    <w:p w14:paraId="6D928D82" w14:textId="77777777" w:rsidR="00BA5F5C" w:rsidRPr="00BA5F5C" w:rsidRDefault="00BA5F5C" w:rsidP="0030440E">
      <w:pPr>
        <w:pStyle w:val="SourceCode"/>
      </w:pPr>
      <w:r w:rsidRPr="00BA5F5C">
        <w:t xml:space="preserve">                          "464", "528", "67", "709", "790", "80", "90", "95"))</w:t>
      </w:r>
    </w:p>
    <w:p w14:paraId="2A4BA419" w14:textId="77777777" w:rsidR="00BA5F5C" w:rsidRPr="00BA5F5C" w:rsidRDefault="00BA5F5C" w:rsidP="0030440E">
      <w:pPr>
        <w:pStyle w:val="SourceCode"/>
      </w:pPr>
    </w:p>
    <w:p w14:paraId="32E30DE7" w14:textId="77777777" w:rsidR="00BA5F5C" w:rsidRPr="00BA5F5C" w:rsidRDefault="00BA5F5C" w:rsidP="0030440E">
      <w:pPr>
        <w:pStyle w:val="SourceCode"/>
      </w:pPr>
      <w:r w:rsidRPr="00BA5F5C">
        <w:t>tc.lump$furf.py &lt;- tc.lump$furfurals + tc.lump$pyran</w:t>
      </w:r>
    </w:p>
    <w:p w14:paraId="4B9920F2" w14:textId="77777777" w:rsidR="00BA5F5C" w:rsidRPr="00BA5F5C" w:rsidRDefault="00BA5F5C" w:rsidP="0030440E">
      <w:pPr>
        <w:pStyle w:val="SourceCode"/>
      </w:pPr>
    </w:p>
    <w:p w14:paraId="4C91CF70" w14:textId="77777777" w:rsidR="00BA5F5C" w:rsidRPr="00BA5F5C" w:rsidRDefault="00BA5F5C" w:rsidP="0030440E">
      <w:pPr>
        <w:pStyle w:val="SourceCode"/>
      </w:pPr>
      <w:r w:rsidRPr="00BA5F5C">
        <w:t>observed &lt;- melt(as.matrix(tc.lump))</w:t>
      </w:r>
    </w:p>
    <w:p w14:paraId="10CFC844" w14:textId="77777777" w:rsidR="00BA5F5C" w:rsidRPr="00BA5F5C" w:rsidRDefault="00BA5F5C" w:rsidP="0030440E">
      <w:pPr>
        <w:pStyle w:val="SourceCode"/>
      </w:pPr>
      <w:r w:rsidRPr="00BA5F5C">
        <w:t>colnames(observed) &lt;- c("plot", "variable", "value")</w:t>
      </w:r>
    </w:p>
    <w:p w14:paraId="0E42A49C" w14:textId="77777777" w:rsidR="00BA5F5C" w:rsidRPr="00BA5F5C" w:rsidRDefault="00BA5F5C" w:rsidP="0030440E">
      <w:pPr>
        <w:pStyle w:val="SourceCode"/>
      </w:pPr>
      <w:r w:rsidRPr="00BA5F5C">
        <w:t>observed$plot &lt;- gsub("BS", "", observed$plot)</w:t>
      </w:r>
    </w:p>
    <w:p w14:paraId="2DB1A839" w14:textId="77777777" w:rsidR="00BA5F5C" w:rsidRPr="00BA5F5C" w:rsidRDefault="00BA5F5C" w:rsidP="0030440E">
      <w:pPr>
        <w:pStyle w:val="SourceCode"/>
      </w:pPr>
      <w:r w:rsidRPr="00BA5F5C">
        <w:lastRenderedPageBreak/>
        <w:t>observed$plot &lt;- gsub("000", "", observed$plot)</w:t>
      </w:r>
    </w:p>
    <w:p w14:paraId="138F6B5A" w14:textId="77777777" w:rsidR="00BA5F5C" w:rsidRPr="00BA5F5C" w:rsidRDefault="00BA5F5C" w:rsidP="0030440E">
      <w:pPr>
        <w:pStyle w:val="SourceCode"/>
      </w:pPr>
      <w:r w:rsidRPr="00BA5F5C">
        <w:t>observed$plot &lt;- as.numeric(observed$plot)</w:t>
      </w:r>
    </w:p>
    <w:p w14:paraId="00160A9B" w14:textId="77777777" w:rsidR="00BA5F5C" w:rsidRPr="00BA5F5C" w:rsidRDefault="00BA5F5C" w:rsidP="0030440E">
      <w:pPr>
        <w:pStyle w:val="SourceCode"/>
      </w:pPr>
      <w:r w:rsidRPr="00BA5F5C">
        <w:t>observed$value &lt;- observed$value / 1000</w:t>
      </w:r>
    </w:p>
    <w:p w14:paraId="68A1848B" w14:textId="77777777" w:rsidR="00BA5F5C" w:rsidRPr="00BA5F5C" w:rsidRDefault="00BA5F5C" w:rsidP="0030440E">
      <w:pPr>
        <w:pStyle w:val="SourceCode"/>
      </w:pPr>
      <w:r w:rsidRPr="00BA5F5C">
        <w:t>observed$type &lt;- "obs"</w:t>
      </w:r>
    </w:p>
    <w:p w14:paraId="1766B718" w14:textId="77777777" w:rsidR="00BA5F5C" w:rsidRPr="00BA5F5C" w:rsidRDefault="00BA5F5C" w:rsidP="0030440E">
      <w:pPr>
        <w:pStyle w:val="SourceCode"/>
      </w:pPr>
    </w:p>
    <w:p w14:paraId="5A8AD8BA" w14:textId="77777777" w:rsidR="00BA5F5C" w:rsidRPr="00BA5F5C" w:rsidRDefault="00BA5F5C" w:rsidP="0030440E">
      <w:pPr>
        <w:pStyle w:val="SourceCode"/>
      </w:pPr>
      <w:r w:rsidRPr="00BA5F5C">
        <w:t xml:space="preserve">predicted.tests &lt;- melt(pred.frame[which(pred.frame$plot %in% run.plots),], </w:t>
      </w:r>
    </w:p>
    <w:p w14:paraId="1BA93C94" w14:textId="77777777" w:rsidR="00BA5F5C" w:rsidRPr="00BA5F5C" w:rsidRDefault="00BA5F5C" w:rsidP="0030440E">
      <w:pPr>
        <w:pStyle w:val="SourceCode"/>
      </w:pPr>
      <w:r w:rsidRPr="00BA5F5C">
        <w:t xml:space="preserve">                        id.vars = "plot")</w:t>
      </w:r>
    </w:p>
    <w:p w14:paraId="4685A78C" w14:textId="77777777" w:rsidR="00BA5F5C" w:rsidRPr="00BA5F5C" w:rsidRDefault="00BA5F5C" w:rsidP="0030440E">
      <w:pPr>
        <w:pStyle w:val="SourceCode"/>
      </w:pPr>
    </w:p>
    <w:p w14:paraId="10797F07" w14:textId="77777777" w:rsidR="00BA5F5C" w:rsidRPr="00BA5F5C" w:rsidRDefault="00BA5F5C" w:rsidP="0030440E">
      <w:pPr>
        <w:pStyle w:val="SourceCode"/>
      </w:pPr>
      <w:r w:rsidRPr="00BA5F5C">
        <w:t>predicted.tests$type &lt;- "pred"</w:t>
      </w:r>
    </w:p>
    <w:p w14:paraId="200AE8DE" w14:textId="77777777" w:rsidR="00BA5F5C" w:rsidRPr="00BA5F5C" w:rsidRDefault="00BA5F5C" w:rsidP="0030440E">
      <w:pPr>
        <w:pStyle w:val="SourceCode"/>
      </w:pPr>
    </w:p>
    <w:p w14:paraId="5D943E66" w14:textId="77777777" w:rsidR="00BA5F5C" w:rsidRPr="00BA5F5C" w:rsidRDefault="00BA5F5C" w:rsidP="0030440E">
      <w:pPr>
        <w:pStyle w:val="SourceCode"/>
      </w:pPr>
      <w:r w:rsidRPr="00BA5F5C">
        <w:t>## Join these two together</w:t>
      </w:r>
    </w:p>
    <w:p w14:paraId="1B2AC046" w14:textId="77777777" w:rsidR="00BA5F5C" w:rsidRPr="00BA5F5C" w:rsidRDefault="00BA5F5C" w:rsidP="0030440E">
      <w:pPr>
        <w:pStyle w:val="SourceCode"/>
      </w:pPr>
      <w:r w:rsidRPr="00BA5F5C">
        <w:t>compare.frame &lt;- rbind.data.frame(predicted.tests, observed)</w:t>
      </w:r>
    </w:p>
    <w:p w14:paraId="521F0283" w14:textId="77777777" w:rsidR="00BA5F5C" w:rsidRPr="00BA5F5C" w:rsidRDefault="00BA5F5C" w:rsidP="0030440E">
      <w:pPr>
        <w:pStyle w:val="SourceCode"/>
      </w:pPr>
      <w:r w:rsidRPr="00BA5F5C">
        <w:t>compare.frame &lt;- dcast(compare.frame, plot + variable ~ type)</w:t>
      </w:r>
    </w:p>
    <w:p w14:paraId="0AB04791" w14:textId="77777777" w:rsidR="00BA5F5C" w:rsidRPr="00BA5F5C" w:rsidRDefault="00BA5F5C" w:rsidP="0030440E">
      <w:pPr>
        <w:pStyle w:val="SourceCode"/>
      </w:pPr>
      <w:r w:rsidRPr="00BA5F5C">
        <w:t>compare.frame &lt;- compare.frame[complete.cases(compare.frame),]</w:t>
      </w:r>
    </w:p>
    <w:p w14:paraId="27B62F56" w14:textId="77777777" w:rsidR="00BA5F5C" w:rsidRPr="00BA5F5C" w:rsidRDefault="00BA5F5C" w:rsidP="0030440E">
      <w:pPr>
        <w:pStyle w:val="SourceCode"/>
      </w:pPr>
    </w:p>
    <w:p w14:paraId="1342CFC9" w14:textId="77777777" w:rsidR="00BA5F5C" w:rsidRPr="00BA5F5C" w:rsidRDefault="00BA5F5C" w:rsidP="0030440E">
      <w:pPr>
        <w:pStyle w:val="SourceCode"/>
      </w:pPr>
      <w:r w:rsidRPr="00BA5F5C">
        <w:t># Basic plot object</w:t>
      </w:r>
    </w:p>
    <w:p w14:paraId="052A07D2" w14:textId="77777777" w:rsidR="00BA5F5C" w:rsidRPr="00BA5F5C" w:rsidRDefault="00BA5F5C" w:rsidP="0030440E">
      <w:pPr>
        <w:pStyle w:val="SourceCode"/>
      </w:pPr>
      <w:r w:rsidRPr="00BA5F5C">
        <w:t xml:space="preserve">p &lt;- ggplot() + theme_bw(base_size = 24) + </w:t>
      </w:r>
    </w:p>
    <w:p w14:paraId="387AC6CD" w14:textId="77777777" w:rsidR="00BA5F5C" w:rsidRPr="00BA5F5C" w:rsidRDefault="00BA5F5C" w:rsidP="0030440E">
      <w:pPr>
        <w:pStyle w:val="SourceCode"/>
      </w:pPr>
      <w:r w:rsidRPr="00BA5F5C">
        <w:t xml:space="preserve">     guides(color = guide_legend(override.aes = list(size=10,linetype=0)))</w:t>
      </w:r>
    </w:p>
    <w:p w14:paraId="59297333" w14:textId="77777777" w:rsidR="00BA5F5C" w:rsidRPr="00BA5F5C" w:rsidRDefault="00BA5F5C" w:rsidP="0030440E">
      <w:pPr>
        <w:pStyle w:val="SourceCode"/>
      </w:pPr>
    </w:p>
    <w:p w14:paraId="2635455E" w14:textId="77777777" w:rsidR="00BA5F5C" w:rsidRPr="00BA5F5C" w:rsidRDefault="00BA5F5C" w:rsidP="0030440E">
      <w:pPr>
        <w:pStyle w:val="SourceCode"/>
      </w:pPr>
      <w:r w:rsidRPr="00BA5F5C">
        <w:t>## Compare predicted vs. observed</w:t>
      </w:r>
    </w:p>
    <w:p w14:paraId="64B2F8D2" w14:textId="77777777" w:rsidR="00BA5F5C" w:rsidRPr="00BA5F5C" w:rsidRDefault="00BA5F5C" w:rsidP="0030440E">
      <w:pPr>
        <w:pStyle w:val="SourceCode"/>
      </w:pPr>
      <w:r w:rsidRPr="00BA5F5C">
        <w:t>p + geom_point(data = compare.frame, aes(y = pred, x = obs)) +</w:t>
      </w:r>
    </w:p>
    <w:p w14:paraId="410069AE" w14:textId="77777777" w:rsidR="00BA5F5C" w:rsidRPr="00BA5F5C" w:rsidRDefault="00BA5F5C" w:rsidP="0030440E">
      <w:pPr>
        <w:pStyle w:val="SourceCode"/>
      </w:pPr>
      <w:r w:rsidRPr="00BA5F5C">
        <w:lastRenderedPageBreak/>
        <w:t xml:space="preserve">  geom_abline(data = data.frame(1), slope = 1, intercept = 0) +</w:t>
      </w:r>
    </w:p>
    <w:p w14:paraId="47E30670" w14:textId="77777777" w:rsidR="00BA5F5C" w:rsidRPr="00BA5F5C" w:rsidRDefault="00BA5F5C" w:rsidP="0030440E">
      <w:pPr>
        <w:pStyle w:val="SourceCode"/>
      </w:pPr>
      <w:r w:rsidRPr="00BA5F5C">
        <w:t xml:space="preserve">  facet_wrap(~variable, scales = "free")</w:t>
      </w:r>
    </w:p>
    <w:p w14:paraId="6B7AC270" w14:textId="77777777" w:rsidR="00BA5F5C" w:rsidRPr="00BA5F5C" w:rsidRDefault="00BA5F5C" w:rsidP="0030440E">
      <w:pPr>
        <w:pStyle w:val="SourceCode"/>
      </w:pPr>
    </w:p>
    <w:p w14:paraId="5F823507" w14:textId="77777777" w:rsidR="00BA5F5C" w:rsidRPr="00BA5F5C" w:rsidRDefault="00BA5F5C" w:rsidP="0030440E">
      <w:pPr>
        <w:pStyle w:val="SourceCode"/>
      </w:pPr>
      <w:r w:rsidRPr="00BA5F5C">
        <w:t>## Explore association panel for reasonable models ----</w:t>
      </w:r>
    </w:p>
    <w:p w14:paraId="21392E94" w14:textId="77777777" w:rsidR="00BA5F5C" w:rsidRPr="00BA5F5C" w:rsidRDefault="00BA5F5C" w:rsidP="0030440E">
      <w:pPr>
        <w:pStyle w:val="SourceCode"/>
      </w:pPr>
    </w:p>
    <w:p w14:paraId="29BC9FDC" w14:textId="77777777" w:rsidR="00BA5F5C" w:rsidRPr="00BA5F5C" w:rsidRDefault="00BA5F5C" w:rsidP="0030440E">
      <w:pPr>
        <w:pStyle w:val="SourceCode"/>
      </w:pPr>
      <w:r w:rsidRPr="00BA5F5C">
        <w:t># m.predict[which(m.predict$plot %in% run.plots),]</w:t>
      </w:r>
    </w:p>
    <w:p w14:paraId="444D8853" w14:textId="77777777" w:rsidR="00BA5F5C" w:rsidRPr="00BA5F5C" w:rsidRDefault="00BA5F5C" w:rsidP="0030440E">
      <w:pPr>
        <w:pStyle w:val="SourceCode"/>
      </w:pPr>
    </w:p>
    <w:p w14:paraId="6D73A3FA" w14:textId="77777777" w:rsidR="00BA5F5C" w:rsidRPr="00BA5F5C" w:rsidRDefault="00BA5F5C" w:rsidP="0030440E">
      <w:pPr>
        <w:pStyle w:val="SourceCode"/>
      </w:pPr>
      <w:r w:rsidRPr="00BA5F5C">
        <w:t>## First: Simple histograms for values</w:t>
      </w:r>
    </w:p>
    <w:p w14:paraId="0866A722" w14:textId="77777777" w:rsidR="00BA5F5C" w:rsidRPr="00BA5F5C" w:rsidRDefault="00BA5F5C" w:rsidP="0030440E">
      <w:pPr>
        <w:pStyle w:val="SourceCode"/>
      </w:pPr>
      <w:r w:rsidRPr="00BA5F5C">
        <w:t>## All models</w:t>
      </w:r>
    </w:p>
    <w:p w14:paraId="652679D3" w14:textId="77777777" w:rsidR="00BA5F5C" w:rsidRPr="00BA5F5C" w:rsidRDefault="00BA5F5C" w:rsidP="0030440E">
      <w:pPr>
        <w:pStyle w:val="SourceCode"/>
      </w:pPr>
      <w:r w:rsidRPr="00BA5F5C">
        <w:t xml:space="preserve">p + geom_bar(data = m.predict, aes(value)) + </w:t>
      </w:r>
    </w:p>
    <w:p w14:paraId="101C6F85" w14:textId="77777777" w:rsidR="00BA5F5C" w:rsidRPr="00BA5F5C" w:rsidRDefault="00BA5F5C" w:rsidP="0030440E">
      <w:pPr>
        <w:pStyle w:val="SourceCode"/>
      </w:pPr>
      <w:r w:rsidRPr="00BA5F5C">
        <w:t xml:space="preserve">    facet_wrap(~variable, scales = "free") +</w:t>
      </w:r>
    </w:p>
    <w:p w14:paraId="2DEEE8F4" w14:textId="77777777" w:rsidR="00BA5F5C" w:rsidRPr="00BA5F5C" w:rsidRDefault="00BA5F5C" w:rsidP="0030440E">
      <w:pPr>
        <w:pStyle w:val="SourceCode"/>
      </w:pPr>
      <w:r w:rsidRPr="00BA5F5C">
        <w:t xml:space="preserve">    geom_bar(data = subset(compare.frame, variable != "furf.py"), </w:t>
      </w:r>
    </w:p>
    <w:p w14:paraId="416BB5DA" w14:textId="77777777" w:rsidR="00BA5F5C" w:rsidRPr="00BA5F5C" w:rsidRDefault="00BA5F5C" w:rsidP="0030440E">
      <w:pPr>
        <w:pStyle w:val="SourceCode"/>
      </w:pPr>
      <w:r w:rsidRPr="00BA5F5C">
        <w:t xml:space="preserve">             aes(obs, y=..count.. * 4), fill = "red") +</w:t>
      </w:r>
    </w:p>
    <w:p w14:paraId="5C2C4489" w14:textId="77777777" w:rsidR="00BA5F5C" w:rsidRPr="00BA5F5C" w:rsidRDefault="00BA5F5C" w:rsidP="0030440E">
      <w:pPr>
        <w:pStyle w:val="SourceCode"/>
      </w:pPr>
      <w:r w:rsidRPr="00BA5F5C">
        <w:t xml:space="preserve">    ggtitle("Predicted Association Panel Yield Distributions\n</w:t>
      </w:r>
    </w:p>
    <w:p w14:paraId="294E1B88" w14:textId="77777777" w:rsidR="00BA5F5C" w:rsidRPr="00BA5F5C" w:rsidRDefault="00BA5F5C" w:rsidP="0030440E">
      <w:pPr>
        <w:pStyle w:val="SourceCode"/>
      </w:pPr>
      <w:r w:rsidRPr="00BA5F5C">
        <w:t xml:space="preserve">            All Values = (Normalized FID Area Count / 1000)\n</w:t>
      </w:r>
    </w:p>
    <w:p w14:paraId="3482E921" w14:textId="77777777" w:rsidR="00BA5F5C" w:rsidRPr="00BA5F5C" w:rsidRDefault="00BA5F5C" w:rsidP="0030440E">
      <w:pPr>
        <w:pStyle w:val="SourceCode"/>
      </w:pPr>
      <w:r w:rsidRPr="00BA5F5C">
        <w:t xml:space="preserve">            Red bars are test set observations")</w:t>
      </w:r>
    </w:p>
    <w:p w14:paraId="1D365DB9" w14:textId="77777777" w:rsidR="00BA5F5C" w:rsidRPr="00BA5F5C" w:rsidRDefault="00BA5F5C" w:rsidP="0030440E">
      <w:pPr>
        <w:pStyle w:val="SourceCode"/>
      </w:pPr>
    </w:p>
    <w:p w14:paraId="49B647AA" w14:textId="77777777" w:rsidR="00BA5F5C" w:rsidRPr="00BA5F5C" w:rsidRDefault="00BA5F5C" w:rsidP="0030440E">
      <w:pPr>
        <w:pStyle w:val="SourceCode"/>
      </w:pPr>
      <w:r w:rsidRPr="00BA5F5C">
        <w:t>## Combined models</w:t>
      </w:r>
    </w:p>
    <w:p w14:paraId="70E82D35" w14:textId="77777777" w:rsidR="00BA5F5C" w:rsidRPr="00BA5F5C" w:rsidRDefault="00BA5F5C" w:rsidP="0030440E">
      <w:pPr>
        <w:pStyle w:val="SourceCode"/>
      </w:pPr>
      <w:r w:rsidRPr="00BA5F5C">
        <w:t xml:space="preserve">p + geom_bar(data = m.predict.combined, aes(value)) + </w:t>
      </w:r>
    </w:p>
    <w:p w14:paraId="161B2C0A" w14:textId="77777777" w:rsidR="00BA5F5C" w:rsidRPr="00BA5F5C" w:rsidRDefault="00BA5F5C" w:rsidP="0030440E">
      <w:pPr>
        <w:pStyle w:val="SourceCode"/>
      </w:pPr>
      <w:r w:rsidRPr="00BA5F5C">
        <w:t xml:space="preserve">    facet_wrap(~variable, scales = "free") +</w:t>
      </w:r>
    </w:p>
    <w:p w14:paraId="2B7530C2" w14:textId="77777777" w:rsidR="00BA5F5C" w:rsidRPr="00BA5F5C" w:rsidRDefault="00BA5F5C" w:rsidP="0030440E">
      <w:pPr>
        <w:pStyle w:val="SourceCode"/>
      </w:pPr>
      <w:r w:rsidRPr="00BA5F5C">
        <w:t xml:space="preserve">    ggtitle("Predicted Association Panel Combined Yield Distributions\n</w:t>
      </w:r>
    </w:p>
    <w:p w14:paraId="49DC5400" w14:textId="77777777" w:rsidR="00BA5F5C" w:rsidRPr="00BA5F5C" w:rsidRDefault="00BA5F5C" w:rsidP="0030440E">
      <w:pPr>
        <w:pStyle w:val="SourceCode"/>
      </w:pPr>
      <w:r w:rsidRPr="00BA5F5C">
        <w:lastRenderedPageBreak/>
        <w:t xml:space="preserve">            All Values = (Normalized FID Area Count / 1000)")</w:t>
      </w:r>
    </w:p>
    <w:p w14:paraId="248F4F74" w14:textId="77777777" w:rsidR="00BA5F5C" w:rsidRPr="00BA5F5C" w:rsidRDefault="00BA5F5C" w:rsidP="0030440E">
      <w:pPr>
        <w:pStyle w:val="SourceCode"/>
      </w:pPr>
    </w:p>
    <w:p w14:paraId="28E7EB9C" w14:textId="77777777" w:rsidR="00BA5F5C" w:rsidRPr="00BA5F5C" w:rsidRDefault="00BA5F5C" w:rsidP="0030440E">
      <w:pPr>
        <w:pStyle w:val="SourceCode"/>
      </w:pPr>
      <w:r w:rsidRPr="00BA5F5C">
        <w:t>## Next: Three-variable showing everything.</w:t>
      </w:r>
    </w:p>
    <w:p w14:paraId="64468AAC" w14:textId="77777777" w:rsidR="00BA5F5C" w:rsidRPr="00BA5F5C" w:rsidRDefault="00BA5F5C" w:rsidP="0030440E">
      <w:pPr>
        <w:pStyle w:val="SourceCode"/>
      </w:pPr>
      <w:r w:rsidRPr="00BA5F5C">
        <w:t xml:space="preserve">p &lt;- ggplot() + theme_bw(base_size = 16) + </w:t>
      </w:r>
    </w:p>
    <w:p w14:paraId="0142E1DF" w14:textId="77777777" w:rsidR="00BA5F5C" w:rsidRPr="00BA5F5C" w:rsidRDefault="00BA5F5C" w:rsidP="0030440E">
      <w:pPr>
        <w:pStyle w:val="SourceCode"/>
      </w:pPr>
      <w:r w:rsidRPr="00BA5F5C">
        <w:t xml:space="preserve">     guides(color = guide_legend(override.aes = list(size=10,linetype=0)))</w:t>
      </w:r>
    </w:p>
    <w:p w14:paraId="7DDFE560" w14:textId="77777777" w:rsidR="00BA5F5C" w:rsidRPr="00BA5F5C" w:rsidRDefault="00BA5F5C" w:rsidP="0030440E">
      <w:pPr>
        <w:pStyle w:val="SourceCode"/>
      </w:pPr>
    </w:p>
    <w:p w14:paraId="116F8B04" w14:textId="77777777" w:rsidR="00BA5F5C" w:rsidRPr="00BA5F5C" w:rsidRDefault="00BA5F5C" w:rsidP="0030440E">
      <w:pPr>
        <w:pStyle w:val="SourceCode"/>
      </w:pPr>
      <w:r w:rsidRPr="00BA5F5C">
        <w:t>p + geom_point(data = pred.frame,</w:t>
      </w:r>
    </w:p>
    <w:p w14:paraId="7F34D01F" w14:textId="77777777" w:rsidR="00BA5F5C" w:rsidRPr="00BA5F5C" w:rsidRDefault="00BA5F5C" w:rsidP="0030440E">
      <w:pPr>
        <w:pStyle w:val="SourceCode"/>
      </w:pPr>
      <w:r w:rsidRPr="00BA5F5C">
        <w:t xml:space="preserve">               aes(x = acetic, y = furf.py, fill = akph), </w:t>
      </w:r>
    </w:p>
    <w:p w14:paraId="282133E4" w14:textId="77777777" w:rsidR="00BA5F5C" w:rsidRPr="00BA5F5C" w:rsidRDefault="00BA5F5C" w:rsidP="0030440E">
      <w:pPr>
        <w:pStyle w:val="SourceCode"/>
      </w:pPr>
      <w:r w:rsidRPr="00BA5F5C">
        <w:t xml:space="preserve">               pch = 21, alpha = 1, size = 4) +</w:t>
      </w:r>
    </w:p>
    <w:p w14:paraId="1CD08AC5" w14:textId="77777777" w:rsidR="00BA5F5C" w:rsidRPr="00BA5F5C" w:rsidRDefault="00BA5F5C" w:rsidP="0030440E">
      <w:pPr>
        <w:pStyle w:val="SourceCode"/>
      </w:pPr>
      <w:r w:rsidRPr="00BA5F5C">
        <w:t xml:space="preserve">  </w:t>
      </w:r>
    </w:p>
    <w:p w14:paraId="07687259" w14:textId="77777777" w:rsidR="00BA5F5C" w:rsidRPr="00BA5F5C" w:rsidRDefault="00BA5F5C" w:rsidP="0030440E">
      <w:pPr>
        <w:pStyle w:val="SourceCode"/>
      </w:pPr>
      <w:r w:rsidRPr="00BA5F5C">
        <w:t xml:space="preserve">  scale_fill_gradientn(colours=rainbow(6, start = 0, end = 0.8), </w:t>
      </w:r>
    </w:p>
    <w:p w14:paraId="4CF77E72" w14:textId="77777777" w:rsidR="00BA5F5C" w:rsidRPr="00BA5F5C" w:rsidRDefault="00BA5F5C" w:rsidP="0030440E">
      <w:pPr>
        <w:pStyle w:val="SourceCode"/>
      </w:pPr>
      <w:r w:rsidRPr="00BA5F5C">
        <w:t xml:space="preserve">                       guide = guide_colorbar(guide_legend(title = "Alkyl\n</w:t>
      </w:r>
    </w:p>
    <w:p w14:paraId="4DBACB82" w14:textId="77777777" w:rsidR="00BA5F5C" w:rsidRPr="00BA5F5C" w:rsidRDefault="00BA5F5C" w:rsidP="0030440E">
      <w:pPr>
        <w:pStyle w:val="SourceCode"/>
      </w:pPr>
      <w:r w:rsidRPr="00BA5F5C">
        <w:t xml:space="preserve">                                                           Phenols\n</w:t>
      </w:r>
    </w:p>
    <w:p w14:paraId="121E09E1" w14:textId="77777777" w:rsidR="00BA5F5C" w:rsidRPr="00BA5F5C" w:rsidRDefault="00BA5F5C" w:rsidP="0030440E">
      <w:pPr>
        <w:pStyle w:val="SourceCode"/>
      </w:pPr>
      <w:r w:rsidRPr="00BA5F5C">
        <w:t xml:space="preserve">                                                           Yield"))) +</w:t>
      </w:r>
    </w:p>
    <w:p w14:paraId="256DB370" w14:textId="77777777" w:rsidR="00BA5F5C" w:rsidRPr="00BA5F5C" w:rsidRDefault="00BA5F5C" w:rsidP="0030440E">
      <w:pPr>
        <w:pStyle w:val="SourceCode"/>
      </w:pPr>
      <w:r w:rsidRPr="00BA5F5C">
        <w:t xml:space="preserve">  ggtitle("Predicted Association Panel Thermochemical Switchgrass Yields\n</w:t>
      </w:r>
    </w:p>
    <w:p w14:paraId="7C899A17" w14:textId="77777777" w:rsidR="00BA5F5C" w:rsidRPr="00BA5F5C" w:rsidRDefault="00BA5F5C" w:rsidP="0030440E">
      <w:pPr>
        <w:pStyle w:val="SourceCode"/>
      </w:pPr>
      <w:r w:rsidRPr="00BA5F5C">
        <w:t xml:space="preserve">          All Values = (Normalized FID Area Count / 1000)") +</w:t>
      </w:r>
    </w:p>
    <w:p w14:paraId="45E94C5B" w14:textId="77777777" w:rsidR="00BA5F5C" w:rsidRPr="00BA5F5C" w:rsidRDefault="00BA5F5C" w:rsidP="0030440E">
      <w:pPr>
        <w:pStyle w:val="SourceCode"/>
      </w:pPr>
      <w:r w:rsidRPr="00BA5F5C">
        <w:t xml:space="preserve">  xlab("Acetic Acid Yield") + ylab("Furfurals + Pyrans Combined Yield") +</w:t>
      </w:r>
    </w:p>
    <w:p w14:paraId="22231D65" w14:textId="77777777" w:rsidR="00BA5F5C" w:rsidRPr="00BA5F5C" w:rsidRDefault="00BA5F5C" w:rsidP="0030440E">
      <w:pPr>
        <w:pStyle w:val="SourceCode"/>
      </w:pPr>
      <w:r w:rsidRPr="00BA5F5C">
        <w:t xml:space="preserve">  ggsave("./Figure xx - Colorful torrefactin prediction.pdf", </w:t>
      </w:r>
    </w:p>
    <w:p w14:paraId="382B7978" w14:textId="77777777" w:rsidR="00BA5F5C" w:rsidRPr="00BA5F5C" w:rsidRDefault="00BA5F5C" w:rsidP="0030440E">
      <w:pPr>
        <w:pStyle w:val="SourceCode"/>
      </w:pPr>
      <w:r w:rsidRPr="00BA5F5C">
        <w:t xml:space="preserve">         height = 5.9, width = 8.25)</w:t>
      </w:r>
    </w:p>
    <w:p w14:paraId="76DFB8E6" w14:textId="77777777" w:rsidR="00BA5F5C" w:rsidRPr="00BA5F5C" w:rsidRDefault="00BA5F5C" w:rsidP="0030440E">
      <w:pPr>
        <w:pStyle w:val="SourceCode"/>
      </w:pPr>
    </w:p>
    <w:p w14:paraId="7FC53441" w14:textId="77777777" w:rsidR="00BA5F5C" w:rsidRPr="00BA5F5C" w:rsidRDefault="00BA5F5C" w:rsidP="0030440E">
      <w:pPr>
        <w:pStyle w:val="SourceCode"/>
      </w:pPr>
      <w:r w:rsidRPr="00BA5F5C">
        <w:t xml:space="preserve">## This one zooms in on the upper quadrant </w:t>
      </w:r>
    </w:p>
    <w:p w14:paraId="4B72A69C" w14:textId="77777777" w:rsidR="00BA5F5C" w:rsidRPr="00BA5F5C" w:rsidRDefault="00BA5F5C" w:rsidP="0030440E">
      <w:pPr>
        <w:pStyle w:val="SourceCode"/>
      </w:pPr>
      <w:r w:rsidRPr="00BA5F5C">
        <w:lastRenderedPageBreak/>
        <w:t>quadset &lt;- subset(pred.frame, acetic &gt; 486)</w:t>
      </w:r>
    </w:p>
    <w:p w14:paraId="086E9866" w14:textId="77777777" w:rsidR="00BA5F5C" w:rsidRPr="00BA5F5C" w:rsidRDefault="00BA5F5C" w:rsidP="0030440E">
      <w:pPr>
        <w:pStyle w:val="SourceCode"/>
      </w:pPr>
      <w:r w:rsidRPr="00BA5F5C">
        <w:t>quadset &lt;- subset(quadset, furf.py &gt; 228)</w:t>
      </w:r>
    </w:p>
    <w:p w14:paraId="15D93FD9" w14:textId="77777777" w:rsidR="00BA5F5C" w:rsidRPr="00BA5F5C" w:rsidRDefault="00BA5F5C" w:rsidP="0030440E">
      <w:pPr>
        <w:pStyle w:val="SourceCode"/>
      </w:pPr>
      <w:r w:rsidRPr="00BA5F5C">
        <w:t>names(quadset)[1] &lt;- "s.plot"</w:t>
      </w:r>
    </w:p>
    <w:p w14:paraId="4A73238D" w14:textId="77777777" w:rsidR="00BA5F5C" w:rsidRPr="00BA5F5C" w:rsidRDefault="00BA5F5C" w:rsidP="0030440E">
      <w:pPr>
        <w:pStyle w:val="SourceCode"/>
      </w:pPr>
    </w:p>
    <w:p w14:paraId="3E27A925" w14:textId="77777777" w:rsidR="00BA5F5C" w:rsidRPr="00BA5F5C" w:rsidRDefault="00BA5F5C" w:rsidP="0030440E">
      <w:pPr>
        <w:pStyle w:val="SourceCode"/>
      </w:pPr>
      <w:r w:rsidRPr="00BA5F5C">
        <w:t>p + geom_point(data = quadset,</w:t>
      </w:r>
    </w:p>
    <w:p w14:paraId="1290D0E1" w14:textId="77777777" w:rsidR="00BA5F5C" w:rsidRPr="00BA5F5C" w:rsidRDefault="00BA5F5C" w:rsidP="0030440E">
      <w:pPr>
        <w:pStyle w:val="SourceCode"/>
      </w:pPr>
      <w:r w:rsidRPr="00BA5F5C">
        <w:t xml:space="preserve">               aes(x = acetic, y = furf.py, fill = akph), </w:t>
      </w:r>
    </w:p>
    <w:p w14:paraId="58A9F272" w14:textId="77777777" w:rsidR="00BA5F5C" w:rsidRPr="00BA5F5C" w:rsidRDefault="00BA5F5C" w:rsidP="0030440E">
      <w:pPr>
        <w:pStyle w:val="SourceCode"/>
      </w:pPr>
      <w:r w:rsidRPr="00BA5F5C">
        <w:t xml:space="preserve">               pch = 21, alpha = 1, size = 4) +</w:t>
      </w:r>
    </w:p>
    <w:p w14:paraId="0AC6EDC9" w14:textId="77777777" w:rsidR="00BA5F5C" w:rsidRPr="00BA5F5C" w:rsidRDefault="00BA5F5C" w:rsidP="0030440E">
      <w:pPr>
        <w:pStyle w:val="SourceCode"/>
      </w:pPr>
      <w:r w:rsidRPr="00BA5F5C">
        <w:t xml:space="preserve">  </w:t>
      </w:r>
    </w:p>
    <w:p w14:paraId="0C9D00DA" w14:textId="77777777" w:rsidR="00BA5F5C" w:rsidRPr="00BA5F5C" w:rsidRDefault="00BA5F5C" w:rsidP="0030440E">
      <w:pPr>
        <w:pStyle w:val="SourceCode"/>
      </w:pPr>
      <w:r w:rsidRPr="00BA5F5C">
        <w:t xml:space="preserve">  scale_fill_gradientn(colours=rainbow(6, start = 0, end = 0.8), </w:t>
      </w:r>
    </w:p>
    <w:p w14:paraId="7E3673F2" w14:textId="77777777" w:rsidR="00BA5F5C" w:rsidRPr="00BA5F5C" w:rsidRDefault="00BA5F5C" w:rsidP="0030440E">
      <w:pPr>
        <w:pStyle w:val="SourceCode"/>
      </w:pPr>
      <w:r w:rsidRPr="00BA5F5C">
        <w:t xml:space="preserve">                       limits=range(pred.frame$akph), </w:t>
      </w:r>
    </w:p>
    <w:p w14:paraId="0A0B196E" w14:textId="77777777" w:rsidR="00BA5F5C" w:rsidRPr="00BA5F5C" w:rsidRDefault="00BA5F5C" w:rsidP="0030440E">
      <w:pPr>
        <w:pStyle w:val="SourceCode"/>
      </w:pPr>
      <w:r w:rsidRPr="00BA5F5C">
        <w:t xml:space="preserve">                       guide = guide_colorbar(guide_legend(title = "Alkyl\n</w:t>
      </w:r>
    </w:p>
    <w:p w14:paraId="66DB5704" w14:textId="77777777" w:rsidR="00BA5F5C" w:rsidRPr="00BA5F5C" w:rsidRDefault="00BA5F5C" w:rsidP="0030440E">
      <w:pPr>
        <w:pStyle w:val="SourceCode"/>
      </w:pPr>
      <w:r w:rsidRPr="00BA5F5C">
        <w:t xml:space="preserve">                                                           Phenols\n</w:t>
      </w:r>
    </w:p>
    <w:p w14:paraId="07A62E4A" w14:textId="77777777" w:rsidR="00BA5F5C" w:rsidRPr="00BA5F5C" w:rsidRDefault="00BA5F5C" w:rsidP="0030440E">
      <w:pPr>
        <w:pStyle w:val="SourceCode"/>
      </w:pPr>
      <w:r w:rsidRPr="00BA5F5C">
        <w:t xml:space="preserve">                                                           Yield"))) +</w:t>
      </w:r>
    </w:p>
    <w:p w14:paraId="0D4A8DB3" w14:textId="77777777" w:rsidR="00BA5F5C" w:rsidRPr="00BA5F5C" w:rsidRDefault="00BA5F5C" w:rsidP="0030440E">
      <w:pPr>
        <w:pStyle w:val="SourceCode"/>
      </w:pPr>
      <w:r w:rsidRPr="00BA5F5C">
        <w:t xml:space="preserve">  ggtitle("Predicted Yields (Upper Right Quadrant)\n</w:t>
      </w:r>
    </w:p>
    <w:p w14:paraId="002AC414" w14:textId="77777777" w:rsidR="00BA5F5C" w:rsidRPr="00BA5F5C" w:rsidRDefault="00BA5F5C" w:rsidP="0030440E">
      <w:pPr>
        <w:pStyle w:val="SourceCode"/>
      </w:pPr>
      <w:r w:rsidRPr="00BA5F5C">
        <w:t xml:space="preserve">          All Values = (Normalized FID Area Count / 1000)") +</w:t>
      </w:r>
    </w:p>
    <w:p w14:paraId="03B0E1A6" w14:textId="77777777" w:rsidR="00BA5F5C" w:rsidRPr="00BA5F5C" w:rsidRDefault="00BA5F5C" w:rsidP="0030440E">
      <w:pPr>
        <w:pStyle w:val="SourceCode"/>
      </w:pPr>
      <w:r w:rsidRPr="00BA5F5C">
        <w:t xml:space="preserve">  xlab("Acetic Acid Yield") + ylab("Furfurals + Pyrans Combined Yield") +</w:t>
      </w:r>
    </w:p>
    <w:p w14:paraId="33CD617E" w14:textId="77777777" w:rsidR="00BA5F5C" w:rsidRPr="00BA5F5C" w:rsidRDefault="00BA5F5C" w:rsidP="0030440E">
      <w:pPr>
        <w:pStyle w:val="SourceCode"/>
      </w:pPr>
      <w:r w:rsidRPr="00BA5F5C">
        <w:t xml:space="preserve">  ggsave("./Figure xx - Colorful UPPER QUAD.pdf", height = 5.9, width = 8.25)</w:t>
      </w:r>
    </w:p>
    <w:p w14:paraId="6921EBDC" w14:textId="77777777" w:rsidR="00BA5F5C" w:rsidRPr="00BA5F5C" w:rsidRDefault="00BA5F5C" w:rsidP="0030440E">
      <w:pPr>
        <w:pStyle w:val="SourceCode"/>
      </w:pPr>
    </w:p>
    <w:p w14:paraId="55623CB6" w14:textId="77777777" w:rsidR="00BA5F5C" w:rsidRPr="00BA5F5C" w:rsidRDefault="00BA5F5C" w:rsidP="0030440E">
      <w:pPr>
        <w:pStyle w:val="SourceCode"/>
      </w:pPr>
      <w:r w:rsidRPr="00BA5F5C">
        <w:t>## Exploration of labeled upper quadrant plot ----</w:t>
      </w:r>
    </w:p>
    <w:p w14:paraId="34BFF5EC" w14:textId="77777777" w:rsidR="00BA5F5C" w:rsidRPr="00BA5F5C" w:rsidRDefault="00BA5F5C" w:rsidP="0030440E">
      <w:pPr>
        <w:pStyle w:val="SourceCode"/>
      </w:pPr>
    </w:p>
    <w:p w14:paraId="434A367A" w14:textId="554A8B43" w:rsidR="00BA5F5C" w:rsidRPr="00BA5F5C" w:rsidRDefault="00BA5F5C" w:rsidP="0030440E">
      <w:pPr>
        <w:pStyle w:val="SourceCode"/>
      </w:pPr>
      <w:r w:rsidRPr="00BA5F5C">
        <w:t>## First we will dump out the distributions of the variables NOT in the coefficients</w:t>
      </w:r>
    </w:p>
    <w:p w14:paraId="1118B4B3" w14:textId="77777777" w:rsidR="00BA5F5C" w:rsidRPr="00BA5F5C" w:rsidRDefault="00BA5F5C" w:rsidP="0030440E">
      <w:pPr>
        <w:pStyle w:val="SourceCode"/>
      </w:pPr>
      <w:r w:rsidRPr="00BA5F5C">
        <w:lastRenderedPageBreak/>
        <w:t xml:space="preserve">dist.sub &lt;- sg.comp[,c(6,match(levels(coeff.frm$coefficient), </w:t>
      </w:r>
    </w:p>
    <w:p w14:paraId="7BD8EA5A" w14:textId="77777777" w:rsidR="00BA5F5C" w:rsidRPr="00BA5F5C" w:rsidRDefault="00BA5F5C" w:rsidP="0030440E">
      <w:pPr>
        <w:pStyle w:val="SourceCode"/>
      </w:pPr>
      <w:r w:rsidRPr="00BA5F5C">
        <w:t xml:space="preserve">                               colnames(sg.comp)))]</w:t>
      </w:r>
    </w:p>
    <w:p w14:paraId="4BA368CB" w14:textId="77777777" w:rsidR="00BA5F5C" w:rsidRPr="00BA5F5C" w:rsidRDefault="00BA5F5C" w:rsidP="0030440E">
      <w:pPr>
        <w:pStyle w:val="SourceCode"/>
      </w:pPr>
      <w:r w:rsidRPr="00BA5F5C">
        <w:t>m.dist.sub &lt;- melt(dist.sub, id.vars = "Plot")</w:t>
      </w:r>
    </w:p>
    <w:p w14:paraId="56F81560" w14:textId="77777777" w:rsidR="00BA5F5C" w:rsidRPr="00BA5F5C" w:rsidRDefault="00BA5F5C" w:rsidP="0030440E">
      <w:pPr>
        <w:pStyle w:val="SourceCode"/>
      </w:pPr>
    </w:p>
    <w:p w14:paraId="0658F7B8" w14:textId="77777777" w:rsidR="00BA5F5C" w:rsidRPr="00BA5F5C" w:rsidRDefault="00BA5F5C" w:rsidP="0030440E">
      <w:pPr>
        <w:pStyle w:val="SourceCode"/>
      </w:pPr>
      <w:r w:rsidRPr="00BA5F5C">
        <w:t>## Now show the distributions for the upper quadrant.</w:t>
      </w:r>
    </w:p>
    <w:p w14:paraId="1E23FA47" w14:textId="77777777" w:rsidR="00BA5F5C" w:rsidRPr="00BA5F5C" w:rsidRDefault="00BA5F5C" w:rsidP="0030440E">
      <w:pPr>
        <w:pStyle w:val="SourceCode"/>
      </w:pPr>
      <w:r w:rsidRPr="00BA5F5C">
        <w:t>quad.comp &lt;- sg.comp[match(quadset$s.plot, sg.comp$Plot),</w:t>
      </w:r>
    </w:p>
    <w:p w14:paraId="6545449E" w14:textId="77777777" w:rsidR="00BA5F5C" w:rsidRPr="00BA5F5C" w:rsidRDefault="00BA5F5C" w:rsidP="0030440E">
      <w:pPr>
        <w:pStyle w:val="SourceCode"/>
      </w:pPr>
      <w:r w:rsidRPr="00BA5F5C">
        <w:t xml:space="preserve">                     c(6,match(levels(coeff.frm$coefficient), </w:t>
      </w:r>
    </w:p>
    <w:p w14:paraId="2D663E89" w14:textId="77777777" w:rsidR="00BA5F5C" w:rsidRPr="00BA5F5C" w:rsidRDefault="00BA5F5C" w:rsidP="0030440E">
      <w:pPr>
        <w:pStyle w:val="SourceCode"/>
      </w:pPr>
      <w:r w:rsidRPr="00BA5F5C">
        <w:t xml:space="preserve">                               colnames(sg.comp)))]</w:t>
      </w:r>
    </w:p>
    <w:p w14:paraId="4679DF24" w14:textId="77777777" w:rsidR="00BA5F5C" w:rsidRPr="00BA5F5C" w:rsidRDefault="00BA5F5C" w:rsidP="0030440E">
      <w:pPr>
        <w:pStyle w:val="SourceCode"/>
      </w:pPr>
    </w:p>
    <w:p w14:paraId="4C724BF5" w14:textId="77777777" w:rsidR="00BA5F5C" w:rsidRPr="00BA5F5C" w:rsidRDefault="00BA5F5C" w:rsidP="0030440E">
      <w:pPr>
        <w:pStyle w:val="SourceCode"/>
      </w:pPr>
      <w:r w:rsidRPr="00BA5F5C">
        <w:t>high.plots &lt;- quadset[which(quadset$akph &gt; mean(quadset$akph)),]$s.plot</w:t>
      </w:r>
    </w:p>
    <w:p w14:paraId="57D8D4B6" w14:textId="77777777" w:rsidR="00BA5F5C" w:rsidRPr="00BA5F5C" w:rsidRDefault="00BA5F5C" w:rsidP="0030440E">
      <w:pPr>
        <w:pStyle w:val="SourceCode"/>
      </w:pPr>
      <w:r w:rsidRPr="00BA5F5C">
        <w:t>low.plots &lt;- quadset[which(quadset$akph &lt; mean(quadset$akph)),]$s.plot</w:t>
      </w:r>
    </w:p>
    <w:p w14:paraId="34653ABC" w14:textId="77777777" w:rsidR="00BA5F5C" w:rsidRPr="00BA5F5C" w:rsidRDefault="00BA5F5C" w:rsidP="0030440E">
      <w:pPr>
        <w:pStyle w:val="SourceCode"/>
      </w:pPr>
    </w:p>
    <w:p w14:paraId="2A8B185D" w14:textId="77777777" w:rsidR="00BA5F5C" w:rsidRPr="00BA5F5C" w:rsidRDefault="00BA5F5C" w:rsidP="0030440E">
      <w:pPr>
        <w:pStyle w:val="SourceCode"/>
      </w:pPr>
      <w:r w:rsidRPr="00BA5F5C">
        <w:t>m.quad.comp &lt;- melt(quad.comp, id.vars = "Plot")</w:t>
      </w:r>
    </w:p>
    <w:p w14:paraId="35326800" w14:textId="77777777" w:rsidR="00BA5F5C" w:rsidRPr="00BA5F5C" w:rsidRDefault="00BA5F5C" w:rsidP="0030440E">
      <w:pPr>
        <w:pStyle w:val="SourceCode"/>
      </w:pPr>
    </w:p>
    <w:p w14:paraId="69CC9506" w14:textId="77777777" w:rsidR="00BA5F5C" w:rsidRPr="00BA5F5C" w:rsidRDefault="00BA5F5C" w:rsidP="0030440E">
      <w:pPr>
        <w:pStyle w:val="SourceCode"/>
      </w:pPr>
      <w:r w:rsidRPr="00BA5F5C">
        <w:t xml:space="preserve">m.quad.comp.high &lt;- melt(quad.comp[match(high.plots, </w:t>
      </w:r>
    </w:p>
    <w:p w14:paraId="687DFCE4" w14:textId="77777777" w:rsidR="00BA5F5C" w:rsidRPr="00BA5F5C" w:rsidRDefault="00BA5F5C" w:rsidP="0030440E">
      <w:pPr>
        <w:pStyle w:val="SourceCode"/>
      </w:pPr>
      <w:r w:rsidRPr="00BA5F5C">
        <w:t xml:space="preserve">                                         quad.comp$Plot),], id.vars = "Plot")</w:t>
      </w:r>
    </w:p>
    <w:p w14:paraId="445B9E61" w14:textId="77777777" w:rsidR="00BA5F5C" w:rsidRPr="00BA5F5C" w:rsidRDefault="00BA5F5C" w:rsidP="0030440E">
      <w:pPr>
        <w:pStyle w:val="SourceCode"/>
      </w:pPr>
      <w:r w:rsidRPr="00BA5F5C">
        <w:t xml:space="preserve">m.quad.comp.low &lt;- melt(quad.comp[match(low.plots, </w:t>
      </w:r>
    </w:p>
    <w:p w14:paraId="09D7CA21" w14:textId="77777777" w:rsidR="00BA5F5C" w:rsidRPr="00BA5F5C" w:rsidRDefault="00BA5F5C" w:rsidP="0030440E">
      <w:pPr>
        <w:pStyle w:val="SourceCode"/>
      </w:pPr>
      <w:r w:rsidRPr="00BA5F5C">
        <w:t xml:space="preserve">                                        quad.comp$Plot),], id.vars = "Plot")</w:t>
      </w:r>
    </w:p>
    <w:p w14:paraId="36721421" w14:textId="77777777" w:rsidR="00BA5F5C" w:rsidRPr="00BA5F5C" w:rsidRDefault="00BA5F5C" w:rsidP="0030440E">
      <w:pPr>
        <w:pStyle w:val="SourceCode"/>
      </w:pPr>
    </w:p>
    <w:p w14:paraId="517AFC0C" w14:textId="77777777" w:rsidR="00BA5F5C" w:rsidRPr="00BA5F5C" w:rsidRDefault="00BA5F5C" w:rsidP="0030440E">
      <w:pPr>
        <w:pStyle w:val="SourceCode"/>
      </w:pPr>
      <w:r w:rsidRPr="00BA5F5C">
        <w:t>p + geom_bar(data = m.dist.sub, aes(value), alpha = 0.5) +</w:t>
      </w:r>
    </w:p>
    <w:p w14:paraId="76242BD4" w14:textId="77777777" w:rsidR="00BA5F5C" w:rsidRPr="00BA5F5C" w:rsidRDefault="00BA5F5C" w:rsidP="0030440E">
      <w:pPr>
        <w:pStyle w:val="SourceCode"/>
      </w:pPr>
      <w:r w:rsidRPr="00BA5F5C">
        <w:t xml:space="preserve">  geom_bar(data = m.quad.comp.high, aes(y=..count.. * 2, value), </w:t>
      </w:r>
    </w:p>
    <w:p w14:paraId="64B24B31" w14:textId="77777777" w:rsidR="00BA5F5C" w:rsidRPr="00BA5F5C" w:rsidRDefault="00BA5F5C" w:rsidP="0030440E">
      <w:pPr>
        <w:pStyle w:val="SourceCode"/>
      </w:pPr>
      <w:r w:rsidRPr="00BA5F5C">
        <w:lastRenderedPageBreak/>
        <w:t xml:space="preserve">           fill = "#5000ff", alpha = 0.7) +</w:t>
      </w:r>
    </w:p>
    <w:p w14:paraId="26FB754A" w14:textId="77777777" w:rsidR="00BA5F5C" w:rsidRPr="00BA5F5C" w:rsidRDefault="00BA5F5C" w:rsidP="0030440E">
      <w:pPr>
        <w:pStyle w:val="SourceCode"/>
      </w:pPr>
      <w:r w:rsidRPr="00BA5F5C">
        <w:t xml:space="preserve">  geom_bar(data = m.quad.comp.low, aes(y=..count.. * 2, value), </w:t>
      </w:r>
    </w:p>
    <w:p w14:paraId="17CF4D3C" w14:textId="77777777" w:rsidR="00BA5F5C" w:rsidRPr="00BA5F5C" w:rsidRDefault="00BA5F5C" w:rsidP="0030440E">
      <w:pPr>
        <w:pStyle w:val="SourceCode"/>
      </w:pPr>
      <w:r w:rsidRPr="00BA5F5C">
        <w:t xml:space="preserve">           fill = "#40ff7c", alpha = 0.7) +</w:t>
      </w:r>
    </w:p>
    <w:p w14:paraId="06D2B6DD" w14:textId="77777777" w:rsidR="00BA5F5C" w:rsidRPr="00BA5F5C" w:rsidRDefault="00BA5F5C" w:rsidP="0030440E">
      <w:pPr>
        <w:pStyle w:val="SourceCode"/>
      </w:pPr>
      <w:r w:rsidRPr="00BA5F5C">
        <w:t xml:space="preserve">  facet_wrap(~variable, scales = "free") +</w:t>
      </w:r>
    </w:p>
    <w:p w14:paraId="5CBDFB60" w14:textId="77777777" w:rsidR="00BA5F5C" w:rsidRPr="00BA5F5C" w:rsidRDefault="00BA5F5C" w:rsidP="0030440E">
      <w:pPr>
        <w:pStyle w:val="SourceCode"/>
      </w:pPr>
      <w:r w:rsidRPr="00BA5F5C">
        <w:t xml:space="preserve">  ggtitle("Distributions of Model Coefficient Compositional Features")</w:t>
      </w:r>
    </w:p>
    <w:p w14:paraId="7F616976" w14:textId="77777777" w:rsidR="00BA5F5C" w:rsidRPr="00BA5F5C" w:rsidRDefault="00BA5F5C" w:rsidP="0030440E">
      <w:pPr>
        <w:pStyle w:val="SourceCode"/>
      </w:pPr>
      <w:r w:rsidRPr="00BA5F5C">
        <w:t>ggsave("./Figure xx - upper quad distributions.pdf", height = 5, width = 8.25)</w:t>
      </w:r>
    </w:p>
    <w:p w14:paraId="5717E108" w14:textId="77777777" w:rsidR="00BA5F5C" w:rsidRPr="00BA5F5C" w:rsidRDefault="00BA5F5C" w:rsidP="0030440E">
      <w:pPr>
        <w:pStyle w:val="SourceCode"/>
      </w:pPr>
    </w:p>
    <w:p w14:paraId="4A20D1D6" w14:textId="77777777" w:rsidR="00BA5F5C" w:rsidRPr="00BA5F5C" w:rsidRDefault="00BA5F5C" w:rsidP="0030440E">
      <w:pPr>
        <w:pStyle w:val="SourceCode"/>
      </w:pPr>
      <w:r w:rsidRPr="00BA5F5C">
        <w:t>dcast(coeff.frm, model ~ coefficient)</w:t>
      </w:r>
    </w:p>
    <w:p w14:paraId="05A82573" w14:textId="0CD597FA" w:rsidR="00DE6691" w:rsidRDefault="00DE6691">
      <w:r>
        <w:br w:type="page"/>
      </w:r>
    </w:p>
    <w:p w14:paraId="04BF224D" w14:textId="76552BC1" w:rsidR="005C7E19" w:rsidRDefault="005C7E19" w:rsidP="005C7E19">
      <w:pPr>
        <w:pStyle w:val="Heading1"/>
      </w:pPr>
      <w:bookmarkStart w:id="220" w:name="_Toc449964921"/>
      <w:r>
        <w:lastRenderedPageBreak/>
        <w:t>Appendix D: Source code for pyrolysis models</w:t>
      </w:r>
      <w:bookmarkEnd w:id="220"/>
    </w:p>
    <w:p w14:paraId="5690A5B3" w14:textId="77777777" w:rsidR="008304EB" w:rsidRPr="009D68FF" w:rsidRDefault="008304EB" w:rsidP="0030440E">
      <w:pPr>
        <w:pStyle w:val="SourceCode"/>
      </w:pPr>
      <w:r w:rsidRPr="009D68FF">
        <w:t># Copyright Statement:</w:t>
      </w:r>
    </w:p>
    <w:p w14:paraId="0631AAE8" w14:textId="77777777" w:rsidR="008304EB" w:rsidRPr="009D68FF" w:rsidRDefault="008304EB" w:rsidP="0030440E">
      <w:pPr>
        <w:pStyle w:val="SourceCode"/>
      </w:pPr>
      <w:r w:rsidRPr="009D68FF">
        <w:t># This work is licensed under a Creative Commons</w:t>
      </w:r>
    </w:p>
    <w:p w14:paraId="3A7648D1" w14:textId="77777777" w:rsidR="008304EB" w:rsidRPr="009D68FF" w:rsidRDefault="008304EB" w:rsidP="0030440E">
      <w:pPr>
        <w:pStyle w:val="SourceCode"/>
      </w:pPr>
      <w:r w:rsidRPr="009D68FF">
        <w:t># Attribution-NonCommercial-ShareAlike 3.0 Unported License.</w:t>
      </w:r>
    </w:p>
    <w:p w14:paraId="66D45F27" w14:textId="77777777" w:rsidR="008304EB" w:rsidRPr="009D68FF" w:rsidRDefault="008304EB" w:rsidP="0030440E">
      <w:pPr>
        <w:pStyle w:val="SourceCode"/>
      </w:pPr>
    </w:p>
    <w:p w14:paraId="7C534437" w14:textId="58030957" w:rsidR="008304EB" w:rsidRPr="009D68FF" w:rsidRDefault="008304EB" w:rsidP="0030440E">
      <w:pPr>
        <w:pStyle w:val="SourceCode"/>
      </w:pPr>
      <w:r w:rsidRPr="009D68FF">
        <w:t xml:space="preserve"># </w:t>
      </w:r>
      <w:r>
        <w:t>pyrolysis</w:t>
      </w:r>
      <w:r w:rsidRPr="009D68FF">
        <w:t xml:space="preserve"> </w:t>
      </w:r>
      <w:r>
        <w:t>modeling for thesis</w:t>
      </w:r>
      <w:r w:rsidRPr="009D68FF">
        <w:t>.r</w:t>
      </w:r>
    </w:p>
    <w:p w14:paraId="216CE526" w14:textId="77777777" w:rsidR="008304EB" w:rsidRPr="009D68FF" w:rsidRDefault="008304EB" w:rsidP="0030440E">
      <w:pPr>
        <w:pStyle w:val="SourceCode"/>
      </w:pPr>
      <w:r w:rsidRPr="009D68FF">
        <w:t># Version 1.0</w:t>
      </w:r>
    </w:p>
    <w:p w14:paraId="699F9D52" w14:textId="77777777" w:rsidR="008304EB" w:rsidRPr="009D68FF" w:rsidRDefault="008304EB" w:rsidP="0030440E">
      <w:pPr>
        <w:pStyle w:val="SourceCode"/>
      </w:pPr>
      <w:r w:rsidRPr="009D68FF">
        <w:t xml:space="preserve"># </w:t>
      </w:r>
      <w:r>
        <w:t>April 1</w:t>
      </w:r>
      <w:r w:rsidRPr="009D68FF">
        <w:t>,</w:t>
      </w:r>
      <w:r>
        <w:t xml:space="preserve"> 2016</w:t>
      </w:r>
    </w:p>
    <w:p w14:paraId="2B634DAC" w14:textId="77777777" w:rsidR="008304EB" w:rsidRPr="009D68FF" w:rsidRDefault="008304EB" w:rsidP="0030440E">
      <w:pPr>
        <w:pStyle w:val="SourceCode"/>
      </w:pPr>
      <w:r w:rsidRPr="009D68FF">
        <w:t># Christopher Waters</w:t>
      </w:r>
    </w:p>
    <w:p w14:paraId="1BA79521" w14:textId="77777777" w:rsidR="008304EB" w:rsidRPr="009D68FF" w:rsidRDefault="008304EB" w:rsidP="0030440E">
      <w:pPr>
        <w:pStyle w:val="SourceCode"/>
      </w:pPr>
      <w:r w:rsidRPr="009D68FF">
        <w:t># cwaters@ou.edu</w:t>
      </w:r>
    </w:p>
    <w:p w14:paraId="0710DE12" w14:textId="77777777" w:rsidR="008304EB" w:rsidRPr="009D68FF" w:rsidRDefault="008304EB" w:rsidP="0030440E">
      <w:pPr>
        <w:pStyle w:val="SourceCode"/>
      </w:pPr>
      <w:r w:rsidRPr="009D68FF">
        <w:t># University of Oklahoma</w:t>
      </w:r>
    </w:p>
    <w:p w14:paraId="2D240C2B" w14:textId="77777777" w:rsidR="008304EB" w:rsidRPr="009D68FF" w:rsidRDefault="008304EB" w:rsidP="0030440E">
      <w:pPr>
        <w:pStyle w:val="SourceCode"/>
      </w:pPr>
      <w:r w:rsidRPr="009D68FF">
        <w:t># College of Engineering</w:t>
      </w:r>
    </w:p>
    <w:p w14:paraId="5AF386DD" w14:textId="77777777" w:rsidR="008304EB" w:rsidRPr="009D68FF" w:rsidRDefault="008304EB" w:rsidP="0030440E">
      <w:pPr>
        <w:pStyle w:val="SourceCode"/>
      </w:pPr>
      <w:r w:rsidRPr="009D68FF">
        <w:t># School of Chemical, Biological, and Materials Engineering</w:t>
      </w:r>
    </w:p>
    <w:p w14:paraId="4B89C3CC" w14:textId="77777777" w:rsidR="008304EB" w:rsidRPr="009D68FF" w:rsidRDefault="008304EB" w:rsidP="0030440E">
      <w:pPr>
        <w:pStyle w:val="SourceCode"/>
      </w:pPr>
      <w:r w:rsidRPr="009D68FF">
        <w:t># Center for Biofuels Refining</w:t>
      </w:r>
    </w:p>
    <w:p w14:paraId="7F293815" w14:textId="77777777" w:rsidR="008304EB" w:rsidRDefault="008304EB" w:rsidP="0030440E">
      <w:pPr>
        <w:pStyle w:val="SourceCode"/>
      </w:pPr>
      <w:r w:rsidRPr="009D68FF">
        <w:t># Pyrolysis Lab Group</w:t>
      </w:r>
    </w:p>
    <w:p w14:paraId="1BD85DBC" w14:textId="77777777" w:rsidR="008304EB" w:rsidRDefault="008304EB" w:rsidP="0030440E">
      <w:pPr>
        <w:pStyle w:val="SourceCode"/>
      </w:pPr>
    </w:p>
    <w:p w14:paraId="0A5C999B" w14:textId="4CCBD8EB" w:rsidR="00DE6691" w:rsidRDefault="00DE6691" w:rsidP="0030440E">
      <w:pPr>
        <w:pStyle w:val="SourceCode"/>
      </w:pPr>
      <w:r>
        <w:t>## Modeling of pyrolysis data for thesis</w:t>
      </w:r>
      <w:r w:rsidR="00787F1B">
        <w:t xml:space="preserve"> written in the R programming language</w:t>
      </w:r>
    </w:p>
    <w:p w14:paraId="1D7D95E5" w14:textId="77777777" w:rsidR="00DE6691" w:rsidRDefault="00DE6691" w:rsidP="0030440E">
      <w:pPr>
        <w:pStyle w:val="SourceCode"/>
      </w:pPr>
    </w:p>
    <w:p w14:paraId="75EC29B6" w14:textId="77777777" w:rsidR="00DE6691" w:rsidRDefault="00DE6691" w:rsidP="0030440E">
      <w:pPr>
        <w:pStyle w:val="SourceCode"/>
      </w:pPr>
      <w:r>
        <w:t>rm(list = ls()) ## This clears out the global environment</w:t>
      </w:r>
    </w:p>
    <w:p w14:paraId="00091BD0" w14:textId="77777777" w:rsidR="00DE6691" w:rsidRDefault="00DE6691" w:rsidP="0030440E">
      <w:pPr>
        <w:pStyle w:val="SourceCode"/>
      </w:pPr>
      <w:r>
        <w:t>library(stats)</w:t>
      </w:r>
    </w:p>
    <w:p w14:paraId="787CB53A" w14:textId="77777777" w:rsidR="00DE6691" w:rsidRDefault="00DE6691" w:rsidP="0030440E">
      <w:pPr>
        <w:pStyle w:val="SourceCode"/>
      </w:pPr>
      <w:r>
        <w:t>library(randomForest)</w:t>
      </w:r>
    </w:p>
    <w:p w14:paraId="63417AE4" w14:textId="77777777" w:rsidR="00DE6691" w:rsidRDefault="00DE6691" w:rsidP="0030440E">
      <w:pPr>
        <w:pStyle w:val="SourceCode"/>
      </w:pPr>
      <w:r>
        <w:lastRenderedPageBreak/>
        <w:t>library(caret)</w:t>
      </w:r>
    </w:p>
    <w:p w14:paraId="62145804" w14:textId="77777777" w:rsidR="00DE6691" w:rsidRDefault="00DE6691" w:rsidP="0030440E">
      <w:pPr>
        <w:pStyle w:val="SourceCode"/>
      </w:pPr>
      <w:r>
        <w:t>library(MASS)</w:t>
      </w:r>
    </w:p>
    <w:p w14:paraId="41816D77" w14:textId="77777777" w:rsidR="00DE6691" w:rsidRDefault="00DE6691" w:rsidP="0030440E">
      <w:pPr>
        <w:pStyle w:val="SourceCode"/>
      </w:pPr>
      <w:r>
        <w:t>library(car)</w:t>
      </w:r>
    </w:p>
    <w:p w14:paraId="1D514A2C" w14:textId="77777777" w:rsidR="00DE6691" w:rsidRDefault="00DE6691" w:rsidP="0030440E">
      <w:pPr>
        <w:pStyle w:val="SourceCode"/>
      </w:pPr>
      <w:r>
        <w:t>library(ggplot2)</w:t>
      </w:r>
    </w:p>
    <w:p w14:paraId="078A38A2" w14:textId="77777777" w:rsidR="008304EB" w:rsidRDefault="008304EB" w:rsidP="0030440E">
      <w:pPr>
        <w:pStyle w:val="SourceCode"/>
      </w:pPr>
    </w:p>
    <w:p w14:paraId="0BFD01F3" w14:textId="77777777" w:rsidR="00DE6691" w:rsidRDefault="00DE6691" w:rsidP="0030440E">
      <w:pPr>
        <w:pStyle w:val="SourceCode"/>
      </w:pPr>
      <w:r>
        <w:t>setwd("/Users/cwaters/Dropbox/Biomass Pyrolysis/Manuscripts/Switchgrass modeling/Data/pyrolysis/")</w:t>
      </w:r>
    </w:p>
    <w:p w14:paraId="044079A2" w14:textId="77777777" w:rsidR="00DE6691" w:rsidRDefault="00DE6691" w:rsidP="0030440E">
      <w:pPr>
        <w:pStyle w:val="SourceCode"/>
      </w:pPr>
      <w:r>
        <w:t>source("pyrolysis data preparation.r")</w:t>
      </w:r>
    </w:p>
    <w:p w14:paraId="3886F1BA" w14:textId="77777777" w:rsidR="00DE6691" w:rsidRDefault="00DE6691" w:rsidP="0030440E">
      <w:pPr>
        <w:pStyle w:val="SourceCode"/>
      </w:pPr>
    </w:p>
    <w:p w14:paraId="2BF4370D" w14:textId="77777777" w:rsidR="00DE6691" w:rsidRDefault="00DE6691" w:rsidP="0030440E">
      <w:pPr>
        <w:pStyle w:val="SourceCode"/>
      </w:pPr>
      <w:r>
        <w:t>## Prepare data for modeling ----</w:t>
      </w:r>
    </w:p>
    <w:p w14:paraId="52F0B654" w14:textId="77777777" w:rsidR="00DE6691" w:rsidRDefault="00DE6691" w:rsidP="0030440E">
      <w:pPr>
        <w:pStyle w:val="SourceCode"/>
      </w:pPr>
      <w:r>
        <w:t>## These column numbers are hard-coded to sg.combined so be careful.</w:t>
      </w:r>
    </w:p>
    <w:p w14:paraId="778F8EBA" w14:textId="77777777" w:rsidR="00DE6691" w:rsidRDefault="00DE6691" w:rsidP="0030440E">
      <w:pPr>
        <w:pStyle w:val="SourceCode"/>
      </w:pPr>
      <w:r>
        <w:t>tc.columns &lt;- 1:10 ## added levoglucosan</w:t>
      </w:r>
    </w:p>
    <w:p w14:paraId="59636A15" w14:textId="77777777" w:rsidR="00DE6691" w:rsidRDefault="00DE6691" w:rsidP="0030440E">
      <w:pPr>
        <w:pStyle w:val="SourceCode"/>
      </w:pPr>
      <w:r>
        <w:t xml:space="preserve">compdata.columns &lt;- -c(11:16, 31:34, 36:38, 60:61, 66:68, 70, 72, 78:80, </w:t>
      </w:r>
    </w:p>
    <w:p w14:paraId="55E992DA" w14:textId="77777777" w:rsidR="00DE6691" w:rsidRDefault="00DE6691" w:rsidP="0030440E">
      <w:pPr>
        <w:pStyle w:val="SourceCode"/>
      </w:pPr>
      <w:r>
        <w:t xml:space="preserve">                       82, 87:90, 92:94) </w:t>
      </w:r>
    </w:p>
    <w:p w14:paraId="7CB38C42" w14:textId="77777777" w:rsidR="00DE6691" w:rsidRDefault="00DE6691" w:rsidP="0030440E">
      <w:pPr>
        <w:pStyle w:val="SourceCode"/>
      </w:pPr>
      <w:r>
        <w:t xml:space="preserve">compdata.columns &lt;- -c(-compdata.columns, 39, 40, 41, 45, 50, 51, 52, 53, 54, </w:t>
      </w:r>
    </w:p>
    <w:p w14:paraId="0F18C2BB" w14:textId="77777777" w:rsidR="00DE6691" w:rsidRDefault="00DE6691" w:rsidP="0030440E">
      <w:pPr>
        <w:pStyle w:val="SourceCode"/>
      </w:pPr>
      <w:r>
        <w:t xml:space="preserve">                       55, 56, 57) ## Known linear combinations</w:t>
      </w:r>
    </w:p>
    <w:p w14:paraId="43F33210" w14:textId="77777777" w:rsidR="00DE6691" w:rsidRDefault="00DE6691" w:rsidP="0030440E">
      <w:pPr>
        <w:pStyle w:val="SourceCode"/>
      </w:pPr>
      <w:r>
        <w:t>## Toss out the forage inorganics data in favor of other data</w:t>
      </w:r>
    </w:p>
    <w:p w14:paraId="63D45724" w14:textId="77777777" w:rsidR="00DE6691" w:rsidRDefault="00DE6691" w:rsidP="0030440E">
      <w:pPr>
        <w:pStyle w:val="SourceCode"/>
      </w:pPr>
      <w:r>
        <w:t xml:space="preserve">compdata.columns &lt;- -c(-compdata.columns, 62:65, 71) </w:t>
      </w:r>
    </w:p>
    <w:p w14:paraId="641FFD48" w14:textId="77777777" w:rsidR="00DE6691" w:rsidRDefault="00DE6691" w:rsidP="0030440E">
      <w:pPr>
        <w:pStyle w:val="SourceCode"/>
      </w:pPr>
    </w:p>
    <w:p w14:paraId="3A44A100" w14:textId="77777777" w:rsidR="00DE6691" w:rsidRDefault="00DE6691" w:rsidP="0030440E">
      <w:pPr>
        <w:pStyle w:val="SourceCode"/>
      </w:pPr>
      <w:r>
        <w:t>## Collinearity checks -----</w:t>
      </w:r>
    </w:p>
    <w:p w14:paraId="75E161C7" w14:textId="77777777" w:rsidR="00DE6691" w:rsidRDefault="00DE6691" w:rsidP="0030440E">
      <w:pPr>
        <w:pStyle w:val="SourceCode"/>
      </w:pPr>
      <w:r>
        <w:t>tclc &lt;- findLinearCombos(sg.combined[,tc.columns])</w:t>
      </w:r>
    </w:p>
    <w:p w14:paraId="6270F4E5" w14:textId="77777777" w:rsidR="00DE6691" w:rsidRDefault="00DE6691" w:rsidP="0030440E">
      <w:pPr>
        <w:pStyle w:val="SourceCode"/>
      </w:pPr>
      <w:r>
        <w:lastRenderedPageBreak/>
        <w:t>tclc #no dependent variable suggested for removal</w:t>
      </w:r>
    </w:p>
    <w:p w14:paraId="226FDAB9" w14:textId="77777777" w:rsidR="00DE6691" w:rsidRDefault="00DE6691" w:rsidP="0030440E">
      <w:pPr>
        <w:pStyle w:val="SourceCode"/>
      </w:pPr>
    </w:p>
    <w:p w14:paraId="3826A367" w14:textId="77777777" w:rsidR="00DE6691" w:rsidRDefault="00DE6691" w:rsidP="0030440E">
      <w:pPr>
        <w:pStyle w:val="SourceCode"/>
      </w:pPr>
      <w:r>
        <w:t>## Check full association panel for linear combos, dropping factors</w:t>
      </w:r>
    </w:p>
    <w:p w14:paraId="3D578919" w14:textId="77777777" w:rsidR="00DE6691" w:rsidRDefault="00DE6691" w:rsidP="0030440E">
      <w:pPr>
        <w:pStyle w:val="SourceCode"/>
      </w:pPr>
      <w:r>
        <w:t>combo.check &lt;- sg.comp[, names(sg.comp)[sapply(sg.comp,class)!="factor"]]</w:t>
      </w:r>
    </w:p>
    <w:p w14:paraId="62336663" w14:textId="77777777" w:rsidR="00DE6691" w:rsidRDefault="00DE6691" w:rsidP="0030440E">
      <w:pPr>
        <w:pStyle w:val="SourceCode"/>
      </w:pPr>
      <w:r>
        <w:t>combo.check &lt;- combo.check[,-c(1:5, 86)] ## remove stupid stuff like plot number</w:t>
      </w:r>
    </w:p>
    <w:p w14:paraId="68EBC9CA" w14:textId="77777777" w:rsidR="00DE6691" w:rsidRDefault="00DE6691" w:rsidP="0030440E">
      <w:pPr>
        <w:pStyle w:val="SourceCode"/>
      </w:pPr>
      <w:r>
        <w:t>full.panel.remove &lt;- findLinearCombos(combo.check)</w:t>
      </w:r>
    </w:p>
    <w:p w14:paraId="38A944D1" w14:textId="77777777" w:rsidR="00DE6691" w:rsidRDefault="00DE6691" w:rsidP="0030440E">
      <w:pPr>
        <w:pStyle w:val="SourceCode"/>
      </w:pPr>
      <w:r>
        <w:t>vars.to.remove &lt;- colnames(combo.check)[full.panel.remove$remove]</w:t>
      </w:r>
    </w:p>
    <w:p w14:paraId="50C1D81F" w14:textId="77777777" w:rsidR="00DE6691" w:rsidRDefault="00DE6691" w:rsidP="0030440E">
      <w:pPr>
        <w:pStyle w:val="SourceCode"/>
      </w:pPr>
    </w:p>
    <w:p w14:paraId="378D0111" w14:textId="77777777" w:rsidR="00DE6691" w:rsidRDefault="00DE6691" w:rsidP="0030440E">
      <w:pPr>
        <w:pStyle w:val="SourceCode"/>
      </w:pPr>
      <w:r>
        <w:t xml:space="preserve">compdata.columns &lt;- -c(-compdata.columns, match(vars.to.remove, </w:t>
      </w:r>
    </w:p>
    <w:p w14:paraId="376EC0EB" w14:textId="77777777" w:rsidR="00DE6691" w:rsidRDefault="00DE6691" w:rsidP="0030440E">
      <w:pPr>
        <w:pStyle w:val="SourceCode"/>
      </w:pPr>
      <w:r>
        <w:t xml:space="preserve">                                                colnames(sg.combined)))</w:t>
      </w:r>
    </w:p>
    <w:p w14:paraId="2EEBC5BF" w14:textId="77777777" w:rsidR="00DE6691" w:rsidRDefault="00DE6691" w:rsidP="0030440E">
      <w:pPr>
        <w:pStyle w:val="SourceCode"/>
      </w:pPr>
      <w:r>
        <w:t>compdata.columns &lt;- compdata.columns[!duplicated(compdata.columns)]</w:t>
      </w:r>
    </w:p>
    <w:p w14:paraId="260E0A14" w14:textId="77777777" w:rsidR="00DE6691" w:rsidRDefault="00DE6691" w:rsidP="0030440E">
      <w:pPr>
        <w:pStyle w:val="SourceCode"/>
      </w:pPr>
    </w:p>
    <w:p w14:paraId="03A56501" w14:textId="77777777" w:rsidR="00DE6691" w:rsidRDefault="00DE6691" w:rsidP="0030440E">
      <w:pPr>
        <w:pStyle w:val="SourceCode"/>
      </w:pPr>
      <w:r>
        <w:t>sg.combined &lt;- sg.combined[,compdata.columns]</w:t>
      </w:r>
    </w:p>
    <w:p w14:paraId="7B2092A1" w14:textId="77777777" w:rsidR="00DE6691" w:rsidRDefault="00DE6691" w:rsidP="0030440E">
      <w:pPr>
        <w:pStyle w:val="SourceCode"/>
      </w:pPr>
    </w:p>
    <w:p w14:paraId="2BA61E54" w14:textId="77777777" w:rsidR="00DE6691" w:rsidRDefault="00DE6691" w:rsidP="0030440E">
      <w:pPr>
        <w:pStyle w:val="SourceCode"/>
      </w:pPr>
      <w:r>
        <w:t>## Put model data together -----</w:t>
      </w:r>
    </w:p>
    <w:p w14:paraId="1EE64F77" w14:textId="77777777" w:rsidR="00DE6691" w:rsidRDefault="00DE6691" w:rsidP="0030440E">
      <w:pPr>
        <w:pStyle w:val="SourceCode"/>
      </w:pPr>
      <w:r>
        <w:t>modeldata.acetic &lt;- sg.combined[,c(1, 11:ncol(sg.combined))]</w:t>
      </w:r>
    </w:p>
    <w:p w14:paraId="04833EA2" w14:textId="77777777" w:rsidR="00DE6691" w:rsidRDefault="00DE6691" w:rsidP="0030440E">
      <w:pPr>
        <w:pStyle w:val="SourceCode"/>
      </w:pPr>
      <w:r>
        <w:t>modeldata.akph &lt;- sg.combined[,c(2, 11:ncol(sg.combined))]</w:t>
      </w:r>
    </w:p>
    <w:p w14:paraId="3A067B62" w14:textId="77777777" w:rsidR="00DE6691" w:rsidRDefault="00DE6691" w:rsidP="0030440E">
      <w:pPr>
        <w:pStyle w:val="SourceCode"/>
      </w:pPr>
      <w:r>
        <w:t>modeldata.furfurals &lt;- sg.combined[,c(3, 11:ncol(sg.combined))]</w:t>
      </w:r>
    </w:p>
    <w:p w14:paraId="25B830BA" w14:textId="77777777" w:rsidR="00DE6691" w:rsidRDefault="00DE6691" w:rsidP="0030440E">
      <w:pPr>
        <w:pStyle w:val="SourceCode"/>
      </w:pPr>
      <w:r>
        <w:t>modeldata.levogluc &lt;- sg.combined[,c(4, 11:ncol(sg.combined))]</w:t>
      </w:r>
    </w:p>
    <w:p w14:paraId="2632060C" w14:textId="77777777" w:rsidR="00DE6691" w:rsidRDefault="00DE6691" w:rsidP="0030440E">
      <w:pPr>
        <w:pStyle w:val="SourceCode"/>
      </w:pPr>
      <w:r>
        <w:t>modeldata.lightgas &lt;- sg.combined[,c(5, 11:ncol(sg.combined))]</w:t>
      </w:r>
    </w:p>
    <w:p w14:paraId="681EAFDB" w14:textId="77777777" w:rsidR="00DE6691" w:rsidRDefault="00DE6691" w:rsidP="0030440E">
      <w:pPr>
        <w:pStyle w:val="SourceCode"/>
      </w:pPr>
      <w:r>
        <w:t>modeldata.lightoxy &lt;- sg.combined[,c(6, 11:ncol(sg.combined))]</w:t>
      </w:r>
    </w:p>
    <w:p w14:paraId="7C4D58EB" w14:textId="77777777" w:rsidR="00DE6691" w:rsidRDefault="00DE6691" w:rsidP="0030440E">
      <w:pPr>
        <w:pStyle w:val="SourceCode"/>
      </w:pPr>
      <w:r>
        <w:lastRenderedPageBreak/>
        <w:t>modeldata.moxph &lt;- sg.combined[,c(7, 11:ncol(sg.combined))]</w:t>
      </w:r>
    </w:p>
    <w:p w14:paraId="3E5932F2" w14:textId="77777777" w:rsidR="00DE6691" w:rsidRDefault="00DE6691" w:rsidP="0030440E">
      <w:pPr>
        <w:pStyle w:val="SourceCode"/>
      </w:pPr>
      <w:r>
        <w:t>modeldata.pyran &lt;- sg.combined[,c(8, 11:ncol(sg.combined))]</w:t>
      </w:r>
    </w:p>
    <w:p w14:paraId="7F044640" w14:textId="77777777" w:rsidR="00DE6691" w:rsidRDefault="00DE6691" w:rsidP="0030440E">
      <w:pPr>
        <w:pStyle w:val="SourceCode"/>
      </w:pPr>
      <w:r>
        <w:t>modeldata.sugars &lt;- sg.combined[,c(9, 11:ncol(sg.combined))]</w:t>
      </w:r>
    </w:p>
    <w:p w14:paraId="62080B5F" w14:textId="77777777" w:rsidR="00DE6691" w:rsidRDefault="00DE6691" w:rsidP="0030440E">
      <w:pPr>
        <w:pStyle w:val="SourceCode"/>
      </w:pPr>
      <w:r>
        <w:t>modeldata.unknown &lt;- sg.combined[,c(10, 11:ncol(sg.combined))]</w:t>
      </w:r>
    </w:p>
    <w:p w14:paraId="69A91ABE" w14:textId="77777777" w:rsidR="00DE6691" w:rsidRDefault="00DE6691" w:rsidP="0030440E">
      <w:pPr>
        <w:pStyle w:val="SourceCode"/>
      </w:pPr>
    </w:p>
    <w:p w14:paraId="1773E60F" w14:textId="77777777" w:rsidR="00DE6691" w:rsidRDefault="00DE6691" w:rsidP="0030440E">
      <w:pPr>
        <w:pStyle w:val="SourceCode"/>
      </w:pPr>
      <w:r>
        <w:t>phenolics &lt;- (modeldata.akph[,1] + modeldata.moxph[,1])</w:t>
      </w:r>
    </w:p>
    <w:p w14:paraId="544D8AAA" w14:textId="77777777" w:rsidR="00DE6691" w:rsidRDefault="00DE6691" w:rsidP="0030440E">
      <w:pPr>
        <w:pStyle w:val="SourceCode"/>
      </w:pPr>
      <w:r>
        <w:t xml:space="preserve">modeldata.phenolics &lt;- cbind.data.frame(phenolics, </w:t>
      </w:r>
    </w:p>
    <w:p w14:paraId="3DCD84F5" w14:textId="77777777" w:rsidR="00DE6691" w:rsidRDefault="00DE6691" w:rsidP="0030440E">
      <w:pPr>
        <w:pStyle w:val="SourceCode"/>
      </w:pPr>
      <w:r>
        <w:t xml:space="preserve">                                        sg.combined[,11:ncol(sg.combined)])</w:t>
      </w:r>
    </w:p>
    <w:p w14:paraId="107285BF" w14:textId="77777777" w:rsidR="00DE6691" w:rsidRDefault="00DE6691" w:rsidP="0030440E">
      <w:pPr>
        <w:pStyle w:val="SourceCode"/>
      </w:pPr>
    </w:p>
    <w:p w14:paraId="1481A297" w14:textId="77777777" w:rsidR="00DE6691" w:rsidRDefault="00DE6691" w:rsidP="0030440E">
      <w:pPr>
        <w:pStyle w:val="SourceCode"/>
      </w:pPr>
      <w:r>
        <w:t>## Clean up stuff from this section</w:t>
      </w:r>
    </w:p>
    <w:p w14:paraId="4C474928" w14:textId="77777777" w:rsidR="00DE6691" w:rsidRDefault="00DE6691" w:rsidP="0030440E">
      <w:pPr>
        <w:pStyle w:val="SourceCode"/>
      </w:pPr>
      <w:r>
        <w:t xml:space="preserve">rm(list = c("compdata.columns", "tc.columns", "tclc", "full.panel.remove", </w:t>
      </w:r>
    </w:p>
    <w:p w14:paraId="65CE5640" w14:textId="77777777" w:rsidR="00DE6691" w:rsidRDefault="00DE6691" w:rsidP="0030440E">
      <w:pPr>
        <w:pStyle w:val="SourceCode"/>
      </w:pPr>
      <w:r>
        <w:t xml:space="preserve">            "vars.to.remove", "combo.check", "phenolics"))</w:t>
      </w:r>
    </w:p>
    <w:p w14:paraId="37CFC378" w14:textId="77777777" w:rsidR="00DE6691" w:rsidRDefault="00DE6691" w:rsidP="0030440E">
      <w:pPr>
        <w:pStyle w:val="SourceCode"/>
      </w:pPr>
    </w:p>
    <w:p w14:paraId="388AB3DA" w14:textId="77777777" w:rsidR="00DE6691" w:rsidRDefault="00DE6691" w:rsidP="0030440E">
      <w:pPr>
        <w:pStyle w:val="SourceCode"/>
      </w:pPr>
      <w:r>
        <w:t>## Modeling function ----</w:t>
      </w:r>
    </w:p>
    <w:p w14:paraId="3C228331" w14:textId="77777777" w:rsidR="00DE6691" w:rsidRDefault="00DE6691" w:rsidP="0030440E">
      <w:pPr>
        <w:pStyle w:val="SourceCode"/>
      </w:pPr>
    </w:p>
    <w:p w14:paraId="130FD634" w14:textId="77777777" w:rsidR="00DE6691" w:rsidRDefault="00DE6691" w:rsidP="0030440E">
      <w:pPr>
        <w:pStyle w:val="SourceCode"/>
      </w:pPr>
      <w:r>
        <w:t xml:space="preserve">buildModel &lt;- function(modeldata, plots = FALSE, rf.variables = 7, </w:t>
      </w:r>
    </w:p>
    <w:p w14:paraId="619955D7" w14:textId="77777777" w:rsidR="00DE6691" w:rsidRDefault="00DE6691" w:rsidP="0030440E">
      <w:pPr>
        <w:pStyle w:val="SourceCode"/>
      </w:pPr>
      <w:r>
        <w:t xml:space="preserve">                       return.model = "step", custom.call = NULL) {</w:t>
      </w:r>
    </w:p>
    <w:p w14:paraId="527F07D9" w14:textId="77777777" w:rsidR="00DE6691" w:rsidRDefault="00DE6691" w:rsidP="0030440E">
      <w:pPr>
        <w:pStyle w:val="SourceCode"/>
      </w:pPr>
      <w:r>
        <w:t xml:space="preserve">  ## The final approach used was random forest -&gt; Top 7 important variables -&gt;</w:t>
      </w:r>
    </w:p>
    <w:p w14:paraId="6E5CFB80" w14:textId="77777777" w:rsidR="00DE6691" w:rsidRDefault="00DE6691" w:rsidP="0030440E">
      <w:pPr>
        <w:pStyle w:val="SourceCode"/>
      </w:pPr>
      <w:r>
        <w:t xml:space="preserve">  ## OLS model -&gt; forward / backward selection -&gt; Test for collinearity -&gt; Final</w:t>
      </w:r>
    </w:p>
    <w:p w14:paraId="00295E62" w14:textId="77777777" w:rsidR="00DE6691" w:rsidRDefault="00DE6691" w:rsidP="0030440E">
      <w:pPr>
        <w:pStyle w:val="SourceCode"/>
      </w:pPr>
      <w:r>
        <w:t xml:space="preserve">  </w:t>
      </w:r>
    </w:p>
    <w:p w14:paraId="4E1672E6" w14:textId="77777777" w:rsidR="00DE6691" w:rsidRDefault="00DE6691" w:rsidP="0030440E">
      <w:pPr>
        <w:pStyle w:val="SourceCode"/>
      </w:pPr>
      <w:r>
        <w:t xml:space="preserve">  ## Model 'call' built from the column names of the data passed in</w:t>
      </w:r>
    </w:p>
    <w:p w14:paraId="4E42BC38" w14:textId="77777777" w:rsidR="00DE6691" w:rsidRDefault="00DE6691" w:rsidP="0030440E">
      <w:pPr>
        <w:pStyle w:val="SourceCode"/>
      </w:pPr>
      <w:r>
        <w:lastRenderedPageBreak/>
        <w:t xml:space="preserve">  ## This makes it easier for our interpretation later</w:t>
      </w:r>
    </w:p>
    <w:p w14:paraId="713B9053" w14:textId="77777777" w:rsidR="00DE6691" w:rsidRDefault="00DE6691" w:rsidP="0030440E">
      <w:pPr>
        <w:pStyle w:val="SourceCode"/>
      </w:pPr>
      <w:r>
        <w:t xml:space="preserve">  dependent &lt;- paste(colnames(modeldata)[1], "~")</w:t>
      </w:r>
    </w:p>
    <w:p w14:paraId="151CB425" w14:textId="77777777" w:rsidR="00DE6691" w:rsidRDefault="00DE6691" w:rsidP="0030440E">
      <w:pPr>
        <w:pStyle w:val="SourceCode"/>
      </w:pPr>
      <w:r>
        <w:t xml:space="preserve">  call.full &lt;- paste(dependent, ".")</w:t>
      </w:r>
    </w:p>
    <w:p w14:paraId="0937A9D0" w14:textId="77777777" w:rsidR="00DE6691" w:rsidRDefault="00DE6691" w:rsidP="0030440E">
      <w:pPr>
        <w:pStyle w:val="SourceCode"/>
      </w:pPr>
      <w:r>
        <w:t xml:space="preserve">  </w:t>
      </w:r>
    </w:p>
    <w:p w14:paraId="377A5725" w14:textId="77777777" w:rsidR="00DE6691" w:rsidRDefault="00DE6691" w:rsidP="0030440E">
      <w:pPr>
        <w:pStyle w:val="SourceCode"/>
      </w:pPr>
      <w:r>
        <w:t xml:space="preserve">  ## Center and scale data</w:t>
      </w:r>
    </w:p>
    <w:p w14:paraId="6B6E0453" w14:textId="77777777" w:rsidR="00DE6691" w:rsidRDefault="00DE6691" w:rsidP="0030440E">
      <w:pPr>
        <w:pStyle w:val="SourceCode"/>
      </w:pPr>
      <w:r>
        <w:t xml:space="preserve">  ## This helps us assess  relative importance of each final model coefficient</w:t>
      </w:r>
    </w:p>
    <w:p w14:paraId="76A8D4D7" w14:textId="77777777" w:rsidR="00DE6691" w:rsidRDefault="00DE6691" w:rsidP="0030440E">
      <w:pPr>
        <w:pStyle w:val="SourceCode"/>
      </w:pPr>
      <w:r>
        <w:t xml:space="preserve">  ## It also prevents us from calculating predicted values by hand later</w:t>
      </w:r>
    </w:p>
    <w:p w14:paraId="45FA4380" w14:textId="77777777" w:rsidR="00DE6691" w:rsidRDefault="00DE6691" w:rsidP="0030440E">
      <w:pPr>
        <w:pStyle w:val="SourceCode"/>
      </w:pPr>
      <w:r>
        <w:t xml:space="preserve">  ## It's optional and can be commented out</w:t>
      </w:r>
    </w:p>
    <w:p w14:paraId="2CFC6808" w14:textId="77777777" w:rsidR="00DE6691" w:rsidRDefault="00DE6691" w:rsidP="0030440E">
      <w:pPr>
        <w:pStyle w:val="SourceCode"/>
      </w:pPr>
      <w:r>
        <w:t xml:space="preserve">  # modeldata &lt;- data.frame(scale(modeldata[,-1]), modeldata[1]) ## For scaling</w:t>
      </w:r>
    </w:p>
    <w:p w14:paraId="6A2FCF46" w14:textId="77777777" w:rsidR="00DE6691" w:rsidRDefault="00DE6691" w:rsidP="0030440E">
      <w:pPr>
        <w:pStyle w:val="SourceCode"/>
      </w:pPr>
      <w:r>
        <w:t xml:space="preserve">  modeldata &lt;- data.frame(modeldata[,-1], modeldata[1]) ## For no scaling</w:t>
      </w:r>
    </w:p>
    <w:p w14:paraId="472F9E80" w14:textId="77777777" w:rsidR="00DE6691" w:rsidRDefault="00DE6691" w:rsidP="0030440E">
      <w:pPr>
        <w:pStyle w:val="SourceCode"/>
      </w:pPr>
      <w:r>
        <w:t xml:space="preserve">  </w:t>
      </w:r>
    </w:p>
    <w:p w14:paraId="08E067D3" w14:textId="77777777" w:rsidR="00DE6691" w:rsidRDefault="00DE6691" w:rsidP="0030440E">
      <w:pPr>
        <w:pStyle w:val="SourceCode"/>
      </w:pPr>
      <w:r>
        <w:t xml:space="preserve">  ## Generate the random forest object</w:t>
      </w:r>
    </w:p>
    <w:p w14:paraId="23FBBC88" w14:textId="77777777" w:rsidR="00DE6691" w:rsidRDefault="00DE6691" w:rsidP="0030440E">
      <w:pPr>
        <w:pStyle w:val="SourceCode"/>
      </w:pPr>
      <w:r>
        <w:t xml:space="preserve">  set.seed(20)</w:t>
      </w:r>
    </w:p>
    <w:p w14:paraId="0B7C6DB3" w14:textId="77777777" w:rsidR="00DE6691" w:rsidRDefault="00DE6691" w:rsidP="0030440E">
      <w:pPr>
        <w:pStyle w:val="SourceCode"/>
      </w:pPr>
      <w:r>
        <w:t xml:space="preserve">  model.RF &lt;- randomForest(as.formula(call.full), data=modeldata, </w:t>
      </w:r>
    </w:p>
    <w:p w14:paraId="3F8919A9" w14:textId="77777777" w:rsidR="00DE6691" w:rsidRDefault="00DE6691" w:rsidP="0030440E">
      <w:pPr>
        <w:pStyle w:val="SourceCode"/>
      </w:pPr>
      <w:r>
        <w:t xml:space="preserve">                           importance=T, mtry=20, ntree=15000)</w:t>
      </w:r>
    </w:p>
    <w:p w14:paraId="09AA33A0" w14:textId="77777777" w:rsidR="00DE6691" w:rsidRDefault="00DE6691" w:rsidP="0030440E">
      <w:pPr>
        <w:pStyle w:val="SourceCode"/>
      </w:pPr>
      <w:r>
        <w:t xml:space="preserve">  </w:t>
      </w:r>
    </w:p>
    <w:p w14:paraId="618B42AF" w14:textId="77777777" w:rsidR="00DE6691" w:rsidRDefault="00DE6691" w:rsidP="0030440E">
      <w:pPr>
        <w:pStyle w:val="SourceCode"/>
      </w:pPr>
      <w:r>
        <w:t xml:space="preserve">  if(return.model == "RF"){</w:t>
      </w:r>
    </w:p>
    <w:p w14:paraId="368A314E" w14:textId="77777777" w:rsidR="00DE6691" w:rsidRDefault="00DE6691" w:rsidP="0030440E">
      <w:pPr>
        <w:pStyle w:val="SourceCode"/>
      </w:pPr>
      <w:r>
        <w:t xml:space="preserve">    return(model.RF)</w:t>
      </w:r>
    </w:p>
    <w:p w14:paraId="6E924F3B" w14:textId="77777777" w:rsidR="00DE6691" w:rsidRDefault="00DE6691" w:rsidP="0030440E">
      <w:pPr>
        <w:pStyle w:val="SourceCode"/>
      </w:pPr>
      <w:r>
        <w:t xml:space="preserve">  }</w:t>
      </w:r>
    </w:p>
    <w:p w14:paraId="7DF678B9" w14:textId="77777777" w:rsidR="00DE6691" w:rsidRDefault="00DE6691" w:rsidP="0030440E">
      <w:pPr>
        <w:pStyle w:val="SourceCode"/>
      </w:pPr>
      <w:r>
        <w:t xml:space="preserve">  </w:t>
      </w:r>
    </w:p>
    <w:p w14:paraId="73825FCB" w14:textId="77777777" w:rsidR="00DE6691" w:rsidRDefault="00DE6691" w:rsidP="0030440E">
      <w:pPr>
        <w:pStyle w:val="SourceCode"/>
      </w:pPr>
      <w:r>
        <w:t xml:space="preserve">  ## Pull the top 7 and make the final call for the OLS model</w:t>
      </w:r>
    </w:p>
    <w:p w14:paraId="6BA1E20F" w14:textId="77777777" w:rsidR="00DE6691" w:rsidRDefault="00DE6691" w:rsidP="0030440E">
      <w:pPr>
        <w:pStyle w:val="SourceCode"/>
      </w:pPr>
      <w:r>
        <w:lastRenderedPageBreak/>
        <w:t xml:space="preserve">  var.importance &lt;- as.data.frame(model.RF$importance[,1])</w:t>
      </w:r>
    </w:p>
    <w:p w14:paraId="3C6A4845" w14:textId="77777777" w:rsidR="00DE6691" w:rsidRDefault="00DE6691" w:rsidP="0030440E">
      <w:pPr>
        <w:pStyle w:val="SourceCode"/>
      </w:pPr>
      <w:r>
        <w:t xml:space="preserve">  important.variables &lt;- rownames(head(var.importance[order(-var.importance),,</w:t>
      </w:r>
    </w:p>
    <w:p w14:paraId="54634B6B" w14:textId="77777777" w:rsidR="00DE6691" w:rsidRDefault="00DE6691" w:rsidP="0030440E">
      <w:pPr>
        <w:pStyle w:val="SourceCode"/>
      </w:pPr>
      <w:r>
        <w:t xml:space="preserve">                                                      drop=FALSE], rf.variables))</w:t>
      </w:r>
    </w:p>
    <w:p w14:paraId="0051253C" w14:textId="77777777" w:rsidR="00DE6691" w:rsidRDefault="00DE6691" w:rsidP="0030440E">
      <w:pPr>
        <w:pStyle w:val="SourceCode"/>
      </w:pPr>
      <w:r>
        <w:t xml:space="preserve">  independent &lt;- paste(important.variables, collapse=" + ")</w:t>
      </w:r>
    </w:p>
    <w:p w14:paraId="440E2EB6" w14:textId="77777777" w:rsidR="00DE6691" w:rsidRDefault="00DE6691" w:rsidP="0030440E">
      <w:pPr>
        <w:pStyle w:val="SourceCode"/>
      </w:pPr>
      <w:r>
        <w:t xml:space="preserve">  call.ols &lt;- paste(dependent, independent)</w:t>
      </w:r>
    </w:p>
    <w:p w14:paraId="6F22D3A2" w14:textId="77777777" w:rsidR="00DE6691" w:rsidRDefault="00DE6691" w:rsidP="0030440E">
      <w:pPr>
        <w:pStyle w:val="SourceCode"/>
      </w:pPr>
      <w:r>
        <w:t xml:space="preserve">  </w:t>
      </w:r>
    </w:p>
    <w:p w14:paraId="261DDC13" w14:textId="77777777" w:rsidR="00DE6691" w:rsidRDefault="00DE6691" w:rsidP="0030440E">
      <w:pPr>
        <w:pStyle w:val="SourceCode"/>
      </w:pPr>
      <w:r>
        <w:t xml:space="preserve">  rm(dependent)</w:t>
      </w:r>
    </w:p>
    <w:p w14:paraId="62907FDE" w14:textId="77777777" w:rsidR="00DE6691" w:rsidRDefault="00DE6691" w:rsidP="0030440E">
      <w:pPr>
        <w:pStyle w:val="SourceCode"/>
      </w:pPr>
      <w:r>
        <w:t xml:space="preserve">  rm(independent)</w:t>
      </w:r>
    </w:p>
    <w:p w14:paraId="5C8665FA" w14:textId="77777777" w:rsidR="00DE6691" w:rsidRDefault="00DE6691" w:rsidP="0030440E">
      <w:pPr>
        <w:pStyle w:val="SourceCode"/>
      </w:pPr>
      <w:r>
        <w:t xml:space="preserve">  </w:t>
      </w:r>
    </w:p>
    <w:p w14:paraId="2B030B1A" w14:textId="77777777" w:rsidR="00DE6691" w:rsidRDefault="00DE6691" w:rsidP="0030440E">
      <w:pPr>
        <w:pStyle w:val="SourceCode"/>
      </w:pPr>
      <w:r>
        <w:t xml:space="preserve">  ## Ordinary least squares  using the 7 automatically selected features</w:t>
      </w:r>
    </w:p>
    <w:p w14:paraId="2ECDB1C6" w14:textId="77777777" w:rsidR="00DE6691" w:rsidRDefault="00DE6691" w:rsidP="0030440E">
      <w:pPr>
        <w:pStyle w:val="SourceCode"/>
      </w:pPr>
      <w:r>
        <w:t xml:space="preserve">  model.OLS &lt;- lm(as.formula(call.ols), data=modeldata)</w:t>
      </w:r>
    </w:p>
    <w:p w14:paraId="2429BDCA" w14:textId="77777777" w:rsidR="00DE6691" w:rsidRDefault="00DE6691" w:rsidP="0030440E">
      <w:pPr>
        <w:pStyle w:val="SourceCode"/>
      </w:pPr>
      <w:r>
        <w:t xml:space="preserve">  </w:t>
      </w:r>
    </w:p>
    <w:p w14:paraId="7062C572" w14:textId="77777777" w:rsidR="00DE6691" w:rsidRDefault="00DE6691" w:rsidP="0030440E">
      <w:pPr>
        <w:pStyle w:val="SourceCode"/>
      </w:pPr>
      <w:r>
        <w:t xml:space="preserve">  ## This is here in case we want to try some custom calls</w:t>
      </w:r>
    </w:p>
    <w:p w14:paraId="183DA92B" w14:textId="77777777" w:rsidR="00DE6691" w:rsidRDefault="00DE6691" w:rsidP="0030440E">
      <w:pPr>
        <w:pStyle w:val="SourceCode"/>
      </w:pPr>
      <w:r>
        <w:t xml:space="preserve">  ##  - e.g., after collinearity checks</w:t>
      </w:r>
    </w:p>
    <w:p w14:paraId="108F88C0" w14:textId="77777777" w:rsidR="00DE6691" w:rsidRDefault="00DE6691" w:rsidP="0030440E">
      <w:pPr>
        <w:pStyle w:val="SourceCode"/>
      </w:pPr>
      <w:r>
        <w:t xml:space="preserve">  if(is.null(custom.call) == FALSE) {</w:t>
      </w:r>
    </w:p>
    <w:p w14:paraId="6D7DF514" w14:textId="77777777" w:rsidR="00DE6691" w:rsidRDefault="00DE6691" w:rsidP="0030440E">
      <w:pPr>
        <w:pStyle w:val="SourceCode"/>
      </w:pPr>
      <w:r>
        <w:t xml:space="preserve">    model.OLS &lt;- lm(as.formula(custom.call), data=modeldata)</w:t>
      </w:r>
    </w:p>
    <w:p w14:paraId="142FFD79" w14:textId="77777777" w:rsidR="00DE6691" w:rsidRDefault="00DE6691" w:rsidP="0030440E">
      <w:pPr>
        <w:pStyle w:val="SourceCode"/>
      </w:pPr>
      <w:r>
        <w:t xml:space="preserve">  }</w:t>
      </w:r>
    </w:p>
    <w:p w14:paraId="101BD284" w14:textId="77777777" w:rsidR="00DE6691" w:rsidRDefault="00DE6691" w:rsidP="0030440E">
      <w:pPr>
        <w:pStyle w:val="SourceCode"/>
      </w:pPr>
      <w:r>
        <w:t xml:space="preserve">  </w:t>
      </w:r>
    </w:p>
    <w:p w14:paraId="1667D757" w14:textId="77777777" w:rsidR="00DE6691" w:rsidRDefault="00DE6691" w:rsidP="0030440E">
      <w:pPr>
        <w:pStyle w:val="SourceCode"/>
      </w:pPr>
      <w:r>
        <w:t xml:space="preserve">  if(return.model == "OLS"){</w:t>
      </w:r>
    </w:p>
    <w:p w14:paraId="28BCDFBA" w14:textId="77777777" w:rsidR="00DE6691" w:rsidRDefault="00DE6691" w:rsidP="0030440E">
      <w:pPr>
        <w:pStyle w:val="SourceCode"/>
      </w:pPr>
      <w:r>
        <w:t xml:space="preserve">    return(model.OLS)</w:t>
      </w:r>
    </w:p>
    <w:p w14:paraId="70DFA21B" w14:textId="77777777" w:rsidR="00DE6691" w:rsidRDefault="00DE6691" w:rsidP="0030440E">
      <w:pPr>
        <w:pStyle w:val="SourceCode"/>
      </w:pPr>
      <w:r>
        <w:t xml:space="preserve">  }</w:t>
      </w:r>
    </w:p>
    <w:p w14:paraId="4E5AE736" w14:textId="77777777" w:rsidR="00DE6691" w:rsidRDefault="00DE6691" w:rsidP="0030440E">
      <w:pPr>
        <w:pStyle w:val="SourceCode"/>
      </w:pPr>
      <w:r>
        <w:lastRenderedPageBreak/>
        <w:t xml:space="preserve">  </w:t>
      </w:r>
    </w:p>
    <w:p w14:paraId="1064D0C5" w14:textId="77777777" w:rsidR="00DE6691" w:rsidRDefault="00DE6691" w:rsidP="0030440E">
      <w:pPr>
        <w:pStyle w:val="SourceCode"/>
      </w:pPr>
      <w:r>
        <w:t xml:space="preserve">  ## Original model probably had insignificant features</w:t>
      </w:r>
    </w:p>
    <w:p w14:paraId="06A9DA5B" w14:textId="77777777" w:rsidR="00DE6691" w:rsidRDefault="00DE6691" w:rsidP="0030440E">
      <w:pPr>
        <w:pStyle w:val="SourceCode"/>
      </w:pPr>
      <w:r>
        <w:t xml:space="preserve">  ## Now doing a stepwise selection to try to improve model</w:t>
      </w:r>
    </w:p>
    <w:p w14:paraId="3D2A7ECB" w14:textId="77777777" w:rsidR="00DE6691" w:rsidRDefault="00DE6691" w:rsidP="0030440E">
      <w:pPr>
        <w:pStyle w:val="SourceCode"/>
      </w:pPr>
      <w:r>
        <w:t xml:space="preserve">  model.step &lt;- step(model.OLS, direction="both", trace = 0)</w:t>
      </w:r>
    </w:p>
    <w:p w14:paraId="224F1242" w14:textId="77777777" w:rsidR="00DE6691" w:rsidRDefault="00DE6691" w:rsidP="0030440E">
      <w:pPr>
        <w:pStyle w:val="SourceCode"/>
      </w:pPr>
      <w:r>
        <w:t xml:space="preserve">  </w:t>
      </w:r>
    </w:p>
    <w:p w14:paraId="4E7C1FA7" w14:textId="77777777" w:rsidR="00DE6691" w:rsidRDefault="00DE6691" w:rsidP="0030440E">
      <w:pPr>
        <w:pStyle w:val="SourceCode"/>
      </w:pPr>
      <w:r>
        <w:t xml:space="preserve">  ## Variance inflation score check - prints out</w:t>
      </w:r>
    </w:p>
    <w:p w14:paraId="0AD733EB" w14:textId="77777777" w:rsidR="00DE6691" w:rsidRDefault="00DE6691" w:rsidP="0030440E">
      <w:pPr>
        <w:pStyle w:val="SourceCode"/>
      </w:pPr>
      <w:r>
        <w:t xml:space="preserve">  print(paste(colnames(modeldata)[ncol(modeldata)], </w:t>
      </w:r>
    </w:p>
    <w:p w14:paraId="7CEF8793" w14:textId="77777777" w:rsidR="00DE6691" w:rsidRDefault="00DE6691" w:rsidP="0030440E">
      <w:pPr>
        <w:pStyle w:val="SourceCode"/>
      </w:pPr>
      <w:r>
        <w:t xml:space="preserve">              "step model variance inflation scores"))</w:t>
      </w:r>
    </w:p>
    <w:p w14:paraId="0C30FE01" w14:textId="77777777" w:rsidR="00DE6691" w:rsidRDefault="00DE6691" w:rsidP="0030440E">
      <w:pPr>
        <w:pStyle w:val="SourceCode"/>
      </w:pPr>
      <w:r>
        <w:t xml:space="preserve">  </w:t>
      </w:r>
    </w:p>
    <w:p w14:paraId="4E8D198B" w14:textId="77777777" w:rsidR="00DE6691" w:rsidRDefault="00DE6691" w:rsidP="0030440E">
      <w:pPr>
        <w:pStyle w:val="SourceCode"/>
      </w:pPr>
      <w:r>
        <w:t xml:space="preserve">  if(class(try(vif(model.step)))=="try-error") {</w:t>
      </w:r>
    </w:p>
    <w:p w14:paraId="1619D7A5" w14:textId="77777777" w:rsidR="00DE6691" w:rsidRDefault="00DE6691" w:rsidP="0030440E">
      <w:pPr>
        <w:pStyle w:val="SourceCode"/>
      </w:pPr>
      <w:r>
        <w:t xml:space="preserve">    print("Only two variables: Nothing to do")</w:t>
      </w:r>
    </w:p>
    <w:p w14:paraId="787288DD" w14:textId="77777777" w:rsidR="00DE6691" w:rsidRDefault="00DE6691" w:rsidP="0030440E">
      <w:pPr>
        <w:pStyle w:val="SourceCode"/>
      </w:pPr>
      <w:r>
        <w:t xml:space="preserve">  }</w:t>
      </w:r>
    </w:p>
    <w:p w14:paraId="5CF981C4" w14:textId="77777777" w:rsidR="00DE6691" w:rsidRDefault="00DE6691" w:rsidP="0030440E">
      <w:pPr>
        <w:pStyle w:val="SourceCode"/>
      </w:pPr>
      <w:r>
        <w:t xml:space="preserve">  else{print(vif(model.step))}</w:t>
      </w:r>
    </w:p>
    <w:p w14:paraId="6AF4233A" w14:textId="77777777" w:rsidR="00DE6691" w:rsidRDefault="00DE6691" w:rsidP="0030440E">
      <w:pPr>
        <w:pStyle w:val="SourceCode"/>
      </w:pPr>
      <w:r>
        <w:t xml:space="preserve">  </w:t>
      </w:r>
    </w:p>
    <w:p w14:paraId="32F85EE8" w14:textId="77777777" w:rsidR="00DE6691" w:rsidRDefault="00DE6691" w:rsidP="0030440E">
      <w:pPr>
        <w:pStyle w:val="SourceCode"/>
      </w:pPr>
      <w:r>
        <w:t xml:space="preserve">  if(plots == TRUE) {</w:t>
      </w:r>
    </w:p>
    <w:p w14:paraId="7D5DC76A" w14:textId="77777777" w:rsidR="00DE6691" w:rsidRDefault="00DE6691" w:rsidP="0030440E">
      <w:pPr>
        <w:pStyle w:val="SourceCode"/>
      </w:pPr>
      <w:r>
        <w:t xml:space="preserve">    print("doing plots")</w:t>
      </w:r>
    </w:p>
    <w:p w14:paraId="11B8253F" w14:textId="77777777" w:rsidR="00DE6691" w:rsidRDefault="00DE6691" w:rsidP="0030440E">
      <w:pPr>
        <w:pStyle w:val="SourceCode"/>
      </w:pPr>
      <w:r>
        <w:t xml:space="preserve">    </w:t>
      </w:r>
    </w:p>
    <w:p w14:paraId="60799F8D" w14:textId="77777777" w:rsidR="00DE6691" w:rsidRDefault="00DE6691" w:rsidP="0030440E">
      <w:pPr>
        <w:pStyle w:val="SourceCode"/>
      </w:pPr>
      <w:r>
        <w:t xml:space="preserve">    predicted.var &lt;- colnames(modeldata)[ncol(modeldata)]</w:t>
      </w:r>
    </w:p>
    <w:p w14:paraId="34EAD0DF" w14:textId="77777777" w:rsidR="00DE6691" w:rsidRDefault="00DE6691" w:rsidP="0030440E">
      <w:pPr>
        <w:pStyle w:val="SourceCode"/>
      </w:pPr>
      <w:r>
        <w:t xml:space="preserve">    </w:t>
      </w:r>
    </w:p>
    <w:p w14:paraId="2F5BBD06" w14:textId="77777777" w:rsidR="00DE6691" w:rsidRDefault="00DE6691" w:rsidP="0030440E">
      <w:pPr>
        <w:pStyle w:val="SourceCode"/>
      </w:pPr>
      <w:r>
        <w:t xml:space="preserve">    print(varImpPlot(model.RF,</w:t>
      </w:r>
    </w:p>
    <w:p w14:paraId="6D6F69FE" w14:textId="77777777" w:rsidR="00DE6691" w:rsidRDefault="00DE6691" w:rsidP="0030440E">
      <w:pPr>
        <w:pStyle w:val="SourceCode"/>
      </w:pPr>
      <w:r>
        <w:t xml:space="preserve">                     main=paste("Random Forest", predicted.var, </w:t>
      </w:r>
    </w:p>
    <w:p w14:paraId="664214CE" w14:textId="77777777" w:rsidR="00DE6691" w:rsidRDefault="00DE6691" w:rsidP="0030440E">
      <w:pPr>
        <w:pStyle w:val="SourceCode"/>
      </w:pPr>
      <w:r>
        <w:lastRenderedPageBreak/>
        <w:t xml:space="preserve">                                "Importance Charts")))</w:t>
      </w:r>
    </w:p>
    <w:p w14:paraId="10251375" w14:textId="77777777" w:rsidR="00DE6691" w:rsidRDefault="00DE6691" w:rsidP="0030440E">
      <w:pPr>
        <w:pStyle w:val="SourceCode"/>
      </w:pPr>
      <w:r>
        <w:t xml:space="preserve">    </w:t>
      </w:r>
    </w:p>
    <w:p w14:paraId="79682334" w14:textId="77777777" w:rsidR="00DE6691" w:rsidRDefault="00DE6691" w:rsidP="0030440E">
      <w:pPr>
        <w:pStyle w:val="SourceCode"/>
      </w:pPr>
      <w:r>
        <w:t xml:space="preserve">    </w:t>
      </w:r>
    </w:p>
    <w:p w14:paraId="2B1B6878" w14:textId="77777777" w:rsidR="00DE6691" w:rsidRDefault="00DE6691" w:rsidP="0030440E">
      <w:pPr>
        <w:pStyle w:val="SourceCode"/>
      </w:pPr>
      <w:r>
        <w:t xml:space="preserve">    ## Value fitting</w:t>
      </w:r>
    </w:p>
    <w:p w14:paraId="558390B2" w14:textId="77777777" w:rsidR="00DE6691" w:rsidRDefault="00DE6691" w:rsidP="0030440E">
      <w:pPr>
        <w:pStyle w:val="SourceCode"/>
      </w:pPr>
      <w:r>
        <w:t xml:space="preserve">    ## Only use this if you're making PDF, otherwise plots won't run</w:t>
      </w:r>
    </w:p>
    <w:p w14:paraId="3352D2FC" w14:textId="77777777" w:rsidR="00DE6691" w:rsidRDefault="00DE6691" w:rsidP="0030440E">
      <w:pPr>
        <w:pStyle w:val="SourceCode"/>
      </w:pPr>
      <w:r>
        <w:t xml:space="preserve">    par(mfrow=c(1,2))</w:t>
      </w:r>
    </w:p>
    <w:p w14:paraId="0B74CA9E" w14:textId="77777777" w:rsidR="00DE6691" w:rsidRDefault="00DE6691" w:rsidP="0030440E">
      <w:pPr>
        <w:pStyle w:val="SourceCode"/>
      </w:pPr>
      <w:r>
        <w:t xml:space="preserve">    </w:t>
      </w:r>
    </w:p>
    <w:p w14:paraId="1A8DC44D" w14:textId="77777777" w:rsidR="00DE6691" w:rsidRDefault="00DE6691" w:rsidP="0030440E">
      <w:pPr>
        <w:pStyle w:val="SourceCode"/>
      </w:pPr>
      <w:r>
        <w:t xml:space="preserve">    print(plot(modeldata[,1] ~ model.OLS$fitted.values,</w:t>
      </w:r>
    </w:p>
    <w:p w14:paraId="4BB07A97" w14:textId="77777777" w:rsidR="00DE6691" w:rsidRDefault="00DE6691" w:rsidP="0030440E">
      <w:pPr>
        <w:pStyle w:val="SourceCode"/>
      </w:pPr>
      <w:r>
        <w:t xml:space="preserve">               main=paste("OLS prediction for", predicted.var),</w:t>
      </w:r>
    </w:p>
    <w:p w14:paraId="4C5BCAAC" w14:textId="77777777" w:rsidR="00DE6691" w:rsidRDefault="00DE6691" w:rsidP="0030440E">
      <w:pPr>
        <w:pStyle w:val="SourceCode"/>
      </w:pPr>
      <w:r>
        <w:t xml:space="preserve">               xlab = "Predicted", ylab = "Observed"))</w:t>
      </w:r>
    </w:p>
    <w:p w14:paraId="787AFDD3" w14:textId="77777777" w:rsidR="00DE6691" w:rsidRDefault="00DE6691" w:rsidP="0030440E">
      <w:pPr>
        <w:pStyle w:val="SourceCode"/>
      </w:pPr>
      <w:r>
        <w:t xml:space="preserve">    </w:t>
      </w:r>
    </w:p>
    <w:p w14:paraId="21688396" w14:textId="77777777" w:rsidR="00DE6691" w:rsidRDefault="00DE6691" w:rsidP="0030440E">
      <w:pPr>
        <w:pStyle w:val="SourceCode"/>
      </w:pPr>
      <w:r>
        <w:t xml:space="preserve">    print(plot(modeldata[,1] ~ model.step$fitted.values,</w:t>
      </w:r>
    </w:p>
    <w:p w14:paraId="418CD5C1" w14:textId="77777777" w:rsidR="00DE6691" w:rsidRDefault="00DE6691" w:rsidP="0030440E">
      <w:pPr>
        <w:pStyle w:val="SourceCode"/>
      </w:pPr>
      <w:r>
        <w:t xml:space="preserve">               main=paste("Stepwise Prediction for", predicted.var),</w:t>
      </w:r>
    </w:p>
    <w:p w14:paraId="52F112CC" w14:textId="77777777" w:rsidR="00DE6691" w:rsidRDefault="00DE6691" w:rsidP="0030440E">
      <w:pPr>
        <w:pStyle w:val="SourceCode"/>
      </w:pPr>
      <w:r>
        <w:t xml:space="preserve">               xlab = "Predicted", ylab = "Observed"))</w:t>
      </w:r>
    </w:p>
    <w:p w14:paraId="056AF31B" w14:textId="77777777" w:rsidR="00DE6691" w:rsidRDefault="00DE6691" w:rsidP="0030440E">
      <w:pPr>
        <w:pStyle w:val="SourceCode"/>
      </w:pPr>
      <w:r>
        <w:t xml:space="preserve">    </w:t>
      </w:r>
    </w:p>
    <w:p w14:paraId="72FD01DC" w14:textId="77777777" w:rsidR="00DE6691" w:rsidRDefault="00DE6691" w:rsidP="0030440E">
      <w:pPr>
        <w:pStyle w:val="SourceCode"/>
      </w:pPr>
      <w:r>
        <w:t xml:space="preserve">    par(mfrow=c(1,1))</w:t>
      </w:r>
    </w:p>
    <w:p w14:paraId="6F3D57D2" w14:textId="77777777" w:rsidR="00DE6691" w:rsidRDefault="00DE6691" w:rsidP="0030440E">
      <w:pPr>
        <w:pStyle w:val="SourceCode"/>
      </w:pPr>
      <w:r>
        <w:t xml:space="preserve">    </w:t>
      </w:r>
    </w:p>
    <w:p w14:paraId="1F5EF9B8" w14:textId="77777777" w:rsidR="00DE6691" w:rsidRDefault="00DE6691" w:rsidP="0030440E">
      <w:pPr>
        <w:pStyle w:val="SourceCode"/>
      </w:pPr>
      <w:r>
        <w:t xml:space="preserve">    ## Bar plots for discussion</w:t>
      </w:r>
    </w:p>
    <w:p w14:paraId="199EC703" w14:textId="77777777" w:rsidR="00DE6691" w:rsidRDefault="00DE6691" w:rsidP="0030440E">
      <w:pPr>
        <w:pStyle w:val="SourceCode"/>
      </w:pPr>
      <w:r>
        <w:t xml:space="preserve">    ##OLS Coefficients</w:t>
      </w:r>
    </w:p>
    <w:p w14:paraId="7B457648" w14:textId="77777777" w:rsidR="00DE6691" w:rsidRDefault="00DE6691" w:rsidP="0030440E">
      <w:pPr>
        <w:pStyle w:val="SourceCode"/>
      </w:pPr>
      <w:r>
        <w:t xml:space="preserve">    barplot(rev(sort(model.OLS$coefficients[-1])),</w:t>
      </w:r>
    </w:p>
    <w:p w14:paraId="32D7B134" w14:textId="77777777" w:rsidR="00DE6691" w:rsidRDefault="00DE6691" w:rsidP="0030440E">
      <w:pPr>
        <w:pStyle w:val="SourceCode"/>
      </w:pPr>
      <w:r>
        <w:t xml:space="preserve">            main=paste("OLS Coefficients for", predicted.var, </w:t>
      </w:r>
    </w:p>
    <w:p w14:paraId="17B5D3E9" w14:textId="77777777" w:rsidR="00DE6691" w:rsidRDefault="00DE6691" w:rsidP="0030440E">
      <w:pPr>
        <w:pStyle w:val="SourceCode"/>
      </w:pPr>
      <w:r>
        <w:lastRenderedPageBreak/>
        <w:t xml:space="preserve">                       "\n (Scaled &amp; Centered)"))</w:t>
      </w:r>
    </w:p>
    <w:p w14:paraId="358F5814" w14:textId="77777777" w:rsidR="00DE6691" w:rsidRDefault="00DE6691" w:rsidP="0030440E">
      <w:pPr>
        <w:pStyle w:val="SourceCode"/>
      </w:pPr>
      <w:r>
        <w:t xml:space="preserve">    </w:t>
      </w:r>
    </w:p>
    <w:p w14:paraId="5732C737" w14:textId="77777777" w:rsidR="00DE6691" w:rsidRDefault="00DE6691" w:rsidP="0030440E">
      <w:pPr>
        <w:pStyle w:val="SourceCode"/>
      </w:pPr>
      <w:r>
        <w:t xml:space="preserve">    ## Stepwise coefficients</w:t>
      </w:r>
    </w:p>
    <w:p w14:paraId="52115B8D" w14:textId="77777777" w:rsidR="00DE6691" w:rsidRDefault="00DE6691" w:rsidP="0030440E">
      <w:pPr>
        <w:pStyle w:val="SourceCode"/>
      </w:pPr>
      <w:r>
        <w:t xml:space="preserve">    print(barplot(rev(sort(model.step$coefficients[-1])),</w:t>
      </w:r>
    </w:p>
    <w:p w14:paraId="7EF21081" w14:textId="77777777" w:rsidR="00DE6691" w:rsidRDefault="00DE6691" w:rsidP="0030440E">
      <w:pPr>
        <w:pStyle w:val="SourceCode"/>
      </w:pPr>
      <w:r>
        <w:t xml:space="preserve">                  main=paste("Stepwise OLS Coefficients for", predicted.var, </w:t>
      </w:r>
    </w:p>
    <w:p w14:paraId="27700E5D" w14:textId="77777777" w:rsidR="00DE6691" w:rsidRDefault="00DE6691" w:rsidP="0030440E">
      <w:pPr>
        <w:pStyle w:val="SourceCode"/>
      </w:pPr>
      <w:r>
        <w:t xml:space="preserve">                             "\n (Scaled &amp; Centered)")))</w:t>
      </w:r>
    </w:p>
    <w:p w14:paraId="10E3D609" w14:textId="77777777" w:rsidR="00DE6691" w:rsidRDefault="00DE6691" w:rsidP="0030440E">
      <w:pPr>
        <w:pStyle w:val="SourceCode"/>
      </w:pPr>
      <w:r>
        <w:t xml:space="preserve">  }</w:t>
      </w:r>
    </w:p>
    <w:p w14:paraId="0F96DF5B" w14:textId="77777777" w:rsidR="00DE6691" w:rsidRDefault="00DE6691" w:rsidP="0030440E">
      <w:pPr>
        <w:pStyle w:val="SourceCode"/>
      </w:pPr>
      <w:r>
        <w:t xml:space="preserve">  </w:t>
      </w:r>
    </w:p>
    <w:p w14:paraId="2A034F7F" w14:textId="77777777" w:rsidR="00DE6691" w:rsidRDefault="00DE6691" w:rsidP="0030440E">
      <w:pPr>
        <w:pStyle w:val="SourceCode"/>
      </w:pPr>
      <w:r>
        <w:t xml:space="preserve">  return(model.step)</w:t>
      </w:r>
    </w:p>
    <w:p w14:paraId="5C0D7FC5" w14:textId="77777777" w:rsidR="00DE6691" w:rsidRDefault="00DE6691" w:rsidP="0030440E">
      <w:pPr>
        <w:pStyle w:val="SourceCode"/>
      </w:pPr>
      <w:r>
        <w:t>}</w:t>
      </w:r>
    </w:p>
    <w:p w14:paraId="0CEB9118" w14:textId="77777777" w:rsidR="00DE6691" w:rsidRDefault="00DE6691" w:rsidP="0030440E">
      <w:pPr>
        <w:pStyle w:val="SourceCode"/>
      </w:pPr>
    </w:p>
    <w:p w14:paraId="442A081B" w14:textId="77777777" w:rsidR="00DE6691" w:rsidRDefault="00DE6691" w:rsidP="0030440E">
      <w:pPr>
        <w:pStyle w:val="SourceCode"/>
      </w:pPr>
      <w:r>
        <w:t>## Final, "Locked in" calls to avoid high VIF's ----</w:t>
      </w:r>
    </w:p>
    <w:p w14:paraId="1B85CB1A" w14:textId="77777777" w:rsidR="00DE6691" w:rsidRDefault="00DE6691" w:rsidP="0030440E">
      <w:pPr>
        <w:pStyle w:val="SourceCode"/>
      </w:pPr>
      <w:r>
        <w:t xml:space="preserve">acetic.model &lt;- buildModel(modeldata.acetic, </w:t>
      </w:r>
    </w:p>
    <w:p w14:paraId="76CD6F5F" w14:textId="77777777" w:rsidR="00DE6691" w:rsidRDefault="00DE6691" w:rsidP="0030440E">
      <w:pPr>
        <w:pStyle w:val="SourceCode"/>
      </w:pPr>
      <w:r>
        <w:t xml:space="preserve">                           custom.call = "acetic ~ K + Ash + PENT2")</w:t>
      </w:r>
    </w:p>
    <w:p w14:paraId="423681ED" w14:textId="77777777" w:rsidR="00DE6691" w:rsidRDefault="00DE6691" w:rsidP="0030440E">
      <w:pPr>
        <w:pStyle w:val="SourceCode"/>
      </w:pPr>
      <w:r>
        <w:t xml:space="preserve">akph.model &lt;- buildModel(modeldata.akph, </w:t>
      </w:r>
    </w:p>
    <w:p w14:paraId="40234906" w14:textId="77777777" w:rsidR="00DE6691" w:rsidRDefault="00DE6691" w:rsidP="0030440E">
      <w:pPr>
        <w:pStyle w:val="SourceCode"/>
      </w:pPr>
      <w:r>
        <w:t xml:space="preserve">                         custom.call = "akph ~ pCA + glucose.nrel + K + </w:t>
      </w:r>
    </w:p>
    <w:p w14:paraId="24B5428C" w14:textId="77777777" w:rsidR="00DE6691" w:rsidRDefault="00DE6691" w:rsidP="0030440E">
      <w:pPr>
        <w:pStyle w:val="SourceCode"/>
      </w:pPr>
      <w:r>
        <w:t xml:space="preserve">                                       Crude.Protein + Ash + SUC + PENT2")</w:t>
      </w:r>
    </w:p>
    <w:p w14:paraId="58C6C6C1" w14:textId="77777777" w:rsidR="00DE6691" w:rsidRDefault="00DE6691" w:rsidP="0030440E">
      <w:pPr>
        <w:pStyle w:val="SourceCode"/>
      </w:pPr>
      <w:r>
        <w:t xml:space="preserve">furfurals.model &lt;- buildModel(modeldata.furfurals, </w:t>
      </w:r>
    </w:p>
    <w:p w14:paraId="5CC3C868" w14:textId="77777777" w:rsidR="00DE6691" w:rsidRDefault="00DE6691" w:rsidP="0030440E">
      <w:pPr>
        <w:pStyle w:val="SourceCode"/>
      </w:pPr>
      <w:r>
        <w:t xml:space="preserve">                              custom.call = "furfurals ~ K + GLC + SSE")</w:t>
      </w:r>
    </w:p>
    <w:p w14:paraId="5DEC2601" w14:textId="77777777" w:rsidR="00DE6691" w:rsidRDefault="00DE6691" w:rsidP="0030440E">
      <w:pPr>
        <w:pStyle w:val="SourceCode"/>
      </w:pPr>
      <w:r>
        <w:t>levogluc.model &lt;- buildModel(modeldata.levogluc)</w:t>
      </w:r>
    </w:p>
    <w:p w14:paraId="477AE79A" w14:textId="77777777" w:rsidR="00DE6691" w:rsidRDefault="00DE6691" w:rsidP="0030440E">
      <w:pPr>
        <w:pStyle w:val="SourceCode"/>
      </w:pPr>
      <w:r>
        <w:t>lightgas.model &lt;- buildModel(modeldata.lightgas)</w:t>
      </w:r>
    </w:p>
    <w:p w14:paraId="5113E6B8" w14:textId="77777777" w:rsidR="00DE6691" w:rsidRDefault="00DE6691" w:rsidP="0030440E">
      <w:pPr>
        <w:pStyle w:val="SourceCode"/>
      </w:pPr>
      <w:r>
        <w:lastRenderedPageBreak/>
        <w:t>lightoxy.model &lt;- buildModel(modeldata.lightoxy)</w:t>
      </w:r>
    </w:p>
    <w:p w14:paraId="038710A4" w14:textId="77777777" w:rsidR="00DE6691" w:rsidRDefault="00DE6691" w:rsidP="0030440E">
      <w:pPr>
        <w:pStyle w:val="SourceCode"/>
      </w:pPr>
      <w:r>
        <w:t xml:space="preserve">moxph.model &lt;- buildModel(modeldata.moxph, </w:t>
      </w:r>
    </w:p>
    <w:p w14:paraId="6F96175A" w14:textId="77777777" w:rsidR="00DE6691" w:rsidRDefault="00DE6691" w:rsidP="0030440E">
      <w:pPr>
        <w:pStyle w:val="SourceCode"/>
      </w:pPr>
      <w:r>
        <w:t xml:space="preserve">                          custom.call = "moxph ~ ARA + lignin.nrel")</w:t>
      </w:r>
    </w:p>
    <w:p w14:paraId="6C0AC53D" w14:textId="77777777" w:rsidR="00DE6691" w:rsidRDefault="00DE6691" w:rsidP="0030440E">
      <w:pPr>
        <w:pStyle w:val="SourceCode"/>
      </w:pPr>
      <w:r>
        <w:t>pyran.model &lt;- buildModel(modeldata.pyran)</w:t>
      </w:r>
    </w:p>
    <w:p w14:paraId="743DA493" w14:textId="77777777" w:rsidR="00DE6691" w:rsidRDefault="00DE6691" w:rsidP="0030440E">
      <w:pPr>
        <w:pStyle w:val="SourceCode"/>
      </w:pPr>
      <w:r>
        <w:t>sugars.model &lt;- buildModel(modeldata.sugars)</w:t>
      </w:r>
    </w:p>
    <w:p w14:paraId="7BDF9F7F" w14:textId="77777777" w:rsidR="00DE6691" w:rsidRDefault="00DE6691" w:rsidP="0030440E">
      <w:pPr>
        <w:pStyle w:val="SourceCode"/>
      </w:pPr>
      <w:r>
        <w:t xml:space="preserve">phenolics.model &lt;- buildModel(modeldata.phenolics, </w:t>
      </w:r>
    </w:p>
    <w:p w14:paraId="4CF6D454" w14:textId="77777777" w:rsidR="00DE6691" w:rsidRDefault="00DE6691" w:rsidP="0030440E">
      <w:pPr>
        <w:pStyle w:val="SourceCode"/>
      </w:pPr>
      <w:r>
        <w:t xml:space="preserve">                              custom.call = "phenolics ~ FA + lignin.nrel +</w:t>
      </w:r>
    </w:p>
    <w:p w14:paraId="343C8AD6" w14:textId="77777777" w:rsidR="00DE6691" w:rsidRDefault="00DE6691" w:rsidP="0030440E">
      <w:pPr>
        <w:pStyle w:val="SourceCode"/>
      </w:pPr>
      <w:r>
        <w:t xml:space="preserve">                                             Ash + pCA")</w:t>
      </w:r>
    </w:p>
    <w:p w14:paraId="11A6F1F0" w14:textId="77777777" w:rsidR="00DE6691" w:rsidRDefault="00DE6691" w:rsidP="0030440E">
      <w:pPr>
        <w:pStyle w:val="SourceCode"/>
      </w:pPr>
    </w:p>
    <w:p w14:paraId="4C9C2E86" w14:textId="77777777" w:rsidR="00DE6691" w:rsidRDefault="00DE6691" w:rsidP="0030440E">
      <w:pPr>
        <w:pStyle w:val="SourceCode"/>
      </w:pPr>
      <w:r>
        <w:t>## Print coefficients ----</w:t>
      </w:r>
    </w:p>
    <w:p w14:paraId="1EB19636" w14:textId="77777777" w:rsidR="00DE6691" w:rsidRDefault="00DE6691" w:rsidP="0030440E">
      <w:pPr>
        <w:pStyle w:val="SourceCode"/>
      </w:pPr>
      <w:r>
        <w:t>acetic.model$coefficients</w:t>
      </w:r>
    </w:p>
    <w:p w14:paraId="1DDC4CB1" w14:textId="77777777" w:rsidR="00DE6691" w:rsidRDefault="00DE6691" w:rsidP="0030440E">
      <w:pPr>
        <w:pStyle w:val="SourceCode"/>
      </w:pPr>
      <w:r>
        <w:t>akph.model$coefficients</w:t>
      </w:r>
    </w:p>
    <w:p w14:paraId="2776E92F" w14:textId="77777777" w:rsidR="00DE6691" w:rsidRDefault="00DE6691" w:rsidP="0030440E">
      <w:pPr>
        <w:pStyle w:val="SourceCode"/>
      </w:pPr>
      <w:r>
        <w:t>furfurals.model$coefficients</w:t>
      </w:r>
    </w:p>
    <w:p w14:paraId="17DC8379" w14:textId="77777777" w:rsidR="00DE6691" w:rsidRDefault="00DE6691" w:rsidP="0030440E">
      <w:pPr>
        <w:pStyle w:val="SourceCode"/>
      </w:pPr>
      <w:r>
        <w:t>levogluc.model$coefficients</w:t>
      </w:r>
    </w:p>
    <w:p w14:paraId="01AC72CE" w14:textId="77777777" w:rsidR="00DE6691" w:rsidRDefault="00DE6691" w:rsidP="0030440E">
      <w:pPr>
        <w:pStyle w:val="SourceCode"/>
      </w:pPr>
      <w:r>
        <w:t>lightgas.model$coefficients</w:t>
      </w:r>
    </w:p>
    <w:p w14:paraId="4FBD0501" w14:textId="77777777" w:rsidR="00DE6691" w:rsidRDefault="00DE6691" w:rsidP="0030440E">
      <w:pPr>
        <w:pStyle w:val="SourceCode"/>
      </w:pPr>
      <w:r>
        <w:t>lightoxy.model$coefficients</w:t>
      </w:r>
    </w:p>
    <w:p w14:paraId="2175CBBD" w14:textId="77777777" w:rsidR="00DE6691" w:rsidRDefault="00DE6691" w:rsidP="0030440E">
      <w:pPr>
        <w:pStyle w:val="SourceCode"/>
      </w:pPr>
      <w:r>
        <w:t>moxph.model$coefficients</w:t>
      </w:r>
    </w:p>
    <w:p w14:paraId="3F15CA02" w14:textId="77777777" w:rsidR="00DE6691" w:rsidRDefault="00DE6691" w:rsidP="0030440E">
      <w:pPr>
        <w:pStyle w:val="SourceCode"/>
      </w:pPr>
      <w:r>
        <w:t>pyran.model$coefficientst</w:t>
      </w:r>
    </w:p>
    <w:p w14:paraId="41F378FB" w14:textId="77777777" w:rsidR="00DE6691" w:rsidRDefault="00DE6691" w:rsidP="0030440E">
      <w:pPr>
        <w:pStyle w:val="SourceCode"/>
      </w:pPr>
      <w:r>
        <w:t>sugars.model$coefficients</w:t>
      </w:r>
    </w:p>
    <w:p w14:paraId="34750F40" w14:textId="77777777" w:rsidR="00DE6691" w:rsidRDefault="00DE6691" w:rsidP="0030440E">
      <w:pPr>
        <w:pStyle w:val="SourceCode"/>
      </w:pPr>
    </w:p>
    <w:p w14:paraId="09D6CA78" w14:textId="77777777" w:rsidR="00DE6691" w:rsidRDefault="00DE6691" w:rsidP="0030440E">
      <w:pPr>
        <w:pStyle w:val="SourceCode"/>
      </w:pPr>
      <w:r>
        <w:t>## Dump out performance info ----</w:t>
      </w:r>
    </w:p>
    <w:p w14:paraId="10220443" w14:textId="77777777" w:rsidR="00DE6691" w:rsidRDefault="00DE6691" w:rsidP="0030440E">
      <w:pPr>
        <w:pStyle w:val="SourceCode"/>
      </w:pPr>
      <w:r>
        <w:lastRenderedPageBreak/>
        <w:t>r2.values &lt;- as.data.frame(rbind(cbind('acetic', summary(acetic.model)$r.squared),</w:t>
      </w:r>
    </w:p>
    <w:p w14:paraId="040A2754" w14:textId="77777777" w:rsidR="00DE6691" w:rsidRDefault="00DE6691" w:rsidP="0030440E">
      <w:pPr>
        <w:pStyle w:val="SourceCode"/>
      </w:pPr>
      <w:r>
        <w:t xml:space="preserve">                                 cbind('akph', summary(akph.model)$r.squared),</w:t>
      </w:r>
    </w:p>
    <w:p w14:paraId="149382B5" w14:textId="77777777" w:rsidR="00DE6691" w:rsidRDefault="00DE6691" w:rsidP="0030440E">
      <w:pPr>
        <w:pStyle w:val="SourceCode"/>
      </w:pPr>
      <w:r>
        <w:t xml:space="preserve">                                 cbind('furfurals', summary(furfurals.model)$r.squared),</w:t>
      </w:r>
    </w:p>
    <w:p w14:paraId="7A0A0E47" w14:textId="77777777" w:rsidR="00DE6691" w:rsidRDefault="00DE6691" w:rsidP="0030440E">
      <w:pPr>
        <w:pStyle w:val="SourceCode"/>
      </w:pPr>
      <w:r>
        <w:t xml:space="preserve">                                 cbind('levogluc', summary(levogluc.model)$r.squared),</w:t>
      </w:r>
    </w:p>
    <w:p w14:paraId="6ED2A04B" w14:textId="77777777" w:rsidR="00DE6691" w:rsidRDefault="00DE6691" w:rsidP="0030440E">
      <w:pPr>
        <w:pStyle w:val="SourceCode"/>
      </w:pPr>
      <w:r>
        <w:t xml:space="preserve">                                 cbind('lightgas', summary(lightgas.model)$r.squared),</w:t>
      </w:r>
    </w:p>
    <w:p w14:paraId="215C49AB" w14:textId="77777777" w:rsidR="00DE6691" w:rsidRDefault="00DE6691" w:rsidP="0030440E">
      <w:pPr>
        <w:pStyle w:val="SourceCode"/>
      </w:pPr>
      <w:r>
        <w:t xml:space="preserve">                                 cbind('lightoxy', summary(lightoxy.model)$r.squared),</w:t>
      </w:r>
    </w:p>
    <w:p w14:paraId="6C82F8AA" w14:textId="77777777" w:rsidR="00DE6691" w:rsidRDefault="00DE6691" w:rsidP="0030440E">
      <w:pPr>
        <w:pStyle w:val="SourceCode"/>
      </w:pPr>
      <w:r>
        <w:t xml:space="preserve">                                 cbind('moxph', summary(moxph.model)$r.squared),</w:t>
      </w:r>
    </w:p>
    <w:p w14:paraId="778A7FE6" w14:textId="77777777" w:rsidR="00DE6691" w:rsidRDefault="00DE6691" w:rsidP="0030440E">
      <w:pPr>
        <w:pStyle w:val="SourceCode"/>
      </w:pPr>
      <w:r>
        <w:t xml:space="preserve">                                 cbind('pyran', summary(pyran.model)$r.squared),</w:t>
      </w:r>
    </w:p>
    <w:p w14:paraId="17599B5C" w14:textId="77777777" w:rsidR="00DE6691" w:rsidRDefault="00DE6691" w:rsidP="0030440E">
      <w:pPr>
        <w:pStyle w:val="SourceCode"/>
      </w:pPr>
      <w:r>
        <w:t xml:space="preserve">                                 cbind('sugars', summary(sugars.model)$r.squared),</w:t>
      </w:r>
    </w:p>
    <w:p w14:paraId="63A9D530" w14:textId="77777777" w:rsidR="00DE6691" w:rsidRDefault="00DE6691" w:rsidP="0030440E">
      <w:pPr>
        <w:pStyle w:val="SourceCode"/>
      </w:pPr>
      <w:r>
        <w:t xml:space="preserve">                                 cbind('phenolics', summary(phenolics.model)$r.squared)))</w:t>
      </w:r>
    </w:p>
    <w:p w14:paraId="05647832" w14:textId="77777777" w:rsidR="00DE6691" w:rsidRDefault="00DE6691" w:rsidP="0030440E">
      <w:pPr>
        <w:pStyle w:val="SourceCode"/>
      </w:pPr>
    </w:p>
    <w:p w14:paraId="7A63BCE6" w14:textId="77777777" w:rsidR="00DE6691" w:rsidRDefault="00DE6691" w:rsidP="0030440E">
      <w:pPr>
        <w:pStyle w:val="SourceCode"/>
      </w:pPr>
      <w:r>
        <w:t>r2.values</w:t>
      </w:r>
    </w:p>
    <w:p w14:paraId="5F52C03C" w14:textId="77777777" w:rsidR="00DE6691" w:rsidRDefault="00DE6691" w:rsidP="0030440E">
      <w:pPr>
        <w:pStyle w:val="SourceCode"/>
      </w:pPr>
    </w:p>
    <w:p w14:paraId="04A5A13B" w14:textId="77777777" w:rsidR="00DE6691" w:rsidRDefault="00DE6691" w:rsidP="0030440E">
      <w:pPr>
        <w:pStyle w:val="SourceCode"/>
      </w:pPr>
      <w:r>
        <w:t>## Transformed coefficient table ----</w:t>
      </w:r>
    </w:p>
    <w:p w14:paraId="61270955" w14:textId="77777777" w:rsidR="00DE6691" w:rsidRDefault="00DE6691" w:rsidP="0030440E">
      <w:pPr>
        <w:pStyle w:val="SourceCode"/>
      </w:pPr>
    </w:p>
    <w:p w14:paraId="319DE4DC" w14:textId="77777777" w:rsidR="00DE6691" w:rsidRDefault="00DE6691" w:rsidP="0030440E">
      <w:pPr>
        <w:pStyle w:val="SourceCode"/>
      </w:pPr>
      <w:r>
        <w:t>## Let's pull a dataset of all of the 'good' model coefficients together</w:t>
      </w:r>
    </w:p>
    <w:p w14:paraId="1161A3BE" w14:textId="77777777" w:rsidR="00DE6691" w:rsidRDefault="00DE6691" w:rsidP="0030440E">
      <w:pPr>
        <w:pStyle w:val="SourceCode"/>
      </w:pPr>
      <w:r>
        <w:lastRenderedPageBreak/>
        <w:t>coeff.frm &lt;- data.frame()</w:t>
      </w:r>
    </w:p>
    <w:p w14:paraId="69D35F00" w14:textId="77777777" w:rsidR="00DE6691" w:rsidRDefault="00DE6691" w:rsidP="0030440E">
      <w:pPr>
        <w:pStyle w:val="SourceCode"/>
      </w:pPr>
      <w:r>
        <w:t xml:space="preserve">coeff.frm &lt;- rbind.data.frame(coeff.frm, </w:t>
      </w:r>
    </w:p>
    <w:p w14:paraId="6CF07EEE" w14:textId="77777777" w:rsidR="00DE6691" w:rsidRDefault="00DE6691" w:rsidP="0030440E">
      <w:pPr>
        <w:pStyle w:val="SourceCode"/>
      </w:pPr>
      <w:r>
        <w:t xml:space="preserve">                              cbind("acetic", </w:t>
      </w:r>
    </w:p>
    <w:p w14:paraId="61425AEF" w14:textId="77777777" w:rsidR="00DE6691" w:rsidRDefault="00DE6691" w:rsidP="0030440E">
      <w:pPr>
        <w:pStyle w:val="SourceCode"/>
      </w:pPr>
      <w:r>
        <w:t xml:space="preserve">                                    names(acetic.model$coefficients)[-1], </w:t>
      </w:r>
    </w:p>
    <w:p w14:paraId="49A76102" w14:textId="77777777" w:rsidR="00DE6691" w:rsidRDefault="00DE6691" w:rsidP="0030440E">
      <w:pPr>
        <w:pStyle w:val="SourceCode"/>
      </w:pPr>
      <w:r>
        <w:t xml:space="preserve">                                    as.numeric(sign(acetic.model$coefficients[-1]))))</w:t>
      </w:r>
    </w:p>
    <w:p w14:paraId="35416FEE" w14:textId="77777777" w:rsidR="00DE6691" w:rsidRDefault="00DE6691" w:rsidP="0030440E">
      <w:pPr>
        <w:pStyle w:val="SourceCode"/>
      </w:pPr>
      <w:r>
        <w:t xml:space="preserve">coeff.frm &lt;- rbind.data.frame(coeff.frm, </w:t>
      </w:r>
    </w:p>
    <w:p w14:paraId="2A6FCE03" w14:textId="77777777" w:rsidR="00DE6691" w:rsidRDefault="00DE6691" w:rsidP="0030440E">
      <w:pPr>
        <w:pStyle w:val="SourceCode"/>
      </w:pPr>
      <w:r>
        <w:t xml:space="preserve">                              cbind("akph", </w:t>
      </w:r>
    </w:p>
    <w:p w14:paraId="1E3F06AF" w14:textId="77777777" w:rsidR="00DE6691" w:rsidRDefault="00DE6691" w:rsidP="0030440E">
      <w:pPr>
        <w:pStyle w:val="SourceCode"/>
      </w:pPr>
      <w:r>
        <w:t xml:space="preserve">                                    names(akph.model$coefficients)[-1], </w:t>
      </w:r>
    </w:p>
    <w:p w14:paraId="72F026E3" w14:textId="77777777" w:rsidR="00DE6691" w:rsidRDefault="00DE6691" w:rsidP="0030440E">
      <w:pPr>
        <w:pStyle w:val="SourceCode"/>
      </w:pPr>
      <w:r>
        <w:t xml:space="preserve">                                    as.numeric(sign(akph.model$coefficients[-1]))))</w:t>
      </w:r>
    </w:p>
    <w:p w14:paraId="0210BEF7" w14:textId="77777777" w:rsidR="00DE6691" w:rsidRDefault="00DE6691" w:rsidP="0030440E">
      <w:pPr>
        <w:pStyle w:val="SourceCode"/>
      </w:pPr>
      <w:r>
        <w:t xml:space="preserve">coeff.frm &lt;- rbind.data.frame(coeff.frm, </w:t>
      </w:r>
    </w:p>
    <w:p w14:paraId="577ABDCE" w14:textId="77777777" w:rsidR="00DE6691" w:rsidRDefault="00DE6691" w:rsidP="0030440E">
      <w:pPr>
        <w:pStyle w:val="SourceCode"/>
      </w:pPr>
      <w:r>
        <w:t xml:space="preserve">                              cbind("furfurals", </w:t>
      </w:r>
    </w:p>
    <w:p w14:paraId="1AD06AE5" w14:textId="77777777" w:rsidR="00DE6691" w:rsidRDefault="00DE6691" w:rsidP="0030440E">
      <w:pPr>
        <w:pStyle w:val="SourceCode"/>
      </w:pPr>
      <w:r>
        <w:t xml:space="preserve">                                    names(furfurals.model$coefficients)[-1], </w:t>
      </w:r>
    </w:p>
    <w:p w14:paraId="48A1A29D" w14:textId="77777777" w:rsidR="00DE6691" w:rsidRDefault="00DE6691" w:rsidP="0030440E">
      <w:pPr>
        <w:pStyle w:val="SourceCode"/>
      </w:pPr>
      <w:r>
        <w:t xml:space="preserve">                                    as.numeric(sign(furfurals.model$coefficients[-1]))))</w:t>
      </w:r>
    </w:p>
    <w:p w14:paraId="7BE84F8D" w14:textId="77777777" w:rsidR="00DE6691" w:rsidRDefault="00DE6691" w:rsidP="0030440E">
      <w:pPr>
        <w:pStyle w:val="SourceCode"/>
      </w:pPr>
      <w:r>
        <w:t xml:space="preserve">coeff.frm &lt;- rbind.data.frame(coeff.frm, </w:t>
      </w:r>
    </w:p>
    <w:p w14:paraId="1A40D15B" w14:textId="77777777" w:rsidR="00DE6691" w:rsidRDefault="00DE6691" w:rsidP="0030440E">
      <w:pPr>
        <w:pStyle w:val="SourceCode"/>
      </w:pPr>
      <w:r>
        <w:t xml:space="preserve">                              cbind("levogluc", </w:t>
      </w:r>
    </w:p>
    <w:p w14:paraId="43AC50B9" w14:textId="77777777" w:rsidR="00DE6691" w:rsidRDefault="00DE6691" w:rsidP="0030440E">
      <w:pPr>
        <w:pStyle w:val="SourceCode"/>
      </w:pPr>
      <w:r>
        <w:t xml:space="preserve">                                    names(levogluc.model$coefficients)[-1], </w:t>
      </w:r>
    </w:p>
    <w:p w14:paraId="44A199AE" w14:textId="77777777" w:rsidR="00DE6691" w:rsidRDefault="00DE6691" w:rsidP="0030440E">
      <w:pPr>
        <w:pStyle w:val="SourceCode"/>
      </w:pPr>
      <w:r>
        <w:t xml:space="preserve">                                    as.numeric(sign(levogluc.model$coefficients[-1]))))</w:t>
      </w:r>
    </w:p>
    <w:p w14:paraId="06918533" w14:textId="77777777" w:rsidR="00DE6691" w:rsidRDefault="00DE6691" w:rsidP="0030440E">
      <w:pPr>
        <w:pStyle w:val="SourceCode"/>
      </w:pPr>
      <w:r>
        <w:t xml:space="preserve">coeff.frm &lt;- rbind.data.frame(coeff.frm, </w:t>
      </w:r>
    </w:p>
    <w:p w14:paraId="17AFB8F7" w14:textId="77777777" w:rsidR="00DE6691" w:rsidRDefault="00DE6691" w:rsidP="0030440E">
      <w:pPr>
        <w:pStyle w:val="SourceCode"/>
      </w:pPr>
      <w:r>
        <w:lastRenderedPageBreak/>
        <w:t xml:space="preserve">                              cbind("lightgas", </w:t>
      </w:r>
    </w:p>
    <w:p w14:paraId="4B57A17D" w14:textId="77777777" w:rsidR="00DE6691" w:rsidRDefault="00DE6691" w:rsidP="0030440E">
      <w:pPr>
        <w:pStyle w:val="SourceCode"/>
      </w:pPr>
      <w:r>
        <w:t xml:space="preserve">                                    names(lightgas.model$coefficients)[-1], </w:t>
      </w:r>
    </w:p>
    <w:p w14:paraId="7BDB165E" w14:textId="77777777" w:rsidR="00DE6691" w:rsidRDefault="00DE6691" w:rsidP="0030440E">
      <w:pPr>
        <w:pStyle w:val="SourceCode"/>
      </w:pPr>
      <w:r>
        <w:t xml:space="preserve">                                    as.numeric(sign(lightgas.model$coefficients[-1]))))</w:t>
      </w:r>
    </w:p>
    <w:p w14:paraId="1EF60BD0" w14:textId="77777777" w:rsidR="00DE6691" w:rsidRDefault="00DE6691" w:rsidP="0030440E">
      <w:pPr>
        <w:pStyle w:val="SourceCode"/>
      </w:pPr>
      <w:r>
        <w:t xml:space="preserve">coeff.frm &lt;- rbind.data.frame(coeff.frm, </w:t>
      </w:r>
    </w:p>
    <w:p w14:paraId="602FE12F" w14:textId="77777777" w:rsidR="00DE6691" w:rsidRDefault="00DE6691" w:rsidP="0030440E">
      <w:pPr>
        <w:pStyle w:val="SourceCode"/>
      </w:pPr>
      <w:r>
        <w:t xml:space="preserve">                              cbind("lightoxy", </w:t>
      </w:r>
    </w:p>
    <w:p w14:paraId="27DEB1E0" w14:textId="77777777" w:rsidR="00DE6691" w:rsidRDefault="00DE6691" w:rsidP="0030440E">
      <w:pPr>
        <w:pStyle w:val="SourceCode"/>
      </w:pPr>
      <w:r>
        <w:t xml:space="preserve">                                    names(lightoxy.model$coefficients)[-1], </w:t>
      </w:r>
    </w:p>
    <w:p w14:paraId="255AA423" w14:textId="77777777" w:rsidR="00DE6691" w:rsidRDefault="00DE6691" w:rsidP="0030440E">
      <w:pPr>
        <w:pStyle w:val="SourceCode"/>
      </w:pPr>
      <w:r>
        <w:t xml:space="preserve">                                    as.numeric(sign(lightoxy.model$coefficients[-1]))))</w:t>
      </w:r>
    </w:p>
    <w:p w14:paraId="21578A50" w14:textId="77777777" w:rsidR="00DE6691" w:rsidRDefault="00DE6691" w:rsidP="0030440E">
      <w:pPr>
        <w:pStyle w:val="SourceCode"/>
      </w:pPr>
      <w:r>
        <w:t xml:space="preserve">coeff.frm &lt;- rbind.data.frame(coeff.frm, </w:t>
      </w:r>
    </w:p>
    <w:p w14:paraId="3661F05C" w14:textId="77777777" w:rsidR="00DE6691" w:rsidRDefault="00DE6691" w:rsidP="0030440E">
      <w:pPr>
        <w:pStyle w:val="SourceCode"/>
      </w:pPr>
      <w:r>
        <w:t xml:space="preserve">                              cbind("moxph", </w:t>
      </w:r>
    </w:p>
    <w:p w14:paraId="664ED655" w14:textId="77777777" w:rsidR="00DE6691" w:rsidRDefault="00DE6691" w:rsidP="0030440E">
      <w:pPr>
        <w:pStyle w:val="SourceCode"/>
      </w:pPr>
      <w:r>
        <w:t xml:space="preserve">                                    names(moxph.model$coefficients)[-1], </w:t>
      </w:r>
    </w:p>
    <w:p w14:paraId="79815DB5" w14:textId="77777777" w:rsidR="00DE6691" w:rsidRDefault="00DE6691" w:rsidP="0030440E">
      <w:pPr>
        <w:pStyle w:val="SourceCode"/>
      </w:pPr>
      <w:r>
        <w:t xml:space="preserve">                                    as.numeric(sign(moxph.model$coefficients[-1]))))</w:t>
      </w:r>
    </w:p>
    <w:p w14:paraId="72F4D8FE" w14:textId="77777777" w:rsidR="00DE6691" w:rsidRDefault="00DE6691" w:rsidP="0030440E">
      <w:pPr>
        <w:pStyle w:val="SourceCode"/>
      </w:pPr>
      <w:r>
        <w:t xml:space="preserve">coeff.frm &lt;- rbind.data.frame(coeff.frm, </w:t>
      </w:r>
    </w:p>
    <w:p w14:paraId="36358C5F" w14:textId="77777777" w:rsidR="00DE6691" w:rsidRDefault="00DE6691" w:rsidP="0030440E">
      <w:pPr>
        <w:pStyle w:val="SourceCode"/>
      </w:pPr>
      <w:r>
        <w:t xml:space="preserve">                              cbind("pyran", </w:t>
      </w:r>
    </w:p>
    <w:p w14:paraId="3F56FB58" w14:textId="77777777" w:rsidR="00DE6691" w:rsidRDefault="00DE6691" w:rsidP="0030440E">
      <w:pPr>
        <w:pStyle w:val="SourceCode"/>
      </w:pPr>
      <w:r>
        <w:t xml:space="preserve">                                    names(pyran.model$coefficients)[-1], </w:t>
      </w:r>
    </w:p>
    <w:p w14:paraId="06F528DA" w14:textId="77777777" w:rsidR="00DE6691" w:rsidRDefault="00DE6691" w:rsidP="0030440E">
      <w:pPr>
        <w:pStyle w:val="SourceCode"/>
      </w:pPr>
      <w:r>
        <w:t xml:space="preserve">                                    as.numeric(sign(pyran.model$coefficients[-1]))))</w:t>
      </w:r>
    </w:p>
    <w:p w14:paraId="062CEA6C" w14:textId="77777777" w:rsidR="00DE6691" w:rsidRDefault="00DE6691" w:rsidP="0030440E">
      <w:pPr>
        <w:pStyle w:val="SourceCode"/>
      </w:pPr>
      <w:r>
        <w:t xml:space="preserve">coeff.frm &lt;- rbind.data.frame(coeff.frm, </w:t>
      </w:r>
    </w:p>
    <w:p w14:paraId="0429DFB2" w14:textId="77777777" w:rsidR="00DE6691" w:rsidRDefault="00DE6691" w:rsidP="0030440E">
      <w:pPr>
        <w:pStyle w:val="SourceCode"/>
      </w:pPr>
      <w:r>
        <w:t xml:space="preserve">                              cbind("sugars", </w:t>
      </w:r>
    </w:p>
    <w:p w14:paraId="55775474" w14:textId="77777777" w:rsidR="00DE6691" w:rsidRDefault="00DE6691" w:rsidP="0030440E">
      <w:pPr>
        <w:pStyle w:val="SourceCode"/>
      </w:pPr>
      <w:r>
        <w:t xml:space="preserve">                                    names(sugars.model$coefficients)[-1], </w:t>
      </w:r>
    </w:p>
    <w:p w14:paraId="5DEFC719" w14:textId="77777777" w:rsidR="00DE6691" w:rsidRDefault="00DE6691" w:rsidP="0030440E">
      <w:pPr>
        <w:pStyle w:val="SourceCode"/>
      </w:pPr>
      <w:r>
        <w:lastRenderedPageBreak/>
        <w:t xml:space="preserve">                                    as.numeric(sign(sugars.model$coefficients[-1]))))</w:t>
      </w:r>
    </w:p>
    <w:p w14:paraId="52B5E592" w14:textId="77777777" w:rsidR="00DE6691" w:rsidRDefault="00DE6691" w:rsidP="0030440E">
      <w:pPr>
        <w:pStyle w:val="SourceCode"/>
      </w:pPr>
      <w:r>
        <w:t xml:space="preserve">coeff.frm &lt;- rbind.data.frame(coeff.frm, </w:t>
      </w:r>
    </w:p>
    <w:p w14:paraId="2734E390" w14:textId="77777777" w:rsidR="00DE6691" w:rsidRDefault="00DE6691" w:rsidP="0030440E">
      <w:pPr>
        <w:pStyle w:val="SourceCode"/>
      </w:pPr>
      <w:r>
        <w:t xml:space="preserve">                              cbind("phenolics", </w:t>
      </w:r>
    </w:p>
    <w:p w14:paraId="330AD6C4" w14:textId="77777777" w:rsidR="00DE6691" w:rsidRDefault="00DE6691" w:rsidP="0030440E">
      <w:pPr>
        <w:pStyle w:val="SourceCode"/>
      </w:pPr>
      <w:r>
        <w:t xml:space="preserve">                                    names(phenolics.model$coefficients)[-1], </w:t>
      </w:r>
    </w:p>
    <w:p w14:paraId="41DDF3AC" w14:textId="77777777" w:rsidR="00DE6691" w:rsidRDefault="00DE6691" w:rsidP="0030440E">
      <w:pPr>
        <w:pStyle w:val="SourceCode"/>
      </w:pPr>
      <w:r>
        <w:t xml:space="preserve">                                    as.numeric(sign(phenolics.model$coefficients[-1]))))</w:t>
      </w:r>
    </w:p>
    <w:p w14:paraId="7AD9D87C" w14:textId="77777777" w:rsidR="00DE6691" w:rsidRDefault="00DE6691" w:rsidP="0030440E">
      <w:pPr>
        <w:pStyle w:val="SourceCode"/>
      </w:pPr>
    </w:p>
    <w:p w14:paraId="1253066F" w14:textId="77777777" w:rsidR="00DE6691" w:rsidRDefault="00DE6691" w:rsidP="0030440E">
      <w:pPr>
        <w:pStyle w:val="SourceCode"/>
      </w:pPr>
      <w:r>
        <w:t>colnames(coeff.frm) &lt;- c("model", "coefficient", "sign")</w:t>
      </w:r>
    </w:p>
    <w:p w14:paraId="162A8DB2" w14:textId="77777777" w:rsidR="00DE6691" w:rsidRDefault="00DE6691" w:rsidP="0030440E">
      <w:pPr>
        <w:pStyle w:val="SourceCode"/>
      </w:pPr>
    </w:p>
    <w:p w14:paraId="798A9012" w14:textId="77777777" w:rsidR="00DE6691" w:rsidRDefault="00DE6691" w:rsidP="0030440E">
      <w:pPr>
        <w:pStyle w:val="SourceCode"/>
      </w:pPr>
      <w:r>
        <w:t>good.models &lt;- as.character(r2.values$V1[which(as.numeric(as.character(r2.values$V2)) &gt; 0.41)])</w:t>
      </w:r>
    </w:p>
    <w:p w14:paraId="53C5FB66" w14:textId="77777777" w:rsidR="00DE6691" w:rsidRDefault="00DE6691" w:rsidP="0030440E">
      <w:pPr>
        <w:pStyle w:val="SourceCode"/>
      </w:pPr>
      <w:r>
        <w:t>coeff.frm &lt;- coeff.frm[!is.na(match(as.character(coeff.frm$model), good.models)),]</w:t>
      </w:r>
    </w:p>
    <w:p w14:paraId="6D4A5171" w14:textId="77777777" w:rsidR="00DE6691" w:rsidRDefault="00DE6691" w:rsidP="0030440E">
      <w:pPr>
        <w:pStyle w:val="SourceCode"/>
      </w:pPr>
      <w:r>
        <w:t>coeff.frm$sign &lt;- as.integer(as.character(coeff.frm$sign))</w:t>
      </w:r>
    </w:p>
    <w:p w14:paraId="572350A3" w14:textId="77777777" w:rsidR="00DE6691" w:rsidRDefault="00DE6691" w:rsidP="0030440E">
      <w:pPr>
        <w:pStyle w:val="SourceCode"/>
      </w:pPr>
      <w:r>
        <w:t>dcast(coeff.frm, model ~ coefficient)</w:t>
      </w:r>
    </w:p>
    <w:p w14:paraId="00D96F56" w14:textId="77777777" w:rsidR="00DE6691" w:rsidRDefault="00DE6691" w:rsidP="0030440E">
      <w:pPr>
        <w:pStyle w:val="SourceCode"/>
      </w:pPr>
    </w:p>
    <w:p w14:paraId="3090DBDC" w14:textId="77777777" w:rsidR="00DE6691" w:rsidRDefault="00DE6691" w:rsidP="0030440E">
      <w:pPr>
        <w:pStyle w:val="SourceCode"/>
      </w:pPr>
      <w:r>
        <w:t>## Residual explorations ----</w:t>
      </w:r>
    </w:p>
    <w:p w14:paraId="404F4171" w14:textId="77777777" w:rsidR="00DE6691" w:rsidRDefault="00DE6691" w:rsidP="0030440E">
      <w:pPr>
        <w:pStyle w:val="SourceCode"/>
      </w:pPr>
      <w:r>
        <w:t>plot(acetic.model, which = 1)</w:t>
      </w:r>
    </w:p>
    <w:p w14:paraId="3B8E6C12" w14:textId="77777777" w:rsidR="00DE6691" w:rsidRDefault="00DE6691" w:rsidP="0030440E">
      <w:pPr>
        <w:pStyle w:val="SourceCode"/>
      </w:pPr>
      <w:r>
        <w:t>plot(akph.model, which = 1)</w:t>
      </w:r>
    </w:p>
    <w:p w14:paraId="61D4D2CB" w14:textId="77777777" w:rsidR="00DE6691" w:rsidRDefault="00DE6691" w:rsidP="0030440E">
      <w:pPr>
        <w:pStyle w:val="SourceCode"/>
      </w:pPr>
      <w:r>
        <w:t>plot(levogluc.model, which = 1)</w:t>
      </w:r>
    </w:p>
    <w:p w14:paraId="3CA790EF" w14:textId="77777777" w:rsidR="00DE6691" w:rsidRDefault="00DE6691" w:rsidP="0030440E">
      <w:pPr>
        <w:pStyle w:val="SourceCode"/>
      </w:pPr>
      <w:r>
        <w:t>plot(moxph.model, which = 1)</w:t>
      </w:r>
    </w:p>
    <w:p w14:paraId="036FFCD7" w14:textId="77777777" w:rsidR="00DE6691" w:rsidRDefault="00DE6691" w:rsidP="0030440E">
      <w:pPr>
        <w:pStyle w:val="SourceCode"/>
      </w:pPr>
      <w:r>
        <w:lastRenderedPageBreak/>
        <w:t>plot(pyran.model, which = 1)</w:t>
      </w:r>
    </w:p>
    <w:p w14:paraId="7A4379AD" w14:textId="77777777" w:rsidR="00DE6691" w:rsidRDefault="00DE6691" w:rsidP="0030440E">
      <w:pPr>
        <w:pStyle w:val="SourceCode"/>
      </w:pPr>
      <w:r>
        <w:t>plot(phenolics.model, which = 1)</w:t>
      </w:r>
    </w:p>
    <w:p w14:paraId="099FDD2F" w14:textId="77777777" w:rsidR="00DE6691" w:rsidRDefault="00DE6691" w:rsidP="0030440E">
      <w:pPr>
        <w:pStyle w:val="SourceCode"/>
      </w:pPr>
    </w:p>
    <w:p w14:paraId="54F506F3" w14:textId="77777777" w:rsidR="00DE6691" w:rsidRDefault="00DE6691" w:rsidP="0030440E">
      <w:pPr>
        <w:pStyle w:val="SourceCode"/>
      </w:pPr>
      <w:r>
        <w:t>ncvTest(acetic.model)</w:t>
      </w:r>
    </w:p>
    <w:p w14:paraId="57187EEE" w14:textId="77777777" w:rsidR="00DE6691" w:rsidRDefault="00DE6691" w:rsidP="0030440E">
      <w:pPr>
        <w:pStyle w:val="SourceCode"/>
      </w:pPr>
      <w:r>
        <w:t>ncvTest(akph.model)</w:t>
      </w:r>
    </w:p>
    <w:p w14:paraId="61CA4474" w14:textId="77777777" w:rsidR="00DE6691" w:rsidRDefault="00DE6691" w:rsidP="0030440E">
      <w:pPr>
        <w:pStyle w:val="SourceCode"/>
      </w:pPr>
      <w:r>
        <w:t>ncvTest(levogluc.model)</w:t>
      </w:r>
    </w:p>
    <w:p w14:paraId="27B107BC" w14:textId="77777777" w:rsidR="00DE6691" w:rsidRDefault="00DE6691" w:rsidP="0030440E">
      <w:pPr>
        <w:pStyle w:val="SourceCode"/>
      </w:pPr>
      <w:r>
        <w:t>ncvTest(moxph.model)</w:t>
      </w:r>
    </w:p>
    <w:p w14:paraId="4D8278DC" w14:textId="77777777" w:rsidR="00DE6691" w:rsidRDefault="00DE6691" w:rsidP="0030440E">
      <w:pPr>
        <w:pStyle w:val="SourceCode"/>
      </w:pPr>
      <w:r>
        <w:t>ncvTest(pyran.model)</w:t>
      </w:r>
    </w:p>
    <w:p w14:paraId="2163674A" w14:textId="77777777" w:rsidR="00DE6691" w:rsidRDefault="00DE6691" w:rsidP="0030440E">
      <w:pPr>
        <w:pStyle w:val="SourceCode"/>
      </w:pPr>
      <w:r>
        <w:t>ncvTest(phenolics.model)</w:t>
      </w:r>
    </w:p>
    <w:p w14:paraId="7D7E53C7" w14:textId="77777777" w:rsidR="00DE6691" w:rsidRDefault="00DE6691" w:rsidP="0030440E">
      <w:pPr>
        <w:pStyle w:val="SourceCode"/>
      </w:pPr>
    </w:p>
    <w:p w14:paraId="7260E796" w14:textId="77777777" w:rsidR="00DE6691" w:rsidRDefault="00DE6691" w:rsidP="0030440E">
      <w:pPr>
        <w:pStyle w:val="SourceCode"/>
      </w:pPr>
      <w:r>
        <w:t>plot(acetic.model, which = 5)</w:t>
      </w:r>
    </w:p>
    <w:p w14:paraId="0AA14DB9" w14:textId="77777777" w:rsidR="00DE6691" w:rsidRDefault="00DE6691" w:rsidP="0030440E">
      <w:pPr>
        <w:pStyle w:val="SourceCode"/>
      </w:pPr>
      <w:r>
        <w:t>plot(akph.model, which = 5)</w:t>
      </w:r>
    </w:p>
    <w:p w14:paraId="692F58CB" w14:textId="77777777" w:rsidR="00DE6691" w:rsidRDefault="00DE6691" w:rsidP="0030440E">
      <w:pPr>
        <w:pStyle w:val="SourceCode"/>
      </w:pPr>
      <w:r>
        <w:t>plot(levogluc.model, which = 5)</w:t>
      </w:r>
    </w:p>
    <w:p w14:paraId="586E527D" w14:textId="77777777" w:rsidR="00DE6691" w:rsidRDefault="00DE6691" w:rsidP="0030440E">
      <w:pPr>
        <w:pStyle w:val="SourceCode"/>
      </w:pPr>
      <w:r>
        <w:t>plot(moxph.model, which = 5)</w:t>
      </w:r>
    </w:p>
    <w:p w14:paraId="1B5F7116" w14:textId="77777777" w:rsidR="00DE6691" w:rsidRDefault="00DE6691" w:rsidP="0030440E">
      <w:pPr>
        <w:pStyle w:val="SourceCode"/>
      </w:pPr>
      <w:r>
        <w:t>plot(pyran.model, which = 5)</w:t>
      </w:r>
    </w:p>
    <w:p w14:paraId="37820D25" w14:textId="77777777" w:rsidR="00DE6691" w:rsidRDefault="00DE6691" w:rsidP="0030440E">
      <w:pPr>
        <w:pStyle w:val="SourceCode"/>
      </w:pPr>
      <w:r>
        <w:t>plot(phenolics.model, which = 5)</w:t>
      </w:r>
    </w:p>
    <w:p w14:paraId="133F081B" w14:textId="77777777" w:rsidR="00DE6691" w:rsidRDefault="00DE6691" w:rsidP="0030440E">
      <w:pPr>
        <w:pStyle w:val="SourceCode"/>
      </w:pPr>
    </w:p>
    <w:p w14:paraId="7426A81B" w14:textId="77777777" w:rsidR="00DE6691" w:rsidRDefault="00DE6691" w:rsidP="0030440E">
      <w:pPr>
        <w:pStyle w:val="SourceCode"/>
      </w:pPr>
      <w:r>
        <w:t>## Predict association panel for reasonable models ----</w:t>
      </w:r>
    </w:p>
    <w:p w14:paraId="0A0C0BC6" w14:textId="77777777" w:rsidR="00DE6691" w:rsidRDefault="00DE6691" w:rsidP="0030440E">
      <w:pPr>
        <w:pStyle w:val="SourceCode"/>
      </w:pPr>
      <w:r>
        <w:t>## Reasonable means r2 &gt;~ 0.5 &amp; at least somewhat interpretable</w:t>
      </w:r>
    </w:p>
    <w:p w14:paraId="0B2C5711" w14:textId="77777777" w:rsidR="00DE6691" w:rsidRDefault="00DE6691" w:rsidP="0030440E">
      <w:pPr>
        <w:pStyle w:val="SourceCode"/>
      </w:pPr>
      <w:r>
        <w:t>acetic.predict &lt;- predict(acetic.model, newdata =sg.comp)</w:t>
      </w:r>
    </w:p>
    <w:p w14:paraId="3F14DA21" w14:textId="77777777" w:rsidR="00DE6691" w:rsidRDefault="00DE6691" w:rsidP="0030440E">
      <w:pPr>
        <w:pStyle w:val="SourceCode"/>
      </w:pPr>
      <w:r>
        <w:t>akph.predict &lt;- predict(akph.model, newdata =sg.comp)</w:t>
      </w:r>
    </w:p>
    <w:p w14:paraId="1E00EB3F" w14:textId="77777777" w:rsidR="00DE6691" w:rsidRDefault="00DE6691" w:rsidP="0030440E">
      <w:pPr>
        <w:pStyle w:val="SourceCode"/>
      </w:pPr>
      <w:r>
        <w:lastRenderedPageBreak/>
        <w:t>levogluc.predict &lt;- predict(levogluc.model, newdata =sg.comp)</w:t>
      </w:r>
    </w:p>
    <w:p w14:paraId="244D9FC3" w14:textId="77777777" w:rsidR="00DE6691" w:rsidRDefault="00DE6691" w:rsidP="0030440E">
      <w:pPr>
        <w:pStyle w:val="SourceCode"/>
      </w:pPr>
      <w:r>
        <w:t>moxph.predict &lt;- predict(moxph.model, newdata =sg.comp)</w:t>
      </w:r>
    </w:p>
    <w:p w14:paraId="50F6C771" w14:textId="77777777" w:rsidR="00DE6691" w:rsidRDefault="00DE6691" w:rsidP="0030440E">
      <w:pPr>
        <w:pStyle w:val="SourceCode"/>
      </w:pPr>
      <w:r>
        <w:t>pyran.predict &lt;- predict(pyran.model, newdata =sg.comp)</w:t>
      </w:r>
    </w:p>
    <w:p w14:paraId="264E1E75" w14:textId="77777777" w:rsidR="00DE6691" w:rsidRDefault="00DE6691" w:rsidP="0030440E">
      <w:pPr>
        <w:pStyle w:val="SourceCode"/>
      </w:pPr>
      <w:r>
        <w:t>phenolics.predict &lt;- predict(phenolics.model, newdata =sg.comp)</w:t>
      </w:r>
    </w:p>
    <w:p w14:paraId="1DF33144" w14:textId="77777777" w:rsidR="00DE6691" w:rsidRDefault="00DE6691" w:rsidP="0030440E">
      <w:pPr>
        <w:pStyle w:val="SourceCode"/>
      </w:pPr>
    </w:p>
    <w:p w14:paraId="15B5D17A" w14:textId="77777777" w:rsidR="00DE6691" w:rsidRDefault="00DE6691" w:rsidP="0030440E">
      <w:pPr>
        <w:pStyle w:val="SourceCode"/>
      </w:pPr>
      <w:r>
        <w:t>## Create prediction frame ----</w:t>
      </w:r>
    </w:p>
    <w:p w14:paraId="7B31EBA4" w14:textId="77777777" w:rsidR="00DE6691" w:rsidRDefault="00DE6691" w:rsidP="0030440E">
      <w:pPr>
        <w:pStyle w:val="SourceCode"/>
      </w:pPr>
      <w:r>
        <w:t>pred.frm &lt;- as.data.frame(cbind(plot = sg.comp$Plot,</w:t>
      </w:r>
    </w:p>
    <w:p w14:paraId="4529E6DE" w14:textId="77777777" w:rsidR="00DE6691" w:rsidRDefault="00DE6691" w:rsidP="0030440E">
      <w:pPr>
        <w:pStyle w:val="SourceCode"/>
      </w:pPr>
      <w:r>
        <w:t xml:space="preserve">                                     acetic = acetic.predict,</w:t>
      </w:r>
    </w:p>
    <w:p w14:paraId="738AA8E3" w14:textId="77777777" w:rsidR="00DE6691" w:rsidRDefault="00DE6691" w:rsidP="0030440E">
      <w:pPr>
        <w:pStyle w:val="SourceCode"/>
      </w:pPr>
      <w:r>
        <w:t xml:space="preserve">                                     akph = akph.predict,</w:t>
      </w:r>
    </w:p>
    <w:p w14:paraId="297E0F4B" w14:textId="77777777" w:rsidR="00DE6691" w:rsidRDefault="00DE6691" w:rsidP="0030440E">
      <w:pPr>
        <w:pStyle w:val="SourceCode"/>
      </w:pPr>
      <w:r>
        <w:t xml:space="preserve">                                     moxph = moxph.predict))</w:t>
      </w:r>
    </w:p>
    <w:p w14:paraId="641D696A" w14:textId="77777777" w:rsidR="00DE6691" w:rsidRDefault="00DE6691" w:rsidP="0030440E">
      <w:pPr>
        <w:pStyle w:val="SourceCode"/>
      </w:pPr>
    </w:p>
    <w:p w14:paraId="5761F80D" w14:textId="77777777" w:rsidR="00DE6691" w:rsidRDefault="00DE6691" w:rsidP="0030440E">
      <w:pPr>
        <w:pStyle w:val="SourceCode"/>
      </w:pPr>
      <w:r>
        <w:t>pred.frm$phenolics &lt;- pred.frm$akph + pred.frm$moxph</w:t>
      </w:r>
    </w:p>
    <w:p w14:paraId="6475DDD1" w14:textId="77777777" w:rsidR="00DE6691" w:rsidRDefault="00DE6691" w:rsidP="0030440E">
      <w:pPr>
        <w:pStyle w:val="SourceCode"/>
      </w:pPr>
    </w:p>
    <w:p w14:paraId="18CB85A0" w14:textId="77777777" w:rsidR="00DE6691" w:rsidRDefault="00DE6691" w:rsidP="0030440E">
      <w:pPr>
        <w:pStyle w:val="SourceCode"/>
      </w:pPr>
      <w:r>
        <w:t>## Changing the scale, because mallinson</w:t>
      </w:r>
    </w:p>
    <w:p w14:paraId="52D217C7" w14:textId="77777777" w:rsidR="00DE6691" w:rsidRDefault="00DE6691" w:rsidP="0030440E">
      <w:pPr>
        <w:pStyle w:val="SourceCode"/>
      </w:pPr>
      <w:r>
        <w:t>pred.frm[,2:ncol(pred.frm)] &lt;- pred.frm[,2:ncol(pred.frm)] / 1000</w:t>
      </w:r>
    </w:p>
    <w:p w14:paraId="60E70029" w14:textId="77777777" w:rsidR="00DE6691" w:rsidRDefault="00DE6691" w:rsidP="0030440E">
      <w:pPr>
        <w:pStyle w:val="SourceCode"/>
      </w:pPr>
    </w:p>
    <w:p w14:paraId="18FE210E" w14:textId="77777777" w:rsidR="00DE6691" w:rsidRDefault="00DE6691" w:rsidP="0030440E">
      <w:pPr>
        <w:pStyle w:val="SourceCode"/>
      </w:pPr>
      <w:r>
        <w:t>m.predict &lt;- melt(pred.frm, id.vars = 1)</w:t>
      </w:r>
    </w:p>
    <w:p w14:paraId="6846C8BC" w14:textId="77777777" w:rsidR="00DE6691" w:rsidRDefault="00DE6691" w:rsidP="0030440E">
      <w:pPr>
        <w:pStyle w:val="SourceCode"/>
      </w:pPr>
    </w:p>
    <w:p w14:paraId="7E8FCC67" w14:textId="77777777" w:rsidR="00DE6691" w:rsidRDefault="00DE6691" w:rsidP="0030440E">
      <w:pPr>
        <w:pStyle w:val="SourceCode"/>
      </w:pPr>
      <w:r>
        <w:t>## Compare observed &amp; predicted data (xy) ----</w:t>
      </w:r>
    </w:p>
    <w:p w14:paraId="6DA19223" w14:textId="77777777" w:rsidR="00DE6691" w:rsidRDefault="00DE6691" w:rsidP="0030440E">
      <w:pPr>
        <w:pStyle w:val="SourceCode"/>
      </w:pPr>
    </w:p>
    <w:p w14:paraId="6A703954" w14:textId="77777777" w:rsidR="00DE6691" w:rsidRDefault="00DE6691" w:rsidP="0030440E">
      <w:pPr>
        <w:pStyle w:val="SourceCode"/>
      </w:pPr>
      <w:r>
        <w:t>## Vector of the plots we actually ran</w:t>
      </w:r>
    </w:p>
    <w:p w14:paraId="6E544C04" w14:textId="77777777" w:rsidR="00DE6691" w:rsidRDefault="00DE6691" w:rsidP="0030440E">
      <w:pPr>
        <w:pStyle w:val="SourceCode"/>
      </w:pPr>
      <w:r>
        <w:lastRenderedPageBreak/>
        <w:t>run.plots &lt;- as.numeric(c("2", "1055", "1095", "1129", "1347", "170", "207",</w:t>
      </w:r>
    </w:p>
    <w:p w14:paraId="32F52300" w14:textId="77777777" w:rsidR="00DE6691" w:rsidRDefault="00DE6691" w:rsidP="0030440E">
      <w:pPr>
        <w:pStyle w:val="SourceCode"/>
      </w:pPr>
      <w:r>
        <w:t xml:space="preserve">                          "217", "218", "246", "314", "325", "436", "452",</w:t>
      </w:r>
    </w:p>
    <w:p w14:paraId="014C800F" w14:textId="77777777" w:rsidR="00DE6691" w:rsidRDefault="00DE6691" w:rsidP="0030440E">
      <w:pPr>
        <w:pStyle w:val="SourceCode"/>
      </w:pPr>
      <w:r>
        <w:t xml:space="preserve">                          "464", "528", "67", "709", "790", "80", "90", "95"))</w:t>
      </w:r>
    </w:p>
    <w:p w14:paraId="6ED976BE" w14:textId="77777777" w:rsidR="00DE6691" w:rsidRDefault="00DE6691" w:rsidP="0030440E">
      <w:pPr>
        <w:pStyle w:val="SourceCode"/>
      </w:pPr>
    </w:p>
    <w:p w14:paraId="27AD592D" w14:textId="77777777" w:rsidR="00DE6691" w:rsidRDefault="00DE6691" w:rsidP="0030440E">
      <w:pPr>
        <w:pStyle w:val="SourceCode"/>
      </w:pPr>
    </w:p>
    <w:p w14:paraId="4042E5FE" w14:textId="77777777" w:rsidR="00DE6691" w:rsidRDefault="00DE6691" w:rsidP="0030440E">
      <w:pPr>
        <w:pStyle w:val="SourceCode"/>
      </w:pPr>
      <w:r>
        <w:t>tc.lump$phenolics &lt;- tc.lump$moxph + tc.lump$akph</w:t>
      </w:r>
    </w:p>
    <w:p w14:paraId="617E2886" w14:textId="77777777" w:rsidR="00DE6691" w:rsidRDefault="00DE6691" w:rsidP="0030440E">
      <w:pPr>
        <w:pStyle w:val="SourceCode"/>
      </w:pPr>
    </w:p>
    <w:p w14:paraId="3FE5820F" w14:textId="77777777" w:rsidR="00DE6691" w:rsidRDefault="00DE6691" w:rsidP="0030440E">
      <w:pPr>
        <w:pStyle w:val="SourceCode"/>
      </w:pPr>
      <w:r>
        <w:t>observed &lt;- melt(as.matrix(tc.lump))</w:t>
      </w:r>
    </w:p>
    <w:p w14:paraId="62BB4A12" w14:textId="77777777" w:rsidR="00DE6691" w:rsidRDefault="00DE6691" w:rsidP="0030440E">
      <w:pPr>
        <w:pStyle w:val="SourceCode"/>
      </w:pPr>
      <w:r>
        <w:t>colnames(observed) &lt;- c("plot", "variable", "value")</w:t>
      </w:r>
    </w:p>
    <w:p w14:paraId="46157F76" w14:textId="77777777" w:rsidR="00DE6691" w:rsidRDefault="00DE6691" w:rsidP="0030440E">
      <w:pPr>
        <w:pStyle w:val="SourceCode"/>
      </w:pPr>
      <w:r>
        <w:t>observed$plot &lt;- gsub("BS", "", observed$plot)</w:t>
      </w:r>
    </w:p>
    <w:p w14:paraId="41C7B36D" w14:textId="77777777" w:rsidR="00DE6691" w:rsidRDefault="00DE6691" w:rsidP="0030440E">
      <w:pPr>
        <w:pStyle w:val="SourceCode"/>
      </w:pPr>
      <w:r>
        <w:t>observed$plot &lt;- gsub("000", "", observed$plot)</w:t>
      </w:r>
    </w:p>
    <w:p w14:paraId="253B231B" w14:textId="77777777" w:rsidR="00DE6691" w:rsidRDefault="00DE6691" w:rsidP="0030440E">
      <w:pPr>
        <w:pStyle w:val="SourceCode"/>
      </w:pPr>
      <w:r>
        <w:t>observed$plot &lt;- as.numeric(observed$plot)</w:t>
      </w:r>
    </w:p>
    <w:p w14:paraId="68BE99B9" w14:textId="77777777" w:rsidR="00DE6691" w:rsidRDefault="00DE6691" w:rsidP="0030440E">
      <w:pPr>
        <w:pStyle w:val="SourceCode"/>
      </w:pPr>
      <w:r>
        <w:t>observed$value &lt;- observed$value / 1000</w:t>
      </w:r>
    </w:p>
    <w:p w14:paraId="731C4304" w14:textId="77777777" w:rsidR="00DE6691" w:rsidRDefault="00DE6691" w:rsidP="0030440E">
      <w:pPr>
        <w:pStyle w:val="SourceCode"/>
      </w:pPr>
      <w:r>
        <w:t>observed$type &lt;- "obs"</w:t>
      </w:r>
    </w:p>
    <w:p w14:paraId="1E43F77A" w14:textId="77777777" w:rsidR="00DE6691" w:rsidRDefault="00DE6691" w:rsidP="0030440E">
      <w:pPr>
        <w:pStyle w:val="SourceCode"/>
      </w:pPr>
    </w:p>
    <w:p w14:paraId="3079C316" w14:textId="77777777" w:rsidR="00DE6691" w:rsidRDefault="00DE6691" w:rsidP="0030440E">
      <w:pPr>
        <w:pStyle w:val="SourceCode"/>
      </w:pPr>
      <w:r>
        <w:t xml:space="preserve">predicted.tests &lt;- melt(pred.frm[which(pred.frm$plot %in% run.plots),], </w:t>
      </w:r>
    </w:p>
    <w:p w14:paraId="4A3DEC92" w14:textId="77777777" w:rsidR="00DE6691" w:rsidRDefault="00DE6691" w:rsidP="0030440E">
      <w:pPr>
        <w:pStyle w:val="SourceCode"/>
      </w:pPr>
      <w:r>
        <w:t xml:space="preserve">                        id.vars = "plot")</w:t>
      </w:r>
    </w:p>
    <w:p w14:paraId="44A9851D" w14:textId="77777777" w:rsidR="00DE6691" w:rsidRDefault="00DE6691" w:rsidP="0030440E">
      <w:pPr>
        <w:pStyle w:val="SourceCode"/>
      </w:pPr>
      <w:r>
        <w:t>predicted.tests$type &lt;- "pred"</w:t>
      </w:r>
    </w:p>
    <w:p w14:paraId="36648ED7" w14:textId="77777777" w:rsidR="00DE6691" w:rsidRDefault="00DE6691" w:rsidP="0030440E">
      <w:pPr>
        <w:pStyle w:val="SourceCode"/>
      </w:pPr>
    </w:p>
    <w:p w14:paraId="4AC897C2" w14:textId="77777777" w:rsidR="00DE6691" w:rsidRDefault="00DE6691" w:rsidP="0030440E">
      <w:pPr>
        <w:pStyle w:val="SourceCode"/>
      </w:pPr>
      <w:r>
        <w:t>## Join these two together</w:t>
      </w:r>
    </w:p>
    <w:p w14:paraId="0C72DC86" w14:textId="77777777" w:rsidR="00DE6691" w:rsidRDefault="00DE6691" w:rsidP="0030440E">
      <w:pPr>
        <w:pStyle w:val="SourceCode"/>
      </w:pPr>
      <w:r>
        <w:t>compare.frame &lt;- rbind.data.frame(predicted.tests, observed)</w:t>
      </w:r>
    </w:p>
    <w:p w14:paraId="2D82BB80" w14:textId="77777777" w:rsidR="00DE6691" w:rsidRDefault="00DE6691" w:rsidP="0030440E">
      <w:pPr>
        <w:pStyle w:val="SourceCode"/>
      </w:pPr>
      <w:r>
        <w:lastRenderedPageBreak/>
        <w:t>compare.frame &lt;- dcast(compare.frame, plot + variable ~ type)</w:t>
      </w:r>
    </w:p>
    <w:p w14:paraId="0B5FE788" w14:textId="77777777" w:rsidR="00DE6691" w:rsidRDefault="00DE6691" w:rsidP="0030440E">
      <w:pPr>
        <w:pStyle w:val="SourceCode"/>
      </w:pPr>
      <w:r>
        <w:t>compare.frame &lt;- compare.frame[complete.cases(compare.frame),]</w:t>
      </w:r>
    </w:p>
    <w:p w14:paraId="79421190" w14:textId="77777777" w:rsidR="00DE6691" w:rsidRDefault="00DE6691" w:rsidP="0030440E">
      <w:pPr>
        <w:pStyle w:val="SourceCode"/>
      </w:pPr>
    </w:p>
    <w:p w14:paraId="76A8B440" w14:textId="77777777" w:rsidR="00DE6691" w:rsidRDefault="00DE6691" w:rsidP="0030440E">
      <w:pPr>
        <w:pStyle w:val="SourceCode"/>
      </w:pPr>
      <w:r>
        <w:t># Basic plot object</w:t>
      </w:r>
    </w:p>
    <w:p w14:paraId="4117EDAA" w14:textId="77777777" w:rsidR="00DE6691" w:rsidRDefault="00DE6691" w:rsidP="0030440E">
      <w:pPr>
        <w:pStyle w:val="SourceCode"/>
      </w:pPr>
      <w:r>
        <w:t xml:space="preserve">p &lt;- ggplot() + theme_bw(base_size = 24) + </w:t>
      </w:r>
    </w:p>
    <w:p w14:paraId="4E057AAF" w14:textId="77777777" w:rsidR="00DE6691" w:rsidRDefault="00DE6691" w:rsidP="0030440E">
      <w:pPr>
        <w:pStyle w:val="SourceCode"/>
      </w:pPr>
      <w:r>
        <w:t xml:space="preserve">     guides(color = guide_legend(override.aes = list(size=10,linetype=0)))</w:t>
      </w:r>
    </w:p>
    <w:p w14:paraId="434062F1" w14:textId="77777777" w:rsidR="00DE6691" w:rsidRDefault="00DE6691" w:rsidP="0030440E">
      <w:pPr>
        <w:pStyle w:val="SourceCode"/>
      </w:pPr>
    </w:p>
    <w:p w14:paraId="18208973" w14:textId="77777777" w:rsidR="00DE6691" w:rsidRDefault="00DE6691" w:rsidP="0030440E">
      <w:pPr>
        <w:pStyle w:val="SourceCode"/>
      </w:pPr>
      <w:r>
        <w:t>## Compare predicted vs. observed</w:t>
      </w:r>
    </w:p>
    <w:p w14:paraId="3345C8B6" w14:textId="77777777" w:rsidR="00DE6691" w:rsidRDefault="00DE6691" w:rsidP="0030440E">
      <w:pPr>
        <w:pStyle w:val="SourceCode"/>
      </w:pPr>
      <w:r>
        <w:t>p + geom_point(data = compare.frame, aes(y = pred, x = obs)) +</w:t>
      </w:r>
    </w:p>
    <w:p w14:paraId="1731AFFB" w14:textId="77777777" w:rsidR="00DE6691" w:rsidRDefault="00DE6691" w:rsidP="0030440E">
      <w:pPr>
        <w:pStyle w:val="SourceCode"/>
      </w:pPr>
      <w:r>
        <w:t xml:space="preserve">  geom_abline(data = data.frame(1), slope = 1, intercept = 0) +</w:t>
      </w:r>
    </w:p>
    <w:p w14:paraId="6838FD0F" w14:textId="77777777" w:rsidR="00DE6691" w:rsidRDefault="00DE6691" w:rsidP="0030440E">
      <w:pPr>
        <w:pStyle w:val="SourceCode"/>
      </w:pPr>
      <w:r>
        <w:t xml:space="preserve">  facet_wrap(~variable, scales = "free")</w:t>
      </w:r>
    </w:p>
    <w:p w14:paraId="6D511039" w14:textId="77777777" w:rsidR="00DE6691" w:rsidRDefault="00DE6691" w:rsidP="0030440E">
      <w:pPr>
        <w:pStyle w:val="SourceCode"/>
      </w:pPr>
    </w:p>
    <w:p w14:paraId="59E84A80" w14:textId="77777777" w:rsidR="00DE6691" w:rsidRDefault="00DE6691" w:rsidP="0030440E">
      <w:pPr>
        <w:pStyle w:val="SourceCode"/>
      </w:pPr>
      <w:r>
        <w:t>## Explore association panel for reasonable models ----</w:t>
      </w:r>
    </w:p>
    <w:p w14:paraId="3F7EEAA4" w14:textId="77777777" w:rsidR="00DE6691" w:rsidRDefault="00DE6691" w:rsidP="0030440E">
      <w:pPr>
        <w:pStyle w:val="SourceCode"/>
      </w:pPr>
      <w:r>
        <w:t>## Basic plot object</w:t>
      </w:r>
    </w:p>
    <w:p w14:paraId="02FC5CC4" w14:textId="77777777" w:rsidR="00DE6691" w:rsidRDefault="00DE6691" w:rsidP="0030440E">
      <w:pPr>
        <w:pStyle w:val="SourceCode"/>
      </w:pPr>
      <w:r>
        <w:t xml:space="preserve">p &lt;- ggplot() + theme_bw(base_size = 16) + </w:t>
      </w:r>
    </w:p>
    <w:p w14:paraId="267F6DBF" w14:textId="77777777" w:rsidR="00DE6691" w:rsidRDefault="00DE6691" w:rsidP="0030440E">
      <w:pPr>
        <w:pStyle w:val="SourceCode"/>
      </w:pPr>
      <w:r>
        <w:t xml:space="preserve">    guides(color = guide_legend(override.aes = list(size=10,linetype=0)))</w:t>
      </w:r>
    </w:p>
    <w:p w14:paraId="01A2081E" w14:textId="77777777" w:rsidR="00DE6691" w:rsidRDefault="00DE6691" w:rsidP="0030440E">
      <w:pPr>
        <w:pStyle w:val="SourceCode"/>
      </w:pPr>
    </w:p>
    <w:p w14:paraId="401E1534" w14:textId="77777777" w:rsidR="00DE6691" w:rsidRDefault="00DE6691" w:rsidP="0030440E">
      <w:pPr>
        <w:pStyle w:val="SourceCode"/>
      </w:pPr>
      <w:r>
        <w:t>## First: Simple histograms for values</w:t>
      </w:r>
    </w:p>
    <w:p w14:paraId="5D204F78" w14:textId="77777777" w:rsidR="00DE6691" w:rsidRDefault="00DE6691" w:rsidP="0030440E">
      <w:pPr>
        <w:pStyle w:val="SourceCode"/>
      </w:pPr>
      <w:r>
        <w:t>## All models</w:t>
      </w:r>
    </w:p>
    <w:p w14:paraId="3B95A342" w14:textId="77777777" w:rsidR="00DE6691" w:rsidRDefault="00DE6691" w:rsidP="0030440E">
      <w:pPr>
        <w:pStyle w:val="SourceCode"/>
      </w:pPr>
      <w:r>
        <w:t xml:space="preserve">p + geom_bar(data = subset(m.predict, variable != "phenolics"), aes(value)) + </w:t>
      </w:r>
    </w:p>
    <w:p w14:paraId="76A4EDB2" w14:textId="77777777" w:rsidR="00DE6691" w:rsidRDefault="00DE6691" w:rsidP="0030440E">
      <w:pPr>
        <w:pStyle w:val="SourceCode"/>
      </w:pPr>
      <w:r>
        <w:t xml:space="preserve">    facet_wrap(~variable, scales = "free") +</w:t>
      </w:r>
    </w:p>
    <w:p w14:paraId="303FB3E3" w14:textId="77777777" w:rsidR="00DE6691" w:rsidRDefault="00DE6691" w:rsidP="0030440E">
      <w:pPr>
        <w:pStyle w:val="SourceCode"/>
      </w:pPr>
      <w:r>
        <w:lastRenderedPageBreak/>
        <w:t xml:space="preserve">    geom_bar(data = subset(compare.frame, variable != "phenolics"), </w:t>
      </w:r>
    </w:p>
    <w:p w14:paraId="16E4C670" w14:textId="77777777" w:rsidR="00DE6691" w:rsidRDefault="00DE6691" w:rsidP="0030440E">
      <w:pPr>
        <w:pStyle w:val="SourceCode"/>
      </w:pPr>
      <w:r>
        <w:t xml:space="preserve">             aes(obs, y=..count.. * 4), fill = "red") +</w:t>
      </w:r>
    </w:p>
    <w:p w14:paraId="619D684A" w14:textId="77777777" w:rsidR="00DE6691" w:rsidRDefault="00DE6691" w:rsidP="0030440E">
      <w:pPr>
        <w:pStyle w:val="SourceCode"/>
      </w:pPr>
      <w:r>
        <w:t xml:space="preserve">    ggtitle("Predicted Association Panel Pyrolysis Yield Distributions\n</w:t>
      </w:r>
    </w:p>
    <w:p w14:paraId="6EB6C229" w14:textId="77777777" w:rsidR="00DE6691" w:rsidRDefault="00DE6691" w:rsidP="0030440E">
      <w:pPr>
        <w:pStyle w:val="SourceCode"/>
      </w:pPr>
      <w:r>
        <w:t xml:space="preserve">            All Values = (Normalized FID Area Count / 1000)\n</w:t>
      </w:r>
    </w:p>
    <w:p w14:paraId="74439295" w14:textId="77777777" w:rsidR="00DE6691" w:rsidRDefault="00DE6691" w:rsidP="0030440E">
      <w:pPr>
        <w:pStyle w:val="SourceCode"/>
      </w:pPr>
      <w:r>
        <w:t xml:space="preserve">            Red bars are test set observations")</w:t>
      </w:r>
    </w:p>
    <w:p w14:paraId="5F5B495A" w14:textId="77777777" w:rsidR="00DE6691" w:rsidRDefault="00DE6691" w:rsidP="0030440E">
      <w:pPr>
        <w:pStyle w:val="SourceCode"/>
      </w:pPr>
    </w:p>
    <w:p w14:paraId="4C19D8D6" w14:textId="77777777" w:rsidR="00DE6691" w:rsidRDefault="00DE6691" w:rsidP="0030440E">
      <w:pPr>
        <w:pStyle w:val="SourceCode"/>
      </w:pPr>
      <w:r>
        <w:t>## Next: four-variable showing everything, Addding potassium as color</w:t>
      </w:r>
    </w:p>
    <w:p w14:paraId="16A06D1A" w14:textId="77777777" w:rsidR="00DE6691" w:rsidRDefault="00DE6691" w:rsidP="0030440E">
      <w:pPr>
        <w:pStyle w:val="SourceCode"/>
      </w:pPr>
    </w:p>
    <w:p w14:paraId="23862C61" w14:textId="77777777" w:rsidR="00DE6691" w:rsidRDefault="00DE6691" w:rsidP="0030440E">
      <w:pPr>
        <w:pStyle w:val="SourceCode"/>
      </w:pPr>
      <w:r>
        <w:t>pred.frm$K &lt;- sg.comp$K[match(pred.frm$plot, sg.comp$Plot)]</w:t>
      </w:r>
    </w:p>
    <w:p w14:paraId="6D6145F9" w14:textId="77777777" w:rsidR="00DE6691" w:rsidRDefault="00DE6691" w:rsidP="0030440E">
      <w:pPr>
        <w:pStyle w:val="SourceCode"/>
      </w:pPr>
    </w:p>
    <w:p w14:paraId="47C65F43" w14:textId="77777777" w:rsidR="00DE6691" w:rsidRDefault="00DE6691" w:rsidP="0030440E">
      <w:pPr>
        <w:pStyle w:val="SourceCode"/>
      </w:pPr>
      <w:r>
        <w:t>p + geom_point(data = pred.frm,</w:t>
      </w:r>
    </w:p>
    <w:p w14:paraId="20416648" w14:textId="77777777" w:rsidR="00DE6691" w:rsidRDefault="00DE6691" w:rsidP="0030440E">
      <w:pPr>
        <w:pStyle w:val="SourceCode"/>
      </w:pPr>
      <w:r>
        <w:t xml:space="preserve">               aes(x = acetic, y = phenolics, fill = K), </w:t>
      </w:r>
    </w:p>
    <w:p w14:paraId="07FDA2F0" w14:textId="77777777" w:rsidR="00DE6691" w:rsidRDefault="00DE6691" w:rsidP="0030440E">
      <w:pPr>
        <w:pStyle w:val="SourceCode"/>
      </w:pPr>
      <w:r>
        <w:t xml:space="preserve">               pch = 21, alpha = 0.8) +</w:t>
      </w:r>
    </w:p>
    <w:p w14:paraId="28608F4E" w14:textId="77777777" w:rsidR="00DE6691" w:rsidRDefault="00DE6691" w:rsidP="0030440E">
      <w:pPr>
        <w:pStyle w:val="SourceCode"/>
      </w:pPr>
      <w:r>
        <w:t xml:space="preserve">  scale_fill_gradientn(colours=rainbow(6, start = 0, end = 0.8), </w:t>
      </w:r>
    </w:p>
    <w:p w14:paraId="1B666D11" w14:textId="77777777" w:rsidR="00DE6691" w:rsidRDefault="00DE6691" w:rsidP="0030440E">
      <w:pPr>
        <w:pStyle w:val="SourceCode"/>
      </w:pPr>
      <w:r>
        <w:t xml:space="preserve">                       guide = guide_colorbar(guide_legend(title = "Potassium"))) +</w:t>
      </w:r>
    </w:p>
    <w:p w14:paraId="4372F4D3" w14:textId="77777777" w:rsidR="00DE6691" w:rsidRDefault="00DE6691" w:rsidP="0030440E">
      <w:pPr>
        <w:pStyle w:val="SourceCode"/>
      </w:pPr>
      <w:r>
        <w:t xml:space="preserve">  # guides(size = guide_legend(title="Levoglucosan\nYield")) +</w:t>
      </w:r>
    </w:p>
    <w:p w14:paraId="2C271FB7" w14:textId="77777777" w:rsidR="00DE6691" w:rsidRDefault="00DE6691" w:rsidP="0030440E">
      <w:pPr>
        <w:pStyle w:val="SourceCode"/>
      </w:pPr>
      <w:r>
        <w:t xml:space="preserve">  ggtitle("Predicted Association Panel Pyrolysis Switchgrass Yields\n</w:t>
      </w:r>
    </w:p>
    <w:p w14:paraId="73F879E2" w14:textId="77777777" w:rsidR="00DE6691" w:rsidRDefault="00DE6691" w:rsidP="0030440E">
      <w:pPr>
        <w:pStyle w:val="SourceCode"/>
      </w:pPr>
      <w:r>
        <w:t xml:space="preserve">          All Values = (Normalized FID Area Count / 1000)") +</w:t>
      </w:r>
    </w:p>
    <w:p w14:paraId="1E68BB1B" w14:textId="77777777" w:rsidR="00DE6691" w:rsidRDefault="00DE6691" w:rsidP="0030440E">
      <w:pPr>
        <w:pStyle w:val="SourceCode"/>
      </w:pPr>
      <w:r>
        <w:t xml:space="preserve">  ylab("Combined Phenolics Yield") + xlab("Acetic acid Yield") +</w:t>
      </w:r>
    </w:p>
    <w:p w14:paraId="5CE976A3" w14:textId="5F4E4818" w:rsidR="00980B82" w:rsidRDefault="00DE6691" w:rsidP="00414F9C">
      <w:pPr>
        <w:pStyle w:val="SourceCode"/>
      </w:pPr>
      <w:r>
        <w:t xml:space="preserve">  ggsave("./Figure xx - pyrolysis predictions.pdf", height = 5.9, width = 8.25)</w:t>
      </w:r>
      <w:r w:rsidR="00EB3650">
        <w:t xml:space="preserve"> </w:t>
      </w:r>
    </w:p>
    <w:sectPr w:rsidR="00980B82" w:rsidSect="00DA1971">
      <w:footerReference w:type="default" r:id="rId107"/>
      <w:footnotePr>
        <w:numFmt w:val="chicago"/>
      </w:footnotePr>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31B266" w14:textId="77777777" w:rsidR="00841FEE" w:rsidRDefault="00841FEE" w:rsidP="008E1C26">
      <w:r>
        <w:separator/>
      </w:r>
    </w:p>
  </w:endnote>
  <w:endnote w:type="continuationSeparator" w:id="0">
    <w:p w14:paraId="521A0CFA" w14:textId="77777777" w:rsidR="00841FEE" w:rsidRDefault="00841FEE" w:rsidP="008E1C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auto"/>
    <w:pitch w:val="variable"/>
    <w:sig w:usb0="E1002EFF" w:usb1="C000605B" w:usb2="00000029" w:usb3="00000000" w:csb0="000101FF" w:csb1="00000000"/>
  </w:font>
  <w:font w:name="SimSun">
    <w:panose1 w:val="02010600030101010101"/>
    <w:charset w:val="86"/>
    <w:family w:val="auto"/>
    <w:pitch w:val="variable"/>
    <w:sig w:usb0="00000003" w:usb1="288F0000" w:usb2="00000016" w:usb3="00000000" w:csb0="00040001"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BD8CDD" w14:textId="77777777" w:rsidR="00463F52" w:rsidRDefault="00463F52" w:rsidP="008E1C26">
    <w:pPr>
      <w:pStyle w:val="Footer"/>
      <w:jc w:val="center"/>
    </w:pPr>
    <w:r>
      <w:fldChar w:fldCharType="begin"/>
    </w:r>
    <w:r>
      <w:instrText xml:space="preserve"> PAGE   \* MERGEFORMAT </w:instrText>
    </w:r>
    <w:r>
      <w:fldChar w:fldCharType="separate"/>
    </w:r>
    <w:r w:rsidR="00F466B0">
      <w:rPr>
        <w:noProof/>
      </w:rPr>
      <w:t>xx</w:t>
    </w:r>
    <w:r>
      <w:rPr>
        <w:noProof/>
      </w:rPr>
      <w:fldChar w:fldCharType="end"/>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B2E49A" w14:textId="77777777" w:rsidR="00463F52" w:rsidRDefault="00463F52" w:rsidP="008E1C26">
    <w:pPr>
      <w:pStyle w:val="Footer"/>
      <w:jc w:val="center"/>
    </w:pPr>
    <w:r>
      <w:fldChar w:fldCharType="begin"/>
    </w:r>
    <w:r>
      <w:instrText xml:space="preserve"> PAGE   \* MERGEFORMAT </w:instrText>
    </w:r>
    <w:r>
      <w:fldChar w:fldCharType="separate"/>
    </w:r>
    <w:r w:rsidR="00F466B0">
      <w:rPr>
        <w:noProof/>
      </w:rPr>
      <w:t>239</w:t>
    </w:r>
    <w:r>
      <w:rPr>
        <w:noProof/>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AF7E00" w14:textId="77777777" w:rsidR="00841FEE" w:rsidRDefault="00841FEE" w:rsidP="008E1C26">
      <w:r>
        <w:separator/>
      </w:r>
    </w:p>
  </w:footnote>
  <w:footnote w:type="continuationSeparator" w:id="0">
    <w:p w14:paraId="58D80D09" w14:textId="77777777" w:rsidR="00841FEE" w:rsidRDefault="00841FEE" w:rsidP="008E1C26">
      <w:r>
        <w:continuationSeparator/>
      </w:r>
    </w:p>
  </w:footnote>
  <w:footnote w:id="1">
    <w:p w14:paraId="4D1582B7" w14:textId="42B684DC" w:rsidR="00463F52" w:rsidRDefault="00463F52">
      <w:pPr>
        <w:pStyle w:val="FootnoteText"/>
      </w:pPr>
      <w:r>
        <w:rPr>
          <w:rStyle w:val="FootnoteReference"/>
        </w:rPr>
        <w:footnoteRef/>
      </w:r>
      <w:r>
        <w:t xml:space="preserve"> </w:t>
      </w:r>
      <w:r w:rsidRPr="00A02B8E">
        <w:t xml:space="preserve">In </w:t>
      </w:r>
      <w:r w:rsidRPr="00874F00">
        <w:t>chapter 2</w:t>
      </w:r>
      <w:r>
        <w:t xml:space="preserve"> (and the review it is adapted from)</w:t>
      </w:r>
      <w:r w:rsidRPr="00A02B8E">
        <w:t>, the three types of compositional influence are referred to as “Models”; however, in the context of this paper, “schema” is used to avoid ambiguity.</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2DEAC19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4782A4A"/>
    <w:multiLevelType w:val="multilevel"/>
    <w:tmpl w:val="85A0DD64"/>
    <w:lvl w:ilvl="0">
      <w:start w:val="1"/>
      <w:numFmt w:val="decimal"/>
      <w:suff w:val="space"/>
      <w:lvlText w:val="Chapter %1: "/>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decimal"/>
      <w:suff w:val="nothing"/>
      <w:lvlText w:val="%3"/>
      <w:lvlJc w:val="left"/>
      <w:pPr>
        <w:ind w:left="0" w:firstLine="0"/>
      </w:pPr>
      <w:rPr>
        <w:rFonts w:ascii="Times New Roman" w:hAnsi="Times New Roman" w:hint="default"/>
        <w:sz w:val="24"/>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
    <w:nsid w:val="07FD2C76"/>
    <w:multiLevelType w:val="multilevel"/>
    <w:tmpl w:val="48E84070"/>
    <w:lvl w:ilvl="0">
      <w:start w:val="1"/>
      <w:numFmt w:val="decimal"/>
      <w:suff w:val="space"/>
      <w:lvlText w:val="Chapter %1: "/>
      <w:lvlJc w:val="left"/>
      <w:pPr>
        <w:ind w:left="0" w:firstLine="0"/>
      </w:pPr>
      <w:rPr>
        <w:rFonts w:hint="default"/>
      </w:rPr>
    </w:lvl>
    <w:lvl w:ilvl="1">
      <w:start w:val="1"/>
      <w:numFmt w:val="decimal"/>
      <w:suff w:val="nothing"/>
      <w:lvlText w:val="%2"/>
      <w:lvlJc w:val="left"/>
      <w:pPr>
        <w:ind w:left="0" w:firstLine="0"/>
      </w:pPr>
      <w:rPr>
        <w:rFonts w:ascii="Times New Roman" w:hAnsi="Times New Roman" w:hint="default"/>
        <w:sz w:val="24"/>
      </w:rPr>
    </w:lvl>
    <w:lvl w:ilvl="2">
      <w:start w:val="1"/>
      <w:numFmt w:val="decimal"/>
      <w:suff w:val="nothing"/>
      <w:lvlText w:val="%3"/>
      <w:lvlJc w:val="left"/>
      <w:pPr>
        <w:ind w:left="0" w:firstLine="0"/>
      </w:pPr>
      <w:rPr>
        <w:rFonts w:ascii="Times New Roman" w:hAnsi="Times New Roman" w:hint="default"/>
        <w:sz w:val="24"/>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
    <w:nsid w:val="0C3E5586"/>
    <w:multiLevelType w:val="multilevel"/>
    <w:tmpl w:val="68CA697C"/>
    <w:lvl w:ilvl="0">
      <w:start w:val="1"/>
      <w:numFmt w:val="decimal"/>
      <w:suff w:val="space"/>
      <w:lvlText w:val="Chapter %1: "/>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
    <w:nsid w:val="222064F8"/>
    <w:multiLevelType w:val="hybridMultilevel"/>
    <w:tmpl w:val="8AAA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8020135"/>
    <w:multiLevelType w:val="multilevel"/>
    <w:tmpl w:val="3AC879B2"/>
    <w:lvl w:ilvl="0">
      <w:start w:val="1"/>
      <w:numFmt w:val="decimal"/>
      <w:suff w:val="space"/>
      <w:lvlText w:val="Chapter %1: "/>
      <w:lvlJc w:val="left"/>
      <w:pPr>
        <w:ind w:left="0" w:firstLine="0"/>
      </w:pPr>
      <w:rPr>
        <w:rFonts w:hint="default"/>
      </w:rPr>
    </w:lvl>
    <w:lvl w:ilvl="1">
      <w:start w:val="1"/>
      <w:numFmt w:val="decimal"/>
      <w:suff w:val="nothing"/>
      <w:lvlText w:val="%1.%2 "/>
      <w:lvlJc w:val="left"/>
      <w:pPr>
        <w:ind w:left="0" w:firstLine="0"/>
      </w:pPr>
      <w:rPr>
        <w:rFonts w:ascii="Times New Roman" w:hAnsi="Times New Roman" w:hint="default"/>
        <w:sz w:val="24"/>
      </w:rPr>
    </w:lvl>
    <w:lvl w:ilvl="2">
      <w:start w:val="1"/>
      <w:numFmt w:val="decimal"/>
      <w:suff w:val="nothing"/>
      <w:lvlText w:val="%1.%2.%3"/>
      <w:lvlJc w:val="left"/>
      <w:pPr>
        <w:ind w:left="0" w:firstLine="0"/>
      </w:pPr>
      <w:rPr>
        <w:rFonts w:ascii="Times New Roman" w:hAnsi="Times New Roman" w:hint="default"/>
        <w:sz w:val="24"/>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
    <w:nsid w:val="332541A3"/>
    <w:multiLevelType w:val="hybridMultilevel"/>
    <w:tmpl w:val="A70A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1AF20D8"/>
    <w:multiLevelType w:val="hybridMultilevel"/>
    <w:tmpl w:val="5078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8E35EE7"/>
    <w:multiLevelType w:val="hybridMultilevel"/>
    <w:tmpl w:val="3AFC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DB26165"/>
    <w:multiLevelType w:val="hybridMultilevel"/>
    <w:tmpl w:val="434C1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16C3687"/>
    <w:multiLevelType w:val="hybridMultilevel"/>
    <w:tmpl w:val="DA882C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27000D5"/>
    <w:multiLevelType w:val="multilevel"/>
    <w:tmpl w:val="BA4EB828"/>
    <w:lvl w:ilvl="0">
      <w:start w:val="1"/>
      <w:numFmt w:val="decimal"/>
      <w:suff w:val="space"/>
      <w:lvlText w:val="Chapter %1: "/>
      <w:lvlJc w:val="left"/>
      <w:pPr>
        <w:ind w:left="0" w:firstLine="0"/>
      </w:pPr>
      <w:rPr>
        <w:rFonts w:hint="default"/>
      </w:rPr>
    </w:lvl>
    <w:lvl w:ilvl="1">
      <w:start w:val="1"/>
      <w:numFmt w:val="decimal"/>
      <w:suff w:val="nothing"/>
      <w:lvlText w:val="%1.%2"/>
      <w:lvlJc w:val="left"/>
      <w:pPr>
        <w:ind w:left="0" w:firstLine="0"/>
      </w:pPr>
      <w:rPr>
        <w:rFonts w:ascii="Times New Roman" w:hAnsi="Times New Roman" w:hint="default"/>
        <w:sz w:val="24"/>
      </w:rPr>
    </w:lvl>
    <w:lvl w:ilvl="2">
      <w:start w:val="1"/>
      <w:numFmt w:val="decimal"/>
      <w:suff w:val="nothing"/>
      <w:lvlText w:val="%1.%2.%3"/>
      <w:lvlJc w:val="left"/>
      <w:pPr>
        <w:ind w:left="0" w:firstLine="0"/>
      </w:pPr>
      <w:rPr>
        <w:rFonts w:ascii="Times New Roman" w:hAnsi="Times New Roman" w:hint="default"/>
        <w:sz w:val="24"/>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nsid w:val="73DF069F"/>
    <w:multiLevelType w:val="multilevel"/>
    <w:tmpl w:val="89748B3A"/>
    <w:lvl w:ilvl="0">
      <w:start w:val="1"/>
      <w:numFmt w:val="decimal"/>
      <w:pStyle w:val="Chapter"/>
      <w:suff w:val="space"/>
      <w:lvlText w:val="Chapter %1: "/>
      <w:lvlJc w:val="left"/>
      <w:pPr>
        <w:ind w:left="0" w:firstLine="0"/>
      </w:pPr>
      <w:rPr>
        <w:rFonts w:hint="default"/>
      </w:rPr>
    </w:lvl>
    <w:lvl w:ilvl="1">
      <w:start w:val="1"/>
      <w:numFmt w:val="decimal"/>
      <w:pStyle w:val="Heading2"/>
      <w:suff w:val="nothing"/>
      <w:lvlText w:val="%1.%2 "/>
      <w:lvlJc w:val="left"/>
      <w:pPr>
        <w:ind w:left="0" w:firstLine="0"/>
      </w:pPr>
      <w:rPr>
        <w:rFonts w:ascii="Times New Roman" w:hAnsi="Times New Roman" w:hint="default"/>
        <w:sz w:val="24"/>
      </w:rPr>
    </w:lvl>
    <w:lvl w:ilvl="2">
      <w:start w:val="1"/>
      <w:numFmt w:val="decimal"/>
      <w:pStyle w:val="Heading3"/>
      <w:suff w:val="nothing"/>
      <w:lvlText w:val="%1.%2.%3 "/>
      <w:lvlJc w:val="left"/>
      <w:pPr>
        <w:ind w:left="0" w:firstLine="0"/>
      </w:pPr>
      <w:rPr>
        <w:rFonts w:ascii="Times New Roman" w:hAnsi="Times New Roman" w:hint="default"/>
        <w:sz w:val="24"/>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13">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6"/>
  </w:num>
  <w:num w:numId="4">
    <w:abstractNumId w:val="4"/>
  </w:num>
  <w:num w:numId="5">
    <w:abstractNumId w:val="7"/>
  </w:num>
  <w:num w:numId="6">
    <w:abstractNumId w:val="8"/>
  </w:num>
  <w:num w:numId="7">
    <w:abstractNumId w:val="9"/>
  </w:num>
  <w:num w:numId="8">
    <w:abstractNumId w:val="12"/>
  </w:num>
  <w:num w:numId="9">
    <w:abstractNumId w:val="10"/>
  </w:num>
  <w:num w:numId="10">
    <w:abstractNumId w:val="3"/>
  </w:num>
  <w:num w:numId="11">
    <w:abstractNumId w:val="1"/>
  </w:num>
  <w:num w:numId="12">
    <w:abstractNumId w:val="2"/>
  </w:num>
  <w:num w:numId="13">
    <w:abstractNumId w:val="11"/>
  </w:num>
  <w:num w:numId="14">
    <w:abstractNumId w:val="5"/>
  </w:num>
  <w:num w:numId="15">
    <w:abstractNumId w:val="0"/>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1D2F"/>
    <w:rsid w:val="00000ACB"/>
    <w:rsid w:val="00001082"/>
    <w:rsid w:val="00001A9D"/>
    <w:rsid w:val="0000363E"/>
    <w:rsid w:val="00003A9D"/>
    <w:rsid w:val="0000478D"/>
    <w:rsid w:val="00004C37"/>
    <w:rsid w:val="00005839"/>
    <w:rsid w:val="000060EB"/>
    <w:rsid w:val="0000683E"/>
    <w:rsid w:val="00007AC8"/>
    <w:rsid w:val="00011109"/>
    <w:rsid w:val="000112A8"/>
    <w:rsid w:val="000117DB"/>
    <w:rsid w:val="000149F4"/>
    <w:rsid w:val="00014C39"/>
    <w:rsid w:val="00015B5C"/>
    <w:rsid w:val="00016945"/>
    <w:rsid w:val="000173B6"/>
    <w:rsid w:val="00023814"/>
    <w:rsid w:val="000238A3"/>
    <w:rsid w:val="00025A12"/>
    <w:rsid w:val="00025E18"/>
    <w:rsid w:val="00026AA8"/>
    <w:rsid w:val="000325E4"/>
    <w:rsid w:val="00032FAE"/>
    <w:rsid w:val="000330AD"/>
    <w:rsid w:val="0003486C"/>
    <w:rsid w:val="00036F20"/>
    <w:rsid w:val="000370AE"/>
    <w:rsid w:val="00037868"/>
    <w:rsid w:val="00041B04"/>
    <w:rsid w:val="00044558"/>
    <w:rsid w:val="000457E2"/>
    <w:rsid w:val="00045ED2"/>
    <w:rsid w:val="00046E7B"/>
    <w:rsid w:val="000516AB"/>
    <w:rsid w:val="0005374D"/>
    <w:rsid w:val="0005455E"/>
    <w:rsid w:val="00062B5A"/>
    <w:rsid w:val="00063004"/>
    <w:rsid w:val="00063137"/>
    <w:rsid w:val="00063AE7"/>
    <w:rsid w:val="000642D8"/>
    <w:rsid w:val="00067E51"/>
    <w:rsid w:val="0007253F"/>
    <w:rsid w:val="00075829"/>
    <w:rsid w:val="00075EEF"/>
    <w:rsid w:val="00076741"/>
    <w:rsid w:val="00076B36"/>
    <w:rsid w:val="00076E81"/>
    <w:rsid w:val="0007791D"/>
    <w:rsid w:val="00077A99"/>
    <w:rsid w:val="00077F0A"/>
    <w:rsid w:val="0008176F"/>
    <w:rsid w:val="00082B12"/>
    <w:rsid w:val="00082D3D"/>
    <w:rsid w:val="00084C99"/>
    <w:rsid w:val="00086F2F"/>
    <w:rsid w:val="000871E1"/>
    <w:rsid w:val="00087A18"/>
    <w:rsid w:val="00091F55"/>
    <w:rsid w:val="00092785"/>
    <w:rsid w:val="000931DD"/>
    <w:rsid w:val="00093571"/>
    <w:rsid w:val="00093E5D"/>
    <w:rsid w:val="00094E57"/>
    <w:rsid w:val="000A1CCD"/>
    <w:rsid w:val="000A1F4F"/>
    <w:rsid w:val="000A2118"/>
    <w:rsid w:val="000A4C2C"/>
    <w:rsid w:val="000A550A"/>
    <w:rsid w:val="000A7C5D"/>
    <w:rsid w:val="000B3A3F"/>
    <w:rsid w:val="000B45E4"/>
    <w:rsid w:val="000B640E"/>
    <w:rsid w:val="000B65FA"/>
    <w:rsid w:val="000C18E6"/>
    <w:rsid w:val="000C20E1"/>
    <w:rsid w:val="000C24B8"/>
    <w:rsid w:val="000D118D"/>
    <w:rsid w:val="000D5121"/>
    <w:rsid w:val="000D521D"/>
    <w:rsid w:val="000D68EF"/>
    <w:rsid w:val="000E1A95"/>
    <w:rsid w:val="000E3528"/>
    <w:rsid w:val="000E4370"/>
    <w:rsid w:val="000E4AD4"/>
    <w:rsid w:val="000E5375"/>
    <w:rsid w:val="000E5691"/>
    <w:rsid w:val="000F190F"/>
    <w:rsid w:val="000F1CC6"/>
    <w:rsid w:val="000F54BA"/>
    <w:rsid w:val="000F56FF"/>
    <w:rsid w:val="00104021"/>
    <w:rsid w:val="00104DE7"/>
    <w:rsid w:val="00105370"/>
    <w:rsid w:val="00105BBB"/>
    <w:rsid w:val="0010753A"/>
    <w:rsid w:val="001102AD"/>
    <w:rsid w:val="00110B54"/>
    <w:rsid w:val="0011188A"/>
    <w:rsid w:val="00111915"/>
    <w:rsid w:val="00114348"/>
    <w:rsid w:val="00117FE7"/>
    <w:rsid w:val="001217A6"/>
    <w:rsid w:val="0012222F"/>
    <w:rsid w:val="00122DF5"/>
    <w:rsid w:val="001240BB"/>
    <w:rsid w:val="001242C2"/>
    <w:rsid w:val="00124B7F"/>
    <w:rsid w:val="00134DF8"/>
    <w:rsid w:val="00140535"/>
    <w:rsid w:val="0014283F"/>
    <w:rsid w:val="0014402A"/>
    <w:rsid w:val="001454A1"/>
    <w:rsid w:val="00146E50"/>
    <w:rsid w:val="001504BE"/>
    <w:rsid w:val="001541A2"/>
    <w:rsid w:val="0015492E"/>
    <w:rsid w:val="0015774A"/>
    <w:rsid w:val="00157AEC"/>
    <w:rsid w:val="00163051"/>
    <w:rsid w:val="001641D2"/>
    <w:rsid w:val="001662BD"/>
    <w:rsid w:val="00170B9D"/>
    <w:rsid w:val="00171311"/>
    <w:rsid w:val="00171D40"/>
    <w:rsid w:val="0017218D"/>
    <w:rsid w:val="00172240"/>
    <w:rsid w:val="00172B5F"/>
    <w:rsid w:val="0017424E"/>
    <w:rsid w:val="00174C30"/>
    <w:rsid w:val="00175F62"/>
    <w:rsid w:val="00180D98"/>
    <w:rsid w:val="001847F0"/>
    <w:rsid w:val="001864F2"/>
    <w:rsid w:val="00187691"/>
    <w:rsid w:val="001907B1"/>
    <w:rsid w:val="00190B56"/>
    <w:rsid w:val="00193042"/>
    <w:rsid w:val="0019375E"/>
    <w:rsid w:val="0019382B"/>
    <w:rsid w:val="001946B0"/>
    <w:rsid w:val="00194964"/>
    <w:rsid w:val="001A0A99"/>
    <w:rsid w:val="001A0EFF"/>
    <w:rsid w:val="001A2A3F"/>
    <w:rsid w:val="001A3DDE"/>
    <w:rsid w:val="001A5BC6"/>
    <w:rsid w:val="001A7CFA"/>
    <w:rsid w:val="001B12EF"/>
    <w:rsid w:val="001B1832"/>
    <w:rsid w:val="001B25DE"/>
    <w:rsid w:val="001B3EEC"/>
    <w:rsid w:val="001B521A"/>
    <w:rsid w:val="001B53F3"/>
    <w:rsid w:val="001B6938"/>
    <w:rsid w:val="001C10A0"/>
    <w:rsid w:val="001C12CB"/>
    <w:rsid w:val="001C13FB"/>
    <w:rsid w:val="001C1AAC"/>
    <w:rsid w:val="001C2CAE"/>
    <w:rsid w:val="001C3A51"/>
    <w:rsid w:val="001C3B63"/>
    <w:rsid w:val="001C6665"/>
    <w:rsid w:val="001C6DB5"/>
    <w:rsid w:val="001D05B7"/>
    <w:rsid w:val="001D16AE"/>
    <w:rsid w:val="001D2BA4"/>
    <w:rsid w:val="001D5C37"/>
    <w:rsid w:val="001D5D39"/>
    <w:rsid w:val="001E010B"/>
    <w:rsid w:val="001E0A83"/>
    <w:rsid w:val="001E2B57"/>
    <w:rsid w:val="001E3329"/>
    <w:rsid w:val="001F09BB"/>
    <w:rsid w:val="001F1A5A"/>
    <w:rsid w:val="001F2722"/>
    <w:rsid w:val="001F3DDE"/>
    <w:rsid w:val="00202C44"/>
    <w:rsid w:val="0020582F"/>
    <w:rsid w:val="0020596F"/>
    <w:rsid w:val="00205E22"/>
    <w:rsid w:val="002066A7"/>
    <w:rsid w:val="00206C06"/>
    <w:rsid w:val="00212816"/>
    <w:rsid w:val="002147D8"/>
    <w:rsid w:val="00214FDF"/>
    <w:rsid w:val="00215A2E"/>
    <w:rsid w:val="0021645A"/>
    <w:rsid w:val="00220A7B"/>
    <w:rsid w:val="00224E89"/>
    <w:rsid w:val="00227893"/>
    <w:rsid w:val="0023430C"/>
    <w:rsid w:val="00234BBC"/>
    <w:rsid w:val="00234F93"/>
    <w:rsid w:val="00236A3F"/>
    <w:rsid w:val="00244C26"/>
    <w:rsid w:val="00246308"/>
    <w:rsid w:val="0024762F"/>
    <w:rsid w:val="002525AC"/>
    <w:rsid w:val="002529CD"/>
    <w:rsid w:val="002542FE"/>
    <w:rsid w:val="0025555A"/>
    <w:rsid w:val="00257382"/>
    <w:rsid w:val="0025754A"/>
    <w:rsid w:val="00260F9A"/>
    <w:rsid w:val="00262484"/>
    <w:rsid w:val="00262FEA"/>
    <w:rsid w:val="002641B0"/>
    <w:rsid w:val="00265486"/>
    <w:rsid w:val="00265A7C"/>
    <w:rsid w:val="00265CA2"/>
    <w:rsid w:val="0026744A"/>
    <w:rsid w:val="00271868"/>
    <w:rsid w:val="00271ED6"/>
    <w:rsid w:val="00274D38"/>
    <w:rsid w:val="00274E2C"/>
    <w:rsid w:val="00277080"/>
    <w:rsid w:val="0027763F"/>
    <w:rsid w:val="00281066"/>
    <w:rsid w:val="00283541"/>
    <w:rsid w:val="00283CFD"/>
    <w:rsid w:val="002900CC"/>
    <w:rsid w:val="00291E59"/>
    <w:rsid w:val="00292656"/>
    <w:rsid w:val="0029350A"/>
    <w:rsid w:val="00293799"/>
    <w:rsid w:val="002946FD"/>
    <w:rsid w:val="00295829"/>
    <w:rsid w:val="002A0FFA"/>
    <w:rsid w:val="002A215A"/>
    <w:rsid w:val="002A458E"/>
    <w:rsid w:val="002A4BE0"/>
    <w:rsid w:val="002A65CD"/>
    <w:rsid w:val="002B1F8D"/>
    <w:rsid w:val="002B25A4"/>
    <w:rsid w:val="002B2DFA"/>
    <w:rsid w:val="002B32EC"/>
    <w:rsid w:val="002B38BC"/>
    <w:rsid w:val="002B4389"/>
    <w:rsid w:val="002B44BA"/>
    <w:rsid w:val="002B7591"/>
    <w:rsid w:val="002B799B"/>
    <w:rsid w:val="002C29C9"/>
    <w:rsid w:val="002D0928"/>
    <w:rsid w:val="002D0CCD"/>
    <w:rsid w:val="002D1CBF"/>
    <w:rsid w:val="002D26F4"/>
    <w:rsid w:val="002D330B"/>
    <w:rsid w:val="002D416D"/>
    <w:rsid w:val="002D50ED"/>
    <w:rsid w:val="002D5818"/>
    <w:rsid w:val="002D6E20"/>
    <w:rsid w:val="002D75DE"/>
    <w:rsid w:val="002D7AF0"/>
    <w:rsid w:val="002E157F"/>
    <w:rsid w:val="002E5103"/>
    <w:rsid w:val="002E5A3A"/>
    <w:rsid w:val="002E6B57"/>
    <w:rsid w:val="002E7CA1"/>
    <w:rsid w:val="002F1E84"/>
    <w:rsid w:val="002F27F1"/>
    <w:rsid w:val="002F46EE"/>
    <w:rsid w:val="002F48AA"/>
    <w:rsid w:val="0030016B"/>
    <w:rsid w:val="003027A6"/>
    <w:rsid w:val="0030440E"/>
    <w:rsid w:val="00304FD6"/>
    <w:rsid w:val="003051C6"/>
    <w:rsid w:val="0030577D"/>
    <w:rsid w:val="00305C32"/>
    <w:rsid w:val="0030767B"/>
    <w:rsid w:val="003140DB"/>
    <w:rsid w:val="00314F3F"/>
    <w:rsid w:val="003165A4"/>
    <w:rsid w:val="00317E06"/>
    <w:rsid w:val="00320191"/>
    <w:rsid w:val="003218D0"/>
    <w:rsid w:val="00322520"/>
    <w:rsid w:val="003228C2"/>
    <w:rsid w:val="00323580"/>
    <w:rsid w:val="003240AA"/>
    <w:rsid w:val="00326C84"/>
    <w:rsid w:val="00327692"/>
    <w:rsid w:val="00327859"/>
    <w:rsid w:val="0033033E"/>
    <w:rsid w:val="00331C46"/>
    <w:rsid w:val="00335569"/>
    <w:rsid w:val="00342D00"/>
    <w:rsid w:val="00343673"/>
    <w:rsid w:val="003437AF"/>
    <w:rsid w:val="00344B2D"/>
    <w:rsid w:val="003450B1"/>
    <w:rsid w:val="00346769"/>
    <w:rsid w:val="00347074"/>
    <w:rsid w:val="00350705"/>
    <w:rsid w:val="00354B32"/>
    <w:rsid w:val="0035658D"/>
    <w:rsid w:val="00356EE9"/>
    <w:rsid w:val="003635D6"/>
    <w:rsid w:val="0036592E"/>
    <w:rsid w:val="00372308"/>
    <w:rsid w:val="00373BB2"/>
    <w:rsid w:val="00374765"/>
    <w:rsid w:val="003762F5"/>
    <w:rsid w:val="00376DE2"/>
    <w:rsid w:val="003806BA"/>
    <w:rsid w:val="00385AF0"/>
    <w:rsid w:val="00385E9D"/>
    <w:rsid w:val="003864D9"/>
    <w:rsid w:val="00386E26"/>
    <w:rsid w:val="00393159"/>
    <w:rsid w:val="00395905"/>
    <w:rsid w:val="00395AC6"/>
    <w:rsid w:val="00395CAC"/>
    <w:rsid w:val="00395CF5"/>
    <w:rsid w:val="00395EA7"/>
    <w:rsid w:val="003961C6"/>
    <w:rsid w:val="00396207"/>
    <w:rsid w:val="00397837"/>
    <w:rsid w:val="003A060D"/>
    <w:rsid w:val="003A19A8"/>
    <w:rsid w:val="003A313A"/>
    <w:rsid w:val="003A5BB0"/>
    <w:rsid w:val="003A746C"/>
    <w:rsid w:val="003B0781"/>
    <w:rsid w:val="003B0A2F"/>
    <w:rsid w:val="003B0CFF"/>
    <w:rsid w:val="003B1C48"/>
    <w:rsid w:val="003B243F"/>
    <w:rsid w:val="003B2E87"/>
    <w:rsid w:val="003B3563"/>
    <w:rsid w:val="003B4BE8"/>
    <w:rsid w:val="003B5CFC"/>
    <w:rsid w:val="003B659C"/>
    <w:rsid w:val="003B73A8"/>
    <w:rsid w:val="003C6ECC"/>
    <w:rsid w:val="003C7F59"/>
    <w:rsid w:val="003D1518"/>
    <w:rsid w:val="003D1BDD"/>
    <w:rsid w:val="003D2376"/>
    <w:rsid w:val="003D34F2"/>
    <w:rsid w:val="003D4767"/>
    <w:rsid w:val="003D5425"/>
    <w:rsid w:val="003D6CB9"/>
    <w:rsid w:val="003D7C78"/>
    <w:rsid w:val="003D7D2C"/>
    <w:rsid w:val="003E221D"/>
    <w:rsid w:val="003E22B5"/>
    <w:rsid w:val="003F050D"/>
    <w:rsid w:val="003F24CB"/>
    <w:rsid w:val="003F65D7"/>
    <w:rsid w:val="003F7DFF"/>
    <w:rsid w:val="003F7FBC"/>
    <w:rsid w:val="004024EC"/>
    <w:rsid w:val="00402B37"/>
    <w:rsid w:val="0040659E"/>
    <w:rsid w:val="00406B83"/>
    <w:rsid w:val="004104BD"/>
    <w:rsid w:val="00410CE7"/>
    <w:rsid w:val="00414F40"/>
    <w:rsid w:val="00414F9C"/>
    <w:rsid w:val="00417838"/>
    <w:rsid w:val="004210DD"/>
    <w:rsid w:val="00421DB3"/>
    <w:rsid w:val="00423876"/>
    <w:rsid w:val="00423917"/>
    <w:rsid w:val="00426FE3"/>
    <w:rsid w:val="00432E44"/>
    <w:rsid w:val="00434797"/>
    <w:rsid w:val="00434FE1"/>
    <w:rsid w:val="00441377"/>
    <w:rsid w:val="00441D82"/>
    <w:rsid w:val="004431F8"/>
    <w:rsid w:val="00444AA1"/>
    <w:rsid w:val="00446509"/>
    <w:rsid w:val="004470C5"/>
    <w:rsid w:val="0044763F"/>
    <w:rsid w:val="00447E10"/>
    <w:rsid w:val="004509F3"/>
    <w:rsid w:val="00450E8E"/>
    <w:rsid w:val="0045247B"/>
    <w:rsid w:val="004553B3"/>
    <w:rsid w:val="00457257"/>
    <w:rsid w:val="00460515"/>
    <w:rsid w:val="00461AA9"/>
    <w:rsid w:val="00461C99"/>
    <w:rsid w:val="004630E2"/>
    <w:rsid w:val="00463F52"/>
    <w:rsid w:val="00464D96"/>
    <w:rsid w:val="00470E8C"/>
    <w:rsid w:val="00472B7F"/>
    <w:rsid w:val="00475547"/>
    <w:rsid w:val="00477398"/>
    <w:rsid w:val="004837AA"/>
    <w:rsid w:val="0048442E"/>
    <w:rsid w:val="00484655"/>
    <w:rsid w:val="00487A67"/>
    <w:rsid w:val="0049042A"/>
    <w:rsid w:val="0049277A"/>
    <w:rsid w:val="0049371C"/>
    <w:rsid w:val="004A08A7"/>
    <w:rsid w:val="004A1C3D"/>
    <w:rsid w:val="004A1E08"/>
    <w:rsid w:val="004A3245"/>
    <w:rsid w:val="004A52B4"/>
    <w:rsid w:val="004A7222"/>
    <w:rsid w:val="004A7AA5"/>
    <w:rsid w:val="004B0D09"/>
    <w:rsid w:val="004B12F3"/>
    <w:rsid w:val="004B1A73"/>
    <w:rsid w:val="004B2743"/>
    <w:rsid w:val="004B2F34"/>
    <w:rsid w:val="004B3618"/>
    <w:rsid w:val="004B6B27"/>
    <w:rsid w:val="004C3507"/>
    <w:rsid w:val="004C49F3"/>
    <w:rsid w:val="004C6CA8"/>
    <w:rsid w:val="004C76A8"/>
    <w:rsid w:val="004C7776"/>
    <w:rsid w:val="004C7E64"/>
    <w:rsid w:val="004D1D8D"/>
    <w:rsid w:val="004D3B5D"/>
    <w:rsid w:val="004D4B36"/>
    <w:rsid w:val="004D5701"/>
    <w:rsid w:val="004D66EC"/>
    <w:rsid w:val="004D6719"/>
    <w:rsid w:val="004E058B"/>
    <w:rsid w:val="004E41F4"/>
    <w:rsid w:val="004E46DD"/>
    <w:rsid w:val="004E729B"/>
    <w:rsid w:val="004F0BB7"/>
    <w:rsid w:val="004F198E"/>
    <w:rsid w:val="004F27F0"/>
    <w:rsid w:val="004F47B4"/>
    <w:rsid w:val="0050092F"/>
    <w:rsid w:val="005011E2"/>
    <w:rsid w:val="00503575"/>
    <w:rsid w:val="00506A5A"/>
    <w:rsid w:val="00511627"/>
    <w:rsid w:val="0051198A"/>
    <w:rsid w:val="00512881"/>
    <w:rsid w:val="00512FB9"/>
    <w:rsid w:val="0051379E"/>
    <w:rsid w:val="005141A0"/>
    <w:rsid w:val="00514233"/>
    <w:rsid w:val="00514288"/>
    <w:rsid w:val="00516F97"/>
    <w:rsid w:val="00517CF6"/>
    <w:rsid w:val="0052083D"/>
    <w:rsid w:val="00520859"/>
    <w:rsid w:val="0052178C"/>
    <w:rsid w:val="00523835"/>
    <w:rsid w:val="00523D32"/>
    <w:rsid w:val="00524B6F"/>
    <w:rsid w:val="00525BAA"/>
    <w:rsid w:val="00526DE5"/>
    <w:rsid w:val="00526E25"/>
    <w:rsid w:val="00530100"/>
    <w:rsid w:val="0053028C"/>
    <w:rsid w:val="0053116C"/>
    <w:rsid w:val="00533EA4"/>
    <w:rsid w:val="005354E8"/>
    <w:rsid w:val="0053629C"/>
    <w:rsid w:val="00541AC2"/>
    <w:rsid w:val="00545C06"/>
    <w:rsid w:val="005504B2"/>
    <w:rsid w:val="005513B0"/>
    <w:rsid w:val="00555873"/>
    <w:rsid w:val="00561969"/>
    <w:rsid w:val="00562980"/>
    <w:rsid w:val="00565385"/>
    <w:rsid w:val="0057053C"/>
    <w:rsid w:val="00571C62"/>
    <w:rsid w:val="00571E31"/>
    <w:rsid w:val="00573849"/>
    <w:rsid w:val="005738A6"/>
    <w:rsid w:val="00573E4C"/>
    <w:rsid w:val="00575C7B"/>
    <w:rsid w:val="00575D38"/>
    <w:rsid w:val="005765A0"/>
    <w:rsid w:val="00576ADD"/>
    <w:rsid w:val="0057775C"/>
    <w:rsid w:val="0058022A"/>
    <w:rsid w:val="00581512"/>
    <w:rsid w:val="00581E38"/>
    <w:rsid w:val="00582813"/>
    <w:rsid w:val="00582EBC"/>
    <w:rsid w:val="005831E2"/>
    <w:rsid w:val="00583C7E"/>
    <w:rsid w:val="00584047"/>
    <w:rsid w:val="00584424"/>
    <w:rsid w:val="00585A28"/>
    <w:rsid w:val="00586157"/>
    <w:rsid w:val="00587008"/>
    <w:rsid w:val="00596128"/>
    <w:rsid w:val="005A1198"/>
    <w:rsid w:val="005A16AC"/>
    <w:rsid w:val="005A2B79"/>
    <w:rsid w:val="005B0705"/>
    <w:rsid w:val="005B16E2"/>
    <w:rsid w:val="005B2845"/>
    <w:rsid w:val="005B2F51"/>
    <w:rsid w:val="005B30CD"/>
    <w:rsid w:val="005B60FA"/>
    <w:rsid w:val="005B6673"/>
    <w:rsid w:val="005C0AD1"/>
    <w:rsid w:val="005C299E"/>
    <w:rsid w:val="005C451D"/>
    <w:rsid w:val="005C4C97"/>
    <w:rsid w:val="005C6325"/>
    <w:rsid w:val="005C67D8"/>
    <w:rsid w:val="005C7E19"/>
    <w:rsid w:val="005D157A"/>
    <w:rsid w:val="005D2E06"/>
    <w:rsid w:val="005D6328"/>
    <w:rsid w:val="005D789F"/>
    <w:rsid w:val="005D7B76"/>
    <w:rsid w:val="005D7E12"/>
    <w:rsid w:val="005E242E"/>
    <w:rsid w:val="005E2D5E"/>
    <w:rsid w:val="005E2DC5"/>
    <w:rsid w:val="005E63FC"/>
    <w:rsid w:val="005E64CF"/>
    <w:rsid w:val="005E6D83"/>
    <w:rsid w:val="005F367E"/>
    <w:rsid w:val="005F40D3"/>
    <w:rsid w:val="005F6FCD"/>
    <w:rsid w:val="006010A2"/>
    <w:rsid w:val="00601F1C"/>
    <w:rsid w:val="00610540"/>
    <w:rsid w:val="00613BB9"/>
    <w:rsid w:val="00613D1E"/>
    <w:rsid w:val="00614F30"/>
    <w:rsid w:val="0061598E"/>
    <w:rsid w:val="00620603"/>
    <w:rsid w:val="006206FB"/>
    <w:rsid w:val="00621748"/>
    <w:rsid w:val="006239EE"/>
    <w:rsid w:val="0062663D"/>
    <w:rsid w:val="006273C0"/>
    <w:rsid w:val="006276BA"/>
    <w:rsid w:val="006335B9"/>
    <w:rsid w:val="00633C74"/>
    <w:rsid w:val="00633D77"/>
    <w:rsid w:val="00636A7C"/>
    <w:rsid w:val="00641873"/>
    <w:rsid w:val="0064236D"/>
    <w:rsid w:val="00642ABE"/>
    <w:rsid w:val="0064365C"/>
    <w:rsid w:val="006449A4"/>
    <w:rsid w:val="00645A8F"/>
    <w:rsid w:val="00647814"/>
    <w:rsid w:val="00653658"/>
    <w:rsid w:val="00653C73"/>
    <w:rsid w:val="00655865"/>
    <w:rsid w:val="006574FB"/>
    <w:rsid w:val="00657B73"/>
    <w:rsid w:val="00661C13"/>
    <w:rsid w:val="006625E0"/>
    <w:rsid w:val="00663FC5"/>
    <w:rsid w:val="00672657"/>
    <w:rsid w:val="006726DD"/>
    <w:rsid w:val="00673C36"/>
    <w:rsid w:val="00675066"/>
    <w:rsid w:val="006762AC"/>
    <w:rsid w:val="00681286"/>
    <w:rsid w:val="0068220D"/>
    <w:rsid w:val="006848B1"/>
    <w:rsid w:val="00687997"/>
    <w:rsid w:val="0069046A"/>
    <w:rsid w:val="00691F04"/>
    <w:rsid w:val="00692C0F"/>
    <w:rsid w:val="0069549B"/>
    <w:rsid w:val="006963AD"/>
    <w:rsid w:val="0069742D"/>
    <w:rsid w:val="006A05F6"/>
    <w:rsid w:val="006A5689"/>
    <w:rsid w:val="006A6340"/>
    <w:rsid w:val="006B1A63"/>
    <w:rsid w:val="006B1D33"/>
    <w:rsid w:val="006B1D41"/>
    <w:rsid w:val="006B24EE"/>
    <w:rsid w:val="006B4721"/>
    <w:rsid w:val="006C02A2"/>
    <w:rsid w:val="006C0AB6"/>
    <w:rsid w:val="006C1325"/>
    <w:rsid w:val="006C37D0"/>
    <w:rsid w:val="006D0A00"/>
    <w:rsid w:val="006D0C73"/>
    <w:rsid w:val="006D0F86"/>
    <w:rsid w:val="006D1B98"/>
    <w:rsid w:val="006D3A37"/>
    <w:rsid w:val="006D3B53"/>
    <w:rsid w:val="006D7276"/>
    <w:rsid w:val="006E14DB"/>
    <w:rsid w:val="006E1B4F"/>
    <w:rsid w:val="006E69B7"/>
    <w:rsid w:val="006E7CD3"/>
    <w:rsid w:val="006F07B7"/>
    <w:rsid w:val="006F10CE"/>
    <w:rsid w:val="006F3E04"/>
    <w:rsid w:val="006F401C"/>
    <w:rsid w:val="0070017B"/>
    <w:rsid w:val="00703179"/>
    <w:rsid w:val="007048DC"/>
    <w:rsid w:val="00705086"/>
    <w:rsid w:val="00710AF5"/>
    <w:rsid w:val="0071247D"/>
    <w:rsid w:val="007132F9"/>
    <w:rsid w:val="007149E9"/>
    <w:rsid w:val="00714B85"/>
    <w:rsid w:val="007215D6"/>
    <w:rsid w:val="00722761"/>
    <w:rsid w:val="00722896"/>
    <w:rsid w:val="00724621"/>
    <w:rsid w:val="007247B0"/>
    <w:rsid w:val="00724AD2"/>
    <w:rsid w:val="00730081"/>
    <w:rsid w:val="00730F0A"/>
    <w:rsid w:val="00732F74"/>
    <w:rsid w:val="00734392"/>
    <w:rsid w:val="00735B27"/>
    <w:rsid w:val="0074036B"/>
    <w:rsid w:val="00741597"/>
    <w:rsid w:val="0074163C"/>
    <w:rsid w:val="007417B2"/>
    <w:rsid w:val="0074189C"/>
    <w:rsid w:val="007440E5"/>
    <w:rsid w:val="007454CA"/>
    <w:rsid w:val="0074623B"/>
    <w:rsid w:val="00746E16"/>
    <w:rsid w:val="007507E3"/>
    <w:rsid w:val="00751122"/>
    <w:rsid w:val="00754096"/>
    <w:rsid w:val="007559B1"/>
    <w:rsid w:val="00756BAD"/>
    <w:rsid w:val="0076077F"/>
    <w:rsid w:val="00761FDB"/>
    <w:rsid w:val="00767106"/>
    <w:rsid w:val="0077303E"/>
    <w:rsid w:val="007738F4"/>
    <w:rsid w:val="007739FB"/>
    <w:rsid w:val="00775701"/>
    <w:rsid w:val="00776D60"/>
    <w:rsid w:val="0078334E"/>
    <w:rsid w:val="00784171"/>
    <w:rsid w:val="00785D09"/>
    <w:rsid w:val="007864D2"/>
    <w:rsid w:val="0078679A"/>
    <w:rsid w:val="00787F1B"/>
    <w:rsid w:val="00790D31"/>
    <w:rsid w:val="00794B41"/>
    <w:rsid w:val="007A3AFA"/>
    <w:rsid w:val="007A4868"/>
    <w:rsid w:val="007B6619"/>
    <w:rsid w:val="007C4D53"/>
    <w:rsid w:val="007C563D"/>
    <w:rsid w:val="007C5881"/>
    <w:rsid w:val="007C65EA"/>
    <w:rsid w:val="007C67EF"/>
    <w:rsid w:val="007C7BE9"/>
    <w:rsid w:val="007D1462"/>
    <w:rsid w:val="007D1B36"/>
    <w:rsid w:val="007D4485"/>
    <w:rsid w:val="007D4D8D"/>
    <w:rsid w:val="007D532F"/>
    <w:rsid w:val="007D5C25"/>
    <w:rsid w:val="007D7029"/>
    <w:rsid w:val="007E09CF"/>
    <w:rsid w:val="007E2349"/>
    <w:rsid w:val="007E4720"/>
    <w:rsid w:val="007E5DFB"/>
    <w:rsid w:val="007E619F"/>
    <w:rsid w:val="007E67FC"/>
    <w:rsid w:val="007E6D2A"/>
    <w:rsid w:val="007F0887"/>
    <w:rsid w:val="007F0C12"/>
    <w:rsid w:val="007F1F41"/>
    <w:rsid w:val="007F2648"/>
    <w:rsid w:val="007F354C"/>
    <w:rsid w:val="007F3D36"/>
    <w:rsid w:val="007F4135"/>
    <w:rsid w:val="007F5CB4"/>
    <w:rsid w:val="007F5E56"/>
    <w:rsid w:val="00801757"/>
    <w:rsid w:val="00801CCA"/>
    <w:rsid w:val="00801D80"/>
    <w:rsid w:val="00804762"/>
    <w:rsid w:val="00807999"/>
    <w:rsid w:val="00810696"/>
    <w:rsid w:val="00812DD3"/>
    <w:rsid w:val="008142B4"/>
    <w:rsid w:val="00814E01"/>
    <w:rsid w:val="008153F5"/>
    <w:rsid w:val="00823761"/>
    <w:rsid w:val="00825089"/>
    <w:rsid w:val="008253D8"/>
    <w:rsid w:val="0082601C"/>
    <w:rsid w:val="008264BE"/>
    <w:rsid w:val="008304EB"/>
    <w:rsid w:val="00833BE6"/>
    <w:rsid w:val="008377C7"/>
    <w:rsid w:val="00841129"/>
    <w:rsid w:val="00841FEE"/>
    <w:rsid w:val="00842089"/>
    <w:rsid w:val="00843ED5"/>
    <w:rsid w:val="00845C03"/>
    <w:rsid w:val="00845D30"/>
    <w:rsid w:val="00846932"/>
    <w:rsid w:val="00846EA1"/>
    <w:rsid w:val="00850055"/>
    <w:rsid w:val="008515A0"/>
    <w:rsid w:val="00860458"/>
    <w:rsid w:val="00861C2E"/>
    <w:rsid w:val="00862BC3"/>
    <w:rsid w:val="0086450D"/>
    <w:rsid w:val="00865FDD"/>
    <w:rsid w:val="00867CED"/>
    <w:rsid w:val="00871B91"/>
    <w:rsid w:val="0087215B"/>
    <w:rsid w:val="00872C89"/>
    <w:rsid w:val="00874F00"/>
    <w:rsid w:val="00875047"/>
    <w:rsid w:val="00876124"/>
    <w:rsid w:val="00876BBC"/>
    <w:rsid w:val="00876E8C"/>
    <w:rsid w:val="00881840"/>
    <w:rsid w:val="008819A8"/>
    <w:rsid w:val="0088329D"/>
    <w:rsid w:val="0088518A"/>
    <w:rsid w:val="0088682C"/>
    <w:rsid w:val="008868F7"/>
    <w:rsid w:val="00891A71"/>
    <w:rsid w:val="008929FB"/>
    <w:rsid w:val="0089314D"/>
    <w:rsid w:val="0089333B"/>
    <w:rsid w:val="0089361E"/>
    <w:rsid w:val="00897D50"/>
    <w:rsid w:val="008A19EC"/>
    <w:rsid w:val="008A1EE9"/>
    <w:rsid w:val="008A1F2F"/>
    <w:rsid w:val="008A4990"/>
    <w:rsid w:val="008A4F22"/>
    <w:rsid w:val="008A5399"/>
    <w:rsid w:val="008A5845"/>
    <w:rsid w:val="008A6C31"/>
    <w:rsid w:val="008B062F"/>
    <w:rsid w:val="008B44F2"/>
    <w:rsid w:val="008B6B12"/>
    <w:rsid w:val="008C1096"/>
    <w:rsid w:val="008C2261"/>
    <w:rsid w:val="008C2701"/>
    <w:rsid w:val="008C27FE"/>
    <w:rsid w:val="008C61D5"/>
    <w:rsid w:val="008D180D"/>
    <w:rsid w:val="008D3837"/>
    <w:rsid w:val="008D4E97"/>
    <w:rsid w:val="008D52D9"/>
    <w:rsid w:val="008E1A2D"/>
    <w:rsid w:val="008E1C26"/>
    <w:rsid w:val="008E2374"/>
    <w:rsid w:val="008E4DC6"/>
    <w:rsid w:val="008E6828"/>
    <w:rsid w:val="008E6CD1"/>
    <w:rsid w:val="008E7AA5"/>
    <w:rsid w:val="008F08A7"/>
    <w:rsid w:val="008F1822"/>
    <w:rsid w:val="008F38AE"/>
    <w:rsid w:val="008F4F13"/>
    <w:rsid w:val="0090178F"/>
    <w:rsid w:val="0090515B"/>
    <w:rsid w:val="00906231"/>
    <w:rsid w:val="009076BD"/>
    <w:rsid w:val="00907C3C"/>
    <w:rsid w:val="00911EDD"/>
    <w:rsid w:val="0091323E"/>
    <w:rsid w:val="00915448"/>
    <w:rsid w:val="00916863"/>
    <w:rsid w:val="00917D6C"/>
    <w:rsid w:val="00922F0B"/>
    <w:rsid w:val="00924274"/>
    <w:rsid w:val="009245C5"/>
    <w:rsid w:val="009255C0"/>
    <w:rsid w:val="00926C62"/>
    <w:rsid w:val="00927570"/>
    <w:rsid w:val="00927C4D"/>
    <w:rsid w:val="0093073E"/>
    <w:rsid w:val="00931BB1"/>
    <w:rsid w:val="00933F4C"/>
    <w:rsid w:val="009351C9"/>
    <w:rsid w:val="00942005"/>
    <w:rsid w:val="00943749"/>
    <w:rsid w:val="009464DA"/>
    <w:rsid w:val="00951626"/>
    <w:rsid w:val="00952BBC"/>
    <w:rsid w:val="0095335A"/>
    <w:rsid w:val="00953FD8"/>
    <w:rsid w:val="009555CA"/>
    <w:rsid w:val="00956A34"/>
    <w:rsid w:val="00960C10"/>
    <w:rsid w:val="0096132A"/>
    <w:rsid w:val="00965AFD"/>
    <w:rsid w:val="009664F0"/>
    <w:rsid w:val="009671ED"/>
    <w:rsid w:val="0097069B"/>
    <w:rsid w:val="0097096E"/>
    <w:rsid w:val="00970BF7"/>
    <w:rsid w:val="00971236"/>
    <w:rsid w:val="0097150C"/>
    <w:rsid w:val="00972B51"/>
    <w:rsid w:val="00974841"/>
    <w:rsid w:val="00974A74"/>
    <w:rsid w:val="00976BD6"/>
    <w:rsid w:val="0097756E"/>
    <w:rsid w:val="00980B82"/>
    <w:rsid w:val="00980E93"/>
    <w:rsid w:val="00982540"/>
    <w:rsid w:val="0098490F"/>
    <w:rsid w:val="0098529E"/>
    <w:rsid w:val="00985865"/>
    <w:rsid w:val="00987538"/>
    <w:rsid w:val="009879ED"/>
    <w:rsid w:val="00987E05"/>
    <w:rsid w:val="0099115A"/>
    <w:rsid w:val="00992691"/>
    <w:rsid w:val="00992C28"/>
    <w:rsid w:val="00992FBE"/>
    <w:rsid w:val="00993F47"/>
    <w:rsid w:val="00995B4B"/>
    <w:rsid w:val="009A13B8"/>
    <w:rsid w:val="009A1894"/>
    <w:rsid w:val="009A3CBF"/>
    <w:rsid w:val="009A468D"/>
    <w:rsid w:val="009A4EF8"/>
    <w:rsid w:val="009B0055"/>
    <w:rsid w:val="009B30FC"/>
    <w:rsid w:val="009B49FC"/>
    <w:rsid w:val="009B5E85"/>
    <w:rsid w:val="009B77F6"/>
    <w:rsid w:val="009C3752"/>
    <w:rsid w:val="009C464F"/>
    <w:rsid w:val="009C615C"/>
    <w:rsid w:val="009C7895"/>
    <w:rsid w:val="009D3CF2"/>
    <w:rsid w:val="009D4D01"/>
    <w:rsid w:val="009D552D"/>
    <w:rsid w:val="009D5C38"/>
    <w:rsid w:val="009D5FD2"/>
    <w:rsid w:val="009D65C7"/>
    <w:rsid w:val="009D68FF"/>
    <w:rsid w:val="009D6B86"/>
    <w:rsid w:val="009D70EE"/>
    <w:rsid w:val="009E0A60"/>
    <w:rsid w:val="009E348A"/>
    <w:rsid w:val="009E630B"/>
    <w:rsid w:val="009E7100"/>
    <w:rsid w:val="009E771B"/>
    <w:rsid w:val="009F0724"/>
    <w:rsid w:val="009F0C68"/>
    <w:rsid w:val="009F2246"/>
    <w:rsid w:val="009F294B"/>
    <w:rsid w:val="009F4DBE"/>
    <w:rsid w:val="009F4EFE"/>
    <w:rsid w:val="00A0094B"/>
    <w:rsid w:val="00A012B3"/>
    <w:rsid w:val="00A02B8E"/>
    <w:rsid w:val="00A0537F"/>
    <w:rsid w:val="00A05469"/>
    <w:rsid w:val="00A05B76"/>
    <w:rsid w:val="00A06F95"/>
    <w:rsid w:val="00A07109"/>
    <w:rsid w:val="00A1171E"/>
    <w:rsid w:val="00A13230"/>
    <w:rsid w:val="00A13878"/>
    <w:rsid w:val="00A17851"/>
    <w:rsid w:val="00A22CAE"/>
    <w:rsid w:val="00A23086"/>
    <w:rsid w:val="00A2481F"/>
    <w:rsid w:val="00A26022"/>
    <w:rsid w:val="00A33EEA"/>
    <w:rsid w:val="00A36E0A"/>
    <w:rsid w:val="00A416C2"/>
    <w:rsid w:val="00A41AEC"/>
    <w:rsid w:val="00A445F9"/>
    <w:rsid w:val="00A46030"/>
    <w:rsid w:val="00A460F3"/>
    <w:rsid w:val="00A50007"/>
    <w:rsid w:val="00A523B9"/>
    <w:rsid w:val="00A5273C"/>
    <w:rsid w:val="00A54452"/>
    <w:rsid w:val="00A5470C"/>
    <w:rsid w:val="00A54A8B"/>
    <w:rsid w:val="00A56156"/>
    <w:rsid w:val="00A5626C"/>
    <w:rsid w:val="00A60BB7"/>
    <w:rsid w:val="00A63362"/>
    <w:rsid w:val="00A64513"/>
    <w:rsid w:val="00A66893"/>
    <w:rsid w:val="00A66AA4"/>
    <w:rsid w:val="00A7123D"/>
    <w:rsid w:val="00A71C26"/>
    <w:rsid w:val="00A77093"/>
    <w:rsid w:val="00A77322"/>
    <w:rsid w:val="00A7753D"/>
    <w:rsid w:val="00A8079B"/>
    <w:rsid w:val="00A82147"/>
    <w:rsid w:val="00A86108"/>
    <w:rsid w:val="00A87920"/>
    <w:rsid w:val="00A91904"/>
    <w:rsid w:val="00A9408D"/>
    <w:rsid w:val="00A94D76"/>
    <w:rsid w:val="00AA0A08"/>
    <w:rsid w:val="00AA0B13"/>
    <w:rsid w:val="00AA1B3B"/>
    <w:rsid w:val="00AA7321"/>
    <w:rsid w:val="00AA7DC8"/>
    <w:rsid w:val="00AB13C8"/>
    <w:rsid w:val="00AB1F23"/>
    <w:rsid w:val="00AB35BA"/>
    <w:rsid w:val="00AB3D1A"/>
    <w:rsid w:val="00AB42C0"/>
    <w:rsid w:val="00AB63D3"/>
    <w:rsid w:val="00AC0322"/>
    <w:rsid w:val="00AC32D8"/>
    <w:rsid w:val="00AC3337"/>
    <w:rsid w:val="00AC354C"/>
    <w:rsid w:val="00AC4158"/>
    <w:rsid w:val="00AC5E50"/>
    <w:rsid w:val="00AC604C"/>
    <w:rsid w:val="00AD223B"/>
    <w:rsid w:val="00AE092C"/>
    <w:rsid w:val="00AE0A14"/>
    <w:rsid w:val="00AE15D7"/>
    <w:rsid w:val="00AE34E9"/>
    <w:rsid w:val="00AE45F8"/>
    <w:rsid w:val="00AF0BB2"/>
    <w:rsid w:val="00AF20B6"/>
    <w:rsid w:val="00AF26A4"/>
    <w:rsid w:val="00AF327B"/>
    <w:rsid w:val="00AF4D16"/>
    <w:rsid w:val="00AF5ABD"/>
    <w:rsid w:val="00B00C58"/>
    <w:rsid w:val="00B0177E"/>
    <w:rsid w:val="00B03A7B"/>
    <w:rsid w:val="00B0491E"/>
    <w:rsid w:val="00B04ED5"/>
    <w:rsid w:val="00B06D98"/>
    <w:rsid w:val="00B103E0"/>
    <w:rsid w:val="00B146E0"/>
    <w:rsid w:val="00B224CD"/>
    <w:rsid w:val="00B26394"/>
    <w:rsid w:val="00B270FE"/>
    <w:rsid w:val="00B27A30"/>
    <w:rsid w:val="00B35803"/>
    <w:rsid w:val="00B35977"/>
    <w:rsid w:val="00B35CA0"/>
    <w:rsid w:val="00B36426"/>
    <w:rsid w:val="00B37251"/>
    <w:rsid w:val="00B3785B"/>
    <w:rsid w:val="00B37B92"/>
    <w:rsid w:val="00B43DDA"/>
    <w:rsid w:val="00B458ED"/>
    <w:rsid w:val="00B45BAF"/>
    <w:rsid w:val="00B51A6E"/>
    <w:rsid w:val="00B52899"/>
    <w:rsid w:val="00B537B9"/>
    <w:rsid w:val="00B5394B"/>
    <w:rsid w:val="00B5494A"/>
    <w:rsid w:val="00B602E7"/>
    <w:rsid w:val="00B61464"/>
    <w:rsid w:val="00B6160A"/>
    <w:rsid w:val="00B616D2"/>
    <w:rsid w:val="00B61DF0"/>
    <w:rsid w:val="00B63933"/>
    <w:rsid w:val="00B6596A"/>
    <w:rsid w:val="00B667F9"/>
    <w:rsid w:val="00B74D64"/>
    <w:rsid w:val="00B75A1D"/>
    <w:rsid w:val="00B75B9E"/>
    <w:rsid w:val="00B77DB9"/>
    <w:rsid w:val="00B8065F"/>
    <w:rsid w:val="00B8173C"/>
    <w:rsid w:val="00B822D6"/>
    <w:rsid w:val="00B846FA"/>
    <w:rsid w:val="00B902B7"/>
    <w:rsid w:val="00B905E2"/>
    <w:rsid w:val="00B924F1"/>
    <w:rsid w:val="00B92768"/>
    <w:rsid w:val="00B939A2"/>
    <w:rsid w:val="00B976FD"/>
    <w:rsid w:val="00BA1A3A"/>
    <w:rsid w:val="00BA3508"/>
    <w:rsid w:val="00BA5AC6"/>
    <w:rsid w:val="00BA5F5C"/>
    <w:rsid w:val="00BB1CAB"/>
    <w:rsid w:val="00BB22FA"/>
    <w:rsid w:val="00BB3F72"/>
    <w:rsid w:val="00BB50E5"/>
    <w:rsid w:val="00BB5653"/>
    <w:rsid w:val="00BB678C"/>
    <w:rsid w:val="00BC0390"/>
    <w:rsid w:val="00BC2925"/>
    <w:rsid w:val="00BC36CE"/>
    <w:rsid w:val="00BC50F8"/>
    <w:rsid w:val="00BC599D"/>
    <w:rsid w:val="00BC7F21"/>
    <w:rsid w:val="00BC7F39"/>
    <w:rsid w:val="00BD1142"/>
    <w:rsid w:val="00BD2681"/>
    <w:rsid w:val="00BD4152"/>
    <w:rsid w:val="00BD44C4"/>
    <w:rsid w:val="00BD45C8"/>
    <w:rsid w:val="00BD4A6D"/>
    <w:rsid w:val="00BD587D"/>
    <w:rsid w:val="00BE1F11"/>
    <w:rsid w:val="00BF2703"/>
    <w:rsid w:val="00BF5BCA"/>
    <w:rsid w:val="00C011F8"/>
    <w:rsid w:val="00C016FF"/>
    <w:rsid w:val="00C0397E"/>
    <w:rsid w:val="00C04969"/>
    <w:rsid w:val="00C05EFE"/>
    <w:rsid w:val="00C07873"/>
    <w:rsid w:val="00C1660C"/>
    <w:rsid w:val="00C16C66"/>
    <w:rsid w:val="00C20A7B"/>
    <w:rsid w:val="00C211A9"/>
    <w:rsid w:val="00C21532"/>
    <w:rsid w:val="00C21813"/>
    <w:rsid w:val="00C23344"/>
    <w:rsid w:val="00C23443"/>
    <w:rsid w:val="00C25E06"/>
    <w:rsid w:val="00C25FCC"/>
    <w:rsid w:val="00C31479"/>
    <w:rsid w:val="00C3299F"/>
    <w:rsid w:val="00C32FB6"/>
    <w:rsid w:val="00C334DE"/>
    <w:rsid w:val="00C3376A"/>
    <w:rsid w:val="00C3442B"/>
    <w:rsid w:val="00C3498C"/>
    <w:rsid w:val="00C35E0F"/>
    <w:rsid w:val="00C3745C"/>
    <w:rsid w:val="00C37E1F"/>
    <w:rsid w:val="00C4062A"/>
    <w:rsid w:val="00C43EA0"/>
    <w:rsid w:val="00C4470F"/>
    <w:rsid w:val="00C47D46"/>
    <w:rsid w:val="00C47DF5"/>
    <w:rsid w:val="00C50657"/>
    <w:rsid w:val="00C527D6"/>
    <w:rsid w:val="00C52A05"/>
    <w:rsid w:val="00C53E22"/>
    <w:rsid w:val="00C54100"/>
    <w:rsid w:val="00C54C61"/>
    <w:rsid w:val="00C57D08"/>
    <w:rsid w:val="00C62BFC"/>
    <w:rsid w:val="00C63C23"/>
    <w:rsid w:val="00C676FC"/>
    <w:rsid w:val="00C702E9"/>
    <w:rsid w:val="00C73380"/>
    <w:rsid w:val="00C75308"/>
    <w:rsid w:val="00C8326D"/>
    <w:rsid w:val="00C84280"/>
    <w:rsid w:val="00C85EA1"/>
    <w:rsid w:val="00C8662A"/>
    <w:rsid w:val="00C92079"/>
    <w:rsid w:val="00C93401"/>
    <w:rsid w:val="00C935A6"/>
    <w:rsid w:val="00C95D31"/>
    <w:rsid w:val="00CA0949"/>
    <w:rsid w:val="00CA44F4"/>
    <w:rsid w:val="00CA498F"/>
    <w:rsid w:val="00CA60B3"/>
    <w:rsid w:val="00CB17CD"/>
    <w:rsid w:val="00CB27C5"/>
    <w:rsid w:val="00CB2B13"/>
    <w:rsid w:val="00CB343C"/>
    <w:rsid w:val="00CB3AF0"/>
    <w:rsid w:val="00CC2472"/>
    <w:rsid w:val="00CC4F7B"/>
    <w:rsid w:val="00CC53CA"/>
    <w:rsid w:val="00CC7E26"/>
    <w:rsid w:val="00CD140C"/>
    <w:rsid w:val="00CD19EF"/>
    <w:rsid w:val="00CD202C"/>
    <w:rsid w:val="00CD218B"/>
    <w:rsid w:val="00CD3A4B"/>
    <w:rsid w:val="00CD709E"/>
    <w:rsid w:val="00CE3F5F"/>
    <w:rsid w:val="00CE4EB4"/>
    <w:rsid w:val="00CF0008"/>
    <w:rsid w:val="00CF08AC"/>
    <w:rsid w:val="00CF0B13"/>
    <w:rsid w:val="00CF46A2"/>
    <w:rsid w:val="00CF47D7"/>
    <w:rsid w:val="00CF546C"/>
    <w:rsid w:val="00CF625D"/>
    <w:rsid w:val="00D045E9"/>
    <w:rsid w:val="00D0534B"/>
    <w:rsid w:val="00D057D7"/>
    <w:rsid w:val="00D0781D"/>
    <w:rsid w:val="00D1372B"/>
    <w:rsid w:val="00D16C7C"/>
    <w:rsid w:val="00D2123F"/>
    <w:rsid w:val="00D2550E"/>
    <w:rsid w:val="00D2677D"/>
    <w:rsid w:val="00D268A8"/>
    <w:rsid w:val="00D3179E"/>
    <w:rsid w:val="00D31934"/>
    <w:rsid w:val="00D323D6"/>
    <w:rsid w:val="00D36915"/>
    <w:rsid w:val="00D37094"/>
    <w:rsid w:val="00D40F20"/>
    <w:rsid w:val="00D43053"/>
    <w:rsid w:val="00D45281"/>
    <w:rsid w:val="00D51B3D"/>
    <w:rsid w:val="00D52EA6"/>
    <w:rsid w:val="00D54F29"/>
    <w:rsid w:val="00D5533C"/>
    <w:rsid w:val="00D620AF"/>
    <w:rsid w:val="00D62EE6"/>
    <w:rsid w:val="00D635B3"/>
    <w:rsid w:val="00D63A74"/>
    <w:rsid w:val="00D6405D"/>
    <w:rsid w:val="00D64A2C"/>
    <w:rsid w:val="00D65384"/>
    <w:rsid w:val="00D711C9"/>
    <w:rsid w:val="00D73755"/>
    <w:rsid w:val="00D73E05"/>
    <w:rsid w:val="00D7541D"/>
    <w:rsid w:val="00D75B66"/>
    <w:rsid w:val="00D761BF"/>
    <w:rsid w:val="00D77ADB"/>
    <w:rsid w:val="00D81C0F"/>
    <w:rsid w:val="00D81FA2"/>
    <w:rsid w:val="00D82836"/>
    <w:rsid w:val="00D829C6"/>
    <w:rsid w:val="00D83732"/>
    <w:rsid w:val="00D85F5A"/>
    <w:rsid w:val="00D92EFD"/>
    <w:rsid w:val="00D967F0"/>
    <w:rsid w:val="00D97930"/>
    <w:rsid w:val="00D97CFA"/>
    <w:rsid w:val="00DA02BF"/>
    <w:rsid w:val="00DA1614"/>
    <w:rsid w:val="00DA1971"/>
    <w:rsid w:val="00DA31D8"/>
    <w:rsid w:val="00DA324F"/>
    <w:rsid w:val="00DA5473"/>
    <w:rsid w:val="00DA6D70"/>
    <w:rsid w:val="00DB1C79"/>
    <w:rsid w:val="00DB2EB3"/>
    <w:rsid w:val="00DB455D"/>
    <w:rsid w:val="00DB537A"/>
    <w:rsid w:val="00DB57AB"/>
    <w:rsid w:val="00DB5D76"/>
    <w:rsid w:val="00DB664C"/>
    <w:rsid w:val="00DB7BC8"/>
    <w:rsid w:val="00DC1349"/>
    <w:rsid w:val="00DC32EF"/>
    <w:rsid w:val="00DC5DD1"/>
    <w:rsid w:val="00DC6749"/>
    <w:rsid w:val="00DD4504"/>
    <w:rsid w:val="00DD484C"/>
    <w:rsid w:val="00DD7D59"/>
    <w:rsid w:val="00DE00FA"/>
    <w:rsid w:val="00DE0946"/>
    <w:rsid w:val="00DE1EF7"/>
    <w:rsid w:val="00DE400B"/>
    <w:rsid w:val="00DE4AAB"/>
    <w:rsid w:val="00DE50F8"/>
    <w:rsid w:val="00DE6691"/>
    <w:rsid w:val="00DF214D"/>
    <w:rsid w:val="00DF3A0A"/>
    <w:rsid w:val="00DF4B88"/>
    <w:rsid w:val="00E01081"/>
    <w:rsid w:val="00E0210E"/>
    <w:rsid w:val="00E04DED"/>
    <w:rsid w:val="00E0501B"/>
    <w:rsid w:val="00E11D2F"/>
    <w:rsid w:val="00E12D10"/>
    <w:rsid w:val="00E143BD"/>
    <w:rsid w:val="00E148D7"/>
    <w:rsid w:val="00E14E39"/>
    <w:rsid w:val="00E154B8"/>
    <w:rsid w:val="00E20B9A"/>
    <w:rsid w:val="00E21203"/>
    <w:rsid w:val="00E24665"/>
    <w:rsid w:val="00E252B0"/>
    <w:rsid w:val="00E25BFB"/>
    <w:rsid w:val="00E306F6"/>
    <w:rsid w:val="00E30DA2"/>
    <w:rsid w:val="00E326B8"/>
    <w:rsid w:val="00E34C62"/>
    <w:rsid w:val="00E35433"/>
    <w:rsid w:val="00E367FD"/>
    <w:rsid w:val="00E368D3"/>
    <w:rsid w:val="00E418B6"/>
    <w:rsid w:val="00E43604"/>
    <w:rsid w:val="00E453E8"/>
    <w:rsid w:val="00E470F7"/>
    <w:rsid w:val="00E52B66"/>
    <w:rsid w:val="00E53D7E"/>
    <w:rsid w:val="00E541D9"/>
    <w:rsid w:val="00E54C4F"/>
    <w:rsid w:val="00E56237"/>
    <w:rsid w:val="00E56BD5"/>
    <w:rsid w:val="00E5774B"/>
    <w:rsid w:val="00E6359E"/>
    <w:rsid w:val="00E65874"/>
    <w:rsid w:val="00E72FD0"/>
    <w:rsid w:val="00E73E07"/>
    <w:rsid w:val="00E75B77"/>
    <w:rsid w:val="00E76B8A"/>
    <w:rsid w:val="00E77477"/>
    <w:rsid w:val="00E80026"/>
    <w:rsid w:val="00E80247"/>
    <w:rsid w:val="00E86C79"/>
    <w:rsid w:val="00E87B75"/>
    <w:rsid w:val="00E902FE"/>
    <w:rsid w:val="00E92266"/>
    <w:rsid w:val="00E964F3"/>
    <w:rsid w:val="00E96888"/>
    <w:rsid w:val="00EA13D9"/>
    <w:rsid w:val="00EA1A24"/>
    <w:rsid w:val="00EA32E0"/>
    <w:rsid w:val="00EA3B6B"/>
    <w:rsid w:val="00EA413D"/>
    <w:rsid w:val="00EA6A44"/>
    <w:rsid w:val="00EA6D47"/>
    <w:rsid w:val="00EA71C1"/>
    <w:rsid w:val="00EA7602"/>
    <w:rsid w:val="00EA7722"/>
    <w:rsid w:val="00EA7CC4"/>
    <w:rsid w:val="00EA7E4F"/>
    <w:rsid w:val="00EB2645"/>
    <w:rsid w:val="00EB2B6D"/>
    <w:rsid w:val="00EB3650"/>
    <w:rsid w:val="00EB3B67"/>
    <w:rsid w:val="00EB5F5F"/>
    <w:rsid w:val="00EB6B5F"/>
    <w:rsid w:val="00EC5369"/>
    <w:rsid w:val="00EC60A2"/>
    <w:rsid w:val="00EC6B2A"/>
    <w:rsid w:val="00ED019B"/>
    <w:rsid w:val="00ED1227"/>
    <w:rsid w:val="00ED278C"/>
    <w:rsid w:val="00ED495E"/>
    <w:rsid w:val="00ED4E67"/>
    <w:rsid w:val="00ED5234"/>
    <w:rsid w:val="00ED6F0B"/>
    <w:rsid w:val="00ED7A8D"/>
    <w:rsid w:val="00ED7F30"/>
    <w:rsid w:val="00EE1461"/>
    <w:rsid w:val="00EE3797"/>
    <w:rsid w:val="00EE4568"/>
    <w:rsid w:val="00EE5723"/>
    <w:rsid w:val="00EE59D4"/>
    <w:rsid w:val="00EE66CF"/>
    <w:rsid w:val="00EE69C7"/>
    <w:rsid w:val="00EF1F10"/>
    <w:rsid w:val="00EF6115"/>
    <w:rsid w:val="00EF68A3"/>
    <w:rsid w:val="00F02273"/>
    <w:rsid w:val="00F02E83"/>
    <w:rsid w:val="00F03878"/>
    <w:rsid w:val="00F03930"/>
    <w:rsid w:val="00F04EC4"/>
    <w:rsid w:val="00F07094"/>
    <w:rsid w:val="00F07B74"/>
    <w:rsid w:val="00F11D72"/>
    <w:rsid w:val="00F16D5B"/>
    <w:rsid w:val="00F16FF6"/>
    <w:rsid w:val="00F207D5"/>
    <w:rsid w:val="00F21DC3"/>
    <w:rsid w:val="00F24ED3"/>
    <w:rsid w:val="00F27248"/>
    <w:rsid w:val="00F278DA"/>
    <w:rsid w:val="00F3078F"/>
    <w:rsid w:val="00F3485C"/>
    <w:rsid w:val="00F35852"/>
    <w:rsid w:val="00F3727F"/>
    <w:rsid w:val="00F37F46"/>
    <w:rsid w:val="00F40E64"/>
    <w:rsid w:val="00F41528"/>
    <w:rsid w:val="00F42600"/>
    <w:rsid w:val="00F436B3"/>
    <w:rsid w:val="00F43A62"/>
    <w:rsid w:val="00F44CB8"/>
    <w:rsid w:val="00F466B0"/>
    <w:rsid w:val="00F46A49"/>
    <w:rsid w:val="00F472E0"/>
    <w:rsid w:val="00F6047E"/>
    <w:rsid w:val="00F61A84"/>
    <w:rsid w:val="00F632D5"/>
    <w:rsid w:val="00F67274"/>
    <w:rsid w:val="00F70ADD"/>
    <w:rsid w:val="00F7122D"/>
    <w:rsid w:val="00F726CD"/>
    <w:rsid w:val="00F72FD6"/>
    <w:rsid w:val="00F7391F"/>
    <w:rsid w:val="00F82B49"/>
    <w:rsid w:val="00F842D6"/>
    <w:rsid w:val="00F84315"/>
    <w:rsid w:val="00F84CEE"/>
    <w:rsid w:val="00F86499"/>
    <w:rsid w:val="00F86E12"/>
    <w:rsid w:val="00F87ED9"/>
    <w:rsid w:val="00F92174"/>
    <w:rsid w:val="00F93475"/>
    <w:rsid w:val="00F95AA4"/>
    <w:rsid w:val="00FA073A"/>
    <w:rsid w:val="00FA19CF"/>
    <w:rsid w:val="00FA2425"/>
    <w:rsid w:val="00FA553D"/>
    <w:rsid w:val="00FA5703"/>
    <w:rsid w:val="00FA7554"/>
    <w:rsid w:val="00FA788C"/>
    <w:rsid w:val="00FB5287"/>
    <w:rsid w:val="00FB5CF0"/>
    <w:rsid w:val="00FB7E18"/>
    <w:rsid w:val="00FC2998"/>
    <w:rsid w:val="00FC2DF4"/>
    <w:rsid w:val="00FC468A"/>
    <w:rsid w:val="00FC4BFC"/>
    <w:rsid w:val="00FC4F03"/>
    <w:rsid w:val="00FC5070"/>
    <w:rsid w:val="00FC6A58"/>
    <w:rsid w:val="00FC7D46"/>
    <w:rsid w:val="00FD1C74"/>
    <w:rsid w:val="00FD5C76"/>
    <w:rsid w:val="00FD62BF"/>
    <w:rsid w:val="00FE2158"/>
    <w:rsid w:val="00FE45FE"/>
    <w:rsid w:val="00FE5BF5"/>
    <w:rsid w:val="00FE7602"/>
    <w:rsid w:val="00FF0F0F"/>
    <w:rsid w:val="00FF1BCB"/>
    <w:rsid w:val="00FF1E83"/>
    <w:rsid w:val="00FF3ABC"/>
    <w:rsid w:val="00FF3B6D"/>
    <w:rsid w:val="00FF6DDC"/>
    <w:rsid w:val="00FF79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922BF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29C9"/>
    <w:pPr>
      <w:spacing w:line="480" w:lineRule="auto"/>
    </w:pPr>
    <w:rPr>
      <w:sz w:val="24"/>
      <w:szCs w:val="24"/>
    </w:rPr>
  </w:style>
  <w:style w:type="paragraph" w:styleId="Heading1">
    <w:name w:val="heading 1"/>
    <w:next w:val="Normal"/>
    <w:link w:val="Heading1Char"/>
    <w:autoRedefine/>
    <w:uiPriority w:val="9"/>
    <w:qFormat/>
    <w:rsid w:val="00DB57AB"/>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5C7E19"/>
    <w:pPr>
      <w:keepNext/>
      <w:numPr>
        <w:ilvl w:val="1"/>
        <w:numId w:val="8"/>
      </w:numPr>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2E7CA1"/>
    <w:pPr>
      <w:keepNext/>
      <w:numPr>
        <w:ilvl w:val="2"/>
        <w:numId w:val="8"/>
      </w:numPr>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unhideWhenUsed/>
    <w:rsid w:val="002E7CA1"/>
    <w:pPr>
      <w:keepNext/>
      <w:numPr>
        <w:ilvl w:val="3"/>
        <w:numId w:val="8"/>
      </w:numPr>
      <w:spacing w:after="60"/>
      <w:jc w:val="center"/>
      <w:outlineLvl w:val="3"/>
    </w:pPr>
    <w:rPr>
      <w:bCs/>
      <w:szCs w:val="28"/>
      <w:u w:val="single"/>
    </w:rPr>
  </w:style>
  <w:style w:type="paragraph" w:styleId="Heading5">
    <w:name w:val="heading 5"/>
    <w:basedOn w:val="Normal"/>
    <w:next w:val="Normal"/>
    <w:link w:val="Heading5Char"/>
    <w:uiPriority w:val="9"/>
    <w:unhideWhenUsed/>
    <w:qFormat/>
    <w:rsid w:val="002E7CA1"/>
    <w:pPr>
      <w:numPr>
        <w:ilvl w:val="4"/>
        <w:numId w:val="8"/>
      </w:num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2E7CA1"/>
    <w:pPr>
      <w:numPr>
        <w:ilvl w:val="5"/>
        <w:numId w:val="8"/>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2E7CA1"/>
    <w:pPr>
      <w:numPr>
        <w:ilvl w:val="6"/>
        <w:numId w:val="8"/>
      </w:numPr>
      <w:spacing w:before="240" w:after="60"/>
      <w:outlineLvl w:val="6"/>
    </w:pPr>
  </w:style>
  <w:style w:type="paragraph" w:styleId="Heading8">
    <w:name w:val="heading 8"/>
    <w:basedOn w:val="Normal"/>
    <w:next w:val="Normal"/>
    <w:link w:val="Heading8Char"/>
    <w:uiPriority w:val="9"/>
    <w:semiHidden/>
    <w:unhideWhenUsed/>
    <w:qFormat/>
    <w:rsid w:val="002E7CA1"/>
    <w:pPr>
      <w:numPr>
        <w:ilvl w:val="7"/>
        <w:numId w:val="8"/>
      </w:numPr>
      <w:spacing w:before="240" w:after="60"/>
      <w:outlineLvl w:val="7"/>
    </w:pPr>
    <w:rPr>
      <w:i/>
      <w:iCs/>
    </w:rPr>
  </w:style>
  <w:style w:type="paragraph" w:styleId="Heading9">
    <w:name w:val="heading 9"/>
    <w:basedOn w:val="Normal"/>
    <w:next w:val="Normal"/>
    <w:link w:val="Heading9Char"/>
    <w:uiPriority w:val="9"/>
    <w:semiHidden/>
    <w:unhideWhenUsed/>
    <w:qFormat/>
    <w:rsid w:val="002E7CA1"/>
    <w:pPr>
      <w:numPr>
        <w:ilvl w:val="8"/>
        <w:numId w:val="8"/>
      </w:numPr>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57AB"/>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5C7E19"/>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rsid w:val="00533EA4"/>
    <w:rPr>
      <w:bCs/>
      <w:sz w:val="24"/>
      <w:szCs w:val="28"/>
      <w:u w:val="single"/>
    </w:rPr>
  </w:style>
  <w:style w:type="character" w:customStyle="1" w:styleId="Heading5Char">
    <w:name w:val="Heading 5 Char"/>
    <w:basedOn w:val="DefaultParagraphFont"/>
    <w:link w:val="Heading5"/>
    <w:uiPriority w:val="9"/>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CC7E26"/>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qFormat/>
    <w:rsid w:val="0070017B"/>
    <w:pPr>
      <w:spacing w:line="240" w:lineRule="auto"/>
    </w:pPr>
    <w:rPr>
      <w:szCs w:val="32"/>
    </w:r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3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paragraph" w:styleId="Bibliography">
    <w:name w:val="Bibliography"/>
    <w:basedOn w:val="Normal"/>
    <w:next w:val="Normal"/>
    <w:uiPriority w:val="37"/>
    <w:rsid w:val="000B3A3F"/>
    <w:pPr>
      <w:spacing w:after="240" w:line="240" w:lineRule="auto"/>
    </w:pPr>
  </w:style>
  <w:style w:type="paragraph" w:customStyle="1" w:styleId="Chapter">
    <w:name w:val="Chapter"/>
    <w:next w:val="Normal"/>
    <w:autoRedefine/>
    <w:qFormat/>
    <w:rsid w:val="002E7CA1"/>
    <w:pPr>
      <w:keepNext/>
      <w:numPr>
        <w:numId w:val="8"/>
      </w:numPr>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character" w:styleId="FollowedHyperlink">
    <w:name w:val="FollowedHyperlink"/>
    <w:basedOn w:val="DefaultParagraphFont"/>
    <w:uiPriority w:val="99"/>
    <w:semiHidden/>
    <w:unhideWhenUsed/>
    <w:rsid w:val="0074036B"/>
    <w:rPr>
      <w:color w:val="800080" w:themeColor="followedHyperlink"/>
      <w:u w:val="single"/>
    </w:rPr>
  </w:style>
  <w:style w:type="paragraph" w:customStyle="1" w:styleId="Tables">
    <w:name w:val="Tables"/>
    <w:basedOn w:val="Normal"/>
    <w:qFormat/>
    <w:rsid w:val="008E2374"/>
    <w:pPr>
      <w:spacing w:line="240" w:lineRule="auto"/>
    </w:pPr>
  </w:style>
  <w:style w:type="paragraph" w:styleId="FootnoteText">
    <w:name w:val="footnote text"/>
    <w:basedOn w:val="Normal"/>
    <w:link w:val="FootnoteTextChar"/>
    <w:uiPriority w:val="99"/>
    <w:unhideWhenUsed/>
    <w:rsid w:val="00B43DDA"/>
    <w:pPr>
      <w:spacing w:line="240" w:lineRule="auto"/>
    </w:pPr>
  </w:style>
  <w:style w:type="character" w:customStyle="1" w:styleId="FootnoteTextChar">
    <w:name w:val="Footnote Text Char"/>
    <w:basedOn w:val="DefaultParagraphFont"/>
    <w:link w:val="FootnoteText"/>
    <w:uiPriority w:val="99"/>
    <w:rsid w:val="00B43DDA"/>
    <w:rPr>
      <w:rFonts w:asciiTheme="minorHAnsi" w:hAnsiTheme="minorHAnsi"/>
      <w:sz w:val="24"/>
      <w:szCs w:val="24"/>
      <w:lang w:bidi="en-US"/>
    </w:rPr>
  </w:style>
  <w:style w:type="character" w:styleId="FootnoteReference">
    <w:name w:val="footnote reference"/>
    <w:basedOn w:val="DefaultParagraphFont"/>
    <w:uiPriority w:val="99"/>
    <w:unhideWhenUsed/>
    <w:rsid w:val="00B43DDA"/>
    <w:rPr>
      <w:vertAlign w:val="superscript"/>
    </w:rPr>
  </w:style>
  <w:style w:type="table" w:styleId="ListTable7Colorful">
    <w:name w:val="List Table 7 Colorful"/>
    <w:basedOn w:val="TableNormal"/>
    <w:uiPriority w:val="52"/>
    <w:rsid w:val="00A56156"/>
    <w:rPr>
      <w:rFonts w:asciiTheme="minorHAnsi" w:eastAsiaTheme="minorEastAsia" w:hAnsiTheme="minorHAnsi" w:cstheme="minorBidi"/>
      <w:color w:val="000000" w:themeColor="text1"/>
      <w:sz w:val="24"/>
      <w:szCs w:val="24"/>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CommentReference">
    <w:name w:val="annotation reference"/>
    <w:basedOn w:val="DefaultParagraphFont"/>
    <w:uiPriority w:val="99"/>
    <w:semiHidden/>
    <w:unhideWhenUsed/>
    <w:rsid w:val="000A7C5D"/>
    <w:rPr>
      <w:sz w:val="16"/>
      <w:szCs w:val="16"/>
    </w:rPr>
  </w:style>
  <w:style w:type="paragraph" w:styleId="CommentText">
    <w:name w:val="annotation text"/>
    <w:basedOn w:val="Normal"/>
    <w:link w:val="CommentTextChar"/>
    <w:uiPriority w:val="99"/>
    <w:semiHidden/>
    <w:unhideWhenUsed/>
    <w:rsid w:val="000A7C5D"/>
    <w:pPr>
      <w:spacing w:before="60"/>
      <w:ind w:firstLine="360"/>
    </w:pPr>
    <w:rPr>
      <w:rFonts w:eastAsiaTheme="minorEastAsia" w:cstheme="minorBidi"/>
      <w:sz w:val="20"/>
      <w:szCs w:val="20"/>
    </w:rPr>
  </w:style>
  <w:style w:type="character" w:customStyle="1" w:styleId="CommentTextChar">
    <w:name w:val="Comment Text Char"/>
    <w:basedOn w:val="DefaultParagraphFont"/>
    <w:link w:val="CommentText"/>
    <w:uiPriority w:val="99"/>
    <w:semiHidden/>
    <w:rsid w:val="000A7C5D"/>
    <w:rPr>
      <w:rFonts w:eastAsiaTheme="minorEastAsia" w:cstheme="minorBidi"/>
    </w:rPr>
  </w:style>
  <w:style w:type="paragraph" w:customStyle="1" w:styleId="FigureCaptions">
    <w:name w:val="Figure Captions"/>
    <w:basedOn w:val="NoSpacing"/>
    <w:qFormat/>
    <w:rsid w:val="007C67EF"/>
    <w:rPr>
      <w:rFonts w:eastAsiaTheme="minorHAnsi"/>
      <w:bCs/>
      <w:iCs/>
      <w:sz w:val="20"/>
      <w:szCs w:val="20"/>
    </w:rPr>
  </w:style>
  <w:style w:type="table" w:styleId="LightList">
    <w:name w:val="Light List"/>
    <w:basedOn w:val="TableNormal"/>
    <w:uiPriority w:val="61"/>
    <w:rsid w:val="00876BBC"/>
    <w:rPr>
      <w:rFonts w:eastAsiaTheme="minorEastAsia"/>
      <w:lang w:eastAsia="ja-JP"/>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PlainTable11">
    <w:name w:val="Plain Table 11"/>
    <w:basedOn w:val="TableNormal"/>
    <w:uiPriority w:val="41"/>
    <w:rsid w:val="00CB3AF0"/>
    <w:rPr>
      <w:rFonts w:asciiTheme="minorHAnsi" w:eastAsiaTheme="minorHAnsi" w:hAnsiTheme="minorHAnsi" w:cstheme="minorBidi"/>
      <w:sz w:val="24"/>
      <w:szCs w:val="24"/>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rmalWeb">
    <w:name w:val="Normal (Web)"/>
    <w:basedOn w:val="Normal"/>
    <w:uiPriority w:val="99"/>
    <w:semiHidden/>
    <w:unhideWhenUsed/>
    <w:rsid w:val="00814E01"/>
    <w:pPr>
      <w:spacing w:before="100" w:beforeAutospacing="1" w:after="100" w:afterAutospacing="1" w:line="240" w:lineRule="auto"/>
    </w:pPr>
    <w:rPr>
      <w:rFonts w:eastAsiaTheme="minorEastAsia"/>
    </w:rPr>
  </w:style>
  <w:style w:type="paragraph" w:styleId="CommentSubject">
    <w:name w:val="annotation subject"/>
    <w:basedOn w:val="CommentText"/>
    <w:next w:val="CommentText"/>
    <w:link w:val="CommentSubjectChar"/>
    <w:uiPriority w:val="99"/>
    <w:semiHidden/>
    <w:unhideWhenUsed/>
    <w:rsid w:val="007507E3"/>
    <w:pPr>
      <w:spacing w:before="0" w:line="240" w:lineRule="auto"/>
      <w:ind w:firstLine="0"/>
    </w:pPr>
    <w:rPr>
      <w:rFonts w:eastAsia="Times New Roman" w:cs="Times New Roman"/>
      <w:b/>
      <w:bCs/>
    </w:rPr>
  </w:style>
  <w:style w:type="character" w:customStyle="1" w:styleId="CommentSubjectChar">
    <w:name w:val="Comment Subject Char"/>
    <w:basedOn w:val="CommentTextChar"/>
    <w:link w:val="CommentSubject"/>
    <w:uiPriority w:val="99"/>
    <w:semiHidden/>
    <w:rsid w:val="007507E3"/>
    <w:rPr>
      <w:rFonts w:eastAsiaTheme="minorEastAsia" w:cstheme="minorBidi"/>
      <w:b/>
      <w:bCs/>
    </w:rPr>
  </w:style>
  <w:style w:type="paragraph" w:customStyle="1" w:styleId="SourceCode">
    <w:name w:val="Source Code"/>
    <w:basedOn w:val="Normal"/>
    <w:qFormat/>
    <w:rsid w:val="000D118D"/>
    <w:rPr>
      <w:rFonts w:ascii="SimSun" w:hAnsi="SimSun"/>
      <w:spacing w:val="-20"/>
    </w:rPr>
  </w:style>
  <w:style w:type="paragraph" w:styleId="TOC4">
    <w:name w:val="toc 4"/>
    <w:basedOn w:val="Normal"/>
    <w:next w:val="Normal"/>
    <w:autoRedefine/>
    <w:uiPriority w:val="39"/>
    <w:unhideWhenUsed/>
    <w:rsid w:val="00987E05"/>
    <w:pPr>
      <w:spacing w:after="100" w:line="240" w:lineRule="auto"/>
      <w:ind w:left="720"/>
    </w:pPr>
    <w:rPr>
      <w:rFonts w:asciiTheme="minorHAnsi" w:eastAsiaTheme="minorEastAsia" w:hAnsiTheme="minorHAnsi" w:cstheme="minorBidi"/>
    </w:rPr>
  </w:style>
  <w:style w:type="paragraph" w:styleId="TOC5">
    <w:name w:val="toc 5"/>
    <w:basedOn w:val="Normal"/>
    <w:next w:val="Normal"/>
    <w:autoRedefine/>
    <w:uiPriority w:val="39"/>
    <w:unhideWhenUsed/>
    <w:rsid w:val="00987E05"/>
    <w:pPr>
      <w:spacing w:after="100" w:line="240" w:lineRule="auto"/>
      <w:ind w:left="960"/>
    </w:pPr>
    <w:rPr>
      <w:rFonts w:asciiTheme="minorHAnsi" w:eastAsiaTheme="minorEastAsia" w:hAnsiTheme="minorHAnsi" w:cstheme="minorBidi"/>
    </w:rPr>
  </w:style>
  <w:style w:type="paragraph" w:styleId="TOC6">
    <w:name w:val="toc 6"/>
    <w:basedOn w:val="Normal"/>
    <w:next w:val="Normal"/>
    <w:autoRedefine/>
    <w:uiPriority w:val="39"/>
    <w:unhideWhenUsed/>
    <w:rsid w:val="00987E05"/>
    <w:pPr>
      <w:spacing w:after="100" w:line="240" w:lineRule="auto"/>
      <w:ind w:left="1200"/>
    </w:pPr>
    <w:rPr>
      <w:rFonts w:asciiTheme="minorHAnsi" w:eastAsiaTheme="minorEastAsia" w:hAnsiTheme="minorHAnsi" w:cstheme="minorBidi"/>
    </w:rPr>
  </w:style>
  <w:style w:type="paragraph" w:styleId="TOC7">
    <w:name w:val="toc 7"/>
    <w:basedOn w:val="Normal"/>
    <w:next w:val="Normal"/>
    <w:autoRedefine/>
    <w:uiPriority w:val="39"/>
    <w:unhideWhenUsed/>
    <w:rsid w:val="00987E05"/>
    <w:pPr>
      <w:spacing w:after="100" w:line="240" w:lineRule="auto"/>
      <w:ind w:left="1440"/>
    </w:pPr>
    <w:rPr>
      <w:rFonts w:asciiTheme="minorHAnsi" w:eastAsiaTheme="minorEastAsia" w:hAnsiTheme="minorHAnsi" w:cstheme="minorBidi"/>
    </w:rPr>
  </w:style>
  <w:style w:type="paragraph" w:styleId="TOC8">
    <w:name w:val="toc 8"/>
    <w:basedOn w:val="Normal"/>
    <w:next w:val="Normal"/>
    <w:autoRedefine/>
    <w:uiPriority w:val="39"/>
    <w:unhideWhenUsed/>
    <w:rsid w:val="00987E05"/>
    <w:pPr>
      <w:spacing w:after="100" w:line="240" w:lineRule="auto"/>
      <w:ind w:left="1680"/>
    </w:pPr>
    <w:rPr>
      <w:rFonts w:asciiTheme="minorHAnsi" w:eastAsiaTheme="minorEastAsia" w:hAnsiTheme="minorHAnsi" w:cstheme="minorBidi"/>
    </w:rPr>
  </w:style>
  <w:style w:type="paragraph" w:styleId="TOC9">
    <w:name w:val="toc 9"/>
    <w:basedOn w:val="Normal"/>
    <w:next w:val="Normal"/>
    <w:autoRedefine/>
    <w:uiPriority w:val="39"/>
    <w:unhideWhenUsed/>
    <w:rsid w:val="00987E05"/>
    <w:pPr>
      <w:spacing w:after="100" w:line="240" w:lineRule="auto"/>
      <w:ind w:left="1920"/>
    </w:pPr>
    <w:rPr>
      <w:rFonts w:asciiTheme="minorHAnsi" w:eastAsiaTheme="minorEastAsia" w:hAnsiTheme="minorHAnsi" w:cstheme="minorBidi"/>
    </w:rPr>
  </w:style>
  <w:style w:type="paragraph" w:styleId="DocumentMap">
    <w:name w:val="Document Map"/>
    <w:basedOn w:val="Normal"/>
    <w:link w:val="DocumentMapChar"/>
    <w:uiPriority w:val="99"/>
    <w:semiHidden/>
    <w:unhideWhenUsed/>
    <w:rsid w:val="009F294B"/>
    <w:pPr>
      <w:spacing w:line="240" w:lineRule="auto"/>
    </w:pPr>
  </w:style>
  <w:style w:type="character" w:customStyle="1" w:styleId="DocumentMapChar">
    <w:name w:val="Document Map Char"/>
    <w:basedOn w:val="DefaultParagraphFont"/>
    <w:link w:val="DocumentMap"/>
    <w:uiPriority w:val="99"/>
    <w:semiHidden/>
    <w:rsid w:val="009F294B"/>
    <w:rPr>
      <w:sz w:val="24"/>
      <w:szCs w:val="24"/>
    </w:rPr>
  </w:style>
  <w:style w:type="paragraph" w:styleId="Revision">
    <w:name w:val="Revision"/>
    <w:hidden/>
    <w:uiPriority w:val="99"/>
    <w:semiHidden/>
    <w:rsid w:val="009F294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428717">
      <w:bodyDiv w:val="1"/>
      <w:marLeft w:val="0"/>
      <w:marRight w:val="0"/>
      <w:marTop w:val="0"/>
      <w:marBottom w:val="0"/>
      <w:divBdr>
        <w:top w:val="none" w:sz="0" w:space="0" w:color="auto"/>
        <w:left w:val="none" w:sz="0" w:space="0" w:color="auto"/>
        <w:bottom w:val="none" w:sz="0" w:space="0" w:color="auto"/>
        <w:right w:val="none" w:sz="0" w:space="0" w:color="auto"/>
      </w:divBdr>
    </w:div>
    <w:div w:id="142822429">
      <w:bodyDiv w:val="1"/>
      <w:marLeft w:val="0"/>
      <w:marRight w:val="0"/>
      <w:marTop w:val="0"/>
      <w:marBottom w:val="0"/>
      <w:divBdr>
        <w:top w:val="none" w:sz="0" w:space="0" w:color="auto"/>
        <w:left w:val="none" w:sz="0" w:space="0" w:color="auto"/>
        <w:bottom w:val="none" w:sz="0" w:space="0" w:color="auto"/>
        <w:right w:val="none" w:sz="0" w:space="0" w:color="auto"/>
      </w:divBdr>
    </w:div>
    <w:div w:id="146215529">
      <w:bodyDiv w:val="1"/>
      <w:marLeft w:val="0"/>
      <w:marRight w:val="0"/>
      <w:marTop w:val="0"/>
      <w:marBottom w:val="0"/>
      <w:divBdr>
        <w:top w:val="none" w:sz="0" w:space="0" w:color="auto"/>
        <w:left w:val="none" w:sz="0" w:space="0" w:color="auto"/>
        <w:bottom w:val="none" w:sz="0" w:space="0" w:color="auto"/>
        <w:right w:val="none" w:sz="0" w:space="0" w:color="auto"/>
      </w:divBdr>
    </w:div>
    <w:div w:id="180820736">
      <w:bodyDiv w:val="1"/>
      <w:marLeft w:val="0"/>
      <w:marRight w:val="0"/>
      <w:marTop w:val="0"/>
      <w:marBottom w:val="0"/>
      <w:divBdr>
        <w:top w:val="none" w:sz="0" w:space="0" w:color="auto"/>
        <w:left w:val="none" w:sz="0" w:space="0" w:color="auto"/>
        <w:bottom w:val="none" w:sz="0" w:space="0" w:color="auto"/>
        <w:right w:val="none" w:sz="0" w:space="0" w:color="auto"/>
      </w:divBdr>
    </w:div>
    <w:div w:id="185484238">
      <w:bodyDiv w:val="1"/>
      <w:marLeft w:val="0"/>
      <w:marRight w:val="0"/>
      <w:marTop w:val="0"/>
      <w:marBottom w:val="0"/>
      <w:divBdr>
        <w:top w:val="none" w:sz="0" w:space="0" w:color="auto"/>
        <w:left w:val="none" w:sz="0" w:space="0" w:color="auto"/>
        <w:bottom w:val="none" w:sz="0" w:space="0" w:color="auto"/>
        <w:right w:val="none" w:sz="0" w:space="0" w:color="auto"/>
      </w:divBdr>
    </w:div>
    <w:div w:id="243999555">
      <w:bodyDiv w:val="1"/>
      <w:marLeft w:val="0"/>
      <w:marRight w:val="0"/>
      <w:marTop w:val="0"/>
      <w:marBottom w:val="0"/>
      <w:divBdr>
        <w:top w:val="none" w:sz="0" w:space="0" w:color="auto"/>
        <w:left w:val="none" w:sz="0" w:space="0" w:color="auto"/>
        <w:bottom w:val="none" w:sz="0" w:space="0" w:color="auto"/>
        <w:right w:val="none" w:sz="0" w:space="0" w:color="auto"/>
      </w:divBdr>
    </w:div>
    <w:div w:id="254095202">
      <w:bodyDiv w:val="1"/>
      <w:marLeft w:val="0"/>
      <w:marRight w:val="0"/>
      <w:marTop w:val="0"/>
      <w:marBottom w:val="0"/>
      <w:divBdr>
        <w:top w:val="none" w:sz="0" w:space="0" w:color="auto"/>
        <w:left w:val="none" w:sz="0" w:space="0" w:color="auto"/>
        <w:bottom w:val="none" w:sz="0" w:space="0" w:color="auto"/>
        <w:right w:val="none" w:sz="0" w:space="0" w:color="auto"/>
      </w:divBdr>
    </w:div>
    <w:div w:id="270819905">
      <w:bodyDiv w:val="1"/>
      <w:marLeft w:val="0"/>
      <w:marRight w:val="0"/>
      <w:marTop w:val="0"/>
      <w:marBottom w:val="0"/>
      <w:divBdr>
        <w:top w:val="none" w:sz="0" w:space="0" w:color="auto"/>
        <w:left w:val="none" w:sz="0" w:space="0" w:color="auto"/>
        <w:bottom w:val="none" w:sz="0" w:space="0" w:color="auto"/>
        <w:right w:val="none" w:sz="0" w:space="0" w:color="auto"/>
      </w:divBdr>
    </w:div>
    <w:div w:id="271864733">
      <w:bodyDiv w:val="1"/>
      <w:marLeft w:val="0"/>
      <w:marRight w:val="0"/>
      <w:marTop w:val="0"/>
      <w:marBottom w:val="0"/>
      <w:divBdr>
        <w:top w:val="none" w:sz="0" w:space="0" w:color="auto"/>
        <w:left w:val="none" w:sz="0" w:space="0" w:color="auto"/>
        <w:bottom w:val="none" w:sz="0" w:space="0" w:color="auto"/>
        <w:right w:val="none" w:sz="0" w:space="0" w:color="auto"/>
      </w:divBdr>
    </w:div>
    <w:div w:id="285085281">
      <w:bodyDiv w:val="1"/>
      <w:marLeft w:val="0"/>
      <w:marRight w:val="0"/>
      <w:marTop w:val="0"/>
      <w:marBottom w:val="0"/>
      <w:divBdr>
        <w:top w:val="none" w:sz="0" w:space="0" w:color="auto"/>
        <w:left w:val="none" w:sz="0" w:space="0" w:color="auto"/>
        <w:bottom w:val="none" w:sz="0" w:space="0" w:color="auto"/>
        <w:right w:val="none" w:sz="0" w:space="0" w:color="auto"/>
      </w:divBdr>
    </w:div>
    <w:div w:id="339747425">
      <w:bodyDiv w:val="1"/>
      <w:marLeft w:val="0"/>
      <w:marRight w:val="0"/>
      <w:marTop w:val="0"/>
      <w:marBottom w:val="0"/>
      <w:divBdr>
        <w:top w:val="none" w:sz="0" w:space="0" w:color="auto"/>
        <w:left w:val="none" w:sz="0" w:space="0" w:color="auto"/>
        <w:bottom w:val="none" w:sz="0" w:space="0" w:color="auto"/>
        <w:right w:val="none" w:sz="0" w:space="0" w:color="auto"/>
      </w:divBdr>
    </w:div>
    <w:div w:id="392970409">
      <w:bodyDiv w:val="1"/>
      <w:marLeft w:val="0"/>
      <w:marRight w:val="0"/>
      <w:marTop w:val="0"/>
      <w:marBottom w:val="0"/>
      <w:divBdr>
        <w:top w:val="none" w:sz="0" w:space="0" w:color="auto"/>
        <w:left w:val="none" w:sz="0" w:space="0" w:color="auto"/>
        <w:bottom w:val="none" w:sz="0" w:space="0" w:color="auto"/>
        <w:right w:val="none" w:sz="0" w:space="0" w:color="auto"/>
      </w:divBdr>
    </w:div>
    <w:div w:id="394857452">
      <w:bodyDiv w:val="1"/>
      <w:marLeft w:val="0"/>
      <w:marRight w:val="0"/>
      <w:marTop w:val="0"/>
      <w:marBottom w:val="0"/>
      <w:divBdr>
        <w:top w:val="none" w:sz="0" w:space="0" w:color="auto"/>
        <w:left w:val="none" w:sz="0" w:space="0" w:color="auto"/>
        <w:bottom w:val="none" w:sz="0" w:space="0" w:color="auto"/>
        <w:right w:val="none" w:sz="0" w:space="0" w:color="auto"/>
      </w:divBdr>
    </w:div>
    <w:div w:id="402333098">
      <w:bodyDiv w:val="1"/>
      <w:marLeft w:val="0"/>
      <w:marRight w:val="0"/>
      <w:marTop w:val="0"/>
      <w:marBottom w:val="0"/>
      <w:divBdr>
        <w:top w:val="none" w:sz="0" w:space="0" w:color="auto"/>
        <w:left w:val="none" w:sz="0" w:space="0" w:color="auto"/>
        <w:bottom w:val="none" w:sz="0" w:space="0" w:color="auto"/>
        <w:right w:val="none" w:sz="0" w:space="0" w:color="auto"/>
      </w:divBdr>
    </w:div>
    <w:div w:id="434835874">
      <w:bodyDiv w:val="1"/>
      <w:marLeft w:val="0"/>
      <w:marRight w:val="0"/>
      <w:marTop w:val="0"/>
      <w:marBottom w:val="0"/>
      <w:divBdr>
        <w:top w:val="none" w:sz="0" w:space="0" w:color="auto"/>
        <w:left w:val="none" w:sz="0" w:space="0" w:color="auto"/>
        <w:bottom w:val="none" w:sz="0" w:space="0" w:color="auto"/>
        <w:right w:val="none" w:sz="0" w:space="0" w:color="auto"/>
      </w:divBdr>
    </w:div>
    <w:div w:id="632833692">
      <w:bodyDiv w:val="1"/>
      <w:marLeft w:val="0"/>
      <w:marRight w:val="0"/>
      <w:marTop w:val="0"/>
      <w:marBottom w:val="0"/>
      <w:divBdr>
        <w:top w:val="none" w:sz="0" w:space="0" w:color="auto"/>
        <w:left w:val="none" w:sz="0" w:space="0" w:color="auto"/>
        <w:bottom w:val="none" w:sz="0" w:space="0" w:color="auto"/>
        <w:right w:val="none" w:sz="0" w:space="0" w:color="auto"/>
      </w:divBdr>
    </w:div>
    <w:div w:id="637034107">
      <w:bodyDiv w:val="1"/>
      <w:marLeft w:val="0"/>
      <w:marRight w:val="0"/>
      <w:marTop w:val="0"/>
      <w:marBottom w:val="0"/>
      <w:divBdr>
        <w:top w:val="none" w:sz="0" w:space="0" w:color="auto"/>
        <w:left w:val="none" w:sz="0" w:space="0" w:color="auto"/>
        <w:bottom w:val="none" w:sz="0" w:space="0" w:color="auto"/>
        <w:right w:val="none" w:sz="0" w:space="0" w:color="auto"/>
      </w:divBdr>
    </w:div>
    <w:div w:id="655915169">
      <w:bodyDiv w:val="1"/>
      <w:marLeft w:val="0"/>
      <w:marRight w:val="0"/>
      <w:marTop w:val="0"/>
      <w:marBottom w:val="0"/>
      <w:divBdr>
        <w:top w:val="none" w:sz="0" w:space="0" w:color="auto"/>
        <w:left w:val="none" w:sz="0" w:space="0" w:color="auto"/>
        <w:bottom w:val="none" w:sz="0" w:space="0" w:color="auto"/>
        <w:right w:val="none" w:sz="0" w:space="0" w:color="auto"/>
      </w:divBdr>
    </w:div>
    <w:div w:id="668870841">
      <w:bodyDiv w:val="1"/>
      <w:marLeft w:val="0"/>
      <w:marRight w:val="0"/>
      <w:marTop w:val="0"/>
      <w:marBottom w:val="0"/>
      <w:divBdr>
        <w:top w:val="none" w:sz="0" w:space="0" w:color="auto"/>
        <w:left w:val="none" w:sz="0" w:space="0" w:color="auto"/>
        <w:bottom w:val="none" w:sz="0" w:space="0" w:color="auto"/>
        <w:right w:val="none" w:sz="0" w:space="0" w:color="auto"/>
      </w:divBdr>
    </w:div>
    <w:div w:id="816341622">
      <w:bodyDiv w:val="1"/>
      <w:marLeft w:val="0"/>
      <w:marRight w:val="0"/>
      <w:marTop w:val="0"/>
      <w:marBottom w:val="0"/>
      <w:divBdr>
        <w:top w:val="none" w:sz="0" w:space="0" w:color="auto"/>
        <w:left w:val="none" w:sz="0" w:space="0" w:color="auto"/>
        <w:bottom w:val="none" w:sz="0" w:space="0" w:color="auto"/>
        <w:right w:val="none" w:sz="0" w:space="0" w:color="auto"/>
      </w:divBdr>
    </w:div>
    <w:div w:id="873611913">
      <w:bodyDiv w:val="1"/>
      <w:marLeft w:val="0"/>
      <w:marRight w:val="0"/>
      <w:marTop w:val="0"/>
      <w:marBottom w:val="0"/>
      <w:divBdr>
        <w:top w:val="none" w:sz="0" w:space="0" w:color="auto"/>
        <w:left w:val="none" w:sz="0" w:space="0" w:color="auto"/>
        <w:bottom w:val="none" w:sz="0" w:space="0" w:color="auto"/>
        <w:right w:val="none" w:sz="0" w:space="0" w:color="auto"/>
      </w:divBdr>
    </w:div>
    <w:div w:id="902763981">
      <w:bodyDiv w:val="1"/>
      <w:marLeft w:val="0"/>
      <w:marRight w:val="0"/>
      <w:marTop w:val="0"/>
      <w:marBottom w:val="0"/>
      <w:divBdr>
        <w:top w:val="none" w:sz="0" w:space="0" w:color="auto"/>
        <w:left w:val="none" w:sz="0" w:space="0" w:color="auto"/>
        <w:bottom w:val="none" w:sz="0" w:space="0" w:color="auto"/>
        <w:right w:val="none" w:sz="0" w:space="0" w:color="auto"/>
      </w:divBdr>
    </w:div>
    <w:div w:id="939139919">
      <w:bodyDiv w:val="1"/>
      <w:marLeft w:val="0"/>
      <w:marRight w:val="0"/>
      <w:marTop w:val="0"/>
      <w:marBottom w:val="0"/>
      <w:divBdr>
        <w:top w:val="none" w:sz="0" w:space="0" w:color="auto"/>
        <w:left w:val="none" w:sz="0" w:space="0" w:color="auto"/>
        <w:bottom w:val="none" w:sz="0" w:space="0" w:color="auto"/>
        <w:right w:val="none" w:sz="0" w:space="0" w:color="auto"/>
      </w:divBdr>
    </w:div>
    <w:div w:id="1024357542">
      <w:bodyDiv w:val="1"/>
      <w:marLeft w:val="0"/>
      <w:marRight w:val="0"/>
      <w:marTop w:val="0"/>
      <w:marBottom w:val="0"/>
      <w:divBdr>
        <w:top w:val="none" w:sz="0" w:space="0" w:color="auto"/>
        <w:left w:val="none" w:sz="0" w:space="0" w:color="auto"/>
        <w:bottom w:val="none" w:sz="0" w:space="0" w:color="auto"/>
        <w:right w:val="none" w:sz="0" w:space="0" w:color="auto"/>
      </w:divBdr>
    </w:div>
    <w:div w:id="1024524954">
      <w:bodyDiv w:val="1"/>
      <w:marLeft w:val="0"/>
      <w:marRight w:val="0"/>
      <w:marTop w:val="0"/>
      <w:marBottom w:val="0"/>
      <w:divBdr>
        <w:top w:val="none" w:sz="0" w:space="0" w:color="auto"/>
        <w:left w:val="none" w:sz="0" w:space="0" w:color="auto"/>
        <w:bottom w:val="none" w:sz="0" w:space="0" w:color="auto"/>
        <w:right w:val="none" w:sz="0" w:space="0" w:color="auto"/>
      </w:divBdr>
    </w:div>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 w:id="1047415608">
      <w:bodyDiv w:val="1"/>
      <w:marLeft w:val="0"/>
      <w:marRight w:val="0"/>
      <w:marTop w:val="0"/>
      <w:marBottom w:val="0"/>
      <w:divBdr>
        <w:top w:val="none" w:sz="0" w:space="0" w:color="auto"/>
        <w:left w:val="none" w:sz="0" w:space="0" w:color="auto"/>
        <w:bottom w:val="none" w:sz="0" w:space="0" w:color="auto"/>
        <w:right w:val="none" w:sz="0" w:space="0" w:color="auto"/>
      </w:divBdr>
    </w:div>
    <w:div w:id="1076853155">
      <w:bodyDiv w:val="1"/>
      <w:marLeft w:val="0"/>
      <w:marRight w:val="0"/>
      <w:marTop w:val="0"/>
      <w:marBottom w:val="0"/>
      <w:divBdr>
        <w:top w:val="none" w:sz="0" w:space="0" w:color="auto"/>
        <w:left w:val="none" w:sz="0" w:space="0" w:color="auto"/>
        <w:bottom w:val="none" w:sz="0" w:space="0" w:color="auto"/>
        <w:right w:val="none" w:sz="0" w:space="0" w:color="auto"/>
      </w:divBdr>
    </w:div>
    <w:div w:id="1082948330">
      <w:bodyDiv w:val="1"/>
      <w:marLeft w:val="0"/>
      <w:marRight w:val="0"/>
      <w:marTop w:val="0"/>
      <w:marBottom w:val="0"/>
      <w:divBdr>
        <w:top w:val="none" w:sz="0" w:space="0" w:color="auto"/>
        <w:left w:val="none" w:sz="0" w:space="0" w:color="auto"/>
        <w:bottom w:val="none" w:sz="0" w:space="0" w:color="auto"/>
        <w:right w:val="none" w:sz="0" w:space="0" w:color="auto"/>
      </w:divBdr>
    </w:div>
    <w:div w:id="1170021613">
      <w:bodyDiv w:val="1"/>
      <w:marLeft w:val="0"/>
      <w:marRight w:val="0"/>
      <w:marTop w:val="0"/>
      <w:marBottom w:val="0"/>
      <w:divBdr>
        <w:top w:val="none" w:sz="0" w:space="0" w:color="auto"/>
        <w:left w:val="none" w:sz="0" w:space="0" w:color="auto"/>
        <w:bottom w:val="none" w:sz="0" w:space="0" w:color="auto"/>
        <w:right w:val="none" w:sz="0" w:space="0" w:color="auto"/>
      </w:divBdr>
    </w:div>
    <w:div w:id="1196041679">
      <w:bodyDiv w:val="1"/>
      <w:marLeft w:val="0"/>
      <w:marRight w:val="0"/>
      <w:marTop w:val="0"/>
      <w:marBottom w:val="0"/>
      <w:divBdr>
        <w:top w:val="none" w:sz="0" w:space="0" w:color="auto"/>
        <w:left w:val="none" w:sz="0" w:space="0" w:color="auto"/>
        <w:bottom w:val="none" w:sz="0" w:space="0" w:color="auto"/>
        <w:right w:val="none" w:sz="0" w:space="0" w:color="auto"/>
      </w:divBdr>
    </w:div>
    <w:div w:id="1228538577">
      <w:bodyDiv w:val="1"/>
      <w:marLeft w:val="0"/>
      <w:marRight w:val="0"/>
      <w:marTop w:val="0"/>
      <w:marBottom w:val="0"/>
      <w:divBdr>
        <w:top w:val="none" w:sz="0" w:space="0" w:color="auto"/>
        <w:left w:val="none" w:sz="0" w:space="0" w:color="auto"/>
        <w:bottom w:val="none" w:sz="0" w:space="0" w:color="auto"/>
        <w:right w:val="none" w:sz="0" w:space="0" w:color="auto"/>
      </w:divBdr>
    </w:div>
    <w:div w:id="1280377119">
      <w:bodyDiv w:val="1"/>
      <w:marLeft w:val="0"/>
      <w:marRight w:val="0"/>
      <w:marTop w:val="0"/>
      <w:marBottom w:val="0"/>
      <w:divBdr>
        <w:top w:val="none" w:sz="0" w:space="0" w:color="auto"/>
        <w:left w:val="none" w:sz="0" w:space="0" w:color="auto"/>
        <w:bottom w:val="none" w:sz="0" w:space="0" w:color="auto"/>
        <w:right w:val="none" w:sz="0" w:space="0" w:color="auto"/>
      </w:divBdr>
    </w:div>
    <w:div w:id="1343967571">
      <w:bodyDiv w:val="1"/>
      <w:marLeft w:val="0"/>
      <w:marRight w:val="0"/>
      <w:marTop w:val="0"/>
      <w:marBottom w:val="0"/>
      <w:divBdr>
        <w:top w:val="none" w:sz="0" w:space="0" w:color="auto"/>
        <w:left w:val="none" w:sz="0" w:space="0" w:color="auto"/>
        <w:bottom w:val="none" w:sz="0" w:space="0" w:color="auto"/>
        <w:right w:val="none" w:sz="0" w:space="0" w:color="auto"/>
      </w:divBdr>
    </w:div>
    <w:div w:id="1375041577">
      <w:bodyDiv w:val="1"/>
      <w:marLeft w:val="0"/>
      <w:marRight w:val="0"/>
      <w:marTop w:val="0"/>
      <w:marBottom w:val="0"/>
      <w:divBdr>
        <w:top w:val="none" w:sz="0" w:space="0" w:color="auto"/>
        <w:left w:val="none" w:sz="0" w:space="0" w:color="auto"/>
        <w:bottom w:val="none" w:sz="0" w:space="0" w:color="auto"/>
        <w:right w:val="none" w:sz="0" w:space="0" w:color="auto"/>
      </w:divBdr>
    </w:div>
    <w:div w:id="1387412794">
      <w:bodyDiv w:val="1"/>
      <w:marLeft w:val="0"/>
      <w:marRight w:val="0"/>
      <w:marTop w:val="0"/>
      <w:marBottom w:val="0"/>
      <w:divBdr>
        <w:top w:val="none" w:sz="0" w:space="0" w:color="auto"/>
        <w:left w:val="none" w:sz="0" w:space="0" w:color="auto"/>
        <w:bottom w:val="none" w:sz="0" w:space="0" w:color="auto"/>
        <w:right w:val="none" w:sz="0" w:space="0" w:color="auto"/>
      </w:divBdr>
    </w:div>
    <w:div w:id="1443107500">
      <w:bodyDiv w:val="1"/>
      <w:marLeft w:val="0"/>
      <w:marRight w:val="0"/>
      <w:marTop w:val="0"/>
      <w:marBottom w:val="0"/>
      <w:divBdr>
        <w:top w:val="none" w:sz="0" w:space="0" w:color="auto"/>
        <w:left w:val="none" w:sz="0" w:space="0" w:color="auto"/>
        <w:bottom w:val="none" w:sz="0" w:space="0" w:color="auto"/>
        <w:right w:val="none" w:sz="0" w:space="0" w:color="auto"/>
      </w:divBdr>
    </w:div>
    <w:div w:id="1454326359">
      <w:bodyDiv w:val="1"/>
      <w:marLeft w:val="0"/>
      <w:marRight w:val="0"/>
      <w:marTop w:val="0"/>
      <w:marBottom w:val="0"/>
      <w:divBdr>
        <w:top w:val="none" w:sz="0" w:space="0" w:color="auto"/>
        <w:left w:val="none" w:sz="0" w:space="0" w:color="auto"/>
        <w:bottom w:val="none" w:sz="0" w:space="0" w:color="auto"/>
        <w:right w:val="none" w:sz="0" w:space="0" w:color="auto"/>
      </w:divBdr>
    </w:div>
    <w:div w:id="1502771769">
      <w:bodyDiv w:val="1"/>
      <w:marLeft w:val="0"/>
      <w:marRight w:val="0"/>
      <w:marTop w:val="0"/>
      <w:marBottom w:val="0"/>
      <w:divBdr>
        <w:top w:val="none" w:sz="0" w:space="0" w:color="auto"/>
        <w:left w:val="none" w:sz="0" w:space="0" w:color="auto"/>
        <w:bottom w:val="none" w:sz="0" w:space="0" w:color="auto"/>
        <w:right w:val="none" w:sz="0" w:space="0" w:color="auto"/>
      </w:divBdr>
    </w:div>
    <w:div w:id="1506553381">
      <w:bodyDiv w:val="1"/>
      <w:marLeft w:val="0"/>
      <w:marRight w:val="0"/>
      <w:marTop w:val="0"/>
      <w:marBottom w:val="0"/>
      <w:divBdr>
        <w:top w:val="none" w:sz="0" w:space="0" w:color="auto"/>
        <w:left w:val="none" w:sz="0" w:space="0" w:color="auto"/>
        <w:bottom w:val="none" w:sz="0" w:space="0" w:color="auto"/>
        <w:right w:val="none" w:sz="0" w:space="0" w:color="auto"/>
      </w:divBdr>
    </w:div>
    <w:div w:id="1541551062">
      <w:bodyDiv w:val="1"/>
      <w:marLeft w:val="0"/>
      <w:marRight w:val="0"/>
      <w:marTop w:val="0"/>
      <w:marBottom w:val="0"/>
      <w:divBdr>
        <w:top w:val="none" w:sz="0" w:space="0" w:color="auto"/>
        <w:left w:val="none" w:sz="0" w:space="0" w:color="auto"/>
        <w:bottom w:val="none" w:sz="0" w:space="0" w:color="auto"/>
        <w:right w:val="none" w:sz="0" w:space="0" w:color="auto"/>
      </w:divBdr>
    </w:div>
    <w:div w:id="1542277792">
      <w:bodyDiv w:val="1"/>
      <w:marLeft w:val="0"/>
      <w:marRight w:val="0"/>
      <w:marTop w:val="0"/>
      <w:marBottom w:val="0"/>
      <w:divBdr>
        <w:top w:val="none" w:sz="0" w:space="0" w:color="auto"/>
        <w:left w:val="none" w:sz="0" w:space="0" w:color="auto"/>
        <w:bottom w:val="none" w:sz="0" w:space="0" w:color="auto"/>
        <w:right w:val="none" w:sz="0" w:space="0" w:color="auto"/>
      </w:divBdr>
    </w:div>
    <w:div w:id="1619213871">
      <w:bodyDiv w:val="1"/>
      <w:marLeft w:val="0"/>
      <w:marRight w:val="0"/>
      <w:marTop w:val="0"/>
      <w:marBottom w:val="0"/>
      <w:divBdr>
        <w:top w:val="none" w:sz="0" w:space="0" w:color="auto"/>
        <w:left w:val="none" w:sz="0" w:space="0" w:color="auto"/>
        <w:bottom w:val="none" w:sz="0" w:space="0" w:color="auto"/>
        <w:right w:val="none" w:sz="0" w:space="0" w:color="auto"/>
      </w:divBdr>
    </w:div>
    <w:div w:id="1631547294">
      <w:bodyDiv w:val="1"/>
      <w:marLeft w:val="0"/>
      <w:marRight w:val="0"/>
      <w:marTop w:val="0"/>
      <w:marBottom w:val="0"/>
      <w:divBdr>
        <w:top w:val="none" w:sz="0" w:space="0" w:color="auto"/>
        <w:left w:val="none" w:sz="0" w:space="0" w:color="auto"/>
        <w:bottom w:val="none" w:sz="0" w:space="0" w:color="auto"/>
        <w:right w:val="none" w:sz="0" w:space="0" w:color="auto"/>
      </w:divBdr>
    </w:div>
    <w:div w:id="1702628809">
      <w:bodyDiv w:val="1"/>
      <w:marLeft w:val="0"/>
      <w:marRight w:val="0"/>
      <w:marTop w:val="0"/>
      <w:marBottom w:val="0"/>
      <w:divBdr>
        <w:top w:val="none" w:sz="0" w:space="0" w:color="auto"/>
        <w:left w:val="none" w:sz="0" w:space="0" w:color="auto"/>
        <w:bottom w:val="none" w:sz="0" w:space="0" w:color="auto"/>
        <w:right w:val="none" w:sz="0" w:space="0" w:color="auto"/>
      </w:divBdr>
    </w:div>
    <w:div w:id="1759598222">
      <w:bodyDiv w:val="1"/>
      <w:marLeft w:val="0"/>
      <w:marRight w:val="0"/>
      <w:marTop w:val="0"/>
      <w:marBottom w:val="0"/>
      <w:divBdr>
        <w:top w:val="none" w:sz="0" w:space="0" w:color="auto"/>
        <w:left w:val="none" w:sz="0" w:space="0" w:color="auto"/>
        <w:bottom w:val="none" w:sz="0" w:space="0" w:color="auto"/>
        <w:right w:val="none" w:sz="0" w:space="0" w:color="auto"/>
      </w:divBdr>
    </w:div>
    <w:div w:id="1820223218">
      <w:bodyDiv w:val="1"/>
      <w:marLeft w:val="0"/>
      <w:marRight w:val="0"/>
      <w:marTop w:val="0"/>
      <w:marBottom w:val="0"/>
      <w:divBdr>
        <w:top w:val="none" w:sz="0" w:space="0" w:color="auto"/>
        <w:left w:val="none" w:sz="0" w:space="0" w:color="auto"/>
        <w:bottom w:val="none" w:sz="0" w:space="0" w:color="auto"/>
        <w:right w:val="none" w:sz="0" w:space="0" w:color="auto"/>
      </w:divBdr>
    </w:div>
    <w:div w:id="1994869224">
      <w:bodyDiv w:val="1"/>
      <w:marLeft w:val="0"/>
      <w:marRight w:val="0"/>
      <w:marTop w:val="0"/>
      <w:marBottom w:val="0"/>
      <w:divBdr>
        <w:top w:val="none" w:sz="0" w:space="0" w:color="auto"/>
        <w:left w:val="none" w:sz="0" w:space="0" w:color="auto"/>
        <w:bottom w:val="none" w:sz="0" w:space="0" w:color="auto"/>
        <w:right w:val="none" w:sz="0" w:space="0" w:color="auto"/>
      </w:divBdr>
    </w:div>
    <w:div w:id="2027752942">
      <w:bodyDiv w:val="1"/>
      <w:marLeft w:val="0"/>
      <w:marRight w:val="0"/>
      <w:marTop w:val="0"/>
      <w:marBottom w:val="0"/>
      <w:divBdr>
        <w:top w:val="none" w:sz="0" w:space="0" w:color="auto"/>
        <w:left w:val="none" w:sz="0" w:space="0" w:color="auto"/>
        <w:bottom w:val="none" w:sz="0" w:space="0" w:color="auto"/>
        <w:right w:val="none" w:sz="0" w:space="0" w:color="auto"/>
      </w:divBdr>
    </w:div>
    <w:div w:id="2057512082">
      <w:bodyDiv w:val="1"/>
      <w:marLeft w:val="0"/>
      <w:marRight w:val="0"/>
      <w:marTop w:val="0"/>
      <w:marBottom w:val="0"/>
      <w:divBdr>
        <w:top w:val="none" w:sz="0" w:space="0" w:color="auto"/>
        <w:left w:val="none" w:sz="0" w:space="0" w:color="auto"/>
        <w:bottom w:val="none" w:sz="0" w:space="0" w:color="auto"/>
        <w:right w:val="none" w:sz="0" w:space="0" w:color="auto"/>
      </w:divBdr>
    </w:div>
    <w:div w:id="2092385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01" Type="http://schemas.openxmlformats.org/officeDocument/2006/relationships/image" Target="media/image68.emf"/><Relationship Id="rId102" Type="http://schemas.openxmlformats.org/officeDocument/2006/relationships/image" Target="media/image69.png"/><Relationship Id="rId103" Type="http://schemas.openxmlformats.org/officeDocument/2006/relationships/image" Target="media/image70.png"/><Relationship Id="rId104" Type="http://schemas.openxmlformats.org/officeDocument/2006/relationships/image" Target="media/image71.emf"/><Relationship Id="rId105" Type="http://schemas.openxmlformats.org/officeDocument/2006/relationships/image" Target="media/image72.emf"/><Relationship Id="rId106" Type="http://schemas.openxmlformats.org/officeDocument/2006/relationships/image" Target="media/image73.emf"/><Relationship Id="rId107" Type="http://schemas.openxmlformats.org/officeDocument/2006/relationships/footer" Target="footer2.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image" Target="media/image1.emf"/><Relationship Id="rId108" Type="http://schemas.openxmlformats.org/officeDocument/2006/relationships/fontTable" Target="fontTable.xml"/><Relationship Id="rId109" Type="http://schemas.openxmlformats.org/officeDocument/2006/relationships/glossaryDocument" Target="glossary/document.xml"/><Relationship Id="rId10" Type="http://schemas.openxmlformats.org/officeDocument/2006/relationships/image" Target="media/image2.emf"/><Relationship Id="rId11" Type="http://schemas.openxmlformats.org/officeDocument/2006/relationships/image" Target="media/image3.emf"/><Relationship Id="rId12" Type="http://schemas.openxmlformats.org/officeDocument/2006/relationships/image" Target="media/image4.emf"/><Relationship Id="rId13" Type="http://schemas.openxmlformats.org/officeDocument/2006/relationships/image" Target="media/image5.emf"/><Relationship Id="rId14" Type="http://schemas.openxmlformats.org/officeDocument/2006/relationships/image" Target="media/image6.jpeg"/><Relationship Id="rId15" Type="http://schemas.openxmlformats.org/officeDocument/2006/relationships/image" Target="media/image7.jpeg"/><Relationship Id="rId16" Type="http://schemas.openxmlformats.org/officeDocument/2006/relationships/image" Target="media/image8.emf"/><Relationship Id="rId17" Type="http://schemas.openxmlformats.org/officeDocument/2006/relationships/image" Target="media/image9.emf"/><Relationship Id="rId18" Type="http://schemas.openxmlformats.org/officeDocument/2006/relationships/image" Target="media/image10.png"/><Relationship Id="rId19" Type="http://schemas.openxmlformats.org/officeDocument/2006/relationships/image" Target="media/image11.wmf"/><Relationship Id="rId30" Type="http://schemas.openxmlformats.org/officeDocument/2006/relationships/chart" Target="charts/chart8.xml"/><Relationship Id="rId31" Type="http://schemas.openxmlformats.org/officeDocument/2006/relationships/chart" Target="charts/chart9.xml"/><Relationship Id="rId32" Type="http://schemas.openxmlformats.org/officeDocument/2006/relationships/chart" Target="charts/chart10.xml"/><Relationship Id="rId33" Type="http://schemas.openxmlformats.org/officeDocument/2006/relationships/chart" Target="charts/chart11.xml"/><Relationship Id="rId34" Type="http://schemas.openxmlformats.org/officeDocument/2006/relationships/chart" Target="charts/chart12.xml"/><Relationship Id="rId35" Type="http://schemas.openxmlformats.org/officeDocument/2006/relationships/chart" Target="charts/chart13.xml"/><Relationship Id="rId36" Type="http://schemas.openxmlformats.org/officeDocument/2006/relationships/chart" Target="charts/chart14.xml"/><Relationship Id="rId37" Type="http://schemas.openxmlformats.org/officeDocument/2006/relationships/chart" Target="charts/chart15.xml"/><Relationship Id="rId38" Type="http://schemas.openxmlformats.org/officeDocument/2006/relationships/chart" Target="charts/chart16.xml"/><Relationship Id="rId39" Type="http://schemas.openxmlformats.org/officeDocument/2006/relationships/chart" Target="charts/chart17.xml"/><Relationship Id="rId50" Type="http://schemas.openxmlformats.org/officeDocument/2006/relationships/image" Target="media/image17.png"/><Relationship Id="rId51" Type="http://schemas.openxmlformats.org/officeDocument/2006/relationships/image" Target="media/image18.png"/><Relationship Id="rId52" Type="http://schemas.openxmlformats.org/officeDocument/2006/relationships/image" Target="media/image19.emf"/><Relationship Id="rId53" Type="http://schemas.openxmlformats.org/officeDocument/2006/relationships/image" Target="media/image20.emf"/><Relationship Id="rId54" Type="http://schemas.openxmlformats.org/officeDocument/2006/relationships/image" Target="media/image21.emf"/><Relationship Id="rId55" Type="http://schemas.openxmlformats.org/officeDocument/2006/relationships/image" Target="media/image22.emf"/><Relationship Id="rId56" Type="http://schemas.openxmlformats.org/officeDocument/2006/relationships/image" Target="media/image23.emf"/><Relationship Id="rId57" Type="http://schemas.openxmlformats.org/officeDocument/2006/relationships/image" Target="media/image24.emf"/><Relationship Id="rId58" Type="http://schemas.openxmlformats.org/officeDocument/2006/relationships/image" Target="media/image25.emf"/><Relationship Id="rId59" Type="http://schemas.openxmlformats.org/officeDocument/2006/relationships/image" Target="media/image26.emf"/><Relationship Id="rId70" Type="http://schemas.openxmlformats.org/officeDocument/2006/relationships/image" Target="media/image37.emf"/><Relationship Id="rId71" Type="http://schemas.openxmlformats.org/officeDocument/2006/relationships/image" Target="media/image38.emf"/><Relationship Id="rId72" Type="http://schemas.openxmlformats.org/officeDocument/2006/relationships/image" Target="media/image39.emf"/><Relationship Id="rId73" Type="http://schemas.openxmlformats.org/officeDocument/2006/relationships/image" Target="media/image40.emf"/><Relationship Id="rId74" Type="http://schemas.openxmlformats.org/officeDocument/2006/relationships/image" Target="media/image41.emf"/><Relationship Id="rId75" Type="http://schemas.openxmlformats.org/officeDocument/2006/relationships/image" Target="media/image42.emf"/><Relationship Id="rId76" Type="http://schemas.openxmlformats.org/officeDocument/2006/relationships/image" Target="media/image43.png"/><Relationship Id="rId77" Type="http://schemas.openxmlformats.org/officeDocument/2006/relationships/image" Target="media/image44.png"/><Relationship Id="rId78" Type="http://schemas.openxmlformats.org/officeDocument/2006/relationships/image" Target="media/image45.png"/><Relationship Id="rId79" Type="http://schemas.openxmlformats.org/officeDocument/2006/relationships/image" Target="media/image46.png"/><Relationship Id="rId110" Type="http://schemas.openxmlformats.org/officeDocument/2006/relationships/theme" Target="theme/theme1.xml"/><Relationship Id="rId90" Type="http://schemas.openxmlformats.org/officeDocument/2006/relationships/image" Target="media/image57.png"/><Relationship Id="rId91" Type="http://schemas.openxmlformats.org/officeDocument/2006/relationships/image" Target="media/image58.png"/><Relationship Id="rId92" Type="http://schemas.openxmlformats.org/officeDocument/2006/relationships/image" Target="media/image59.png"/><Relationship Id="rId93" Type="http://schemas.openxmlformats.org/officeDocument/2006/relationships/image" Target="media/image60.png"/><Relationship Id="rId94" Type="http://schemas.openxmlformats.org/officeDocument/2006/relationships/image" Target="media/image61.png"/><Relationship Id="rId95" Type="http://schemas.openxmlformats.org/officeDocument/2006/relationships/image" Target="media/image62.emf"/><Relationship Id="rId96" Type="http://schemas.openxmlformats.org/officeDocument/2006/relationships/image" Target="media/image63.emf"/><Relationship Id="rId97" Type="http://schemas.openxmlformats.org/officeDocument/2006/relationships/image" Target="media/image64.emf"/><Relationship Id="rId98" Type="http://schemas.openxmlformats.org/officeDocument/2006/relationships/image" Target="media/image65.emf"/><Relationship Id="rId99" Type="http://schemas.openxmlformats.org/officeDocument/2006/relationships/image" Target="media/image66.emf"/><Relationship Id="rId20" Type="http://schemas.openxmlformats.org/officeDocument/2006/relationships/image" Target="media/image12.tiff"/><Relationship Id="rId21" Type="http://schemas.openxmlformats.org/officeDocument/2006/relationships/image" Target="media/image13.tiff"/><Relationship Id="rId22" Type="http://schemas.openxmlformats.org/officeDocument/2006/relationships/image" Target="media/image14.tiff"/><Relationship Id="rId23" Type="http://schemas.openxmlformats.org/officeDocument/2006/relationships/chart" Target="charts/chart1.xml"/><Relationship Id="rId24" Type="http://schemas.openxmlformats.org/officeDocument/2006/relationships/chart" Target="charts/chart2.xml"/><Relationship Id="rId25" Type="http://schemas.openxmlformats.org/officeDocument/2006/relationships/chart" Target="charts/chart3.xml"/><Relationship Id="rId26" Type="http://schemas.openxmlformats.org/officeDocument/2006/relationships/chart" Target="charts/chart4.xml"/><Relationship Id="rId27" Type="http://schemas.openxmlformats.org/officeDocument/2006/relationships/chart" Target="charts/chart5.xml"/><Relationship Id="rId28" Type="http://schemas.openxmlformats.org/officeDocument/2006/relationships/chart" Target="charts/chart6.xml"/><Relationship Id="rId29" Type="http://schemas.openxmlformats.org/officeDocument/2006/relationships/chart" Target="charts/chart7.xml"/><Relationship Id="rId40" Type="http://schemas.openxmlformats.org/officeDocument/2006/relationships/chart" Target="charts/chart18.xml"/><Relationship Id="rId41" Type="http://schemas.openxmlformats.org/officeDocument/2006/relationships/chart" Target="charts/chart19.xml"/><Relationship Id="rId42" Type="http://schemas.openxmlformats.org/officeDocument/2006/relationships/chart" Target="charts/chart20.xml"/><Relationship Id="rId43" Type="http://schemas.openxmlformats.org/officeDocument/2006/relationships/chart" Target="charts/chart21.xml"/><Relationship Id="rId44" Type="http://schemas.openxmlformats.org/officeDocument/2006/relationships/chart" Target="charts/chart22.xml"/><Relationship Id="rId45" Type="http://schemas.openxmlformats.org/officeDocument/2006/relationships/chart" Target="charts/chart23.xml"/><Relationship Id="rId46" Type="http://schemas.openxmlformats.org/officeDocument/2006/relationships/chart" Target="charts/chart24.xml"/><Relationship Id="rId47" Type="http://schemas.openxmlformats.org/officeDocument/2006/relationships/image" Target="media/image15.emf"/><Relationship Id="rId48" Type="http://schemas.openxmlformats.org/officeDocument/2006/relationships/chart" Target="charts/chart25.xml"/><Relationship Id="rId49" Type="http://schemas.openxmlformats.org/officeDocument/2006/relationships/image" Target="media/image16.png"/><Relationship Id="rId60" Type="http://schemas.openxmlformats.org/officeDocument/2006/relationships/image" Target="media/image27.emf"/><Relationship Id="rId61" Type="http://schemas.openxmlformats.org/officeDocument/2006/relationships/image" Target="media/image28.emf"/><Relationship Id="rId62" Type="http://schemas.openxmlformats.org/officeDocument/2006/relationships/image" Target="media/image29.emf"/><Relationship Id="rId63" Type="http://schemas.openxmlformats.org/officeDocument/2006/relationships/image" Target="media/image30.emf"/><Relationship Id="rId64" Type="http://schemas.openxmlformats.org/officeDocument/2006/relationships/image" Target="media/image31.emf"/><Relationship Id="rId65" Type="http://schemas.openxmlformats.org/officeDocument/2006/relationships/image" Target="media/image32.emf"/><Relationship Id="rId66" Type="http://schemas.openxmlformats.org/officeDocument/2006/relationships/image" Target="media/image33.emf"/><Relationship Id="rId67" Type="http://schemas.openxmlformats.org/officeDocument/2006/relationships/image" Target="media/image34.emf"/><Relationship Id="rId68" Type="http://schemas.openxmlformats.org/officeDocument/2006/relationships/image" Target="media/image35.emf"/><Relationship Id="rId69" Type="http://schemas.openxmlformats.org/officeDocument/2006/relationships/image" Target="media/image36.emf"/><Relationship Id="rId100" Type="http://schemas.openxmlformats.org/officeDocument/2006/relationships/image" Target="media/image67.emf"/><Relationship Id="rId80" Type="http://schemas.openxmlformats.org/officeDocument/2006/relationships/image" Target="media/image47.emf"/><Relationship Id="rId81" Type="http://schemas.openxmlformats.org/officeDocument/2006/relationships/image" Target="media/image48.emf"/><Relationship Id="rId82" Type="http://schemas.openxmlformats.org/officeDocument/2006/relationships/image" Target="media/image49.emf"/><Relationship Id="rId83" Type="http://schemas.openxmlformats.org/officeDocument/2006/relationships/image" Target="media/image50.png"/><Relationship Id="rId84" Type="http://schemas.openxmlformats.org/officeDocument/2006/relationships/image" Target="media/image51.png"/><Relationship Id="rId85" Type="http://schemas.openxmlformats.org/officeDocument/2006/relationships/image" Target="media/image52.emf"/><Relationship Id="rId86" Type="http://schemas.openxmlformats.org/officeDocument/2006/relationships/image" Target="media/image53.emf"/><Relationship Id="rId87" Type="http://schemas.openxmlformats.org/officeDocument/2006/relationships/image" Target="media/image54.emf"/><Relationship Id="rId88" Type="http://schemas.openxmlformats.org/officeDocument/2006/relationships/image" Target="media/image55.emf"/><Relationship Id="rId89" Type="http://schemas.openxmlformats.org/officeDocument/2006/relationships/image" Target="media/image56.png"/></Relationships>
</file>

<file path=word/charts/_rels/chart1.xml.rels><?xml version="1.0" encoding="UTF-8" standalone="yes"?>
<Relationships xmlns="http://schemas.openxmlformats.org/package/2006/relationships"><Relationship Id="rId1" Type="http://schemas.openxmlformats.org/officeDocument/2006/relationships/themeOverride" Target="../theme/themeOverride1.xml"/><Relationship Id="rId2" Type="http://schemas.openxmlformats.org/officeDocument/2006/relationships/oleObject" Target="MAC%20HD:Users:stevencrossley:Documents:Written%20papers:Shaolong:Figures:updated%20figures%207-29-14.xlsx" TargetMode="External"/></Relationships>
</file>

<file path=word/charts/_rels/chart10.xml.rels><?xml version="1.0" encoding="UTF-8" standalone="yes"?>
<Relationships xmlns="http://schemas.openxmlformats.org/package/2006/relationships"><Relationship Id="rId1" Type="http://schemas.openxmlformats.org/officeDocument/2006/relationships/themeOverride" Target="../theme/themeOverride10.xml"/><Relationship Id="rId2" Type="http://schemas.openxmlformats.org/officeDocument/2006/relationships/oleObject" Target="Macintosh%20SSD:Users:cwaters:OneDrive:paper:revised%20figures%208-1.xlsx" TargetMode="External"/></Relationships>
</file>

<file path=word/charts/_rels/chart11.xml.rels><?xml version="1.0" encoding="UTF-8" standalone="yes"?>
<Relationships xmlns="http://schemas.openxmlformats.org/package/2006/relationships"><Relationship Id="rId1" Type="http://schemas.openxmlformats.org/officeDocument/2006/relationships/themeOverride" Target="../theme/themeOverride11.xml"/><Relationship Id="rId2" Type="http://schemas.openxmlformats.org/officeDocument/2006/relationships/oleObject" Target="Macintosh%20SSD:Users:cwaters:OneDrive:paper:revised%20figures%208-1.xlsx" TargetMode="External"/></Relationships>
</file>

<file path=word/charts/_rels/chart12.xml.rels><?xml version="1.0" encoding="UTF-8" standalone="yes"?>
<Relationships xmlns="http://schemas.openxmlformats.org/package/2006/relationships"><Relationship Id="rId1" Type="http://schemas.openxmlformats.org/officeDocument/2006/relationships/themeOverride" Target="../theme/themeOverride12.xml"/><Relationship Id="rId2" Type="http://schemas.openxmlformats.org/officeDocument/2006/relationships/oleObject" Target="Macintosh%20SSD:Users:cwaters:OneDrive:paper:revised%20figures%208-1.xlsx" TargetMode="External"/></Relationships>
</file>

<file path=word/charts/_rels/chart13.xml.rels><?xml version="1.0" encoding="UTF-8" standalone="yes"?>
<Relationships xmlns="http://schemas.openxmlformats.org/package/2006/relationships"><Relationship Id="rId1" Type="http://schemas.openxmlformats.org/officeDocument/2006/relationships/themeOverride" Target="../theme/themeOverride13.xml"/><Relationship Id="rId2" Type="http://schemas.openxmlformats.org/officeDocument/2006/relationships/oleObject" Target="Macintosh%20SSD:Users:cwaters:OneDrive:paper:revised%20figures%208-1.xlsx" TargetMode="External"/></Relationships>
</file>

<file path=word/charts/_rels/chart14.xml.rels><?xml version="1.0" encoding="UTF-8" standalone="yes"?>
<Relationships xmlns="http://schemas.openxmlformats.org/package/2006/relationships"><Relationship Id="rId1" Type="http://schemas.openxmlformats.org/officeDocument/2006/relationships/themeOverride" Target="../theme/themeOverride14.xml"/><Relationship Id="rId2" Type="http://schemas.openxmlformats.org/officeDocument/2006/relationships/oleObject" Target="MAC%20HD:Users:stevencrossley:Documents:Written%20papers:Shaolong:Figures:updated%20figures%207-29-14.xlsx" TargetMode="External"/></Relationships>
</file>

<file path=word/charts/_rels/chart15.xml.rels><?xml version="1.0" encoding="UTF-8" standalone="yes"?>
<Relationships xmlns="http://schemas.openxmlformats.org/package/2006/relationships"><Relationship Id="rId1" Type="http://schemas.openxmlformats.org/officeDocument/2006/relationships/themeOverride" Target="../theme/themeOverride15.xml"/><Relationship Id="rId2" Type="http://schemas.openxmlformats.org/officeDocument/2006/relationships/oleObject" Target="Macintosh%20SSD:Users:cwaters:OneDrive:paper:revised%20figures%208-1.xlsx" TargetMode="External"/></Relationships>
</file>

<file path=word/charts/_rels/chart16.xml.rels><?xml version="1.0" encoding="UTF-8" standalone="yes"?>
<Relationships xmlns="http://schemas.openxmlformats.org/package/2006/relationships"><Relationship Id="rId1" Type="http://schemas.openxmlformats.org/officeDocument/2006/relationships/themeOverride" Target="../theme/themeOverride16.xml"/><Relationship Id="rId2" Type="http://schemas.openxmlformats.org/officeDocument/2006/relationships/oleObject" Target="Macintosh%20SSD:Users:cwaters:OneDrive:paper:revised%20figures%208-1.xlsx" TargetMode="External"/></Relationships>
</file>

<file path=word/charts/_rels/chart17.xml.rels><?xml version="1.0" encoding="UTF-8" standalone="yes"?>
<Relationships xmlns="http://schemas.openxmlformats.org/package/2006/relationships"><Relationship Id="rId1" Type="http://schemas.openxmlformats.org/officeDocument/2006/relationships/themeOverride" Target="../theme/themeOverride17.xml"/><Relationship Id="rId2" Type="http://schemas.openxmlformats.org/officeDocument/2006/relationships/oleObject" Target="Macintosh%20SSD:Users:cwaters:OneDrive:paper:revised%20figures%208-1.xlsx" TargetMode="External"/></Relationships>
</file>

<file path=word/charts/_rels/chart18.xml.rels><?xml version="1.0" encoding="UTF-8" standalone="yes"?>
<Relationships xmlns="http://schemas.openxmlformats.org/package/2006/relationships"><Relationship Id="rId1" Type="http://schemas.openxmlformats.org/officeDocument/2006/relationships/themeOverride" Target="../theme/themeOverride18.xml"/><Relationship Id="rId2" Type="http://schemas.openxmlformats.org/officeDocument/2006/relationships/oleObject" Target="Macintosh%20SSD:Users:cwaters:OneDrive:paper:revised%20figures%208-1.xlsx" TargetMode="External"/></Relationships>
</file>

<file path=word/charts/_rels/chart19.xml.rels><?xml version="1.0" encoding="UTF-8" standalone="yes"?>
<Relationships xmlns="http://schemas.openxmlformats.org/package/2006/relationships"><Relationship Id="rId1" Type="http://schemas.openxmlformats.org/officeDocument/2006/relationships/themeOverride" Target="../theme/themeOverride19.xml"/><Relationship Id="rId2" Type="http://schemas.openxmlformats.org/officeDocument/2006/relationships/oleObject" Target="Macintosh%20SSD:Users:cwaters:OneDrive:paper:revised%20figures%208-1.xlsx" TargetMode="External"/></Relationships>
</file>

<file path=word/charts/_rels/chart2.xml.rels><?xml version="1.0" encoding="UTF-8" standalone="yes"?>
<Relationships xmlns="http://schemas.openxmlformats.org/package/2006/relationships"><Relationship Id="rId1" Type="http://schemas.openxmlformats.org/officeDocument/2006/relationships/themeOverride" Target="../theme/themeOverride2.xml"/><Relationship Id="rId2" Type="http://schemas.openxmlformats.org/officeDocument/2006/relationships/oleObject" Target="MAC%20HD:Users:stevencrossley:Documents:Written%20papers:Shaolong:Figures:updated%20figures%207-29-14.xlsx" TargetMode="External"/></Relationships>
</file>

<file path=word/charts/_rels/chart20.xml.rels><?xml version="1.0" encoding="UTF-8" standalone="yes"?>
<Relationships xmlns="http://schemas.openxmlformats.org/package/2006/relationships"><Relationship Id="rId1" Type="http://schemas.openxmlformats.org/officeDocument/2006/relationships/themeOverride" Target="../theme/themeOverride20.xml"/><Relationship Id="rId2" Type="http://schemas.openxmlformats.org/officeDocument/2006/relationships/oleObject" Target="Macintosh%20SSD:Users:cwaters:OneDrive:paper:revised%20figures%208-1.xlsx" TargetMode="External"/></Relationships>
</file>

<file path=word/charts/_rels/chart21.xml.rels><?xml version="1.0" encoding="UTF-8" standalone="yes"?>
<Relationships xmlns="http://schemas.openxmlformats.org/package/2006/relationships"><Relationship Id="rId1" Type="http://schemas.openxmlformats.org/officeDocument/2006/relationships/themeOverride" Target="../theme/themeOverride21.xml"/><Relationship Id="rId2" Type="http://schemas.openxmlformats.org/officeDocument/2006/relationships/oleObject" Target="MAC%20HD:Users:stevencrossley:Documents:Written%20papers:Shaolong:Figures:updated%20figures%207-29-14.xlsx" TargetMode="External"/></Relationships>
</file>

<file path=word/charts/_rels/chart22.xml.rels><?xml version="1.0" encoding="UTF-8" standalone="yes"?>
<Relationships xmlns="http://schemas.openxmlformats.org/package/2006/relationships"><Relationship Id="rId1" Type="http://schemas.openxmlformats.org/officeDocument/2006/relationships/themeOverride" Target="../theme/themeOverride22.xml"/><Relationship Id="rId2" Type="http://schemas.openxmlformats.org/officeDocument/2006/relationships/oleObject" Target="MAC%20HD:Users:stevencrossley:Documents:Written%20papers:Shaolong:Figures:updated%20figures%207-29-14.xlsx" TargetMode="External"/></Relationships>
</file>

<file path=word/charts/_rels/chart23.xml.rels><?xml version="1.0" encoding="UTF-8" standalone="yes"?>
<Relationships xmlns="http://schemas.openxmlformats.org/package/2006/relationships"><Relationship Id="rId1" Type="http://schemas.openxmlformats.org/officeDocument/2006/relationships/themeOverride" Target="../theme/themeOverride23.xml"/><Relationship Id="rId2" Type="http://schemas.openxmlformats.org/officeDocument/2006/relationships/oleObject" Target="MAC%20HD:Users:stevencrossley:Documents:Written%20papers:Shaolong:Figures:updated%20figures%207-30-14%20(version%201).xlsx" TargetMode="External"/></Relationships>
</file>

<file path=word/charts/_rels/chart24.xml.rels><?xml version="1.0" encoding="UTF-8" standalone="yes"?>
<Relationships xmlns="http://schemas.openxmlformats.org/package/2006/relationships"><Relationship Id="rId1" Type="http://schemas.openxmlformats.org/officeDocument/2006/relationships/themeOverride" Target="../theme/themeOverride24.xml"/><Relationship Id="rId2" Type="http://schemas.openxmlformats.org/officeDocument/2006/relationships/oleObject" Target="MAC%20HD:Users:stevencrossley:Documents:Written%20papers:Shaolong:Figures:updated%20figures%207-30-14%20(version%201).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Macintosh%20HD:Users:wanshaolong:Library:Containers:com.apple.mail:Data:Library:Mail%20Downloads:04B75A7E-B334-48FD-922B-CE484F58A55F:Formatted%20figures%20revised.xlsx" TargetMode="External"/><Relationship Id="rId2" Type="http://schemas.openxmlformats.org/officeDocument/2006/relationships/chartUserShapes" Target="../drawings/drawing1.xml"/></Relationships>
</file>

<file path=word/charts/_rels/chart3.xml.rels><?xml version="1.0" encoding="UTF-8" standalone="yes"?>
<Relationships xmlns="http://schemas.openxmlformats.org/package/2006/relationships"><Relationship Id="rId1" Type="http://schemas.openxmlformats.org/officeDocument/2006/relationships/themeOverride" Target="../theme/themeOverride3.xml"/><Relationship Id="rId2" Type="http://schemas.openxmlformats.org/officeDocument/2006/relationships/oleObject" Target="Macintosh%20SSD:Users:cwaters:OneDrive:paper:revised%20figures%208-1.xlsx" TargetMode="External"/></Relationships>
</file>

<file path=word/charts/_rels/chart4.xml.rels><?xml version="1.0" encoding="UTF-8" standalone="yes"?>
<Relationships xmlns="http://schemas.openxmlformats.org/package/2006/relationships"><Relationship Id="rId1" Type="http://schemas.openxmlformats.org/officeDocument/2006/relationships/themeOverride" Target="../theme/themeOverride4.xml"/><Relationship Id="rId2" Type="http://schemas.openxmlformats.org/officeDocument/2006/relationships/oleObject" Target="Macintosh%20SSD:Users:cwaters:OneDrive:paper:revised%20figures%208-1.xlsx" TargetMode="External"/></Relationships>
</file>

<file path=word/charts/_rels/chart5.xml.rels><?xml version="1.0" encoding="UTF-8" standalone="yes"?>
<Relationships xmlns="http://schemas.openxmlformats.org/package/2006/relationships"><Relationship Id="rId1" Type="http://schemas.openxmlformats.org/officeDocument/2006/relationships/themeOverride" Target="../theme/themeOverride5.xml"/><Relationship Id="rId2" Type="http://schemas.openxmlformats.org/officeDocument/2006/relationships/oleObject" Target="Macintosh%20SSD:Users:cwaters:OneDrive:paper:revised%20figures%208-1.xlsx" TargetMode="External"/></Relationships>
</file>

<file path=word/charts/_rels/chart6.xml.rels><?xml version="1.0" encoding="UTF-8" standalone="yes"?>
<Relationships xmlns="http://schemas.openxmlformats.org/package/2006/relationships"><Relationship Id="rId1" Type="http://schemas.openxmlformats.org/officeDocument/2006/relationships/themeOverride" Target="../theme/themeOverride6.xml"/><Relationship Id="rId2" Type="http://schemas.openxmlformats.org/officeDocument/2006/relationships/oleObject" Target="Macintosh%20SSD:Users:cwaters:OneDrive:paper:revised%20figures%208-1.xlsx" TargetMode="External"/></Relationships>
</file>

<file path=word/charts/_rels/chart7.xml.rels><?xml version="1.0" encoding="UTF-8" standalone="yes"?>
<Relationships xmlns="http://schemas.openxmlformats.org/package/2006/relationships"><Relationship Id="rId1" Type="http://schemas.openxmlformats.org/officeDocument/2006/relationships/themeOverride" Target="../theme/themeOverride7.xml"/><Relationship Id="rId2" Type="http://schemas.openxmlformats.org/officeDocument/2006/relationships/oleObject" Target="Macintosh%20SSD:Users:cwaters:OneDrive:paper:revised%20figures%208-1.xlsx" TargetMode="External"/></Relationships>
</file>

<file path=word/charts/_rels/chart8.xml.rels><?xml version="1.0" encoding="UTF-8" standalone="yes"?>
<Relationships xmlns="http://schemas.openxmlformats.org/package/2006/relationships"><Relationship Id="rId1" Type="http://schemas.openxmlformats.org/officeDocument/2006/relationships/themeOverride" Target="../theme/themeOverride8.xml"/><Relationship Id="rId2" Type="http://schemas.openxmlformats.org/officeDocument/2006/relationships/oleObject" Target="Macintosh%20SSD:Users:cwaters:OneDrive:paper:revised%20figures%208-1.xlsx" TargetMode="External"/></Relationships>
</file>

<file path=word/charts/_rels/chart9.xml.rels><?xml version="1.0" encoding="UTF-8" standalone="yes"?>
<Relationships xmlns="http://schemas.openxmlformats.org/package/2006/relationships"><Relationship Id="rId1" Type="http://schemas.openxmlformats.org/officeDocument/2006/relationships/themeOverride" Target="../theme/themeOverride9.xml"/><Relationship Id="rId2" Type="http://schemas.openxmlformats.org/officeDocument/2006/relationships/oleObject" Target="Macintosh%20SSD:Users:cwaters:OneDrive:paper:revised%20figures%208-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02917565965143"/>
          <c:y val="0.0489454145927319"/>
          <c:w val="0.720168752944343"/>
          <c:h val="0.783543987137327"/>
        </c:manualLayout>
      </c:layout>
      <c:scatterChart>
        <c:scatterStyle val="lineMarker"/>
        <c:varyColors val="0"/>
        <c:ser>
          <c:idx val="0"/>
          <c:order val="0"/>
          <c:tx>
            <c:strRef>
              <c:f>'Figure 1'!$A$1</c:f>
              <c:strCache>
                <c:ptCount val="1"/>
                <c:pt idx="0">
                  <c:v>T = 400°C</c:v>
                </c:pt>
              </c:strCache>
            </c:strRef>
          </c:tx>
          <c:spPr>
            <a:ln w="47625">
              <a:noFill/>
            </a:ln>
            <a:effectLst/>
          </c:spPr>
          <c:marker>
            <c:symbol val="triangle"/>
            <c:size val="12"/>
            <c:spPr>
              <a:noFill/>
              <a:ln>
                <a:solidFill>
                  <a:schemeClr val="tx1"/>
                </a:solidFill>
              </a:ln>
              <a:effectLst/>
            </c:spPr>
          </c:marker>
          <c:xVal>
            <c:numRef>
              <c:f>'Figure 1'!$B$8:$K$8</c:f>
              <c:numCache>
                <c:formatCode>General</c:formatCode>
                <c:ptCount val="10"/>
                <c:pt idx="0">
                  <c:v>0.73</c:v>
                </c:pt>
                <c:pt idx="1">
                  <c:v>1.33</c:v>
                </c:pt>
                <c:pt idx="2">
                  <c:v>1.98</c:v>
                </c:pt>
                <c:pt idx="3">
                  <c:v>2.66</c:v>
                </c:pt>
                <c:pt idx="4">
                  <c:v>3.36</c:v>
                </c:pt>
                <c:pt idx="5">
                  <c:v>4.08</c:v>
                </c:pt>
                <c:pt idx="6">
                  <c:v>4.74</c:v>
                </c:pt>
                <c:pt idx="7">
                  <c:v>5.38</c:v>
                </c:pt>
                <c:pt idx="8">
                  <c:v>6.06</c:v>
                </c:pt>
                <c:pt idx="9">
                  <c:v>6.73</c:v>
                </c:pt>
              </c:numCache>
            </c:numRef>
          </c:xVal>
          <c:yVal>
            <c:numRef>
              <c:f>'Figure 1'!$B$1:$K$1</c:f>
              <c:numCache>
                <c:formatCode>General</c:formatCode>
                <c:ptCount val="10"/>
                <c:pt idx="0">
                  <c:v>1.04423616</c:v>
                </c:pt>
                <c:pt idx="1">
                  <c:v>1.21383783</c:v>
                </c:pt>
                <c:pt idx="2">
                  <c:v>0.95658662</c:v>
                </c:pt>
                <c:pt idx="3">
                  <c:v>0.953874706</c:v>
                </c:pt>
                <c:pt idx="4">
                  <c:v>0.87780186</c:v>
                </c:pt>
                <c:pt idx="5">
                  <c:v>0.80640444</c:v>
                </c:pt>
                <c:pt idx="6">
                  <c:v>0.6922703</c:v>
                </c:pt>
                <c:pt idx="7">
                  <c:v>0.699218125</c:v>
                </c:pt>
                <c:pt idx="8">
                  <c:v>0.55343324</c:v>
                </c:pt>
                <c:pt idx="9">
                  <c:v>0.57178507</c:v>
                </c:pt>
              </c:numCache>
            </c:numRef>
          </c:yVal>
          <c:smooth val="0"/>
        </c:ser>
        <c:ser>
          <c:idx val="1"/>
          <c:order val="1"/>
          <c:tx>
            <c:strRef>
              <c:f>'Figure 1'!$A$2</c:f>
              <c:strCache>
                <c:ptCount val="1"/>
                <c:pt idx="0">
                  <c:v>T = 500°C</c:v>
                </c:pt>
              </c:strCache>
            </c:strRef>
          </c:tx>
          <c:spPr>
            <a:ln w="47625">
              <a:noFill/>
            </a:ln>
            <a:effectLst/>
          </c:spPr>
          <c:marker>
            <c:symbol val="circle"/>
            <c:size val="14"/>
            <c:spPr>
              <a:solidFill>
                <a:schemeClr val="tx1"/>
              </a:solidFill>
              <a:ln>
                <a:solidFill>
                  <a:schemeClr val="tx1"/>
                </a:solidFill>
              </a:ln>
              <a:effectLst/>
            </c:spPr>
          </c:marker>
          <c:xVal>
            <c:numRef>
              <c:f>'Figure 1'!$B$9:$K$9</c:f>
              <c:numCache>
                <c:formatCode>General</c:formatCode>
                <c:ptCount val="10"/>
                <c:pt idx="0">
                  <c:v>0.68</c:v>
                </c:pt>
                <c:pt idx="1">
                  <c:v>1.33</c:v>
                </c:pt>
                <c:pt idx="2">
                  <c:v>1.96</c:v>
                </c:pt>
                <c:pt idx="3">
                  <c:v>2.66</c:v>
                </c:pt>
                <c:pt idx="4">
                  <c:v>3.29</c:v>
                </c:pt>
                <c:pt idx="5">
                  <c:v>3.91</c:v>
                </c:pt>
                <c:pt idx="6">
                  <c:v>4.54</c:v>
                </c:pt>
                <c:pt idx="7">
                  <c:v>5.2</c:v>
                </c:pt>
                <c:pt idx="8">
                  <c:v>5.89</c:v>
                </c:pt>
                <c:pt idx="9">
                  <c:v>6.5</c:v>
                </c:pt>
              </c:numCache>
            </c:numRef>
          </c:xVal>
          <c:yVal>
            <c:numRef>
              <c:f>'Figure 1'!$B$2:$K$2</c:f>
              <c:numCache>
                <c:formatCode>General</c:formatCode>
                <c:ptCount val="10"/>
                <c:pt idx="0">
                  <c:v>2.17191603</c:v>
                </c:pt>
                <c:pt idx="1">
                  <c:v>2.92363062</c:v>
                </c:pt>
                <c:pt idx="2">
                  <c:v>2.29041952</c:v>
                </c:pt>
                <c:pt idx="3">
                  <c:v>2.001954</c:v>
                </c:pt>
                <c:pt idx="4">
                  <c:v>2.10323</c:v>
                </c:pt>
                <c:pt idx="5">
                  <c:v>2.302315</c:v>
                </c:pt>
                <c:pt idx="6">
                  <c:v>1.95255524</c:v>
                </c:pt>
                <c:pt idx="7">
                  <c:v>2.025433485</c:v>
                </c:pt>
                <c:pt idx="8">
                  <c:v>2.23264435</c:v>
                </c:pt>
                <c:pt idx="9">
                  <c:v>1.79350705</c:v>
                </c:pt>
              </c:numCache>
            </c:numRef>
          </c:yVal>
          <c:smooth val="0"/>
        </c:ser>
        <c:ser>
          <c:idx val="2"/>
          <c:order val="2"/>
          <c:tx>
            <c:strRef>
              <c:f>'Figure 1'!$A$3</c:f>
              <c:strCache>
                <c:ptCount val="1"/>
                <c:pt idx="0">
                  <c:v>T = 600°C</c:v>
                </c:pt>
              </c:strCache>
            </c:strRef>
          </c:tx>
          <c:spPr>
            <a:ln w="47625">
              <a:noFill/>
            </a:ln>
            <a:effectLst/>
          </c:spPr>
          <c:marker>
            <c:symbol val="x"/>
            <c:size val="14"/>
            <c:spPr>
              <a:ln>
                <a:solidFill>
                  <a:sysClr val="windowText" lastClr="000000"/>
                </a:solidFill>
              </a:ln>
              <a:effectLst/>
            </c:spPr>
          </c:marker>
          <c:xVal>
            <c:numRef>
              <c:f>'Figure 1'!$B$10:$K$10</c:f>
              <c:numCache>
                <c:formatCode>General</c:formatCode>
                <c:ptCount val="10"/>
                <c:pt idx="0">
                  <c:v>0.66</c:v>
                </c:pt>
                <c:pt idx="1">
                  <c:v>1.31</c:v>
                </c:pt>
                <c:pt idx="2">
                  <c:v>2.01</c:v>
                </c:pt>
                <c:pt idx="3">
                  <c:v>2.67</c:v>
                </c:pt>
                <c:pt idx="4">
                  <c:v>3.4</c:v>
                </c:pt>
                <c:pt idx="5">
                  <c:v>4.08</c:v>
                </c:pt>
                <c:pt idx="6">
                  <c:v>4.689999999999999</c:v>
                </c:pt>
                <c:pt idx="7">
                  <c:v>5.39</c:v>
                </c:pt>
                <c:pt idx="8">
                  <c:v>6.05</c:v>
                </c:pt>
                <c:pt idx="9">
                  <c:v>6.74</c:v>
                </c:pt>
              </c:numCache>
            </c:numRef>
          </c:xVal>
          <c:yVal>
            <c:numRef>
              <c:f>'Figure 1'!$B$3:$K$3</c:f>
              <c:numCache>
                <c:formatCode>General</c:formatCode>
                <c:ptCount val="10"/>
                <c:pt idx="0">
                  <c:v>1.82775152</c:v>
                </c:pt>
                <c:pt idx="1">
                  <c:v>1.562526</c:v>
                </c:pt>
                <c:pt idx="2">
                  <c:v>1.62173643</c:v>
                </c:pt>
                <c:pt idx="3">
                  <c:v>1.594772121</c:v>
                </c:pt>
                <c:pt idx="4">
                  <c:v>1.27060795</c:v>
                </c:pt>
                <c:pt idx="5">
                  <c:v>1.28905632</c:v>
                </c:pt>
                <c:pt idx="6">
                  <c:v>1.27913803</c:v>
                </c:pt>
                <c:pt idx="7">
                  <c:v>1.240358286</c:v>
                </c:pt>
                <c:pt idx="8">
                  <c:v>1.20178818</c:v>
                </c:pt>
                <c:pt idx="9">
                  <c:v>1.21478667</c:v>
                </c:pt>
              </c:numCache>
            </c:numRef>
          </c:yVal>
          <c:smooth val="0"/>
        </c:ser>
        <c:ser>
          <c:idx val="3"/>
          <c:order val="3"/>
          <c:tx>
            <c:strRef>
              <c:f>'Figure 1'!$A$5</c:f>
              <c:strCache>
                <c:ptCount val="1"/>
                <c:pt idx="0">
                  <c:v>No Catalyst</c:v>
                </c:pt>
              </c:strCache>
            </c:strRef>
          </c:tx>
          <c:spPr>
            <a:ln w="47625">
              <a:noFill/>
            </a:ln>
            <a:effectLst/>
          </c:spPr>
          <c:marker>
            <c:symbol val="square"/>
            <c:size val="14"/>
            <c:spPr>
              <a:solidFill>
                <a:sysClr val="windowText" lastClr="000000"/>
              </a:solidFill>
              <a:ln>
                <a:solidFill>
                  <a:sysClr val="windowText" lastClr="000000"/>
                </a:solidFill>
              </a:ln>
              <a:effectLst/>
            </c:spPr>
          </c:marker>
          <c:errBars>
            <c:errDir val="y"/>
            <c:errBarType val="both"/>
            <c:errValType val="cust"/>
            <c:noEndCap val="0"/>
            <c:plus>
              <c:numRef>
                <c:f>'Figure 1'!$B$6</c:f>
                <c:numCache>
                  <c:formatCode>General</c:formatCode>
                  <c:ptCount val="1"/>
                  <c:pt idx="0">
                    <c:v>0.01463994435</c:v>
                  </c:pt>
                </c:numCache>
              </c:numRef>
            </c:plus>
            <c:minus>
              <c:numRef>
                <c:f>'Figure 1'!$B$6</c:f>
                <c:numCache>
                  <c:formatCode>General</c:formatCode>
                  <c:ptCount val="1"/>
                  <c:pt idx="0">
                    <c:v>0.01463994435</c:v>
                  </c:pt>
                </c:numCache>
              </c:numRef>
            </c:minus>
          </c:errBars>
          <c:xVal>
            <c:numLit>
              <c:formatCode>General</c:formatCode>
              <c:ptCount val="1"/>
              <c:pt idx="0">
                <c:v>7.0</c:v>
              </c:pt>
            </c:numLit>
          </c:xVal>
          <c:yVal>
            <c:numRef>
              <c:f>'Figure 1'!$B$5</c:f>
              <c:numCache>
                <c:formatCode>General</c:formatCode>
                <c:ptCount val="1"/>
                <c:pt idx="0">
                  <c:v>0.02656226625</c:v>
                </c:pt>
              </c:numCache>
            </c:numRef>
          </c:yVal>
          <c:smooth val="0"/>
        </c:ser>
        <c:dLbls>
          <c:showLegendKey val="0"/>
          <c:showVal val="0"/>
          <c:showCatName val="0"/>
          <c:showSerName val="0"/>
          <c:showPercent val="0"/>
          <c:showBubbleSize val="0"/>
        </c:dLbls>
        <c:axId val="-2125317456"/>
        <c:axId val="-2033858192"/>
      </c:scatterChart>
      <c:valAx>
        <c:axId val="-2125317456"/>
        <c:scaling>
          <c:orientation val="minMax"/>
          <c:max val="7.0"/>
          <c:min val="0.0"/>
        </c:scaling>
        <c:delete val="0"/>
        <c:axPos val="b"/>
        <c:title>
          <c:tx>
            <c:rich>
              <a:bodyPr/>
              <a:lstStyle/>
              <a:p>
                <a:pPr>
                  <a:defRPr sz="1600"/>
                </a:pPr>
                <a:r>
                  <a:rPr lang="en-US" sz="1600"/>
                  <a:t>Cumulative</a:t>
                </a:r>
                <a:r>
                  <a:rPr lang="en-US" sz="1600" baseline="0"/>
                  <a:t> biomass fed, mg</a:t>
                </a:r>
                <a:endParaRPr lang="en-US" sz="1600"/>
              </a:p>
            </c:rich>
          </c:tx>
          <c:overlay val="0"/>
        </c:title>
        <c:numFmt formatCode="General" sourceLinked="1"/>
        <c:majorTickMark val="out"/>
        <c:minorTickMark val="out"/>
        <c:tickLblPos val="nextTo"/>
        <c:spPr>
          <a:ln>
            <a:solidFill>
              <a:sysClr val="windowText" lastClr="000000"/>
            </a:solidFill>
          </a:ln>
        </c:spPr>
        <c:txPr>
          <a:bodyPr/>
          <a:lstStyle/>
          <a:p>
            <a:pPr>
              <a:defRPr sz="1800"/>
            </a:pPr>
            <a:endParaRPr lang="en-US"/>
          </a:p>
        </c:txPr>
        <c:crossAx val="-2033858192"/>
        <c:crosses val="autoZero"/>
        <c:crossBetween val="midCat"/>
      </c:valAx>
      <c:valAx>
        <c:axId val="-2033858192"/>
        <c:scaling>
          <c:orientation val="minMax"/>
        </c:scaling>
        <c:delete val="0"/>
        <c:axPos val="l"/>
        <c:title>
          <c:tx>
            <c:rich>
              <a:bodyPr/>
              <a:lstStyle/>
              <a:p>
                <a:pPr>
                  <a:defRPr sz="1600"/>
                </a:pPr>
                <a:r>
                  <a:rPr lang="en-US" sz="1600"/>
                  <a:t>(GC-MS response)/</a:t>
                </a:r>
                <a:br>
                  <a:rPr lang="en-US" sz="1600"/>
                </a:br>
                <a:r>
                  <a:rPr lang="en-US" sz="1600"/>
                  <a:t>(mg biomass in pulse)</a:t>
                </a:r>
              </a:p>
            </c:rich>
          </c:tx>
          <c:layout>
            <c:manualLayout>
              <c:xMode val="edge"/>
              <c:yMode val="edge"/>
              <c:x val="0.0"/>
              <c:y val="0.226885562037626"/>
            </c:manualLayout>
          </c:layout>
          <c:overlay val="0"/>
        </c:title>
        <c:numFmt formatCode="General" sourceLinked="0"/>
        <c:majorTickMark val="out"/>
        <c:minorTickMark val="out"/>
        <c:tickLblPos val="nextTo"/>
        <c:spPr>
          <a:ln>
            <a:solidFill>
              <a:sysClr val="windowText" lastClr="000000"/>
            </a:solidFill>
          </a:ln>
        </c:spPr>
        <c:txPr>
          <a:bodyPr/>
          <a:lstStyle/>
          <a:p>
            <a:pPr>
              <a:defRPr sz="1800"/>
            </a:pPr>
            <a:endParaRPr lang="en-US"/>
          </a:p>
        </c:txPr>
        <c:crossAx val="-2125317456"/>
        <c:crosses val="autoZero"/>
        <c:crossBetween val="midCat"/>
      </c:valAx>
      <c:spPr>
        <a:ln>
          <a:solidFill>
            <a:sysClr val="windowText" lastClr="000000"/>
          </a:solidFill>
        </a:ln>
      </c:spPr>
    </c:plotArea>
    <c:legend>
      <c:legendPos val="r"/>
      <c:layout>
        <c:manualLayout>
          <c:xMode val="edge"/>
          <c:yMode val="edge"/>
          <c:x val="0.613609336211088"/>
          <c:y val="0.0435907509447154"/>
          <c:w val="0.255421468849438"/>
          <c:h val="0.220401320802642"/>
        </c:manualLayout>
      </c:layout>
      <c:overlay val="0"/>
      <c:txPr>
        <a:bodyPr/>
        <a:lstStyle/>
        <a:p>
          <a:pPr>
            <a:defRPr sz="1600"/>
          </a:pPr>
          <a:endParaRPr lang="en-US"/>
        </a:p>
      </c:txPr>
    </c:legend>
    <c:plotVisOnly val="1"/>
    <c:dispBlanksAs val="gap"/>
    <c:showDLblsOverMax val="0"/>
  </c:chart>
  <c:spPr>
    <a:ln>
      <a:noFill/>
    </a:ln>
  </c:sp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00750656167979"/>
          <c:y val="0.0341463414634146"/>
          <c:w val="0.761068044171016"/>
          <c:h val="0.740976838122507"/>
        </c:manualLayout>
      </c:layout>
      <c:scatterChart>
        <c:scatterStyle val="lineMarker"/>
        <c:varyColors val="0"/>
        <c:ser>
          <c:idx val="0"/>
          <c:order val="0"/>
          <c:tx>
            <c:strRef>
              <c:f>'Figure S9.'!$A$2</c:f>
              <c:strCache>
                <c:ptCount val="1"/>
                <c:pt idx="0">
                  <c:v>T = 400°C</c:v>
                </c:pt>
              </c:strCache>
            </c:strRef>
          </c:tx>
          <c:spPr>
            <a:ln w="47625">
              <a:noFill/>
            </a:ln>
            <a:effectLst/>
          </c:spPr>
          <c:marker>
            <c:symbol val="triangle"/>
            <c:size val="12"/>
            <c:spPr>
              <a:noFill/>
              <a:ln>
                <a:solidFill>
                  <a:schemeClr val="tx1"/>
                </a:solidFill>
              </a:ln>
              <a:effectLst/>
            </c:spPr>
          </c:marker>
          <c:xVal>
            <c:numRef>
              <c:f>'Figure S9.'!$B$8:$K$8</c:f>
              <c:numCache>
                <c:formatCode>General</c:formatCode>
                <c:ptCount val="10"/>
                <c:pt idx="0">
                  <c:v>0.73</c:v>
                </c:pt>
                <c:pt idx="1">
                  <c:v>1.33</c:v>
                </c:pt>
                <c:pt idx="2">
                  <c:v>1.98</c:v>
                </c:pt>
                <c:pt idx="3">
                  <c:v>2.66</c:v>
                </c:pt>
                <c:pt idx="4">
                  <c:v>3.36</c:v>
                </c:pt>
                <c:pt idx="5">
                  <c:v>4.08</c:v>
                </c:pt>
                <c:pt idx="6">
                  <c:v>4.74</c:v>
                </c:pt>
                <c:pt idx="7">
                  <c:v>5.38</c:v>
                </c:pt>
                <c:pt idx="8">
                  <c:v>6.06</c:v>
                </c:pt>
                <c:pt idx="9">
                  <c:v>6.73</c:v>
                </c:pt>
              </c:numCache>
            </c:numRef>
          </c:xVal>
          <c:yVal>
            <c:numRef>
              <c:f>'Figure S9.'!$B$2:$K$2</c:f>
              <c:numCache>
                <c:formatCode>General</c:formatCode>
                <c:ptCount val="10"/>
                <c:pt idx="0">
                  <c:v>2.020878767</c:v>
                </c:pt>
                <c:pt idx="1">
                  <c:v>3.1650445</c:v>
                </c:pt>
                <c:pt idx="2">
                  <c:v>1.973749846</c:v>
                </c:pt>
                <c:pt idx="3">
                  <c:v>2.370431471</c:v>
                </c:pt>
                <c:pt idx="4">
                  <c:v>1.979156714</c:v>
                </c:pt>
                <c:pt idx="5">
                  <c:v>1.988882361</c:v>
                </c:pt>
                <c:pt idx="6">
                  <c:v>2.187815</c:v>
                </c:pt>
                <c:pt idx="7">
                  <c:v>2.271804375</c:v>
                </c:pt>
                <c:pt idx="8">
                  <c:v>2.267730294</c:v>
                </c:pt>
                <c:pt idx="9">
                  <c:v>2.318887462999999</c:v>
                </c:pt>
              </c:numCache>
            </c:numRef>
          </c:yVal>
          <c:smooth val="0"/>
        </c:ser>
        <c:ser>
          <c:idx val="1"/>
          <c:order val="1"/>
          <c:tx>
            <c:strRef>
              <c:f>'Figure S9.'!$A$3</c:f>
              <c:strCache>
                <c:ptCount val="1"/>
                <c:pt idx="0">
                  <c:v>T = 500°C</c:v>
                </c:pt>
              </c:strCache>
            </c:strRef>
          </c:tx>
          <c:spPr>
            <a:ln w="47625">
              <a:noFill/>
            </a:ln>
            <a:effectLst/>
          </c:spPr>
          <c:marker>
            <c:symbol val="circle"/>
            <c:size val="14"/>
            <c:spPr>
              <a:solidFill>
                <a:schemeClr val="tx1"/>
              </a:solidFill>
              <a:ln>
                <a:solidFill>
                  <a:schemeClr val="tx1"/>
                </a:solidFill>
              </a:ln>
              <a:effectLst/>
            </c:spPr>
          </c:marker>
          <c:xVal>
            <c:numRef>
              <c:f>'Figure S9.'!$B$9:$K$9</c:f>
              <c:numCache>
                <c:formatCode>General</c:formatCode>
                <c:ptCount val="10"/>
                <c:pt idx="0">
                  <c:v>0.68</c:v>
                </c:pt>
                <c:pt idx="1">
                  <c:v>1.33</c:v>
                </c:pt>
                <c:pt idx="2">
                  <c:v>1.96</c:v>
                </c:pt>
                <c:pt idx="3">
                  <c:v>2.66</c:v>
                </c:pt>
                <c:pt idx="4">
                  <c:v>3.29</c:v>
                </c:pt>
                <c:pt idx="5">
                  <c:v>3.91</c:v>
                </c:pt>
                <c:pt idx="6">
                  <c:v>4.54</c:v>
                </c:pt>
                <c:pt idx="7">
                  <c:v>5.2</c:v>
                </c:pt>
                <c:pt idx="8">
                  <c:v>5.89</c:v>
                </c:pt>
                <c:pt idx="9">
                  <c:v>6.5</c:v>
                </c:pt>
              </c:numCache>
            </c:numRef>
          </c:xVal>
          <c:yVal>
            <c:numRef>
              <c:f>'Figure S9.'!$B$3:$K$3</c:f>
              <c:numCache>
                <c:formatCode>General</c:formatCode>
                <c:ptCount val="10"/>
                <c:pt idx="0">
                  <c:v>1.874252353</c:v>
                </c:pt>
                <c:pt idx="1">
                  <c:v>3.529786308</c:v>
                </c:pt>
                <c:pt idx="2">
                  <c:v>2.997859682999999</c:v>
                </c:pt>
                <c:pt idx="3">
                  <c:v>1.826014429</c:v>
                </c:pt>
                <c:pt idx="4">
                  <c:v>2.261281111</c:v>
                </c:pt>
                <c:pt idx="5">
                  <c:v>3.002804839</c:v>
                </c:pt>
                <c:pt idx="6">
                  <c:v>2.448833651</c:v>
                </c:pt>
                <c:pt idx="7">
                  <c:v>2.398025908999999</c:v>
                </c:pt>
                <c:pt idx="8">
                  <c:v>2.42889</c:v>
                </c:pt>
                <c:pt idx="9">
                  <c:v>2.449977377</c:v>
                </c:pt>
              </c:numCache>
            </c:numRef>
          </c:yVal>
          <c:smooth val="0"/>
        </c:ser>
        <c:ser>
          <c:idx val="2"/>
          <c:order val="2"/>
          <c:tx>
            <c:strRef>
              <c:f>'Figure S9.'!$A$4</c:f>
              <c:strCache>
                <c:ptCount val="1"/>
                <c:pt idx="0">
                  <c:v>T = 600°C</c:v>
                </c:pt>
              </c:strCache>
            </c:strRef>
          </c:tx>
          <c:spPr>
            <a:ln w="47625">
              <a:noFill/>
            </a:ln>
            <a:effectLst/>
          </c:spPr>
          <c:marker>
            <c:symbol val="x"/>
            <c:size val="14"/>
            <c:spPr>
              <a:ln>
                <a:solidFill>
                  <a:sysClr val="windowText" lastClr="000000"/>
                </a:solidFill>
              </a:ln>
              <a:effectLst/>
            </c:spPr>
          </c:marker>
          <c:xVal>
            <c:numRef>
              <c:f>'Figure S9.'!$B$10:$K$10</c:f>
              <c:numCache>
                <c:formatCode>General</c:formatCode>
                <c:ptCount val="10"/>
                <c:pt idx="0">
                  <c:v>0.66</c:v>
                </c:pt>
                <c:pt idx="1">
                  <c:v>1.31</c:v>
                </c:pt>
                <c:pt idx="2">
                  <c:v>2.01</c:v>
                </c:pt>
                <c:pt idx="3">
                  <c:v>2.67</c:v>
                </c:pt>
                <c:pt idx="4">
                  <c:v>3.4</c:v>
                </c:pt>
                <c:pt idx="5">
                  <c:v>4.08</c:v>
                </c:pt>
                <c:pt idx="6">
                  <c:v>4.689999999999999</c:v>
                </c:pt>
                <c:pt idx="7">
                  <c:v>5.39</c:v>
                </c:pt>
                <c:pt idx="8">
                  <c:v>6.05</c:v>
                </c:pt>
                <c:pt idx="9">
                  <c:v>6.74</c:v>
                </c:pt>
              </c:numCache>
            </c:numRef>
          </c:xVal>
          <c:yVal>
            <c:numRef>
              <c:f>'Figure S9.'!$B$4:$K$4</c:f>
              <c:numCache>
                <c:formatCode>General</c:formatCode>
                <c:ptCount val="10"/>
                <c:pt idx="0">
                  <c:v>2.271480758</c:v>
                </c:pt>
                <c:pt idx="1">
                  <c:v>1.939084462</c:v>
                </c:pt>
                <c:pt idx="2">
                  <c:v>2.230722429</c:v>
                </c:pt>
                <c:pt idx="3">
                  <c:v>2.676662272999999</c:v>
                </c:pt>
                <c:pt idx="4">
                  <c:v>1.700980822</c:v>
                </c:pt>
                <c:pt idx="5">
                  <c:v>1.606568824</c:v>
                </c:pt>
                <c:pt idx="6">
                  <c:v>2.384946557</c:v>
                </c:pt>
                <c:pt idx="7">
                  <c:v>2.195034143</c:v>
                </c:pt>
                <c:pt idx="8">
                  <c:v>2.25153</c:v>
                </c:pt>
                <c:pt idx="9">
                  <c:v>2.592257536</c:v>
                </c:pt>
              </c:numCache>
            </c:numRef>
          </c:yVal>
          <c:smooth val="0"/>
        </c:ser>
        <c:ser>
          <c:idx val="3"/>
          <c:order val="3"/>
          <c:tx>
            <c:strRef>
              <c:f>'Figure S9.'!$A$5</c:f>
              <c:strCache>
                <c:ptCount val="1"/>
                <c:pt idx="0">
                  <c:v>No Catalyst</c:v>
                </c:pt>
              </c:strCache>
            </c:strRef>
          </c:tx>
          <c:spPr>
            <a:ln w="47625">
              <a:noFill/>
            </a:ln>
            <a:effectLst/>
          </c:spPr>
          <c:marker>
            <c:symbol val="square"/>
            <c:size val="14"/>
            <c:spPr>
              <a:solidFill>
                <a:sysClr val="windowText" lastClr="000000"/>
              </a:solidFill>
              <a:ln>
                <a:solidFill>
                  <a:sysClr val="windowText" lastClr="000000"/>
                </a:solidFill>
              </a:ln>
              <a:effectLst/>
            </c:spPr>
          </c:marker>
          <c:errBars>
            <c:errDir val="y"/>
            <c:errBarType val="both"/>
            <c:errValType val="cust"/>
            <c:noEndCap val="0"/>
            <c:plus>
              <c:numRef>
                <c:f>'Figure S9.'!$B$6</c:f>
                <c:numCache>
                  <c:formatCode>General</c:formatCode>
                  <c:ptCount val="1"/>
                  <c:pt idx="0">
                    <c:v>0.567058685</c:v>
                  </c:pt>
                </c:numCache>
              </c:numRef>
            </c:plus>
            <c:minus>
              <c:numRef>
                <c:f>'Figure S9.'!$B$6</c:f>
                <c:numCache>
                  <c:formatCode>General</c:formatCode>
                  <c:ptCount val="1"/>
                  <c:pt idx="0">
                    <c:v>0.567058685</c:v>
                  </c:pt>
                </c:numCache>
              </c:numRef>
            </c:minus>
          </c:errBars>
          <c:xVal>
            <c:numRef>
              <c:f>'Figure S9.'!$B$11</c:f>
              <c:numCache>
                <c:formatCode>General</c:formatCode>
                <c:ptCount val="1"/>
                <c:pt idx="0">
                  <c:v>6.8</c:v>
                </c:pt>
              </c:numCache>
            </c:numRef>
          </c:xVal>
          <c:yVal>
            <c:numRef>
              <c:f>'Figure S9.'!$B$5</c:f>
              <c:numCache>
                <c:formatCode>General</c:formatCode>
                <c:ptCount val="1"/>
                <c:pt idx="0">
                  <c:v>2.281077461</c:v>
                </c:pt>
              </c:numCache>
            </c:numRef>
          </c:yVal>
          <c:smooth val="0"/>
        </c:ser>
        <c:dLbls>
          <c:showLegendKey val="0"/>
          <c:showVal val="0"/>
          <c:showCatName val="0"/>
          <c:showSerName val="0"/>
          <c:showPercent val="0"/>
          <c:showBubbleSize val="0"/>
        </c:dLbls>
        <c:axId val="-2035473728"/>
        <c:axId val="-2033325616"/>
      </c:scatterChart>
      <c:valAx>
        <c:axId val="-2035473728"/>
        <c:scaling>
          <c:orientation val="minMax"/>
          <c:max val="7.0"/>
          <c:min val="0.0"/>
        </c:scaling>
        <c:delete val="0"/>
        <c:axPos val="b"/>
        <c:title>
          <c:tx>
            <c:rich>
              <a:bodyPr/>
              <a:lstStyle/>
              <a:p>
                <a:pPr>
                  <a:defRPr sz="1800"/>
                </a:pPr>
                <a:r>
                  <a:rPr lang="en-US"/>
                  <a:t>Cumulative biomass fed, mg</a:t>
                </a:r>
              </a:p>
            </c:rich>
          </c:tx>
          <c:overlay val="0"/>
        </c:title>
        <c:numFmt formatCode="General" sourceLinked="1"/>
        <c:majorTickMark val="out"/>
        <c:minorTickMark val="out"/>
        <c:tickLblPos val="nextTo"/>
        <c:txPr>
          <a:bodyPr/>
          <a:lstStyle/>
          <a:p>
            <a:pPr>
              <a:defRPr sz="1800"/>
            </a:pPr>
            <a:endParaRPr lang="en-US"/>
          </a:p>
        </c:txPr>
        <c:crossAx val="-2033325616"/>
        <c:crosses val="autoZero"/>
        <c:crossBetween val="midCat"/>
      </c:valAx>
      <c:valAx>
        <c:axId val="-2033325616"/>
        <c:scaling>
          <c:orientation val="minMax"/>
        </c:scaling>
        <c:delete val="0"/>
        <c:axPos val="l"/>
        <c:title>
          <c:tx>
            <c:rich>
              <a:bodyPr/>
              <a:lstStyle/>
              <a:p>
                <a:pPr>
                  <a:defRPr sz="1800"/>
                </a:pPr>
                <a:r>
                  <a:rPr lang="en-US" sz="1800" b="1" i="0" baseline="0">
                    <a:effectLst/>
                  </a:rPr>
                  <a:t>(GC-MS response)/</a:t>
                </a:r>
                <a:br>
                  <a:rPr lang="en-US" sz="1800" b="1" i="0" baseline="0">
                    <a:effectLst/>
                  </a:rPr>
                </a:br>
                <a:r>
                  <a:rPr lang="en-US" sz="1800" b="1" i="0" baseline="0">
                    <a:effectLst/>
                  </a:rPr>
                  <a:t>(mg biomass in pulse)</a:t>
                </a:r>
                <a:endParaRPr lang="en-US">
                  <a:effectLst/>
                </a:endParaRPr>
              </a:p>
            </c:rich>
          </c:tx>
          <c:layout>
            <c:manualLayout>
              <c:xMode val="edge"/>
              <c:yMode val="edge"/>
              <c:x val="0.0212113515136121"/>
              <c:y val="0.0252011011477036"/>
            </c:manualLayout>
          </c:layout>
          <c:overlay val="0"/>
        </c:title>
        <c:numFmt formatCode="General" sourceLinked="0"/>
        <c:majorTickMark val="out"/>
        <c:minorTickMark val="out"/>
        <c:tickLblPos val="nextTo"/>
        <c:txPr>
          <a:bodyPr/>
          <a:lstStyle/>
          <a:p>
            <a:pPr>
              <a:defRPr sz="1800"/>
            </a:pPr>
            <a:endParaRPr lang="en-US"/>
          </a:p>
        </c:txPr>
        <c:crossAx val="-2035473728"/>
        <c:crosses val="autoZero"/>
        <c:crossBetween val="midCat"/>
        <c:majorUnit val="1.0"/>
      </c:valAx>
    </c:plotArea>
    <c:legend>
      <c:legendPos val="r"/>
      <c:layout>
        <c:manualLayout>
          <c:xMode val="edge"/>
          <c:yMode val="edge"/>
          <c:x val="0.227864537766113"/>
          <c:y val="0.566965066866642"/>
          <c:w val="0.475486840186643"/>
          <c:h val="0.184055743032121"/>
        </c:manualLayout>
      </c:layout>
      <c:overlay val="0"/>
      <c:txPr>
        <a:bodyPr/>
        <a:lstStyle/>
        <a:p>
          <a:pPr>
            <a:defRPr sz="1600"/>
          </a:pPr>
          <a:endParaRPr lang="en-US"/>
        </a:p>
      </c:txPr>
    </c:legend>
    <c:plotVisOnly val="1"/>
    <c:dispBlanksAs val="gap"/>
    <c:showDLblsOverMax val="0"/>
  </c:chart>
  <c:spPr>
    <a:ln>
      <a:noFill/>
    </a:ln>
  </c:sp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28528361038204"/>
          <c:y val="0.0341463414634146"/>
          <c:w val="0.733290317876932"/>
          <c:h val="0.7206846303303"/>
        </c:manualLayout>
      </c:layout>
      <c:scatterChart>
        <c:scatterStyle val="lineMarker"/>
        <c:varyColors val="0"/>
        <c:ser>
          <c:idx val="0"/>
          <c:order val="0"/>
          <c:tx>
            <c:strRef>
              <c:f>'Figure S10.'!$A$2</c:f>
              <c:strCache>
                <c:ptCount val="1"/>
                <c:pt idx="0">
                  <c:v>T = 400°C</c:v>
                </c:pt>
              </c:strCache>
            </c:strRef>
          </c:tx>
          <c:spPr>
            <a:ln w="47625">
              <a:noFill/>
            </a:ln>
            <a:effectLst/>
          </c:spPr>
          <c:marker>
            <c:symbol val="triangle"/>
            <c:size val="12"/>
            <c:spPr>
              <a:noFill/>
              <a:ln>
                <a:solidFill>
                  <a:schemeClr val="tx1"/>
                </a:solidFill>
              </a:ln>
              <a:effectLst/>
            </c:spPr>
          </c:marker>
          <c:xVal>
            <c:numRef>
              <c:f>'Figure S10.'!$B$8:$K$8</c:f>
              <c:numCache>
                <c:formatCode>General</c:formatCode>
                <c:ptCount val="10"/>
                <c:pt idx="0">
                  <c:v>0.73</c:v>
                </c:pt>
                <c:pt idx="1">
                  <c:v>1.33</c:v>
                </c:pt>
                <c:pt idx="2">
                  <c:v>1.98</c:v>
                </c:pt>
                <c:pt idx="3">
                  <c:v>2.66</c:v>
                </c:pt>
                <c:pt idx="4">
                  <c:v>3.36</c:v>
                </c:pt>
                <c:pt idx="5">
                  <c:v>4.08</c:v>
                </c:pt>
                <c:pt idx="6">
                  <c:v>4.74</c:v>
                </c:pt>
                <c:pt idx="7">
                  <c:v>5.38</c:v>
                </c:pt>
                <c:pt idx="8">
                  <c:v>6.06</c:v>
                </c:pt>
                <c:pt idx="9">
                  <c:v>6.73</c:v>
                </c:pt>
              </c:numCache>
            </c:numRef>
          </c:xVal>
          <c:yVal>
            <c:numRef>
              <c:f>'Figure S10.'!$B$2:$K$2</c:f>
              <c:numCache>
                <c:formatCode>General</c:formatCode>
                <c:ptCount val="10"/>
                <c:pt idx="0">
                  <c:v>0.379218904</c:v>
                </c:pt>
                <c:pt idx="1">
                  <c:v>0.480430333</c:v>
                </c:pt>
                <c:pt idx="2">
                  <c:v>0.423838923</c:v>
                </c:pt>
                <c:pt idx="3">
                  <c:v>0.418863088</c:v>
                </c:pt>
                <c:pt idx="4">
                  <c:v>0.417803571</c:v>
                </c:pt>
                <c:pt idx="5">
                  <c:v>0.391344861</c:v>
                </c:pt>
                <c:pt idx="6">
                  <c:v>0.344544545</c:v>
                </c:pt>
                <c:pt idx="7">
                  <c:v>0.349913594</c:v>
                </c:pt>
                <c:pt idx="8">
                  <c:v>0.294902059</c:v>
                </c:pt>
                <c:pt idx="9">
                  <c:v>0.302099552</c:v>
                </c:pt>
              </c:numCache>
            </c:numRef>
          </c:yVal>
          <c:smooth val="0"/>
        </c:ser>
        <c:ser>
          <c:idx val="1"/>
          <c:order val="1"/>
          <c:tx>
            <c:strRef>
              <c:f>'Figure S10.'!$A$3</c:f>
              <c:strCache>
                <c:ptCount val="1"/>
                <c:pt idx="0">
                  <c:v>T = 500°C</c:v>
                </c:pt>
              </c:strCache>
            </c:strRef>
          </c:tx>
          <c:spPr>
            <a:ln w="47625">
              <a:noFill/>
            </a:ln>
            <a:effectLst/>
          </c:spPr>
          <c:marker>
            <c:symbol val="circle"/>
            <c:size val="14"/>
            <c:spPr>
              <a:solidFill>
                <a:schemeClr val="tx1"/>
              </a:solidFill>
              <a:ln>
                <a:solidFill>
                  <a:schemeClr val="tx1"/>
                </a:solidFill>
              </a:ln>
              <a:effectLst/>
            </c:spPr>
          </c:marker>
          <c:xVal>
            <c:numRef>
              <c:f>'Figure S10.'!$B$9:$K$9</c:f>
              <c:numCache>
                <c:formatCode>General</c:formatCode>
                <c:ptCount val="10"/>
                <c:pt idx="0">
                  <c:v>0.68</c:v>
                </c:pt>
                <c:pt idx="1">
                  <c:v>1.33</c:v>
                </c:pt>
                <c:pt idx="2">
                  <c:v>1.96</c:v>
                </c:pt>
                <c:pt idx="3">
                  <c:v>2.66</c:v>
                </c:pt>
                <c:pt idx="4">
                  <c:v>3.29</c:v>
                </c:pt>
                <c:pt idx="5">
                  <c:v>3.91</c:v>
                </c:pt>
                <c:pt idx="6">
                  <c:v>4.54</c:v>
                </c:pt>
                <c:pt idx="7">
                  <c:v>5.2</c:v>
                </c:pt>
                <c:pt idx="8">
                  <c:v>5.89</c:v>
                </c:pt>
                <c:pt idx="9">
                  <c:v>6.5</c:v>
                </c:pt>
              </c:numCache>
            </c:numRef>
          </c:xVal>
          <c:yVal>
            <c:numRef>
              <c:f>'Figure S10.'!$B$3:$K$3</c:f>
              <c:numCache>
                <c:formatCode>General</c:formatCode>
                <c:ptCount val="10"/>
                <c:pt idx="0">
                  <c:v>0.358719265</c:v>
                </c:pt>
                <c:pt idx="1">
                  <c:v>0.484555846</c:v>
                </c:pt>
                <c:pt idx="2">
                  <c:v>0.366730952</c:v>
                </c:pt>
                <c:pt idx="3">
                  <c:v>0.306919857</c:v>
                </c:pt>
                <c:pt idx="4">
                  <c:v>0.335405397</c:v>
                </c:pt>
                <c:pt idx="5">
                  <c:v>0.370638226</c:v>
                </c:pt>
                <c:pt idx="6">
                  <c:v>0.299408254</c:v>
                </c:pt>
                <c:pt idx="7">
                  <c:v>0.310531818</c:v>
                </c:pt>
                <c:pt idx="8">
                  <c:v>0.364337971</c:v>
                </c:pt>
                <c:pt idx="9">
                  <c:v>0.286934426</c:v>
                </c:pt>
              </c:numCache>
            </c:numRef>
          </c:yVal>
          <c:smooth val="0"/>
        </c:ser>
        <c:ser>
          <c:idx val="2"/>
          <c:order val="2"/>
          <c:tx>
            <c:strRef>
              <c:f>'Figure S10.'!$A$4</c:f>
              <c:strCache>
                <c:ptCount val="1"/>
                <c:pt idx="0">
                  <c:v>T = 600°C</c:v>
                </c:pt>
              </c:strCache>
            </c:strRef>
          </c:tx>
          <c:spPr>
            <a:ln w="47625">
              <a:noFill/>
            </a:ln>
            <a:effectLst/>
          </c:spPr>
          <c:marker>
            <c:symbol val="x"/>
            <c:size val="14"/>
            <c:spPr>
              <a:ln>
                <a:solidFill>
                  <a:sysClr val="windowText" lastClr="000000"/>
                </a:solidFill>
              </a:ln>
              <a:effectLst/>
            </c:spPr>
          </c:marker>
          <c:xVal>
            <c:numRef>
              <c:f>'Figure S10.'!$B$10:$K$10</c:f>
              <c:numCache>
                <c:formatCode>General</c:formatCode>
                <c:ptCount val="10"/>
                <c:pt idx="0">
                  <c:v>0.66</c:v>
                </c:pt>
                <c:pt idx="1">
                  <c:v>1.31</c:v>
                </c:pt>
                <c:pt idx="2">
                  <c:v>2.01</c:v>
                </c:pt>
                <c:pt idx="3">
                  <c:v>2.67</c:v>
                </c:pt>
                <c:pt idx="4">
                  <c:v>3.4</c:v>
                </c:pt>
                <c:pt idx="5">
                  <c:v>4.08</c:v>
                </c:pt>
                <c:pt idx="6">
                  <c:v>4.689999999999999</c:v>
                </c:pt>
                <c:pt idx="7">
                  <c:v>5.39</c:v>
                </c:pt>
                <c:pt idx="8">
                  <c:v>6.05</c:v>
                </c:pt>
                <c:pt idx="9">
                  <c:v>6.74</c:v>
                </c:pt>
              </c:numCache>
            </c:numRef>
          </c:xVal>
          <c:yVal>
            <c:numRef>
              <c:f>'Figure S10.'!$B$4:$K$4</c:f>
              <c:numCache>
                <c:formatCode>General</c:formatCode>
                <c:ptCount val="10"/>
                <c:pt idx="0">
                  <c:v>0.180708788</c:v>
                </c:pt>
                <c:pt idx="1">
                  <c:v>0.149794615</c:v>
                </c:pt>
                <c:pt idx="2">
                  <c:v>0.152849857</c:v>
                </c:pt>
                <c:pt idx="3">
                  <c:v>0.145226818</c:v>
                </c:pt>
                <c:pt idx="4">
                  <c:v>0.113854795</c:v>
                </c:pt>
                <c:pt idx="5">
                  <c:v>0.115155147</c:v>
                </c:pt>
                <c:pt idx="6">
                  <c:v>0.114874098</c:v>
                </c:pt>
                <c:pt idx="7">
                  <c:v>0.110535429</c:v>
                </c:pt>
                <c:pt idx="8">
                  <c:v>0.100756061</c:v>
                </c:pt>
                <c:pt idx="9">
                  <c:v>0.104905072</c:v>
                </c:pt>
              </c:numCache>
            </c:numRef>
          </c:yVal>
          <c:smooth val="0"/>
        </c:ser>
        <c:ser>
          <c:idx val="3"/>
          <c:order val="3"/>
          <c:tx>
            <c:strRef>
              <c:f>'Figure S10.'!$A$5</c:f>
              <c:strCache>
                <c:ptCount val="1"/>
                <c:pt idx="0">
                  <c:v>No Catalyst</c:v>
                </c:pt>
              </c:strCache>
            </c:strRef>
          </c:tx>
          <c:spPr>
            <a:ln w="47625">
              <a:noFill/>
            </a:ln>
            <a:effectLst/>
          </c:spPr>
          <c:marker>
            <c:symbol val="square"/>
            <c:size val="14"/>
            <c:spPr>
              <a:solidFill>
                <a:sysClr val="windowText" lastClr="000000"/>
              </a:solidFill>
              <a:ln>
                <a:solidFill>
                  <a:sysClr val="windowText" lastClr="000000"/>
                </a:solidFill>
              </a:ln>
              <a:effectLst/>
            </c:spPr>
          </c:marker>
          <c:errBars>
            <c:errDir val="y"/>
            <c:errBarType val="both"/>
            <c:errValType val="cust"/>
            <c:noEndCap val="0"/>
            <c:plus>
              <c:numRef>
                <c:f>'Figure S10.'!$B$6</c:f>
                <c:numCache>
                  <c:formatCode>General</c:formatCode>
                  <c:ptCount val="1"/>
                  <c:pt idx="0">
                    <c:v>0.003142525</c:v>
                  </c:pt>
                </c:numCache>
              </c:numRef>
            </c:plus>
            <c:minus>
              <c:numRef>
                <c:f>'Figure S10.'!$B$6</c:f>
                <c:numCache>
                  <c:formatCode>General</c:formatCode>
                  <c:ptCount val="1"/>
                  <c:pt idx="0">
                    <c:v>0.003142525</c:v>
                  </c:pt>
                </c:numCache>
              </c:numRef>
            </c:minus>
          </c:errBars>
          <c:xVal>
            <c:numRef>
              <c:f>'Figure S10.'!$B$11</c:f>
              <c:numCache>
                <c:formatCode>General</c:formatCode>
                <c:ptCount val="1"/>
                <c:pt idx="0">
                  <c:v>6.8</c:v>
                </c:pt>
              </c:numCache>
            </c:numRef>
          </c:xVal>
          <c:yVal>
            <c:numRef>
              <c:f>'Figure S10.'!$B$5</c:f>
              <c:numCache>
                <c:formatCode>General</c:formatCode>
                <c:ptCount val="1"/>
                <c:pt idx="0">
                  <c:v>0.007051749</c:v>
                </c:pt>
              </c:numCache>
            </c:numRef>
          </c:yVal>
          <c:smooth val="0"/>
        </c:ser>
        <c:dLbls>
          <c:showLegendKey val="0"/>
          <c:showVal val="0"/>
          <c:showCatName val="0"/>
          <c:showSerName val="0"/>
          <c:showPercent val="0"/>
          <c:showBubbleSize val="0"/>
        </c:dLbls>
        <c:axId val="-2035791728"/>
        <c:axId val="-2035789952"/>
      </c:scatterChart>
      <c:valAx>
        <c:axId val="-2035791728"/>
        <c:scaling>
          <c:orientation val="minMax"/>
          <c:max val="7.0"/>
          <c:min val="0.0"/>
        </c:scaling>
        <c:delete val="0"/>
        <c:axPos val="b"/>
        <c:title>
          <c:tx>
            <c:rich>
              <a:bodyPr/>
              <a:lstStyle/>
              <a:p>
                <a:pPr>
                  <a:defRPr sz="1800"/>
                </a:pPr>
                <a:r>
                  <a:rPr lang="en-US"/>
                  <a:t>Cumulative biomass fed, mg</a:t>
                </a:r>
              </a:p>
            </c:rich>
          </c:tx>
          <c:overlay val="0"/>
        </c:title>
        <c:numFmt formatCode="General" sourceLinked="1"/>
        <c:majorTickMark val="out"/>
        <c:minorTickMark val="out"/>
        <c:tickLblPos val="nextTo"/>
        <c:txPr>
          <a:bodyPr/>
          <a:lstStyle/>
          <a:p>
            <a:pPr>
              <a:defRPr sz="1800"/>
            </a:pPr>
            <a:endParaRPr lang="en-US"/>
          </a:p>
        </c:txPr>
        <c:crossAx val="-2035789952"/>
        <c:crosses val="autoZero"/>
        <c:crossBetween val="midCat"/>
      </c:valAx>
      <c:valAx>
        <c:axId val="-2035789952"/>
        <c:scaling>
          <c:orientation val="minMax"/>
        </c:scaling>
        <c:delete val="0"/>
        <c:axPos val="l"/>
        <c:title>
          <c:tx>
            <c:rich>
              <a:bodyPr/>
              <a:lstStyle/>
              <a:p>
                <a:pPr>
                  <a:defRPr sz="1800"/>
                </a:pPr>
                <a:r>
                  <a:rPr lang="en-US" sz="1800" b="1" i="0" baseline="0">
                    <a:effectLst/>
                  </a:rPr>
                  <a:t>(GC-MS response)/</a:t>
                </a:r>
                <a:br>
                  <a:rPr lang="en-US" sz="1800" b="1" i="0" baseline="0">
                    <a:effectLst/>
                  </a:rPr>
                </a:br>
                <a:r>
                  <a:rPr lang="en-US" sz="1800" b="1" i="0" baseline="0">
                    <a:effectLst/>
                  </a:rPr>
                  <a:t>(mg biomass in pulse)</a:t>
                </a:r>
                <a:endParaRPr lang="en-US">
                  <a:effectLst/>
                </a:endParaRPr>
              </a:p>
            </c:rich>
          </c:tx>
          <c:layout>
            <c:manualLayout>
              <c:xMode val="edge"/>
              <c:yMode val="edge"/>
              <c:x val="0.0212113515136121"/>
              <c:y val="0.0252011011477036"/>
            </c:manualLayout>
          </c:layout>
          <c:overlay val="0"/>
        </c:title>
        <c:numFmt formatCode="General" sourceLinked="0"/>
        <c:majorTickMark val="out"/>
        <c:minorTickMark val="out"/>
        <c:tickLblPos val="nextTo"/>
        <c:txPr>
          <a:bodyPr/>
          <a:lstStyle/>
          <a:p>
            <a:pPr>
              <a:defRPr sz="1800"/>
            </a:pPr>
            <a:endParaRPr lang="en-US"/>
          </a:p>
        </c:txPr>
        <c:crossAx val="-2035791728"/>
        <c:crosses val="autoZero"/>
        <c:crossBetween val="midCat"/>
      </c:valAx>
    </c:plotArea>
    <c:legend>
      <c:legendPos val="r"/>
      <c:layout>
        <c:manualLayout>
          <c:xMode val="edge"/>
          <c:yMode val="edge"/>
          <c:x val="0.477409776902887"/>
          <c:y val="0.0119484646681376"/>
          <c:w val="0.475486840186643"/>
          <c:h val="0.166649481314836"/>
        </c:manualLayout>
      </c:layout>
      <c:overlay val="0"/>
      <c:txPr>
        <a:bodyPr/>
        <a:lstStyle/>
        <a:p>
          <a:pPr>
            <a:defRPr sz="1600"/>
          </a:pPr>
          <a:endParaRPr lang="en-US"/>
        </a:p>
      </c:txPr>
    </c:legend>
    <c:plotVisOnly val="1"/>
    <c:dispBlanksAs val="gap"/>
    <c:showDLblsOverMax val="0"/>
  </c:chart>
  <c:spPr>
    <a:ln>
      <a:noFill/>
    </a:ln>
  </c:sp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28528361038204"/>
          <c:y val="0.0438311688311688"/>
          <c:w val="0.733290317876932"/>
          <c:h val="0.738632045994251"/>
        </c:manualLayout>
      </c:layout>
      <c:scatterChart>
        <c:scatterStyle val="lineMarker"/>
        <c:varyColors val="0"/>
        <c:ser>
          <c:idx val="0"/>
          <c:order val="0"/>
          <c:tx>
            <c:strRef>
              <c:f>'Figure S11.'!$A$2</c:f>
              <c:strCache>
                <c:ptCount val="1"/>
                <c:pt idx="0">
                  <c:v>T = 400°C</c:v>
                </c:pt>
              </c:strCache>
            </c:strRef>
          </c:tx>
          <c:spPr>
            <a:ln w="47625">
              <a:noFill/>
            </a:ln>
            <a:effectLst/>
          </c:spPr>
          <c:marker>
            <c:symbol val="triangle"/>
            <c:size val="12"/>
            <c:spPr>
              <a:noFill/>
              <a:ln>
                <a:solidFill>
                  <a:schemeClr val="tx1"/>
                </a:solidFill>
              </a:ln>
              <a:effectLst/>
            </c:spPr>
          </c:marker>
          <c:xVal>
            <c:numRef>
              <c:f>'Figure S11.'!$B$8:$K$8</c:f>
              <c:numCache>
                <c:formatCode>General</c:formatCode>
                <c:ptCount val="10"/>
                <c:pt idx="0">
                  <c:v>0.73</c:v>
                </c:pt>
                <c:pt idx="1">
                  <c:v>1.33</c:v>
                </c:pt>
                <c:pt idx="2">
                  <c:v>1.98</c:v>
                </c:pt>
                <c:pt idx="3">
                  <c:v>2.66</c:v>
                </c:pt>
                <c:pt idx="4">
                  <c:v>3.36</c:v>
                </c:pt>
                <c:pt idx="5">
                  <c:v>4.08</c:v>
                </c:pt>
                <c:pt idx="6">
                  <c:v>4.74</c:v>
                </c:pt>
                <c:pt idx="7">
                  <c:v>5.38</c:v>
                </c:pt>
                <c:pt idx="8">
                  <c:v>6.06</c:v>
                </c:pt>
                <c:pt idx="9">
                  <c:v>6.73</c:v>
                </c:pt>
              </c:numCache>
            </c:numRef>
          </c:xVal>
          <c:yVal>
            <c:numRef>
              <c:f>'Figure S11.'!$B$2:$K$2</c:f>
              <c:numCache>
                <c:formatCode>General</c:formatCode>
                <c:ptCount val="10"/>
                <c:pt idx="0">
                  <c:v>0.3028379</c:v>
                </c:pt>
                <c:pt idx="1">
                  <c:v>0.4228245</c:v>
                </c:pt>
                <c:pt idx="2">
                  <c:v>0.4487186</c:v>
                </c:pt>
                <c:pt idx="3">
                  <c:v>0.49348809</c:v>
                </c:pt>
                <c:pt idx="4">
                  <c:v>0.7007843</c:v>
                </c:pt>
                <c:pt idx="5">
                  <c:v>0.8211551</c:v>
                </c:pt>
                <c:pt idx="6">
                  <c:v>0.8186861</c:v>
                </c:pt>
                <c:pt idx="7">
                  <c:v>0.81413969</c:v>
                </c:pt>
                <c:pt idx="8">
                  <c:v>0.9261312</c:v>
                </c:pt>
                <c:pt idx="9">
                  <c:v>1.1104216</c:v>
                </c:pt>
              </c:numCache>
            </c:numRef>
          </c:yVal>
          <c:smooth val="0"/>
        </c:ser>
        <c:ser>
          <c:idx val="1"/>
          <c:order val="1"/>
          <c:tx>
            <c:strRef>
              <c:f>'Figure S11.'!$A$3</c:f>
              <c:strCache>
                <c:ptCount val="1"/>
                <c:pt idx="0">
                  <c:v>T = 500°C</c:v>
                </c:pt>
              </c:strCache>
            </c:strRef>
          </c:tx>
          <c:spPr>
            <a:ln w="47625">
              <a:noFill/>
            </a:ln>
            <a:effectLst/>
          </c:spPr>
          <c:marker>
            <c:symbol val="circle"/>
            <c:size val="14"/>
            <c:spPr>
              <a:solidFill>
                <a:schemeClr val="tx1"/>
              </a:solidFill>
              <a:ln>
                <a:solidFill>
                  <a:schemeClr val="tx1"/>
                </a:solidFill>
              </a:ln>
              <a:effectLst/>
            </c:spPr>
          </c:marker>
          <c:xVal>
            <c:numRef>
              <c:f>'Figure S11.'!$B$9:$K$9</c:f>
              <c:numCache>
                <c:formatCode>General</c:formatCode>
                <c:ptCount val="10"/>
                <c:pt idx="0">
                  <c:v>0.68</c:v>
                </c:pt>
                <c:pt idx="1">
                  <c:v>1.33</c:v>
                </c:pt>
                <c:pt idx="2">
                  <c:v>1.96</c:v>
                </c:pt>
                <c:pt idx="3">
                  <c:v>2.66</c:v>
                </c:pt>
                <c:pt idx="4">
                  <c:v>3.29</c:v>
                </c:pt>
                <c:pt idx="5">
                  <c:v>3.91</c:v>
                </c:pt>
                <c:pt idx="6">
                  <c:v>4.54</c:v>
                </c:pt>
                <c:pt idx="7">
                  <c:v>5.2</c:v>
                </c:pt>
                <c:pt idx="8">
                  <c:v>5.89</c:v>
                </c:pt>
                <c:pt idx="9">
                  <c:v>6.5</c:v>
                </c:pt>
              </c:numCache>
            </c:numRef>
          </c:xVal>
          <c:yVal>
            <c:numRef>
              <c:f>'Figure S11.'!$B$3:$K$3</c:f>
              <c:numCache>
                <c:formatCode>General</c:formatCode>
                <c:ptCount val="10"/>
                <c:pt idx="0">
                  <c:v>0.598234</c:v>
                </c:pt>
                <c:pt idx="1">
                  <c:v>0.881694</c:v>
                </c:pt>
                <c:pt idx="2">
                  <c:v>0.7588017</c:v>
                </c:pt>
                <c:pt idx="3">
                  <c:v>0.73975957</c:v>
                </c:pt>
                <c:pt idx="4">
                  <c:v>0.8232433</c:v>
                </c:pt>
                <c:pt idx="5">
                  <c:v>0.8277103</c:v>
                </c:pt>
                <c:pt idx="6">
                  <c:v>0.7802511</c:v>
                </c:pt>
                <c:pt idx="7">
                  <c:v>0.94633758</c:v>
                </c:pt>
                <c:pt idx="8">
                  <c:v>1.0688186</c:v>
                </c:pt>
                <c:pt idx="9">
                  <c:v>0.9662854</c:v>
                </c:pt>
              </c:numCache>
            </c:numRef>
          </c:yVal>
          <c:smooth val="0"/>
        </c:ser>
        <c:ser>
          <c:idx val="2"/>
          <c:order val="2"/>
          <c:tx>
            <c:strRef>
              <c:f>'Figure S11.'!$A$4</c:f>
              <c:strCache>
                <c:ptCount val="1"/>
                <c:pt idx="0">
                  <c:v>T = 600°C</c:v>
                </c:pt>
              </c:strCache>
            </c:strRef>
          </c:tx>
          <c:spPr>
            <a:ln w="47625">
              <a:noFill/>
            </a:ln>
            <a:effectLst/>
          </c:spPr>
          <c:marker>
            <c:symbol val="x"/>
            <c:size val="14"/>
            <c:spPr>
              <a:ln>
                <a:solidFill>
                  <a:sysClr val="windowText" lastClr="000000"/>
                </a:solidFill>
              </a:ln>
              <a:effectLst/>
            </c:spPr>
          </c:marker>
          <c:xVal>
            <c:numRef>
              <c:f>'Figure S11.'!$B$10:$K$10</c:f>
              <c:numCache>
                <c:formatCode>General</c:formatCode>
                <c:ptCount val="10"/>
                <c:pt idx="0">
                  <c:v>0.66</c:v>
                </c:pt>
                <c:pt idx="1">
                  <c:v>1.31</c:v>
                </c:pt>
                <c:pt idx="2">
                  <c:v>2.01</c:v>
                </c:pt>
                <c:pt idx="3">
                  <c:v>2.67</c:v>
                </c:pt>
                <c:pt idx="4">
                  <c:v>3.4</c:v>
                </c:pt>
                <c:pt idx="5">
                  <c:v>4.08</c:v>
                </c:pt>
                <c:pt idx="6">
                  <c:v>4.689999999999999</c:v>
                </c:pt>
                <c:pt idx="7">
                  <c:v>5.39</c:v>
                </c:pt>
                <c:pt idx="8">
                  <c:v>6.05</c:v>
                </c:pt>
                <c:pt idx="9">
                  <c:v>6.74</c:v>
                </c:pt>
              </c:numCache>
            </c:numRef>
          </c:xVal>
          <c:yVal>
            <c:numRef>
              <c:f>'Figure S11.'!$B$4:$K$4</c:f>
              <c:numCache>
                <c:formatCode>General</c:formatCode>
                <c:ptCount val="10"/>
                <c:pt idx="0">
                  <c:v>0.4352955</c:v>
                </c:pt>
                <c:pt idx="1">
                  <c:v>0.44542</c:v>
                </c:pt>
                <c:pt idx="2">
                  <c:v>0.4541011</c:v>
                </c:pt>
                <c:pt idx="3">
                  <c:v>0.49545864</c:v>
                </c:pt>
                <c:pt idx="4">
                  <c:v>0.4031763</c:v>
                </c:pt>
                <c:pt idx="5">
                  <c:v>0.4635172</c:v>
                </c:pt>
                <c:pt idx="6">
                  <c:v>0.4843457</c:v>
                </c:pt>
                <c:pt idx="7">
                  <c:v>0.47870071</c:v>
                </c:pt>
                <c:pt idx="8">
                  <c:v>0.499118</c:v>
                </c:pt>
                <c:pt idx="9">
                  <c:v>0.5020316</c:v>
                </c:pt>
              </c:numCache>
            </c:numRef>
          </c:yVal>
          <c:smooth val="0"/>
        </c:ser>
        <c:ser>
          <c:idx val="3"/>
          <c:order val="3"/>
          <c:tx>
            <c:strRef>
              <c:f>'Figure S11.'!$A$5</c:f>
              <c:strCache>
                <c:ptCount val="1"/>
                <c:pt idx="0">
                  <c:v>No Catalyst</c:v>
                </c:pt>
              </c:strCache>
            </c:strRef>
          </c:tx>
          <c:spPr>
            <a:ln w="47625">
              <a:noFill/>
            </a:ln>
            <a:effectLst/>
          </c:spPr>
          <c:marker>
            <c:symbol val="square"/>
            <c:size val="14"/>
            <c:spPr>
              <a:solidFill>
                <a:sysClr val="windowText" lastClr="000000"/>
              </a:solidFill>
              <a:ln>
                <a:solidFill>
                  <a:sysClr val="windowText" lastClr="000000"/>
                </a:solidFill>
              </a:ln>
              <a:effectLst/>
            </c:spPr>
          </c:marker>
          <c:errBars>
            <c:errDir val="y"/>
            <c:errBarType val="both"/>
            <c:errValType val="cust"/>
            <c:noEndCap val="0"/>
            <c:plus>
              <c:numRef>
                <c:f>'Figure S11.'!$B$6</c:f>
                <c:numCache>
                  <c:formatCode>General</c:formatCode>
                  <c:ptCount val="1"/>
                  <c:pt idx="0">
                    <c:v>0.076592998</c:v>
                  </c:pt>
                </c:numCache>
              </c:numRef>
            </c:plus>
            <c:minus>
              <c:numRef>
                <c:f>'Figure S11.'!$B$6</c:f>
                <c:numCache>
                  <c:formatCode>General</c:formatCode>
                  <c:ptCount val="1"/>
                  <c:pt idx="0">
                    <c:v>0.076592998</c:v>
                  </c:pt>
                </c:numCache>
              </c:numRef>
            </c:minus>
          </c:errBars>
          <c:xVal>
            <c:numRef>
              <c:f>'Figure S11.'!$B$11</c:f>
              <c:numCache>
                <c:formatCode>General</c:formatCode>
                <c:ptCount val="1"/>
                <c:pt idx="0">
                  <c:v>6.8</c:v>
                </c:pt>
              </c:numCache>
            </c:numRef>
          </c:xVal>
          <c:yVal>
            <c:numRef>
              <c:f>'Figure S11.'!$B$5</c:f>
              <c:numCache>
                <c:formatCode>General</c:formatCode>
                <c:ptCount val="1"/>
                <c:pt idx="0">
                  <c:v>0.138870473</c:v>
                </c:pt>
              </c:numCache>
            </c:numRef>
          </c:yVal>
          <c:smooth val="0"/>
        </c:ser>
        <c:dLbls>
          <c:showLegendKey val="0"/>
          <c:showVal val="0"/>
          <c:showCatName val="0"/>
          <c:showSerName val="0"/>
          <c:showPercent val="0"/>
          <c:showBubbleSize val="0"/>
        </c:dLbls>
        <c:axId val="-2036079440"/>
        <c:axId val="-2036077664"/>
      </c:scatterChart>
      <c:valAx>
        <c:axId val="-2036079440"/>
        <c:scaling>
          <c:orientation val="minMax"/>
          <c:max val="7.0"/>
          <c:min val="0.0"/>
        </c:scaling>
        <c:delete val="0"/>
        <c:axPos val="b"/>
        <c:title>
          <c:tx>
            <c:rich>
              <a:bodyPr/>
              <a:lstStyle/>
              <a:p>
                <a:pPr>
                  <a:defRPr sz="1800"/>
                </a:pPr>
                <a:r>
                  <a:rPr lang="en-US"/>
                  <a:t>Cumulative biomass fed, mg</a:t>
                </a:r>
              </a:p>
            </c:rich>
          </c:tx>
          <c:overlay val="0"/>
        </c:title>
        <c:numFmt formatCode="General" sourceLinked="1"/>
        <c:majorTickMark val="out"/>
        <c:minorTickMark val="out"/>
        <c:tickLblPos val="nextTo"/>
        <c:txPr>
          <a:bodyPr/>
          <a:lstStyle/>
          <a:p>
            <a:pPr>
              <a:defRPr sz="1800"/>
            </a:pPr>
            <a:endParaRPr lang="en-US"/>
          </a:p>
        </c:txPr>
        <c:crossAx val="-2036077664"/>
        <c:crosses val="autoZero"/>
        <c:crossBetween val="midCat"/>
      </c:valAx>
      <c:valAx>
        <c:axId val="-2036077664"/>
        <c:scaling>
          <c:orientation val="minMax"/>
        </c:scaling>
        <c:delete val="0"/>
        <c:axPos val="l"/>
        <c:title>
          <c:tx>
            <c:rich>
              <a:bodyPr/>
              <a:lstStyle/>
              <a:p>
                <a:pPr>
                  <a:defRPr sz="1800"/>
                </a:pPr>
                <a:r>
                  <a:rPr lang="en-US" sz="1800" b="1" i="0" baseline="0">
                    <a:effectLst/>
                  </a:rPr>
                  <a:t>(GC-MS response)/</a:t>
                </a:r>
                <a:br>
                  <a:rPr lang="en-US" sz="1800" b="1" i="0" baseline="0">
                    <a:effectLst/>
                  </a:rPr>
                </a:br>
                <a:r>
                  <a:rPr lang="en-US" sz="1800" b="1" i="0" baseline="0">
                    <a:effectLst/>
                  </a:rPr>
                  <a:t>(mg biomass in pulse)</a:t>
                </a:r>
                <a:endParaRPr lang="en-US">
                  <a:effectLst/>
                </a:endParaRPr>
              </a:p>
            </c:rich>
          </c:tx>
          <c:layout>
            <c:manualLayout>
              <c:xMode val="edge"/>
              <c:yMode val="edge"/>
              <c:x val="0.0212113515136121"/>
              <c:y val="0.0252011011477036"/>
            </c:manualLayout>
          </c:layout>
          <c:overlay val="0"/>
        </c:title>
        <c:numFmt formatCode="General" sourceLinked="0"/>
        <c:majorTickMark val="out"/>
        <c:minorTickMark val="out"/>
        <c:tickLblPos val="nextTo"/>
        <c:txPr>
          <a:bodyPr/>
          <a:lstStyle/>
          <a:p>
            <a:pPr>
              <a:defRPr sz="1800"/>
            </a:pPr>
            <a:endParaRPr lang="en-US"/>
          </a:p>
        </c:txPr>
        <c:crossAx val="-2036079440"/>
        <c:crosses val="autoZero"/>
        <c:crossBetween val="midCat"/>
      </c:valAx>
    </c:plotArea>
    <c:legend>
      <c:legendPos val="r"/>
      <c:layout>
        <c:manualLayout>
          <c:xMode val="edge"/>
          <c:yMode val="edge"/>
          <c:x val="0.225585175793704"/>
          <c:y val="0.639719410073741"/>
          <c:w val="0.519468321668125"/>
          <c:h val="0.140314648168979"/>
        </c:manualLayout>
      </c:layout>
      <c:overlay val="0"/>
      <c:txPr>
        <a:bodyPr/>
        <a:lstStyle/>
        <a:p>
          <a:pPr>
            <a:defRPr sz="1600"/>
          </a:pPr>
          <a:endParaRPr lang="en-US"/>
        </a:p>
      </c:txPr>
    </c:legend>
    <c:plotVisOnly val="1"/>
    <c:dispBlanksAs val="gap"/>
    <c:showDLblsOverMax val="0"/>
  </c:chart>
  <c:spPr>
    <a:ln>
      <a:noFill/>
    </a:ln>
  </c:sp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45477630974094"/>
          <c:y val="0.0341463414634146"/>
          <c:w val="0.716341177691771"/>
          <c:h val="0.744487564054493"/>
        </c:manualLayout>
      </c:layout>
      <c:scatterChart>
        <c:scatterStyle val="lineMarker"/>
        <c:varyColors val="0"/>
        <c:ser>
          <c:idx val="0"/>
          <c:order val="0"/>
          <c:tx>
            <c:strRef>
              <c:f>'Figure S12.'!$A$2</c:f>
              <c:strCache>
                <c:ptCount val="1"/>
                <c:pt idx="0">
                  <c:v>Si/Al = 11.5</c:v>
                </c:pt>
              </c:strCache>
            </c:strRef>
          </c:tx>
          <c:spPr>
            <a:ln w="47625">
              <a:noFill/>
            </a:ln>
            <a:effectLst/>
          </c:spPr>
          <c:marker>
            <c:symbol val="triangle"/>
            <c:size val="12"/>
            <c:spPr>
              <a:noFill/>
              <a:ln>
                <a:solidFill>
                  <a:schemeClr val="tx1"/>
                </a:solidFill>
              </a:ln>
              <a:effectLst/>
            </c:spPr>
          </c:marker>
          <c:xVal>
            <c:numRef>
              <c:f>'Figure S12.'!$B$8:$K$8</c:f>
              <c:numCache>
                <c:formatCode>General</c:formatCode>
                <c:ptCount val="10"/>
                <c:pt idx="0">
                  <c:v>0.68</c:v>
                </c:pt>
                <c:pt idx="1">
                  <c:v>1.33</c:v>
                </c:pt>
                <c:pt idx="2">
                  <c:v>1.96</c:v>
                </c:pt>
                <c:pt idx="3">
                  <c:v>2.66</c:v>
                </c:pt>
                <c:pt idx="4">
                  <c:v>3.29</c:v>
                </c:pt>
                <c:pt idx="5">
                  <c:v>3.91</c:v>
                </c:pt>
                <c:pt idx="6">
                  <c:v>4.54</c:v>
                </c:pt>
                <c:pt idx="7">
                  <c:v>5.2</c:v>
                </c:pt>
                <c:pt idx="8">
                  <c:v>5.89</c:v>
                </c:pt>
                <c:pt idx="9">
                  <c:v>6.5</c:v>
                </c:pt>
              </c:numCache>
            </c:numRef>
          </c:xVal>
          <c:yVal>
            <c:numRef>
              <c:f>'Figure S12.'!$B$2:$K$2</c:f>
              <c:numCache>
                <c:formatCode>General</c:formatCode>
                <c:ptCount val="10"/>
                <c:pt idx="0">
                  <c:v>0.0</c:v>
                </c:pt>
                <c:pt idx="1">
                  <c:v>0.1670128</c:v>
                </c:pt>
                <c:pt idx="2">
                  <c:v>0.44259824</c:v>
                </c:pt>
                <c:pt idx="3">
                  <c:v>0.64952477</c:v>
                </c:pt>
                <c:pt idx="4">
                  <c:v>1.1429072</c:v>
                </c:pt>
                <c:pt idx="5">
                  <c:v>1.1722957</c:v>
                </c:pt>
                <c:pt idx="6">
                  <c:v>1.3543237</c:v>
                </c:pt>
                <c:pt idx="7">
                  <c:v>1.487434799999999</c:v>
                </c:pt>
                <c:pt idx="8">
                  <c:v>1.5923872</c:v>
                </c:pt>
                <c:pt idx="9">
                  <c:v>1.9109847</c:v>
                </c:pt>
              </c:numCache>
            </c:numRef>
          </c:yVal>
          <c:smooth val="0"/>
        </c:ser>
        <c:ser>
          <c:idx val="1"/>
          <c:order val="1"/>
          <c:tx>
            <c:strRef>
              <c:f>'Figure S12.'!$A$3</c:f>
              <c:strCache>
                <c:ptCount val="1"/>
                <c:pt idx="0">
                  <c:v>Si/Al = 25</c:v>
                </c:pt>
              </c:strCache>
            </c:strRef>
          </c:tx>
          <c:spPr>
            <a:ln w="47625">
              <a:noFill/>
            </a:ln>
            <a:effectLst/>
          </c:spPr>
          <c:marker>
            <c:symbol val="circle"/>
            <c:size val="14"/>
            <c:spPr>
              <a:solidFill>
                <a:schemeClr val="tx1"/>
              </a:solidFill>
              <a:ln>
                <a:solidFill>
                  <a:schemeClr val="tx1"/>
                </a:solidFill>
              </a:ln>
              <a:effectLst/>
            </c:spPr>
          </c:marker>
          <c:xVal>
            <c:numRef>
              <c:f>'Figure S12.'!$B$9:$K$9</c:f>
              <c:numCache>
                <c:formatCode>General</c:formatCode>
                <c:ptCount val="10"/>
                <c:pt idx="0">
                  <c:v>0.65</c:v>
                </c:pt>
                <c:pt idx="1">
                  <c:v>1.27</c:v>
                </c:pt>
                <c:pt idx="2">
                  <c:v>1.96</c:v>
                </c:pt>
                <c:pt idx="3">
                  <c:v>2.63</c:v>
                </c:pt>
                <c:pt idx="4">
                  <c:v>3.25</c:v>
                </c:pt>
                <c:pt idx="5">
                  <c:v>3.92</c:v>
                </c:pt>
                <c:pt idx="6">
                  <c:v>4.659999999999996</c:v>
                </c:pt>
                <c:pt idx="7">
                  <c:v>5.38</c:v>
                </c:pt>
                <c:pt idx="8">
                  <c:v>6.01</c:v>
                </c:pt>
                <c:pt idx="9">
                  <c:v>6.67</c:v>
                </c:pt>
              </c:numCache>
            </c:numRef>
          </c:xVal>
          <c:yVal>
            <c:numRef>
              <c:f>'Figure S12.'!$B$3:$K$3</c:f>
              <c:numCache>
                <c:formatCode>General</c:formatCode>
                <c:ptCount val="10"/>
                <c:pt idx="0">
                  <c:v>0.0</c:v>
                </c:pt>
                <c:pt idx="1">
                  <c:v>0.0</c:v>
                </c:pt>
                <c:pt idx="2">
                  <c:v>0.09974812</c:v>
                </c:pt>
                <c:pt idx="3">
                  <c:v>0.10485597</c:v>
                </c:pt>
                <c:pt idx="4">
                  <c:v>0.2046177</c:v>
                </c:pt>
                <c:pt idx="5">
                  <c:v>0.2257701</c:v>
                </c:pt>
                <c:pt idx="6">
                  <c:v>0.3229536</c:v>
                </c:pt>
                <c:pt idx="7">
                  <c:v>0.3069997</c:v>
                </c:pt>
                <c:pt idx="8">
                  <c:v>0.3356013</c:v>
                </c:pt>
                <c:pt idx="9">
                  <c:v>0.374965</c:v>
                </c:pt>
              </c:numCache>
            </c:numRef>
          </c:yVal>
          <c:smooth val="0"/>
        </c:ser>
        <c:ser>
          <c:idx val="2"/>
          <c:order val="2"/>
          <c:tx>
            <c:strRef>
              <c:f>'Figure S12.'!$A$4</c:f>
              <c:strCache>
                <c:ptCount val="1"/>
                <c:pt idx="0">
                  <c:v>Si/Al = 40</c:v>
                </c:pt>
              </c:strCache>
            </c:strRef>
          </c:tx>
          <c:spPr>
            <a:ln w="47625">
              <a:noFill/>
            </a:ln>
            <a:effectLst/>
          </c:spPr>
          <c:marker>
            <c:symbol val="x"/>
            <c:size val="14"/>
            <c:spPr>
              <a:ln>
                <a:solidFill>
                  <a:sysClr val="windowText" lastClr="000000"/>
                </a:solidFill>
              </a:ln>
              <a:effectLst/>
            </c:spPr>
          </c:marker>
          <c:xVal>
            <c:numRef>
              <c:f>'Figure S12.'!$B$10:$K$10</c:f>
              <c:numCache>
                <c:formatCode>General</c:formatCode>
                <c:ptCount val="10"/>
                <c:pt idx="0">
                  <c:v>0.68</c:v>
                </c:pt>
                <c:pt idx="1">
                  <c:v>1.33</c:v>
                </c:pt>
                <c:pt idx="2">
                  <c:v>1.96</c:v>
                </c:pt>
                <c:pt idx="3">
                  <c:v>2.66</c:v>
                </c:pt>
                <c:pt idx="4">
                  <c:v>3.29</c:v>
                </c:pt>
                <c:pt idx="5">
                  <c:v>3.91</c:v>
                </c:pt>
                <c:pt idx="6">
                  <c:v>4.54</c:v>
                </c:pt>
                <c:pt idx="7">
                  <c:v>5.2</c:v>
                </c:pt>
                <c:pt idx="8">
                  <c:v>5.89</c:v>
                </c:pt>
                <c:pt idx="9">
                  <c:v>6.5</c:v>
                </c:pt>
              </c:numCache>
            </c:numRef>
          </c:xVal>
          <c:yVal>
            <c:numRef>
              <c:f>'Figure S12.'!$B$4:$K$4</c:f>
              <c:numCache>
                <c:formatCode>General</c:formatCode>
                <c:ptCount val="10"/>
                <c:pt idx="0">
                  <c:v>0.0</c:v>
                </c:pt>
                <c:pt idx="1">
                  <c:v>0.0</c:v>
                </c:pt>
                <c:pt idx="2">
                  <c:v>0.07394365</c:v>
                </c:pt>
                <c:pt idx="3">
                  <c:v>0.09206171</c:v>
                </c:pt>
                <c:pt idx="4">
                  <c:v>0.1096344</c:v>
                </c:pt>
                <c:pt idx="5">
                  <c:v>0.1615169</c:v>
                </c:pt>
                <c:pt idx="6">
                  <c:v>0.1397832</c:v>
                </c:pt>
                <c:pt idx="7">
                  <c:v>0.1750691</c:v>
                </c:pt>
                <c:pt idx="8">
                  <c:v>0.2889403</c:v>
                </c:pt>
                <c:pt idx="9">
                  <c:v>0.2068793</c:v>
                </c:pt>
              </c:numCache>
            </c:numRef>
          </c:yVal>
          <c:smooth val="0"/>
        </c:ser>
        <c:ser>
          <c:idx val="3"/>
          <c:order val="3"/>
          <c:tx>
            <c:strRef>
              <c:f>'Figure S12.'!$A$5</c:f>
              <c:strCache>
                <c:ptCount val="1"/>
                <c:pt idx="0">
                  <c:v>No Catalyst</c:v>
                </c:pt>
              </c:strCache>
            </c:strRef>
          </c:tx>
          <c:spPr>
            <a:ln w="47625">
              <a:noFill/>
            </a:ln>
            <a:effectLst/>
          </c:spPr>
          <c:marker>
            <c:symbol val="square"/>
            <c:size val="14"/>
            <c:spPr>
              <a:solidFill>
                <a:sysClr val="windowText" lastClr="000000"/>
              </a:solidFill>
              <a:ln>
                <a:solidFill>
                  <a:sysClr val="windowText" lastClr="000000"/>
                </a:solidFill>
              </a:ln>
              <a:effectLst/>
            </c:spPr>
          </c:marker>
          <c:errBars>
            <c:errDir val="y"/>
            <c:errBarType val="both"/>
            <c:errValType val="cust"/>
            <c:noEndCap val="0"/>
            <c:plus>
              <c:numRef>
                <c:f>'Figure S12.'!$B$6</c:f>
                <c:numCache>
                  <c:formatCode>General</c:formatCode>
                  <c:ptCount val="1"/>
                  <c:pt idx="0">
                    <c:v>0.836231401</c:v>
                  </c:pt>
                </c:numCache>
              </c:numRef>
            </c:plus>
            <c:minus>
              <c:numRef>
                <c:f>'Figure S12.'!$B$6</c:f>
                <c:numCache>
                  <c:formatCode>General</c:formatCode>
                  <c:ptCount val="1"/>
                  <c:pt idx="0">
                    <c:v>0.836231401</c:v>
                  </c:pt>
                </c:numCache>
              </c:numRef>
            </c:minus>
          </c:errBars>
          <c:xVal>
            <c:numRef>
              <c:f>'Figure S12.'!$B$11</c:f>
              <c:numCache>
                <c:formatCode>General</c:formatCode>
                <c:ptCount val="1"/>
                <c:pt idx="0">
                  <c:v>6.8</c:v>
                </c:pt>
              </c:numCache>
            </c:numRef>
          </c:xVal>
          <c:yVal>
            <c:numRef>
              <c:f>'Figure S12.'!$B$5</c:f>
              <c:numCache>
                <c:formatCode>General</c:formatCode>
                <c:ptCount val="1"/>
                <c:pt idx="0">
                  <c:v>2.06353763</c:v>
                </c:pt>
              </c:numCache>
            </c:numRef>
          </c:yVal>
          <c:smooth val="0"/>
        </c:ser>
        <c:dLbls>
          <c:showLegendKey val="0"/>
          <c:showVal val="0"/>
          <c:showCatName val="0"/>
          <c:showSerName val="0"/>
          <c:showPercent val="0"/>
          <c:showBubbleSize val="0"/>
        </c:dLbls>
        <c:axId val="-2104632336"/>
        <c:axId val="-2105155184"/>
      </c:scatterChart>
      <c:valAx>
        <c:axId val="-2104632336"/>
        <c:scaling>
          <c:orientation val="minMax"/>
          <c:max val="7.0"/>
          <c:min val="0.0"/>
        </c:scaling>
        <c:delete val="0"/>
        <c:axPos val="b"/>
        <c:title>
          <c:tx>
            <c:rich>
              <a:bodyPr/>
              <a:lstStyle/>
              <a:p>
                <a:pPr>
                  <a:defRPr sz="1800"/>
                </a:pPr>
                <a:r>
                  <a:rPr lang="en-US"/>
                  <a:t>Cumulative biomass fed, mg</a:t>
                </a:r>
              </a:p>
            </c:rich>
          </c:tx>
          <c:overlay val="0"/>
        </c:title>
        <c:numFmt formatCode="General" sourceLinked="1"/>
        <c:majorTickMark val="out"/>
        <c:minorTickMark val="out"/>
        <c:tickLblPos val="nextTo"/>
        <c:txPr>
          <a:bodyPr/>
          <a:lstStyle/>
          <a:p>
            <a:pPr>
              <a:defRPr sz="1800"/>
            </a:pPr>
            <a:endParaRPr lang="en-US"/>
          </a:p>
        </c:txPr>
        <c:crossAx val="-2105155184"/>
        <c:crosses val="autoZero"/>
        <c:crossBetween val="midCat"/>
      </c:valAx>
      <c:valAx>
        <c:axId val="-2105155184"/>
        <c:scaling>
          <c:orientation val="minMax"/>
        </c:scaling>
        <c:delete val="0"/>
        <c:axPos val="l"/>
        <c:title>
          <c:tx>
            <c:rich>
              <a:bodyPr/>
              <a:lstStyle/>
              <a:p>
                <a:pPr>
                  <a:defRPr sz="1800"/>
                </a:pPr>
                <a:r>
                  <a:rPr lang="en-US" sz="1800" b="1" i="0" baseline="0">
                    <a:effectLst/>
                  </a:rPr>
                  <a:t>(GC-MS response)/</a:t>
                </a:r>
                <a:br>
                  <a:rPr lang="en-US" sz="1800" b="1" i="0" baseline="0">
                    <a:effectLst/>
                  </a:rPr>
                </a:br>
                <a:r>
                  <a:rPr lang="en-US" sz="1800" b="1" i="0" baseline="0">
                    <a:effectLst/>
                  </a:rPr>
                  <a:t>(mg biomass in pulse)</a:t>
                </a:r>
                <a:endParaRPr lang="en-US">
                  <a:effectLst/>
                </a:endParaRPr>
              </a:p>
            </c:rich>
          </c:tx>
          <c:layout>
            <c:manualLayout>
              <c:xMode val="edge"/>
              <c:yMode val="edge"/>
              <c:x val="0.0212113515136121"/>
              <c:y val="0.0252011011477036"/>
            </c:manualLayout>
          </c:layout>
          <c:overlay val="0"/>
        </c:title>
        <c:numFmt formatCode="General" sourceLinked="0"/>
        <c:majorTickMark val="out"/>
        <c:minorTickMark val="out"/>
        <c:tickLblPos val="nextTo"/>
        <c:txPr>
          <a:bodyPr/>
          <a:lstStyle/>
          <a:p>
            <a:pPr>
              <a:defRPr sz="1800"/>
            </a:pPr>
            <a:endParaRPr lang="en-US"/>
          </a:p>
        </c:txPr>
        <c:crossAx val="-2104632336"/>
        <c:crosses val="autoZero"/>
        <c:crossBetween val="midCat"/>
      </c:valAx>
    </c:plotArea>
    <c:legend>
      <c:legendPos val="r"/>
      <c:layout>
        <c:manualLayout>
          <c:xMode val="edge"/>
          <c:yMode val="edge"/>
          <c:x val="0.220838663495509"/>
          <c:y val="0.0350847114547699"/>
          <c:w val="0.380579432779236"/>
          <c:h val="0.287861517310336"/>
        </c:manualLayout>
      </c:layout>
      <c:overlay val="0"/>
      <c:txPr>
        <a:bodyPr/>
        <a:lstStyle/>
        <a:p>
          <a:pPr>
            <a:defRPr sz="1600"/>
          </a:pPr>
          <a:endParaRPr lang="en-US"/>
        </a:p>
      </c:txPr>
    </c:legend>
    <c:plotVisOnly val="1"/>
    <c:dispBlanksAs val="gap"/>
    <c:showDLblsOverMax val="0"/>
  </c:chart>
  <c:spPr>
    <a:ln>
      <a:noFill/>
    </a:ln>
  </c:sp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24103978528108"/>
          <c:y val="0.0489454145927319"/>
          <c:w val="0.698982383557987"/>
          <c:h val="0.736551056117985"/>
        </c:manualLayout>
      </c:layout>
      <c:scatterChart>
        <c:scatterStyle val="lineMarker"/>
        <c:varyColors val="0"/>
        <c:ser>
          <c:idx val="0"/>
          <c:order val="0"/>
          <c:tx>
            <c:strRef>
              <c:f>'Figure 3'!$A$2</c:f>
              <c:strCache>
                <c:ptCount val="1"/>
                <c:pt idx="0">
                  <c:v>Si/Al = 11.5</c:v>
                </c:pt>
              </c:strCache>
            </c:strRef>
          </c:tx>
          <c:spPr>
            <a:ln w="47625">
              <a:noFill/>
            </a:ln>
            <a:effectLst/>
          </c:spPr>
          <c:marker>
            <c:symbol val="triangle"/>
            <c:size val="12"/>
            <c:spPr>
              <a:noFill/>
              <a:ln>
                <a:solidFill>
                  <a:schemeClr val="tx1"/>
                </a:solidFill>
              </a:ln>
              <a:effectLst/>
            </c:spPr>
          </c:marker>
          <c:xVal>
            <c:numRef>
              <c:f>'Figure 3'!$B$9:$K$9</c:f>
              <c:numCache>
                <c:formatCode>General</c:formatCode>
                <c:ptCount val="10"/>
                <c:pt idx="0">
                  <c:v>0.68</c:v>
                </c:pt>
                <c:pt idx="1">
                  <c:v>1.33</c:v>
                </c:pt>
                <c:pt idx="2">
                  <c:v>1.96</c:v>
                </c:pt>
                <c:pt idx="3">
                  <c:v>2.66</c:v>
                </c:pt>
                <c:pt idx="4">
                  <c:v>3.29</c:v>
                </c:pt>
                <c:pt idx="5">
                  <c:v>3.91</c:v>
                </c:pt>
                <c:pt idx="6">
                  <c:v>4.54</c:v>
                </c:pt>
                <c:pt idx="7">
                  <c:v>5.2</c:v>
                </c:pt>
                <c:pt idx="8">
                  <c:v>5.89</c:v>
                </c:pt>
                <c:pt idx="9">
                  <c:v>6.5</c:v>
                </c:pt>
              </c:numCache>
            </c:numRef>
          </c:xVal>
          <c:yVal>
            <c:numRef>
              <c:f>'Figure 3'!$B$2:$K$2</c:f>
              <c:numCache>
                <c:formatCode>General</c:formatCode>
                <c:ptCount val="10"/>
                <c:pt idx="0">
                  <c:v>2.480863139999998</c:v>
                </c:pt>
                <c:pt idx="1">
                  <c:v>1.88357521</c:v>
                </c:pt>
                <c:pt idx="2">
                  <c:v>1.17821147</c:v>
                </c:pt>
                <c:pt idx="3">
                  <c:v>0.643794615</c:v>
                </c:pt>
                <c:pt idx="4">
                  <c:v>0.31247014</c:v>
                </c:pt>
                <c:pt idx="5">
                  <c:v>0.13242304</c:v>
                </c:pt>
                <c:pt idx="6">
                  <c:v>0.04956323</c:v>
                </c:pt>
                <c:pt idx="7">
                  <c:v>0.046103284</c:v>
                </c:pt>
                <c:pt idx="8">
                  <c:v>0.03181562</c:v>
                </c:pt>
                <c:pt idx="9">
                  <c:v>0.0421395</c:v>
                </c:pt>
              </c:numCache>
            </c:numRef>
          </c:yVal>
          <c:smooth val="0"/>
        </c:ser>
        <c:ser>
          <c:idx val="1"/>
          <c:order val="1"/>
          <c:tx>
            <c:strRef>
              <c:f>'Figure 3'!$A$3</c:f>
              <c:strCache>
                <c:ptCount val="1"/>
                <c:pt idx="0">
                  <c:v>Si/Al = 25</c:v>
                </c:pt>
              </c:strCache>
            </c:strRef>
          </c:tx>
          <c:spPr>
            <a:ln w="47625">
              <a:noFill/>
            </a:ln>
            <a:effectLst/>
          </c:spPr>
          <c:marker>
            <c:symbol val="circle"/>
            <c:size val="14"/>
            <c:spPr>
              <a:solidFill>
                <a:schemeClr val="tx1"/>
              </a:solidFill>
              <a:ln>
                <a:solidFill>
                  <a:schemeClr val="tx1"/>
                </a:solidFill>
              </a:ln>
              <a:effectLst/>
            </c:spPr>
          </c:marker>
          <c:xVal>
            <c:numRef>
              <c:f>'Figure 3'!$B$10:$K$10</c:f>
              <c:numCache>
                <c:formatCode>General</c:formatCode>
                <c:ptCount val="10"/>
                <c:pt idx="0">
                  <c:v>0.65</c:v>
                </c:pt>
                <c:pt idx="1">
                  <c:v>1.27</c:v>
                </c:pt>
                <c:pt idx="2">
                  <c:v>1.96</c:v>
                </c:pt>
                <c:pt idx="3">
                  <c:v>2.63</c:v>
                </c:pt>
                <c:pt idx="4">
                  <c:v>3.25</c:v>
                </c:pt>
                <c:pt idx="5">
                  <c:v>3.92</c:v>
                </c:pt>
                <c:pt idx="6">
                  <c:v>4.659999999999996</c:v>
                </c:pt>
                <c:pt idx="7">
                  <c:v>5.38</c:v>
                </c:pt>
                <c:pt idx="8">
                  <c:v>6.01</c:v>
                </c:pt>
                <c:pt idx="9">
                  <c:v>6.67</c:v>
                </c:pt>
              </c:numCache>
            </c:numRef>
          </c:xVal>
          <c:yVal>
            <c:numRef>
              <c:f>'Figure 3'!$B$3:$K$3</c:f>
              <c:numCache>
                <c:formatCode>General</c:formatCode>
                <c:ptCount val="10"/>
                <c:pt idx="0">
                  <c:v>2.70882569</c:v>
                </c:pt>
                <c:pt idx="1">
                  <c:v>2.61222806</c:v>
                </c:pt>
                <c:pt idx="2">
                  <c:v>2.112249279999999</c:v>
                </c:pt>
                <c:pt idx="3">
                  <c:v>1.705815224</c:v>
                </c:pt>
                <c:pt idx="4">
                  <c:v>1.93546516</c:v>
                </c:pt>
                <c:pt idx="5">
                  <c:v>1.54109179</c:v>
                </c:pt>
                <c:pt idx="6">
                  <c:v>1.363091485</c:v>
                </c:pt>
                <c:pt idx="7">
                  <c:v>1.080426528</c:v>
                </c:pt>
                <c:pt idx="8">
                  <c:v>1.17183651</c:v>
                </c:pt>
                <c:pt idx="9">
                  <c:v>0.87342697</c:v>
                </c:pt>
              </c:numCache>
            </c:numRef>
          </c:yVal>
          <c:smooth val="0"/>
        </c:ser>
        <c:ser>
          <c:idx val="2"/>
          <c:order val="2"/>
          <c:tx>
            <c:strRef>
              <c:f>'Figure 3'!$A$4</c:f>
              <c:strCache>
                <c:ptCount val="1"/>
                <c:pt idx="0">
                  <c:v>Si/Al = 40</c:v>
                </c:pt>
              </c:strCache>
            </c:strRef>
          </c:tx>
          <c:spPr>
            <a:ln w="47625">
              <a:noFill/>
            </a:ln>
            <a:effectLst/>
          </c:spPr>
          <c:marker>
            <c:symbol val="x"/>
            <c:size val="14"/>
            <c:spPr>
              <a:ln>
                <a:solidFill>
                  <a:sysClr val="windowText" lastClr="000000"/>
                </a:solidFill>
              </a:ln>
              <a:effectLst/>
            </c:spPr>
          </c:marker>
          <c:xVal>
            <c:numRef>
              <c:f>'Figure 3'!$B$11:$K$11</c:f>
              <c:numCache>
                <c:formatCode>General</c:formatCode>
                <c:ptCount val="10"/>
                <c:pt idx="0">
                  <c:v>0.68</c:v>
                </c:pt>
                <c:pt idx="1">
                  <c:v>1.33</c:v>
                </c:pt>
                <c:pt idx="2">
                  <c:v>1.96</c:v>
                </c:pt>
                <c:pt idx="3">
                  <c:v>2.66</c:v>
                </c:pt>
                <c:pt idx="4">
                  <c:v>3.29</c:v>
                </c:pt>
                <c:pt idx="5">
                  <c:v>3.91</c:v>
                </c:pt>
                <c:pt idx="6">
                  <c:v>4.54</c:v>
                </c:pt>
                <c:pt idx="7">
                  <c:v>5.2</c:v>
                </c:pt>
                <c:pt idx="8">
                  <c:v>5.89</c:v>
                </c:pt>
                <c:pt idx="9">
                  <c:v>6.5</c:v>
                </c:pt>
              </c:numCache>
            </c:numRef>
          </c:xVal>
          <c:yVal>
            <c:numRef>
              <c:f>'Figure 3'!$B$4:$K$4</c:f>
              <c:numCache>
                <c:formatCode>General</c:formatCode>
                <c:ptCount val="10"/>
                <c:pt idx="0">
                  <c:v>2.17191603</c:v>
                </c:pt>
                <c:pt idx="1">
                  <c:v>2.92363062</c:v>
                </c:pt>
                <c:pt idx="2">
                  <c:v>2.29041952</c:v>
                </c:pt>
                <c:pt idx="3">
                  <c:v>2.001954</c:v>
                </c:pt>
                <c:pt idx="4">
                  <c:v>2.10323</c:v>
                </c:pt>
                <c:pt idx="5">
                  <c:v>2.302315</c:v>
                </c:pt>
                <c:pt idx="6">
                  <c:v>1.95255524</c:v>
                </c:pt>
                <c:pt idx="7">
                  <c:v>2.025433485</c:v>
                </c:pt>
                <c:pt idx="8">
                  <c:v>2.23264435</c:v>
                </c:pt>
                <c:pt idx="9">
                  <c:v>1.79350705</c:v>
                </c:pt>
              </c:numCache>
            </c:numRef>
          </c:yVal>
          <c:smooth val="0"/>
        </c:ser>
        <c:ser>
          <c:idx val="3"/>
          <c:order val="3"/>
          <c:tx>
            <c:v>No Catalyst</c:v>
          </c:tx>
          <c:spPr>
            <a:ln w="47625">
              <a:noFill/>
            </a:ln>
            <a:effectLst/>
          </c:spPr>
          <c:marker>
            <c:symbol val="square"/>
            <c:size val="14"/>
            <c:spPr>
              <a:solidFill>
                <a:sysClr val="windowText" lastClr="000000"/>
              </a:solidFill>
              <a:ln>
                <a:solidFill>
                  <a:sysClr val="windowText" lastClr="000000"/>
                </a:solidFill>
              </a:ln>
              <a:effectLst/>
            </c:spPr>
          </c:marker>
          <c:errBars>
            <c:errDir val="y"/>
            <c:errBarType val="both"/>
            <c:errValType val="cust"/>
            <c:noEndCap val="0"/>
            <c:plus>
              <c:numRef>
                <c:f>'Figure 3'!$B$6</c:f>
                <c:numCache>
                  <c:formatCode>General</c:formatCode>
                  <c:ptCount val="1"/>
                  <c:pt idx="0">
                    <c:v>0.01463994435</c:v>
                  </c:pt>
                </c:numCache>
              </c:numRef>
            </c:plus>
            <c:minus>
              <c:numRef>
                <c:f>'Figure 3'!$B$6</c:f>
                <c:numCache>
                  <c:formatCode>General</c:formatCode>
                  <c:ptCount val="1"/>
                  <c:pt idx="0">
                    <c:v>0.01463994435</c:v>
                  </c:pt>
                </c:numCache>
              </c:numRef>
            </c:minus>
          </c:errBars>
          <c:xVal>
            <c:numLit>
              <c:formatCode>General</c:formatCode>
              <c:ptCount val="1"/>
              <c:pt idx="0">
                <c:v>7.0</c:v>
              </c:pt>
            </c:numLit>
          </c:xVal>
          <c:yVal>
            <c:numRef>
              <c:f>'Figure 3'!$B$5</c:f>
              <c:numCache>
                <c:formatCode>General</c:formatCode>
                <c:ptCount val="1"/>
                <c:pt idx="0">
                  <c:v>0.02656226625</c:v>
                </c:pt>
              </c:numCache>
            </c:numRef>
          </c:yVal>
          <c:smooth val="0"/>
        </c:ser>
        <c:dLbls>
          <c:showLegendKey val="0"/>
          <c:showVal val="0"/>
          <c:showCatName val="0"/>
          <c:showSerName val="0"/>
          <c:showPercent val="0"/>
          <c:showBubbleSize val="0"/>
        </c:dLbls>
        <c:axId val="2138444672"/>
        <c:axId val="-2101980448"/>
      </c:scatterChart>
      <c:valAx>
        <c:axId val="2138444672"/>
        <c:scaling>
          <c:orientation val="minMax"/>
          <c:max val="7.0"/>
          <c:min val="0.0"/>
        </c:scaling>
        <c:delete val="0"/>
        <c:axPos val="b"/>
        <c:title>
          <c:tx>
            <c:rich>
              <a:bodyPr/>
              <a:lstStyle/>
              <a:p>
                <a:pPr>
                  <a:defRPr sz="1600"/>
                </a:pPr>
                <a:r>
                  <a:rPr lang="en-US" sz="1600"/>
                  <a:t>Cumulative</a:t>
                </a:r>
                <a:r>
                  <a:rPr lang="en-US" sz="1600" baseline="0"/>
                  <a:t> biomass fed, mg</a:t>
                </a:r>
                <a:endParaRPr lang="en-US" sz="1600"/>
              </a:p>
            </c:rich>
          </c:tx>
          <c:overlay val="0"/>
        </c:title>
        <c:numFmt formatCode="General" sourceLinked="1"/>
        <c:majorTickMark val="out"/>
        <c:minorTickMark val="out"/>
        <c:tickLblPos val="nextTo"/>
        <c:spPr>
          <a:ln>
            <a:solidFill>
              <a:sysClr val="windowText" lastClr="000000"/>
            </a:solidFill>
          </a:ln>
        </c:spPr>
        <c:txPr>
          <a:bodyPr/>
          <a:lstStyle/>
          <a:p>
            <a:pPr>
              <a:defRPr sz="1800"/>
            </a:pPr>
            <a:endParaRPr lang="en-US"/>
          </a:p>
        </c:txPr>
        <c:crossAx val="-2101980448"/>
        <c:crosses val="autoZero"/>
        <c:crossBetween val="midCat"/>
      </c:valAx>
      <c:valAx>
        <c:axId val="-2101980448"/>
        <c:scaling>
          <c:orientation val="minMax"/>
        </c:scaling>
        <c:delete val="0"/>
        <c:axPos val="l"/>
        <c:title>
          <c:tx>
            <c:rich>
              <a:bodyPr/>
              <a:lstStyle/>
              <a:p>
                <a:pPr>
                  <a:defRPr sz="1600"/>
                </a:pPr>
                <a:r>
                  <a:rPr lang="en-US" sz="1600"/>
                  <a:t>(GC-MS response)/</a:t>
                </a:r>
                <a:br>
                  <a:rPr lang="en-US" sz="1600"/>
                </a:br>
                <a:r>
                  <a:rPr lang="en-US" sz="1600"/>
                  <a:t>(mg biomass in pulse)</a:t>
                </a:r>
              </a:p>
            </c:rich>
          </c:tx>
          <c:layout>
            <c:manualLayout>
              <c:xMode val="edge"/>
              <c:yMode val="edge"/>
              <c:x val="0.031322803399575"/>
              <c:y val="0.0572372203474566"/>
            </c:manualLayout>
          </c:layout>
          <c:overlay val="0"/>
        </c:title>
        <c:numFmt formatCode="General" sourceLinked="0"/>
        <c:majorTickMark val="out"/>
        <c:minorTickMark val="out"/>
        <c:tickLblPos val="nextTo"/>
        <c:spPr>
          <a:ln>
            <a:solidFill>
              <a:sysClr val="windowText" lastClr="000000"/>
            </a:solidFill>
          </a:ln>
        </c:spPr>
        <c:txPr>
          <a:bodyPr/>
          <a:lstStyle/>
          <a:p>
            <a:pPr>
              <a:defRPr sz="1800"/>
            </a:pPr>
            <a:endParaRPr lang="en-US"/>
          </a:p>
        </c:txPr>
        <c:crossAx val="2138444672"/>
        <c:crosses val="autoZero"/>
        <c:crossBetween val="midCat"/>
      </c:valAx>
      <c:spPr>
        <a:ln>
          <a:solidFill>
            <a:sysClr val="windowText" lastClr="000000"/>
          </a:solidFill>
        </a:ln>
      </c:spPr>
    </c:plotArea>
    <c:legend>
      <c:legendPos val="r"/>
      <c:layout>
        <c:manualLayout>
          <c:xMode val="edge"/>
          <c:yMode val="edge"/>
          <c:x val="0.613609336211088"/>
          <c:y val="0.0435907509447154"/>
          <c:w val="0.255421468849438"/>
          <c:h val="0.220401320802642"/>
        </c:manualLayout>
      </c:layout>
      <c:overlay val="0"/>
      <c:txPr>
        <a:bodyPr/>
        <a:lstStyle/>
        <a:p>
          <a:pPr>
            <a:defRPr sz="1600"/>
          </a:pPr>
          <a:endParaRPr lang="en-US"/>
        </a:p>
      </c:txPr>
    </c:legend>
    <c:plotVisOnly val="1"/>
    <c:dispBlanksAs val="gap"/>
    <c:showDLblsOverMax val="0"/>
  </c:chart>
  <c:spPr>
    <a:ln>
      <a:noFill/>
    </a:ln>
  </c:sp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24291190296128"/>
          <c:y val="0.0341463414634146"/>
          <c:w val="0.737527618369738"/>
          <c:h val="0.728614548181477"/>
        </c:manualLayout>
      </c:layout>
      <c:scatterChart>
        <c:scatterStyle val="lineMarker"/>
        <c:varyColors val="0"/>
        <c:ser>
          <c:idx val="0"/>
          <c:order val="0"/>
          <c:tx>
            <c:strRef>
              <c:f>'Figure S13.'!$A$2</c:f>
              <c:strCache>
                <c:ptCount val="1"/>
                <c:pt idx="0">
                  <c:v>Si/Al = 11.5</c:v>
                </c:pt>
              </c:strCache>
            </c:strRef>
          </c:tx>
          <c:spPr>
            <a:ln w="47625">
              <a:noFill/>
            </a:ln>
            <a:effectLst/>
          </c:spPr>
          <c:marker>
            <c:symbol val="triangle"/>
            <c:size val="12"/>
            <c:spPr>
              <a:noFill/>
              <a:ln>
                <a:solidFill>
                  <a:schemeClr val="tx1"/>
                </a:solidFill>
              </a:ln>
              <a:effectLst/>
            </c:spPr>
          </c:marker>
          <c:xVal>
            <c:numRef>
              <c:f>'Figure S13.'!$B$8:$K$8</c:f>
              <c:numCache>
                <c:formatCode>General</c:formatCode>
                <c:ptCount val="10"/>
                <c:pt idx="0">
                  <c:v>0.68</c:v>
                </c:pt>
                <c:pt idx="1">
                  <c:v>1.33</c:v>
                </c:pt>
                <c:pt idx="2">
                  <c:v>1.96</c:v>
                </c:pt>
                <c:pt idx="3">
                  <c:v>2.66</c:v>
                </c:pt>
                <c:pt idx="4">
                  <c:v>3.29</c:v>
                </c:pt>
                <c:pt idx="5">
                  <c:v>3.91</c:v>
                </c:pt>
                <c:pt idx="6">
                  <c:v>4.54</c:v>
                </c:pt>
                <c:pt idx="7">
                  <c:v>5.2</c:v>
                </c:pt>
                <c:pt idx="8">
                  <c:v>5.89</c:v>
                </c:pt>
                <c:pt idx="9">
                  <c:v>6.5</c:v>
                </c:pt>
              </c:numCache>
            </c:numRef>
          </c:xVal>
          <c:yVal>
            <c:numRef>
              <c:f>'Figure S13.'!$B$2:$K$2</c:f>
              <c:numCache>
                <c:formatCode>General</c:formatCode>
                <c:ptCount val="10"/>
                <c:pt idx="0">
                  <c:v>0.13750029</c:v>
                </c:pt>
                <c:pt idx="1">
                  <c:v>0.31435268</c:v>
                </c:pt>
                <c:pt idx="2">
                  <c:v>0.4202575</c:v>
                </c:pt>
                <c:pt idx="3">
                  <c:v>0.4301177</c:v>
                </c:pt>
                <c:pt idx="4">
                  <c:v>0.5328937</c:v>
                </c:pt>
                <c:pt idx="5">
                  <c:v>0.498612</c:v>
                </c:pt>
                <c:pt idx="6">
                  <c:v>0.4716626</c:v>
                </c:pt>
                <c:pt idx="7">
                  <c:v>0.5042681</c:v>
                </c:pt>
                <c:pt idx="8">
                  <c:v>0.4938358</c:v>
                </c:pt>
                <c:pt idx="9">
                  <c:v>0.5780153</c:v>
                </c:pt>
              </c:numCache>
            </c:numRef>
          </c:yVal>
          <c:smooth val="0"/>
        </c:ser>
        <c:ser>
          <c:idx val="1"/>
          <c:order val="1"/>
          <c:tx>
            <c:strRef>
              <c:f>'Figure S13.'!$A$3</c:f>
              <c:strCache>
                <c:ptCount val="1"/>
                <c:pt idx="0">
                  <c:v>Si/Al = 25</c:v>
                </c:pt>
              </c:strCache>
            </c:strRef>
          </c:tx>
          <c:spPr>
            <a:ln w="47625">
              <a:noFill/>
            </a:ln>
            <a:effectLst/>
          </c:spPr>
          <c:marker>
            <c:symbol val="circle"/>
            <c:size val="14"/>
            <c:spPr>
              <a:solidFill>
                <a:schemeClr val="tx1"/>
              </a:solidFill>
              <a:ln>
                <a:solidFill>
                  <a:schemeClr val="tx1"/>
                </a:solidFill>
              </a:ln>
              <a:effectLst/>
            </c:spPr>
          </c:marker>
          <c:xVal>
            <c:numRef>
              <c:f>'Figure S13.'!$B$9:$K$9</c:f>
              <c:numCache>
                <c:formatCode>General</c:formatCode>
                <c:ptCount val="10"/>
                <c:pt idx="0">
                  <c:v>0.65</c:v>
                </c:pt>
                <c:pt idx="1">
                  <c:v>1.27</c:v>
                </c:pt>
                <c:pt idx="2">
                  <c:v>1.96</c:v>
                </c:pt>
                <c:pt idx="3">
                  <c:v>2.63</c:v>
                </c:pt>
                <c:pt idx="4">
                  <c:v>3.25</c:v>
                </c:pt>
                <c:pt idx="5">
                  <c:v>3.92</c:v>
                </c:pt>
                <c:pt idx="6">
                  <c:v>4.659999999999996</c:v>
                </c:pt>
                <c:pt idx="7">
                  <c:v>5.38</c:v>
                </c:pt>
                <c:pt idx="8">
                  <c:v>6.01</c:v>
                </c:pt>
                <c:pt idx="9">
                  <c:v>6.67</c:v>
                </c:pt>
              </c:numCache>
            </c:numRef>
          </c:xVal>
          <c:yVal>
            <c:numRef>
              <c:f>'Figure S13.'!$B$3:$K$3</c:f>
              <c:numCache>
                <c:formatCode>General</c:formatCode>
                <c:ptCount val="10"/>
                <c:pt idx="0">
                  <c:v>0.05924554</c:v>
                </c:pt>
                <c:pt idx="1">
                  <c:v>0.14918871</c:v>
                </c:pt>
                <c:pt idx="2">
                  <c:v>0.216532944</c:v>
                </c:pt>
                <c:pt idx="3">
                  <c:v>0.198953</c:v>
                </c:pt>
                <c:pt idx="4">
                  <c:v>0.3277798</c:v>
                </c:pt>
                <c:pt idx="5">
                  <c:v>0.4379073</c:v>
                </c:pt>
                <c:pt idx="6">
                  <c:v>0.436687387</c:v>
                </c:pt>
                <c:pt idx="7">
                  <c:v>0.4298154</c:v>
                </c:pt>
                <c:pt idx="8">
                  <c:v>0.4056143</c:v>
                </c:pt>
                <c:pt idx="9">
                  <c:v>0.4217697</c:v>
                </c:pt>
              </c:numCache>
            </c:numRef>
          </c:yVal>
          <c:smooth val="0"/>
        </c:ser>
        <c:ser>
          <c:idx val="2"/>
          <c:order val="2"/>
          <c:tx>
            <c:strRef>
              <c:f>'Figure S13.'!$A$4</c:f>
              <c:strCache>
                <c:ptCount val="1"/>
                <c:pt idx="0">
                  <c:v>Si/Al = 40</c:v>
                </c:pt>
              </c:strCache>
            </c:strRef>
          </c:tx>
          <c:spPr>
            <a:ln w="47625">
              <a:noFill/>
            </a:ln>
            <a:effectLst/>
          </c:spPr>
          <c:marker>
            <c:symbol val="x"/>
            <c:size val="14"/>
            <c:spPr>
              <a:ln>
                <a:solidFill>
                  <a:sysClr val="windowText" lastClr="000000"/>
                </a:solidFill>
              </a:ln>
              <a:effectLst/>
            </c:spPr>
          </c:marker>
          <c:xVal>
            <c:numRef>
              <c:f>'Figure S13.'!$B$10:$K$10</c:f>
              <c:numCache>
                <c:formatCode>General</c:formatCode>
                <c:ptCount val="10"/>
                <c:pt idx="0">
                  <c:v>0.68</c:v>
                </c:pt>
                <c:pt idx="1">
                  <c:v>1.33</c:v>
                </c:pt>
                <c:pt idx="2">
                  <c:v>1.96</c:v>
                </c:pt>
                <c:pt idx="3">
                  <c:v>2.66</c:v>
                </c:pt>
                <c:pt idx="4">
                  <c:v>3.29</c:v>
                </c:pt>
                <c:pt idx="5">
                  <c:v>3.91</c:v>
                </c:pt>
                <c:pt idx="6">
                  <c:v>4.54</c:v>
                </c:pt>
                <c:pt idx="7">
                  <c:v>5.2</c:v>
                </c:pt>
                <c:pt idx="8">
                  <c:v>5.89</c:v>
                </c:pt>
                <c:pt idx="9">
                  <c:v>6.5</c:v>
                </c:pt>
              </c:numCache>
            </c:numRef>
          </c:xVal>
          <c:yVal>
            <c:numRef>
              <c:f>'Figure S13.'!$B$4:$K$4</c:f>
              <c:numCache>
                <c:formatCode>General</c:formatCode>
                <c:ptCount val="10"/>
                <c:pt idx="0">
                  <c:v>0.03596956</c:v>
                </c:pt>
                <c:pt idx="1">
                  <c:v>0.09610262</c:v>
                </c:pt>
                <c:pt idx="2">
                  <c:v>0.1224035</c:v>
                </c:pt>
                <c:pt idx="3">
                  <c:v>0.130831</c:v>
                </c:pt>
                <c:pt idx="4">
                  <c:v>0.2169938</c:v>
                </c:pt>
                <c:pt idx="5">
                  <c:v>0.3071192</c:v>
                </c:pt>
                <c:pt idx="6">
                  <c:v>0.290731</c:v>
                </c:pt>
                <c:pt idx="7">
                  <c:v>0.3229805</c:v>
                </c:pt>
                <c:pt idx="8">
                  <c:v>0.4867388</c:v>
                </c:pt>
                <c:pt idx="9">
                  <c:v>0.4195</c:v>
                </c:pt>
              </c:numCache>
            </c:numRef>
          </c:yVal>
          <c:smooth val="0"/>
        </c:ser>
        <c:ser>
          <c:idx val="3"/>
          <c:order val="3"/>
          <c:tx>
            <c:strRef>
              <c:f>'Figure S13.'!$A$5</c:f>
              <c:strCache>
                <c:ptCount val="1"/>
                <c:pt idx="0">
                  <c:v>No Catalyst</c:v>
                </c:pt>
              </c:strCache>
            </c:strRef>
          </c:tx>
          <c:spPr>
            <a:ln w="47625">
              <a:noFill/>
            </a:ln>
            <a:effectLst/>
          </c:spPr>
          <c:marker>
            <c:symbol val="square"/>
            <c:size val="15"/>
            <c:spPr>
              <a:solidFill>
                <a:sysClr val="windowText" lastClr="000000"/>
              </a:solidFill>
              <a:ln>
                <a:solidFill>
                  <a:sysClr val="windowText" lastClr="000000"/>
                </a:solidFill>
              </a:ln>
              <a:effectLst/>
            </c:spPr>
          </c:marker>
          <c:errBars>
            <c:errDir val="y"/>
            <c:errBarType val="both"/>
            <c:errValType val="cust"/>
            <c:noEndCap val="0"/>
            <c:plus>
              <c:numRef>
                <c:f>'Figure S13.'!$B$6</c:f>
                <c:numCache>
                  <c:formatCode>General</c:formatCode>
                  <c:ptCount val="1"/>
                  <c:pt idx="0">
                    <c:v>0.105405582</c:v>
                  </c:pt>
                </c:numCache>
              </c:numRef>
            </c:plus>
            <c:minus>
              <c:numRef>
                <c:f>'Figure S13.'!$B$6</c:f>
                <c:numCache>
                  <c:formatCode>General</c:formatCode>
                  <c:ptCount val="1"/>
                  <c:pt idx="0">
                    <c:v>0.105405582</c:v>
                  </c:pt>
                </c:numCache>
              </c:numRef>
            </c:minus>
          </c:errBars>
          <c:xVal>
            <c:numRef>
              <c:f>'Figure S13.'!$B$11</c:f>
              <c:numCache>
                <c:formatCode>General</c:formatCode>
                <c:ptCount val="1"/>
                <c:pt idx="0">
                  <c:v>6.8</c:v>
                </c:pt>
              </c:numCache>
            </c:numRef>
          </c:xVal>
          <c:yVal>
            <c:numRef>
              <c:f>'Figure S13.'!$B$5</c:f>
              <c:numCache>
                <c:formatCode>General</c:formatCode>
                <c:ptCount val="1"/>
                <c:pt idx="0">
                  <c:v>0.38036635</c:v>
                </c:pt>
              </c:numCache>
            </c:numRef>
          </c:yVal>
          <c:smooth val="0"/>
        </c:ser>
        <c:dLbls>
          <c:showLegendKey val="0"/>
          <c:showVal val="0"/>
          <c:showCatName val="0"/>
          <c:showSerName val="0"/>
          <c:showPercent val="0"/>
          <c:showBubbleSize val="0"/>
        </c:dLbls>
        <c:axId val="-2037342048"/>
        <c:axId val="-2037134896"/>
      </c:scatterChart>
      <c:valAx>
        <c:axId val="-2037342048"/>
        <c:scaling>
          <c:orientation val="minMax"/>
          <c:max val="7.0"/>
          <c:min val="0.0"/>
        </c:scaling>
        <c:delete val="0"/>
        <c:axPos val="b"/>
        <c:title>
          <c:tx>
            <c:rich>
              <a:bodyPr/>
              <a:lstStyle/>
              <a:p>
                <a:pPr>
                  <a:defRPr sz="1800"/>
                </a:pPr>
                <a:r>
                  <a:rPr lang="en-US"/>
                  <a:t>Cumulative biomass fed, mg</a:t>
                </a:r>
              </a:p>
            </c:rich>
          </c:tx>
          <c:overlay val="0"/>
        </c:title>
        <c:numFmt formatCode="General" sourceLinked="1"/>
        <c:majorTickMark val="out"/>
        <c:minorTickMark val="out"/>
        <c:tickLblPos val="nextTo"/>
        <c:txPr>
          <a:bodyPr/>
          <a:lstStyle/>
          <a:p>
            <a:pPr>
              <a:defRPr sz="1800"/>
            </a:pPr>
            <a:endParaRPr lang="en-US"/>
          </a:p>
        </c:txPr>
        <c:crossAx val="-2037134896"/>
        <c:crosses val="autoZero"/>
        <c:crossBetween val="midCat"/>
      </c:valAx>
      <c:valAx>
        <c:axId val="-2037134896"/>
        <c:scaling>
          <c:orientation val="minMax"/>
        </c:scaling>
        <c:delete val="0"/>
        <c:axPos val="l"/>
        <c:title>
          <c:tx>
            <c:rich>
              <a:bodyPr/>
              <a:lstStyle/>
              <a:p>
                <a:pPr>
                  <a:defRPr sz="1800"/>
                </a:pPr>
                <a:r>
                  <a:rPr lang="en-US" sz="1800" b="1" i="0" baseline="0">
                    <a:effectLst/>
                  </a:rPr>
                  <a:t>(GC-MS response)/</a:t>
                </a:r>
                <a:br>
                  <a:rPr lang="en-US" sz="1800" b="1" i="0" baseline="0">
                    <a:effectLst/>
                  </a:rPr>
                </a:br>
                <a:r>
                  <a:rPr lang="en-US" sz="1800" b="1" i="0" baseline="0">
                    <a:effectLst/>
                  </a:rPr>
                  <a:t>(mg biomass in pulse)</a:t>
                </a:r>
                <a:endParaRPr lang="en-US">
                  <a:effectLst/>
                </a:endParaRPr>
              </a:p>
            </c:rich>
          </c:tx>
          <c:layout>
            <c:manualLayout>
              <c:xMode val="edge"/>
              <c:yMode val="edge"/>
              <c:x val="0.00708698488960066"/>
              <c:y val="0.117717120813392"/>
            </c:manualLayout>
          </c:layout>
          <c:overlay val="0"/>
        </c:title>
        <c:numFmt formatCode="General" sourceLinked="0"/>
        <c:majorTickMark val="out"/>
        <c:minorTickMark val="out"/>
        <c:tickLblPos val="nextTo"/>
        <c:txPr>
          <a:bodyPr/>
          <a:lstStyle/>
          <a:p>
            <a:pPr>
              <a:defRPr sz="1800"/>
            </a:pPr>
            <a:endParaRPr lang="en-US"/>
          </a:p>
        </c:txPr>
        <c:crossAx val="-2037342048"/>
        <c:crosses val="autoZero"/>
        <c:crossBetween val="midCat"/>
      </c:valAx>
    </c:plotArea>
    <c:legend>
      <c:legendPos val="r"/>
      <c:layout>
        <c:manualLayout>
          <c:xMode val="edge"/>
          <c:yMode val="edge"/>
          <c:x val="0.220838663495509"/>
          <c:y val="0.0350847114547699"/>
          <c:w val="0.255304765929683"/>
          <c:h val="0.271937570303712"/>
        </c:manualLayout>
      </c:layout>
      <c:overlay val="0"/>
      <c:txPr>
        <a:bodyPr/>
        <a:lstStyle/>
        <a:p>
          <a:pPr>
            <a:defRPr sz="1600"/>
          </a:pPr>
          <a:endParaRPr lang="en-US"/>
        </a:p>
      </c:txPr>
    </c:legend>
    <c:plotVisOnly val="1"/>
    <c:dispBlanksAs val="gap"/>
    <c:showDLblsOverMax val="0"/>
  </c:chart>
  <c:spPr>
    <a:ln>
      <a:noFill/>
    </a:ln>
  </c:sp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03104749618162"/>
          <c:y val="0.0341463414634146"/>
          <c:w val="0.758714059047704"/>
          <c:h val="0.744487564054493"/>
        </c:manualLayout>
      </c:layout>
      <c:scatterChart>
        <c:scatterStyle val="lineMarker"/>
        <c:varyColors val="0"/>
        <c:ser>
          <c:idx val="0"/>
          <c:order val="0"/>
          <c:tx>
            <c:strRef>
              <c:f>'Figure S18.'!$A$2</c:f>
              <c:strCache>
                <c:ptCount val="1"/>
                <c:pt idx="0">
                  <c:v>Si/Al = 11.5</c:v>
                </c:pt>
              </c:strCache>
            </c:strRef>
          </c:tx>
          <c:spPr>
            <a:ln w="47625">
              <a:noFill/>
            </a:ln>
            <a:effectLst/>
          </c:spPr>
          <c:marker>
            <c:symbol val="triangle"/>
            <c:size val="12"/>
            <c:spPr>
              <a:noFill/>
              <a:ln>
                <a:solidFill>
                  <a:schemeClr val="tx1"/>
                </a:solidFill>
              </a:ln>
              <a:effectLst/>
            </c:spPr>
          </c:marker>
          <c:xVal>
            <c:numRef>
              <c:f>'Figure S18.'!$B$8:$K$8</c:f>
              <c:numCache>
                <c:formatCode>General</c:formatCode>
                <c:ptCount val="10"/>
                <c:pt idx="0">
                  <c:v>0.68</c:v>
                </c:pt>
                <c:pt idx="1">
                  <c:v>1.33</c:v>
                </c:pt>
                <c:pt idx="2">
                  <c:v>1.96</c:v>
                </c:pt>
                <c:pt idx="3">
                  <c:v>2.66</c:v>
                </c:pt>
                <c:pt idx="4">
                  <c:v>3.29</c:v>
                </c:pt>
                <c:pt idx="5">
                  <c:v>3.91</c:v>
                </c:pt>
                <c:pt idx="6">
                  <c:v>4.54</c:v>
                </c:pt>
                <c:pt idx="7">
                  <c:v>5.2</c:v>
                </c:pt>
                <c:pt idx="8">
                  <c:v>5.89</c:v>
                </c:pt>
                <c:pt idx="9">
                  <c:v>6.5</c:v>
                </c:pt>
              </c:numCache>
            </c:numRef>
          </c:xVal>
          <c:yVal>
            <c:numRef>
              <c:f>'Figure S18.'!$B$2:$K$2</c:f>
              <c:numCache>
                <c:formatCode>General</c:formatCode>
                <c:ptCount val="10"/>
                <c:pt idx="0">
                  <c:v>0.24335543</c:v>
                </c:pt>
                <c:pt idx="1">
                  <c:v>0.5517521</c:v>
                </c:pt>
                <c:pt idx="2">
                  <c:v>1.0542925</c:v>
                </c:pt>
                <c:pt idx="3">
                  <c:v>1.43203862</c:v>
                </c:pt>
                <c:pt idx="4">
                  <c:v>2.391790704</c:v>
                </c:pt>
                <c:pt idx="5">
                  <c:v>2.76011029</c:v>
                </c:pt>
                <c:pt idx="6">
                  <c:v>3.09378385</c:v>
                </c:pt>
                <c:pt idx="7">
                  <c:v>3.25364582</c:v>
                </c:pt>
                <c:pt idx="8">
                  <c:v>3.11829454</c:v>
                </c:pt>
                <c:pt idx="9">
                  <c:v>3.76141033</c:v>
                </c:pt>
              </c:numCache>
            </c:numRef>
          </c:yVal>
          <c:smooth val="0"/>
        </c:ser>
        <c:ser>
          <c:idx val="1"/>
          <c:order val="1"/>
          <c:tx>
            <c:strRef>
              <c:f>'Figure S18.'!$A$3</c:f>
              <c:strCache>
                <c:ptCount val="1"/>
                <c:pt idx="0">
                  <c:v>Si/Al = 25</c:v>
                </c:pt>
              </c:strCache>
            </c:strRef>
          </c:tx>
          <c:spPr>
            <a:ln w="47625">
              <a:noFill/>
            </a:ln>
            <a:effectLst/>
          </c:spPr>
          <c:marker>
            <c:symbol val="circle"/>
            <c:size val="14"/>
            <c:spPr>
              <a:solidFill>
                <a:schemeClr val="tx1"/>
              </a:solidFill>
              <a:ln>
                <a:solidFill>
                  <a:schemeClr val="tx1"/>
                </a:solidFill>
              </a:ln>
              <a:effectLst/>
            </c:spPr>
          </c:marker>
          <c:xVal>
            <c:numRef>
              <c:f>'Figure S18.'!$B$9:$K$9</c:f>
              <c:numCache>
                <c:formatCode>General</c:formatCode>
                <c:ptCount val="10"/>
                <c:pt idx="0">
                  <c:v>0.65</c:v>
                </c:pt>
                <c:pt idx="1">
                  <c:v>1.27</c:v>
                </c:pt>
                <c:pt idx="2">
                  <c:v>1.96</c:v>
                </c:pt>
                <c:pt idx="3">
                  <c:v>2.63</c:v>
                </c:pt>
                <c:pt idx="4">
                  <c:v>3.25</c:v>
                </c:pt>
                <c:pt idx="5">
                  <c:v>3.92</c:v>
                </c:pt>
                <c:pt idx="6">
                  <c:v>4.659999999999996</c:v>
                </c:pt>
                <c:pt idx="7">
                  <c:v>5.38</c:v>
                </c:pt>
                <c:pt idx="8">
                  <c:v>6.01</c:v>
                </c:pt>
                <c:pt idx="9">
                  <c:v>6.67</c:v>
                </c:pt>
              </c:numCache>
            </c:numRef>
          </c:xVal>
          <c:yVal>
            <c:numRef>
              <c:f>'Figure S18.'!$B$3:$K$3</c:f>
              <c:numCache>
                <c:formatCode>General</c:formatCode>
                <c:ptCount val="10"/>
                <c:pt idx="0">
                  <c:v>0.051320152</c:v>
                </c:pt>
                <c:pt idx="1">
                  <c:v>0.059612074</c:v>
                </c:pt>
                <c:pt idx="2">
                  <c:v>0.05460652</c:v>
                </c:pt>
                <c:pt idx="3">
                  <c:v>0.05198507</c:v>
                </c:pt>
                <c:pt idx="4">
                  <c:v>0.009105161</c:v>
                </c:pt>
                <c:pt idx="5">
                  <c:v>0.04607</c:v>
                </c:pt>
                <c:pt idx="6">
                  <c:v>0.06260486</c:v>
                </c:pt>
                <c:pt idx="7">
                  <c:v>0.05556847</c:v>
                </c:pt>
                <c:pt idx="8">
                  <c:v>0.09685429</c:v>
                </c:pt>
                <c:pt idx="9">
                  <c:v>0.07479379</c:v>
                </c:pt>
              </c:numCache>
            </c:numRef>
          </c:yVal>
          <c:smooth val="0"/>
        </c:ser>
        <c:ser>
          <c:idx val="2"/>
          <c:order val="2"/>
          <c:tx>
            <c:strRef>
              <c:f>'Figure S18.'!$A$4</c:f>
              <c:strCache>
                <c:ptCount val="1"/>
                <c:pt idx="0">
                  <c:v>Si/Al = 40</c:v>
                </c:pt>
              </c:strCache>
            </c:strRef>
          </c:tx>
          <c:spPr>
            <a:ln w="47625">
              <a:noFill/>
            </a:ln>
            <a:effectLst/>
          </c:spPr>
          <c:marker>
            <c:symbol val="x"/>
            <c:size val="14"/>
            <c:spPr>
              <a:ln>
                <a:solidFill>
                  <a:sysClr val="windowText" lastClr="000000"/>
                </a:solidFill>
              </a:ln>
              <a:effectLst/>
            </c:spPr>
          </c:marker>
          <c:xVal>
            <c:numRef>
              <c:f>'Figure S18.'!$B$10:$K$10</c:f>
              <c:numCache>
                <c:formatCode>General</c:formatCode>
                <c:ptCount val="10"/>
                <c:pt idx="0">
                  <c:v>0.68</c:v>
                </c:pt>
                <c:pt idx="1">
                  <c:v>1.33</c:v>
                </c:pt>
                <c:pt idx="2">
                  <c:v>1.96</c:v>
                </c:pt>
                <c:pt idx="3">
                  <c:v>2.66</c:v>
                </c:pt>
                <c:pt idx="4">
                  <c:v>3.29</c:v>
                </c:pt>
                <c:pt idx="5">
                  <c:v>3.91</c:v>
                </c:pt>
                <c:pt idx="6">
                  <c:v>4.54</c:v>
                </c:pt>
                <c:pt idx="7">
                  <c:v>5.2</c:v>
                </c:pt>
                <c:pt idx="8">
                  <c:v>5.89</c:v>
                </c:pt>
                <c:pt idx="9">
                  <c:v>6.5</c:v>
                </c:pt>
              </c:numCache>
            </c:numRef>
          </c:xVal>
          <c:yVal>
            <c:numRef>
              <c:f>'Figure S18.'!$B$4:$K$4</c:f>
              <c:numCache>
                <c:formatCode>General</c:formatCode>
                <c:ptCount val="10"/>
                <c:pt idx="0">
                  <c:v>0.03719235</c:v>
                </c:pt>
                <c:pt idx="1">
                  <c:v>0.038362125</c:v>
                </c:pt>
                <c:pt idx="2">
                  <c:v>0.0395319</c:v>
                </c:pt>
                <c:pt idx="3">
                  <c:v>0.038705</c:v>
                </c:pt>
                <c:pt idx="4">
                  <c:v>0.043432698</c:v>
                </c:pt>
                <c:pt idx="5">
                  <c:v>0.06127726</c:v>
                </c:pt>
                <c:pt idx="6">
                  <c:v>0.04067222</c:v>
                </c:pt>
                <c:pt idx="7">
                  <c:v>0.03752379</c:v>
                </c:pt>
                <c:pt idx="8">
                  <c:v>0.06938536</c:v>
                </c:pt>
                <c:pt idx="9">
                  <c:v>0.04678525</c:v>
                </c:pt>
              </c:numCache>
            </c:numRef>
          </c:yVal>
          <c:smooth val="0"/>
        </c:ser>
        <c:ser>
          <c:idx val="3"/>
          <c:order val="3"/>
          <c:tx>
            <c:strRef>
              <c:f>'Figure S18.'!$A$5</c:f>
              <c:strCache>
                <c:ptCount val="1"/>
                <c:pt idx="0">
                  <c:v>No Catalyst</c:v>
                </c:pt>
              </c:strCache>
            </c:strRef>
          </c:tx>
          <c:spPr>
            <a:ln w="47625">
              <a:noFill/>
            </a:ln>
            <a:effectLst/>
          </c:spPr>
          <c:marker>
            <c:symbol val="square"/>
            <c:size val="14"/>
            <c:spPr>
              <a:solidFill>
                <a:sysClr val="windowText" lastClr="000000"/>
              </a:solidFill>
              <a:ln>
                <a:solidFill>
                  <a:sysClr val="windowText" lastClr="000000"/>
                </a:solidFill>
              </a:ln>
              <a:effectLst/>
            </c:spPr>
          </c:marker>
          <c:errBars>
            <c:errDir val="y"/>
            <c:errBarType val="both"/>
            <c:errValType val="cust"/>
            <c:noEndCap val="0"/>
            <c:plus>
              <c:numRef>
                <c:f>'Figure S18.'!$B$6</c:f>
                <c:numCache>
                  <c:formatCode>General</c:formatCode>
                  <c:ptCount val="1"/>
                  <c:pt idx="0">
                    <c:v>1.060965558</c:v>
                  </c:pt>
                </c:numCache>
              </c:numRef>
            </c:plus>
            <c:minus>
              <c:numRef>
                <c:f>'Figure S18.'!$B$6</c:f>
                <c:numCache>
                  <c:formatCode>General</c:formatCode>
                  <c:ptCount val="1"/>
                  <c:pt idx="0">
                    <c:v>1.060965558</c:v>
                  </c:pt>
                </c:numCache>
              </c:numRef>
            </c:minus>
          </c:errBars>
          <c:xVal>
            <c:numRef>
              <c:f>'Figure S18.'!$B$11</c:f>
              <c:numCache>
                <c:formatCode>General</c:formatCode>
                <c:ptCount val="1"/>
                <c:pt idx="0">
                  <c:v>6.8</c:v>
                </c:pt>
              </c:numCache>
            </c:numRef>
          </c:xVal>
          <c:yVal>
            <c:numRef>
              <c:f>'Figure S18.'!$B$5</c:f>
              <c:numCache>
                <c:formatCode>General</c:formatCode>
                <c:ptCount val="1"/>
                <c:pt idx="0">
                  <c:v>3.244487053000001</c:v>
                </c:pt>
              </c:numCache>
            </c:numRef>
          </c:yVal>
          <c:smooth val="0"/>
        </c:ser>
        <c:dLbls>
          <c:showLegendKey val="0"/>
          <c:showVal val="0"/>
          <c:showCatName val="0"/>
          <c:showSerName val="0"/>
          <c:showPercent val="0"/>
          <c:showBubbleSize val="0"/>
        </c:dLbls>
        <c:axId val="2062611200"/>
        <c:axId val="2098998688"/>
      </c:scatterChart>
      <c:valAx>
        <c:axId val="2062611200"/>
        <c:scaling>
          <c:orientation val="minMax"/>
          <c:max val="7.0"/>
          <c:min val="0.0"/>
        </c:scaling>
        <c:delete val="0"/>
        <c:axPos val="b"/>
        <c:title>
          <c:tx>
            <c:rich>
              <a:bodyPr/>
              <a:lstStyle/>
              <a:p>
                <a:pPr>
                  <a:defRPr sz="1800"/>
                </a:pPr>
                <a:r>
                  <a:rPr lang="en-US"/>
                  <a:t>Cumulative biomass fed, mg</a:t>
                </a:r>
              </a:p>
            </c:rich>
          </c:tx>
          <c:overlay val="0"/>
        </c:title>
        <c:numFmt formatCode="General" sourceLinked="1"/>
        <c:majorTickMark val="out"/>
        <c:minorTickMark val="out"/>
        <c:tickLblPos val="nextTo"/>
        <c:txPr>
          <a:bodyPr/>
          <a:lstStyle/>
          <a:p>
            <a:pPr>
              <a:defRPr sz="1800"/>
            </a:pPr>
            <a:endParaRPr lang="en-US"/>
          </a:p>
        </c:txPr>
        <c:crossAx val="2098998688"/>
        <c:crosses val="autoZero"/>
        <c:crossBetween val="midCat"/>
      </c:valAx>
      <c:valAx>
        <c:axId val="2098998688"/>
        <c:scaling>
          <c:orientation val="minMax"/>
        </c:scaling>
        <c:delete val="0"/>
        <c:axPos val="l"/>
        <c:title>
          <c:tx>
            <c:rich>
              <a:bodyPr/>
              <a:lstStyle/>
              <a:p>
                <a:pPr>
                  <a:defRPr sz="1800"/>
                </a:pPr>
                <a:r>
                  <a:rPr lang="en-US" sz="1800" b="1" i="0" baseline="0">
                    <a:effectLst/>
                  </a:rPr>
                  <a:t>(GC-MS response)/</a:t>
                </a:r>
                <a:br>
                  <a:rPr lang="en-US" sz="1800" b="1" i="0" baseline="0">
                    <a:effectLst/>
                  </a:rPr>
                </a:br>
                <a:r>
                  <a:rPr lang="en-US" sz="1800" b="1" i="0" baseline="0">
                    <a:effectLst/>
                  </a:rPr>
                  <a:t>(mg biomass in pulse)</a:t>
                </a:r>
                <a:endParaRPr lang="en-US">
                  <a:effectLst/>
                </a:endParaRPr>
              </a:p>
            </c:rich>
          </c:tx>
          <c:layout>
            <c:manualLayout>
              <c:xMode val="edge"/>
              <c:yMode val="edge"/>
              <c:x val="0.0212113515136121"/>
              <c:y val="0.0252011011477036"/>
            </c:manualLayout>
          </c:layout>
          <c:overlay val="0"/>
        </c:title>
        <c:numFmt formatCode="General" sourceLinked="0"/>
        <c:majorTickMark val="out"/>
        <c:minorTickMark val="out"/>
        <c:tickLblPos val="nextTo"/>
        <c:txPr>
          <a:bodyPr/>
          <a:lstStyle/>
          <a:p>
            <a:pPr>
              <a:defRPr sz="1800"/>
            </a:pPr>
            <a:endParaRPr lang="en-US"/>
          </a:p>
        </c:txPr>
        <c:crossAx val="2062611200"/>
        <c:crosses val="autoZero"/>
        <c:crossBetween val="midCat"/>
      </c:valAx>
    </c:plotArea>
    <c:legend>
      <c:legendPos val="r"/>
      <c:layout>
        <c:manualLayout>
          <c:xMode val="edge"/>
          <c:yMode val="edge"/>
          <c:x val="0.223411344415281"/>
          <c:y val="0.0407496719160105"/>
          <c:w val="0.290301655001458"/>
          <c:h val="0.279925009373828"/>
        </c:manualLayout>
      </c:layout>
      <c:overlay val="0"/>
      <c:txPr>
        <a:bodyPr/>
        <a:lstStyle/>
        <a:p>
          <a:pPr>
            <a:defRPr sz="1600"/>
          </a:pPr>
          <a:endParaRPr lang="en-US"/>
        </a:p>
      </c:txPr>
    </c:legend>
    <c:plotVisOnly val="1"/>
    <c:dispBlanksAs val="gap"/>
    <c:showDLblsOverMax val="0"/>
  </c:chart>
  <c:spPr>
    <a:ln>
      <a:noFill/>
    </a:ln>
  </c:spPr>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45477630974094"/>
          <c:y val="0.0341463414634146"/>
          <c:w val="0.716341177691771"/>
          <c:h val="0.736551056117985"/>
        </c:manualLayout>
      </c:layout>
      <c:scatterChart>
        <c:scatterStyle val="lineMarker"/>
        <c:varyColors val="0"/>
        <c:ser>
          <c:idx val="0"/>
          <c:order val="0"/>
          <c:tx>
            <c:strRef>
              <c:f>'Figure S17.'!$A$2</c:f>
              <c:strCache>
                <c:ptCount val="1"/>
                <c:pt idx="0">
                  <c:v>Si/Al = 11.5</c:v>
                </c:pt>
              </c:strCache>
            </c:strRef>
          </c:tx>
          <c:spPr>
            <a:ln w="47625">
              <a:noFill/>
            </a:ln>
            <a:effectLst/>
          </c:spPr>
          <c:marker>
            <c:symbol val="triangle"/>
            <c:size val="12"/>
            <c:spPr>
              <a:noFill/>
              <a:ln>
                <a:solidFill>
                  <a:schemeClr val="tx1"/>
                </a:solidFill>
              </a:ln>
              <a:effectLst/>
            </c:spPr>
          </c:marker>
          <c:xVal>
            <c:numRef>
              <c:f>'Figure S17.'!$B$8:$K$8</c:f>
              <c:numCache>
                <c:formatCode>General</c:formatCode>
                <c:ptCount val="10"/>
                <c:pt idx="0">
                  <c:v>0.68</c:v>
                </c:pt>
                <c:pt idx="1">
                  <c:v>1.33</c:v>
                </c:pt>
                <c:pt idx="2">
                  <c:v>1.96</c:v>
                </c:pt>
                <c:pt idx="3">
                  <c:v>2.66</c:v>
                </c:pt>
                <c:pt idx="4">
                  <c:v>3.29</c:v>
                </c:pt>
                <c:pt idx="5">
                  <c:v>3.91</c:v>
                </c:pt>
                <c:pt idx="6">
                  <c:v>4.54</c:v>
                </c:pt>
                <c:pt idx="7">
                  <c:v>5.2</c:v>
                </c:pt>
                <c:pt idx="8">
                  <c:v>5.89</c:v>
                </c:pt>
                <c:pt idx="9">
                  <c:v>6.5</c:v>
                </c:pt>
              </c:numCache>
            </c:numRef>
          </c:xVal>
          <c:yVal>
            <c:numRef>
              <c:f>'Figure S17.'!$B$2:$K$2</c:f>
              <c:numCache>
                <c:formatCode>General</c:formatCode>
                <c:ptCount val="10"/>
                <c:pt idx="0">
                  <c:v>0.3584673</c:v>
                </c:pt>
                <c:pt idx="1">
                  <c:v>0.3341959</c:v>
                </c:pt>
                <c:pt idx="2">
                  <c:v>0.2874022</c:v>
                </c:pt>
                <c:pt idx="3">
                  <c:v>0.21251846</c:v>
                </c:pt>
                <c:pt idx="4">
                  <c:v>0.1751951</c:v>
                </c:pt>
                <c:pt idx="5">
                  <c:v>0.14652</c:v>
                </c:pt>
                <c:pt idx="6">
                  <c:v>0.1504635</c:v>
                </c:pt>
                <c:pt idx="7">
                  <c:v>0.12782537</c:v>
                </c:pt>
                <c:pt idx="8">
                  <c:v>0.1217692</c:v>
                </c:pt>
                <c:pt idx="9">
                  <c:v>0.1489473</c:v>
                </c:pt>
              </c:numCache>
            </c:numRef>
          </c:yVal>
          <c:smooth val="0"/>
        </c:ser>
        <c:ser>
          <c:idx val="1"/>
          <c:order val="1"/>
          <c:tx>
            <c:strRef>
              <c:f>'Figure S17.'!$A$3</c:f>
              <c:strCache>
                <c:ptCount val="1"/>
                <c:pt idx="0">
                  <c:v>Si/Al = 25</c:v>
                </c:pt>
              </c:strCache>
            </c:strRef>
          </c:tx>
          <c:spPr>
            <a:ln w="47625">
              <a:noFill/>
            </a:ln>
            <a:effectLst/>
          </c:spPr>
          <c:marker>
            <c:symbol val="circle"/>
            <c:size val="14"/>
            <c:spPr>
              <a:solidFill>
                <a:schemeClr val="tx1"/>
              </a:solidFill>
              <a:ln>
                <a:solidFill>
                  <a:schemeClr val="tx1"/>
                </a:solidFill>
              </a:ln>
              <a:effectLst/>
            </c:spPr>
          </c:marker>
          <c:xVal>
            <c:numRef>
              <c:f>'Figure S17.'!$B$9:$K$9</c:f>
              <c:numCache>
                <c:formatCode>General</c:formatCode>
                <c:ptCount val="10"/>
                <c:pt idx="0">
                  <c:v>0.65</c:v>
                </c:pt>
                <c:pt idx="1">
                  <c:v>1.27</c:v>
                </c:pt>
                <c:pt idx="2">
                  <c:v>1.96</c:v>
                </c:pt>
                <c:pt idx="3">
                  <c:v>2.63</c:v>
                </c:pt>
                <c:pt idx="4">
                  <c:v>3.25</c:v>
                </c:pt>
                <c:pt idx="5">
                  <c:v>3.92</c:v>
                </c:pt>
                <c:pt idx="6">
                  <c:v>4.659999999999996</c:v>
                </c:pt>
                <c:pt idx="7">
                  <c:v>5.38</c:v>
                </c:pt>
                <c:pt idx="8">
                  <c:v>6.01</c:v>
                </c:pt>
                <c:pt idx="9">
                  <c:v>6.67</c:v>
                </c:pt>
              </c:numCache>
            </c:numRef>
          </c:xVal>
          <c:yVal>
            <c:numRef>
              <c:f>'Figure S17.'!$B$3:$K$3</c:f>
              <c:numCache>
                <c:formatCode>General</c:formatCode>
                <c:ptCount val="10"/>
                <c:pt idx="0">
                  <c:v>0.3405483</c:v>
                </c:pt>
                <c:pt idx="1">
                  <c:v>0.5065137</c:v>
                </c:pt>
                <c:pt idx="2">
                  <c:v>0.4927112</c:v>
                </c:pt>
                <c:pt idx="3">
                  <c:v>0.36534164</c:v>
                </c:pt>
                <c:pt idx="4">
                  <c:v>0.5306163</c:v>
                </c:pt>
                <c:pt idx="5">
                  <c:v>0.4545282</c:v>
                </c:pt>
                <c:pt idx="6">
                  <c:v>0.4481146</c:v>
                </c:pt>
                <c:pt idx="7">
                  <c:v>0.396482358</c:v>
                </c:pt>
                <c:pt idx="8">
                  <c:v>0.4146137</c:v>
                </c:pt>
                <c:pt idx="9">
                  <c:v>0.318235</c:v>
                </c:pt>
              </c:numCache>
            </c:numRef>
          </c:yVal>
          <c:smooth val="0"/>
        </c:ser>
        <c:ser>
          <c:idx val="2"/>
          <c:order val="2"/>
          <c:tx>
            <c:strRef>
              <c:f>'Figure S17.'!$A$4</c:f>
              <c:strCache>
                <c:ptCount val="1"/>
                <c:pt idx="0">
                  <c:v>Si/Al = 40</c:v>
                </c:pt>
              </c:strCache>
            </c:strRef>
          </c:tx>
          <c:spPr>
            <a:ln w="47625">
              <a:noFill/>
            </a:ln>
            <a:effectLst/>
          </c:spPr>
          <c:marker>
            <c:symbol val="x"/>
            <c:size val="14"/>
            <c:spPr>
              <a:ln>
                <a:solidFill>
                  <a:sysClr val="windowText" lastClr="000000"/>
                </a:solidFill>
              </a:ln>
              <a:effectLst/>
            </c:spPr>
          </c:marker>
          <c:xVal>
            <c:numRef>
              <c:f>'Figure S17.'!$B$10:$K$10</c:f>
              <c:numCache>
                <c:formatCode>General</c:formatCode>
                <c:ptCount val="10"/>
                <c:pt idx="0">
                  <c:v>0.68</c:v>
                </c:pt>
                <c:pt idx="1">
                  <c:v>1.33</c:v>
                </c:pt>
                <c:pt idx="2">
                  <c:v>1.96</c:v>
                </c:pt>
                <c:pt idx="3">
                  <c:v>2.66</c:v>
                </c:pt>
                <c:pt idx="4">
                  <c:v>3.29</c:v>
                </c:pt>
                <c:pt idx="5">
                  <c:v>3.91</c:v>
                </c:pt>
                <c:pt idx="6">
                  <c:v>4.54</c:v>
                </c:pt>
                <c:pt idx="7">
                  <c:v>5.2</c:v>
                </c:pt>
                <c:pt idx="8">
                  <c:v>5.89</c:v>
                </c:pt>
                <c:pt idx="9">
                  <c:v>6.5</c:v>
                </c:pt>
              </c:numCache>
            </c:numRef>
          </c:xVal>
          <c:yVal>
            <c:numRef>
              <c:f>'Figure S17.'!$B$4:$K$4</c:f>
              <c:numCache>
                <c:formatCode>General</c:formatCode>
                <c:ptCount val="10"/>
                <c:pt idx="0">
                  <c:v>0.258285</c:v>
                </c:pt>
                <c:pt idx="1">
                  <c:v>0.5287577</c:v>
                </c:pt>
                <c:pt idx="2">
                  <c:v>0.4674902</c:v>
                </c:pt>
                <c:pt idx="3">
                  <c:v>0.41473143</c:v>
                </c:pt>
                <c:pt idx="4">
                  <c:v>0.4909638</c:v>
                </c:pt>
                <c:pt idx="5">
                  <c:v>0.582235</c:v>
                </c:pt>
                <c:pt idx="6">
                  <c:v>0.5111992</c:v>
                </c:pt>
                <c:pt idx="7">
                  <c:v>0.56256894</c:v>
                </c:pt>
                <c:pt idx="8">
                  <c:v>0.6364967</c:v>
                </c:pt>
                <c:pt idx="9">
                  <c:v>0.519407</c:v>
                </c:pt>
              </c:numCache>
            </c:numRef>
          </c:yVal>
          <c:smooth val="0"/>
        </c:ser>
        <c:ser>
          <c:idx val="3"/>
          <c:order val="3"/>
          <c:tx>
            <c:strRef>
              <c:f>'Figure S17.'!$A$5</c:f>
              <c:strCache>
                <c:ptCount val="1"/>
                <c:pt idx="0">
                  <c:v>No Catalyst</c:v>
                </c:pt>
              </c:strCache>
            </c:strRef>
          </c:tx>
          <c:spPr>
            <a:ln w="47625">
              <a:noFill/>
            </a:ln>
            <a:effectLst/>
          </c:spPr>
          <c:marker>
            <c:symbol val="square"/>
            <c:size val="14"/>
            <c:spPr>
              <a:solidFill>
                <a:sysClr val="windowText" lastClr="000000"/>
              </a:solidFill>
              <a:ln>
                <a:solidFill>
                  <a:sysClr val="windowText" lastClr="000000"/>
                </a:solidFill>
              </a:ln>
              <a:effectLst/>
            </c:spPr>
          </c:marker>
          <c:errBars>
            <c:errDir val="y"/>
            <c:errBarType val="both"/>
            <c:errValType val="cust"/>
            <c:noEndCap val="0"/>
            <c:plus>
              <c:numRef>
                <c:f>'Figure S17.'!$B$6</c:f>
                <c:numCache>
                  <c:formatCode>General</c:formatCode>
                  <c:ptCount val="1"/>
                  <c:pt idx="0">
                    <c:v>0.055901214</c:v>
                  </c:pt>
                </c:numCache>
              </c:numRef>
            </c:plus>
            <c:minus>
              <c:numRef>
                <c:f>'Figure S17.'!$B$6</c:f>
                <c:numCache>
                  <c:formatCode>General</c:formatCode>
                  <c:ptCount val="1"/>
                  <c:pt idx="0">
                    <c:v>0.055901214</c:v>
                  </c:pt>
                </c:numCache>
              </c:numRef>
            </c:minus>
          </c:errBars>
          <c:xVal>
            <c:numRef>
              <c:f>'Figure S17.'!$B$11</c:f>
              <c:numCache>
                <c:formatCode>General</c:formatCode>
                <c:ptCount val="1"/>
                <c:pt idx="0">
                  <c:v>6.8</c:v>
                </c:pt>
              </c:numCache>
            </c:numRef>
          </c:xVal>
          <c:yVal>
            <c:numRef>
              <c:f>'Figure S17.'!$B$5</c:f>
              <c:numCache>
                <c:formatCode>General</c:formatCode>
                <c:ptCount val="1"/>
                <c:pt idx="0">
                  <c:v>0.118898365</c:v>
                </c:pt>
              </c:numCache>
            </c:numRef>
          </c:yVal>
          <c:smooth val="0"/>
        </c:ser>
        <c:dLbls>
          <c:showLegendKey val="0"/>
          <c:showVal val="0"/>
          <c:showCatName val="0"/>
          <c:showSerName val="0"/>
          <c:showPercent val="0"/>
          <c:showBubbleSize val="0"/>
        </c:dLbls>
        <c:axId val="-2053561568"/>
        <c:axId val="-2053513296"/>
      </c:scatterChart>
      <c:valAx>
        <c:axId val="-2053561568"/>
        <c:scaling>
          <c:orientation val="minMax"/>
          <c:max val="7.0"/>
          <c:min val="0.0"/>
        </c:scaling>
        <c:delete val="0"/>
        <c:axPos val="b"/>
        <c:title>
          <c:tx>
            <c:rich>
              <a:bodyPr/>
              <a:lstStyle/>
              <a:p>
                <a:pPr>
                  <a:defRPr sz="1800"/>
                </a:pPr>
                <a:r>
                  <a:rPr lang="en-US"/>
                  <a:t>Cumulative biomass fed, mg</a:t>
                </a:r>
              </a:p>
            </c:rich>
          </c:tx>
          <c:overlay val="0"/>
        </c:title>
        <c:numFmt formatCode="General" sourceLinked="1"/>
        <c:majorTickMark val="out"/>
        <c:minorTickMark val="out"/>
        <c:tickLblPos val="nextTo"/>
        <c:txPr>
          <a:bodyPr/>
          <a:lstStyle/>
          <a:p>
            <a:pPr>
              <a:defRPr sz="1800"/>
            </a:pPr>
            <a:endParaRPr lang="en-US"/>
          </a:p>
        </c:txPr>
        <c:crossAx val="-2053513296"/>
        <c:crosses val="autoZero"/>
        <c:crossBetween val="midCat"/>
      </c:valAx>
      <c:valAx>
        <c:axId val="-2053513296"/>
        <c:scaling>
          <c:orientation val="minMax"/>
        </c:scaling>
        <c:delete val="0"/>
        <c:axPos val="l"/>
        <c:title>
          <c:tx>
            <c:rich>
              <a:bodyPr/>
              <a:lstStyle/>
              <a:p>
                <a:pPr>
                  <a:defRPr sz="1800"/>
                </a:pPr>
                <a:r>
                  <a:rPr lang="en-US" sz="1800" b="1" i="0" baseline="0">
                    <a:effectLst/>
                  </a:rPr>
                  <a:t>(GC-MS response)/</a:t>
                </a:r>
                <a:br>
                  <a:rPr lang="en-US" sz="1800" b="1" i="0" baseline="0">
                    <a:effectLst/>
                  </a:rPr>
                </a:br>
                <a:r>
                  <a:rPr lang="en-US" sz="1800" b="1" i="0" baseline="0">
                    <a:effectLst/>
                  </a:rPr>
                  <a:t>(mg biomass in pulse)</a:t>
                </a:r>
                <a:endParaRPr lang="en-US">
                  <a:effectLst/>
                </a:endParaRPr>
              </a:p>
            </c:rich>
          </c:tx>
          <c:layout>
            <c:manualLayout>
              <c:xMode val="edge"/>
              <c:yMode val="edge"/>
              <c:x val="0.0212113515136121"/>
              <c:y val="0.0252011011477036"/>
            </c:manualLayout>
          </c:layout>
          <c:overlay val="0"/>
        </c:title>
        <c:numFmt formatCode="General" sourceLinked="0"/>
        <c:majorTickMark val="out"/>
        <c:minorTickMark val="out"/>
        <c:tickLblPos val="nextTo"/>
        <c:txPr>
          <a:bodyPr/>
          <a:lstStyle/>
          <a:p>
            <a:pPr>
              <a:defRPr sz="1800"/>
            </a:pPr>
            <a:endParaRPr lang="en-US"/>
          </a:p>
        </c:txPr>
        <c:crossAx val="-2053561568"/>
        <c:crosses val="autoZero"/>
        <c:crossBetween val="midCat"/>
      </c:valAx>
    </c:plotArea>
    <c:legend>
      <c:legendPos val="r"/>
      <c:layout>
        <c:manualLayout>
          <c:xMode val="edge"/>
          <c:yMode val="edge"/>
          <c:x val="0.242282982635645"/>
          <c:y val="0.637310648668916"/>
          <c:w val="0.480116469816273"/>
          <c:h val="0.149964691913511"/>
        </c:manualLayout>
      </c:layout>
      <c:overlay val="0"/>
      <c:txPr>
        <a:bodyPr/>
        <a:lstStyle/>
        <a:p>
          <a:pPr>
            <a:defRPr sz="1600"/>
          </a:pPr>
          <a:endParaRPr lang="en-US"/>
        </a:p>
      </c:txPr>
    </c:legend>
    <c:plotVisOnly val="1"/>
    <c:dispBlanksAs val="gap"/>
    <c:showDLblsOverMax val="0"/>
  </c:chart>
  <c:spPr>
    <a:ln>
      <a:noFill/>
    </a:ln>
  </c:spPr>
  <c:externalData r:id="rId2">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45477630974094"/>
          <c:y val="0.0341463414634146"/>
          <c:w val="0.716341177691771"/>
          <c:h val="0.708773278340207"/>
        </c:manualLayout>
      </c:layout>
      <c:scatterChart>
        <c:scatterStyle val="lineMarker"/>
        <c:varyColors val="0"/>
        <c:ser>
          <c:idx val="0"/>
          <c:order val="0"/>
          <c:tx>
            <c:strRef>
              <c:f>'Figure S20.'!$A$2</c:f>
              <c:strCache>
                <c:ptCount val="1"/>
                <c:pt idx="0">
                  <c:v>Si/Al = 11.5</c:v>
                </c:pt>
              </c:strCache>
            </c:strRef>
          </c:tx>
          <c:spPr>
            <a:ln w="47625">
              <a:noFill/>
            </a:ln>
            <a:effectLst/>
          </c:spPr>
          <c:marker>
            <c:symbol val="triangle"/>
            <c:size val="12"/>
            <c:spPr>
              <a:noFill/>
              <a:ln>
                <a:solidFill>
                  <a:schemeClr val="tx1"/>
                </a:solidFill>
              </a:ln>
              <a:effectLst/>
            </c:spPr>
          </c:marker>
          <c:xVal>
            <c:numRef>
              <c:f>'Figure S20.'!$B$8:$K$8</c:f>
              <c:numCache>
                <c:formatCode>General</c:formatCode>
                <c:ptCount val="10"/>
                <c:pt idx="0">
                  <c:v>0.68</c:v>
                </c:pt>
                <c:pt idx="1">
                  <c:v>1.33</c:v>
                </c:pt>
                <c:pt idx="2">
                  <c:v>1.96</c:v>
                </c:pt>
                <c:pt idx="3">
                  <c:v>2.66</c:v>
                </c:pt>
                <c:pt idx="4">
                  <c:v>3.29</c:v>
                </c:pt>
                <c:pt idx="5">
                  <c:v>3.91</c:v>
                </c:pt>
                <c:pt idx="6">
                  <c:v>4.54</c:v>
                </c:pt>
                <c:pt idx="7">
                  <c:v>5.2</c:v>
                </c:pt>
                <c:pt idx="8">
                  <c:v>5.89</c:v>
                </c:pt>
                <c:pt idx="9">
                  <c:v>6.5</c:v>
                </c:pt>
              </c:numCache>
            </c:numRef>
          </c:xVal>
          <c:yVal>
            <c:numRef>
              <c:f>'Figure S20.'!$B$2:$K$2</c:f>
              <c:numCache>
                <c:formatCode>General</c:formatCode>
                <c:ptCount val="10"/>
                <c:pt idx="0">
                  <c:v>0.5669389</c:v>
                </c:pt>
                <c:pt idx="1">
                  <c:v>0.8427055</c:v>
                </c:pt>
                <c:pt idx="2">
                  <c:v>1.0907859</c:v>
                </c:pt>
                <c:pt idx="3">
                  <c:v>1.14536077</c:v>
                </c:pt>
                <c:pt idx="4">
                  <c:v>1.1894993</c:v>
                </c:pt>
                <c:pt idx="5">
                  <c:v>1.0590197</c:v>
                </c:pt>
                <c:pt idx="6">
                  <c:v>0.9939426</c:v>
                </c:pt>
                <c:pt idx="7">
                  <c:v>0.93027254</c:v>
                </c:pt>
                <c:pt idx="8">
                  <c:v>0.8153939</c:v>
                </c:pt>
                <c:pt idx="9">
                  <c:v>0.8944227</c:v>
                </c:pt>
              </c:numCache>
            </c:numRef>
          </c:yVal>
          <c:smooth val="0"/>
        </c:ser>
        <c:ser>
          <c:idx val="1"/>
          <c:order val="1"/>
          <c:tx>
            <c:strRef>
              <c:f>'Figure S20.'!$A$3</c:f>
              <c:strCache>
                <c:ptCount val="1"/>
                <c:pt idx="0">
                  <c:v>Si/Al = 25</c:v>
                </c:pt>
              </c:strCache>
            </c:strRef>
          </c:tx>
          <c:spPr>
            <a:ln w="47625">
              <a:noFill/>
            </a:ln>
            <a:effectLst/>
          </c:spPr>
          <c:marker>
            <c:symbol val="circle"/>
            <c:size val="14"/>
            <c:spPr>
              <a:solidFill>
                <a:schemeClr val="tx1"/>
              </a:solidFill>
              <a:ln>
                <a:solidFill>
                  <a:schemeClr val="tx1"/>
                </a:solidFill>
              </a:ln>
              <a:effectLst/>
            </c:spPr>
          </c:marker>
          <c:xVal>
            <c:numRef>
              <c:f>'Figure S20.'!$B$9:$K$9</c:f>
              <c:numCache>
                <c:formatCode>General</c:formatCode>
                <c:ptCount val="10"/>
                <c:pt idx="0">
                  <c:v>0.65</c:v>
                </c:pt>
                <c:pt idx="1">
                  <c:v>1.27</c:v>
                </c:pt>
                <c:pt idx="2">
                  <c:v>1.96</c:v>
                </c:pt>
                <c:pt idx="3">
                  <c:v>2.63</c:v>
                </c:pt>
                <c:pt idx="4">
                  <c:v>3.25</c:v>
                </c:pt>
                <c:pt idx="5">
                  <c:v>3.92</c:v>
                </c:pt>
                <c:pt idx="6">
                  <c:v>4.659999999999996</c:v>
                </c:pt>
                <c:pt idx="7">
                  <c:v>5.38</c:v>
                </c:pt>
                <c:pt idx="8">
                  <c:v>6.01</c:v>
                </c:pt>
                <c:pt idx="9">
                  <c:v>6.67</c:v>
                </c:pt>
              </c:numCache>
            </c:numRef>
          </c:xVal>
          <c:yVal>
            <c:numRef>
              <c:f>'Figure S20.'!$B$3:$K$3</c:f>
              <c:numCache>
                <c:formatCode>General</c:formatCode>
                <c:ptCount val="10"/>
                <c:pt idx="0">
                  <c:v>0.5231465</c:v>
                </c:pt>
                <c:pt idx="1">
                  <c:v>0.7517929</c:v>
                </c:pt>
                <c:pt idx="2">
                  <c:v>0.789681</c:v>
                </c:pt>
                <c:pt idx="3">
                  <c:v>0.77853672</c:v>
                </c:pt>
                <c:pt idx="4">
                  <c:v>0.9144585</c:v>
                </c:pt>
                <c:pt idx="5">
                  <c:v>0.8485851</c:v>
                </c:pt>
                <c:pt idx="6">
                  <c:v>0.9606118</c:v>
                </c:pt>
                <c:pt idx="7">
                  <c:v>1.02130528</c:v>
                </c:pt>
                <c:pt idx="8">
                  <c:v>1.1403652</c:v>
                </c:pt>
                <c:pt idx="9">
                  <c:v>1.1565903</c:v>
                </c:pt>
              </c:numCache>
            </c:numRef>
          </c:yVal>
          <c:smooth val="0"/>
        </c:ser>
        <c:ser>
          <c:idx val="2"/>
          <c:order val="2"/>
          <c:tx>
            <c:strRef>
              <c:f>'Figure S20.'!$A$4</c:f>
              <c:strCache>
                <c:ptCount val="1"/>
                <c:pt idx="0">
                  <c:v>Si/Al = 40</c:v>
                </c:pt>
              </c:strCache>
            </c:strRef>
          </c:tx>
          <c:spPr>
            <a:ln w="47625">
              <a:noFill/>
            </a:ln>
            <a:effectLst/>
          </c:spPr>
          <c:marker>
            <c:symbol val="x"/>
            <c:size val="14"/>
            <c:spPr>
              <a:ln>
                <a:solidFill>
                  <a:sysClr val="windowText" lastClr="000000"/>
                </a:solidFill>
              </a:ln>
              <a:effectLst/>
            </c:spPr>
          </c:marker>
          <c:xVal>
            <c:numRef>
              <c:f>'Figure S20.'!$B$10:$K$10</c:f>
              <c:numCache>
                <c:formatCode>General</c:formatCode>
                <c:ptCount val="10"/>
                <c:pt idx="0">
                  <c:v>0.68</c:v>
                </c:pt>
                <c:pt idx="1">
                  <c:v>1.33</c:v>
                </c:pt>
                <c:pt idx="2">
                  <c:v>1.96</c:v>
                </c:pt>
                <c:pt idx="3">
                  <c:v>2.66</c:v>
                </c:pt>
                <c:pt idx="4">
                  <c:v>3.29</c:v>
                </c:pt>
                <c:pt idx="5">
                  <c:v>3.91</c:v>
                </c:pt>
                <c:pt idx="6">
                  <c:v>4.54</c:v>
                </c:pt>
                <c:pt idx="7">
                  <c:v>5.2</c:v>
                </c:pt>
                <c:pt idx="8">
                  <c:v>5.89</c:v>
                </c:pt>
                <c:pt idx="9">
                  <c:v>6.5</c:v>
                </c:pt>
              </c:numCache>
            </c:numRef>
          </c:xVal>
          <c:yVal>
            <c:numRef>
              <c:f>'Figure S20.'!$B$4:$K$4</c:f>
              <c:numCache>
                <c:formatCode>General</c:formatCode>
                <c:ptCount val="10"/>
                <c:pt idx="0">
                  <c:v>0.598234</c:v>
                </c:pt>
                <c:pt idx="1">
                  <c:v>0.881694</c:v>
                </c:pt>
                <c:pt idx="2">
                  <c:v>0.7588017</c:v>
                </c:pt>
                <c:pt idx="3">
                  <c:v>0.73975957</c:v>
                </c:pt>
                <c:pt idx="4">
                  <c:v>0.8232433</c:v>
                </c:pt>
                <c:pt idx="5">
                  <c:v>0.8277103</c:v>
                </c:pt>
                <c:pt idx="6">
                  <c:v>0.7802511</c:v>
                </c:pt>
                <c:pt idx="7">
                  <c:v>0.94633758</c:v>
                </c:pt>
                <c:pt idx="8">
                  <c:v>1.0688186</c:v>
                </c:pt>
                <c:pt idx="9">
                  <c:v>0.9662854</c:v>
                </c:pt>
              </c:numCache>
            </c:numRef>
          </c:yVal>
          <c:smooth val="0"/>
        </c:ser>
        <c:ser>
          <c:idx val="3"/>
          <c:order val="3"/>
          <c:tx>
            <c:strRef>
              <c:f>'Figure S20.'!$A$5</c:f>
              <c:strCache>
                <c:ptCount val="1"/>
                <c:pt idx="0">
                  <c:v>No Catalyst</c:v>
                </c:pt>
              </c:strCache>
            </c:strRef>
          </c:tx>
          <c:spPr>
            <a:ln w="47625">
              <a:noFill/>
            </a:ln>
            <a:effectLst/>
          </c:spPr>
          <c:marker>
            <c:symbol val="square"/>
            <c:size val="14"/>
            <c:spPr>
              <a:solidFill>
                <a:sysClr val="windowText" lastClr="000000"/>
              </a:solidFill>
              <a:ln>
                <a:solidFill>
                  <a:sysClr val="windowText" lastClr="000000"/>
                </a:solidFill>
              </a:ln>
              <a:effectLst/>
            </c:spPr>
          </c:marker>
          <c:errBars>
            <c:errDir val="y"/>
            <c:errBarType val="both"/>
            <c:errValType val="cust"/>
            <c:noEndCap val="0"/>
            <c:plus>
              <c:numRef>
                <c:f>'Figure S20.'!$B$6</c:f>
                <c:numCache>
                  <c:formatCode>General</c:formatCode>
                  <c:ptCount val="1"/>
                  <c:pt idx="0">
                    <c:v>0.076592998</c:v>
                  </c:pt>
                </c:numCache>
              </c:numRef>
            </c:plus>
            <c:minus>
              <c:numRef>
                <c:f>'Figure S20.'!$B$6</c:f>
                <c:numCache>
                  <c:formatCode>General</c:formatCode>
                  <c:ptCount val="1"/>
                  <c:pt idx="0">
                    <c:v>0.076592998</c:v>
                  </c:pt>
                </c:numCache>
              </c:numRef>
            </c:minus>
          </c:errBars>
          <c:xVal>
            <c:numRef>
              <c:f>'Figure S20.'!$B$11</c:f>
              <c:numCache>
                <c:formatCode>General</c:formatCode>
                <c:ptCount val="1"/>
                <c:pt idx="0">
                  <c:v>6.8</c:v>
                </c:pt>
              </c:numCache>
            </c:numRef>
          </c:xVal>
          <c:yVal>
            <c:numRef>
              <c:f>'Figure S20.'!$B$5</c:f>
              <c:numCache>
                <c:formatCode>General</c:formatCode>
                <c:ptCount val="1"/>
                <c:pt idx="0">
                  <c:v>0.138870473</c:v>
                </c:pt>
              </c:numCache>
            </c:numRef>
          </c:yVal>
          <c:smooth val="0"/>
        </c:ser>
        <c:dLbls>
          <c:showLegendKey val="0"/>
          <c:showVal val="0"/>
          <c:showCatName val="0"/>
          <c:showSerName val="0"/>
          <c:showPercent val="0"/>
          <c:showBubbleSize val="0"/>
        </c:dLbls>
        <c:axId val="-2100401712"/>
        <c:axId val="-2036076416"/>
      </c:scatterChart>
      <c:valAx>
        <c:axId val="-2100401712"/>
        <c:scaling>
          <c:orientation val="minMax"/>
          <c:max val="7.0"/>
          <c:min val="0.0"/>
        </c:scaling>
        <c:delete val="0"/>
        <c:axPos val="b"/>
        <c:title>
          <c:tx>
            <c:rich>
              <a:bodyPr/>
              <a:lstStyle/>
              <a:p>
                <a:pPr>
                  <a:defRPr sz="1800"/>
                </a:pPr>
                <a:r>
                  <a:rPr lang="en-US"/>
                  <a:t>Cumulative biomass fed, mg</a:t>
                </a:r>
              </a:p>
            </c:rich>
          </c:tx>
          <c:overlay val="0"/>
        </c:title>
        <c:numFmt formatCode="General" sourceLinked="1"/>
        <c:majorTickMark val="out"/>
        <c:minorTickMark val="out"/>
        <c:tickLblPos val="nextTo"/>
        <c:txPr>
          <a:bodyPr/>
          <a:lstStyle/>
          <a:p>
            <a:pPr>
              <a:defRPr sz="1800"/>
            </a:pPr>
            <a:endParaRPr lang="en-US"/>
          </a:p>
        </c:txPr>
        <c:crossAx val="-2036076416"/>
        <c:crosses val="autoZero"/>
        <c:crossBetween val="midCat"/>
      </c:valAx>
      <c:valAx>
        <c:axId val="-2036076416"/>
        <c:scaling>
          <c:orientation val="minMax"/>
        </c:scaling>
        <c:delete val="0"/>
        <c:axPos val="l"/>
        <c:title>
          <c:tx>
            <c:rich>
              <a:bodyPr/>
              <a:lstStyle/>
              <a:p>
                <a:pPr>
                  <a:defRPr sz="1800"/>
                </a:pPr>
                <a:r>
                  <a:rPr lang="en-US" sz="1800" b="1" i="0" baseline="0">
                    <a:effectLst/>
                  </a:rPr>
                  <a:t>(GC-MS response)/</a:t>
                </a:r>
                <a:br>
                  <a:rPr lang="en-US" sz="1800" b="1" i="0" baseline="0">
                    <a:effectLst/>
                  </a:rPr>
                </a:br>
                <a:r>
                  <a:rPr lang="en-US" sz="1800" b="1" i="0" baseline="0">
                    <a:effectLst/>
                  </a:rPr>
                  <a:t>(mg biomass in pulse)</a:t>
                </a:r>
                <a:endParaRPr lang="en-US">
                  <a:effectLst/>
                </a:endParaRPr>
              </a:p>
            </c:rich>
          </c:tx>
          <c:layout>
            <c:manualLayout>
              <c:xMode val="edge"/>
              <c:yMode val="edge"/>
              <c:x val="0.0212113515136121"/>
              <c:y val="0.0252011011477036"/>
            </c:manualLayout>
          </c:layout>
          <c:overlay val="0"/>
        </c:title>
        <c:numFmt formatCode="General" sourceLinked="0"/>
        <c:majorTickMark val="out"/>
        <c:minorTickMark val="out"/>
        <c:tickLblPos val="nextTo"/>
        <c:txPr>
          <a:bodyPr/>
          <a:lstStyle/>
          <a:p>
            <a:pPr>
              <a:defRPr sz="1800"/>
            </a:pPr>
            <a:endParaRPr lang="en-US"/>
          </a:p>
        </c:txPr>
        <c:crossAx val="-2100401712"/>
        <c:crosses val="autoZero"/>
        <c:crossBetween val="midCat"/>
      </c:valAx>
    </c:plotArea>
    <c:legend>
      <c:legendPos val="r"/>
      <c:layout>
        <c:manualLayout>
          <c:xMode val="edge"/>
          <c:yMode val="edge"/>
          <c:x val="0.242416625887866"/>
          <c:y val="0.574694100737408"/>
          <c:w val="0.531630818393463"/>
          <c:h val="0.177081302337208"/>
        </c:manualLayout>
      </c:layout>
      <c:overlay val="0"/>
      <c:txPr>
        <a:bodyPr/>
        <a:lstStyle/>
        <a:p>
          <a:pPr>
            <a:defRPr sz="1600"/>
          </a:pPr>
          <a:endParaRPr lang="en-US"/>
        </a:p>
      </c:txPr>
    </c:legend>
    <c:plotVisOnly val="1"/>
    <c:dispBlanksAs val="gap"/>
    <c:showDLblsOverMax val="0"/>
  </c:chart>
  <c:spPr>
    <a:ln>
      <a:noFill/>
    </a:ln>
  </c:spPr>
  <c:externalData r:id="rId2">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45477630974094"/>
          <c:y val="0.0341463414634146"/>
          <c:w val="0.716341177691771"/>
          <c:h val="0.756392325959255"/>
        </c:manualLayout>
      </c:layout>
      <c:scatterChart>
        <c:scatterStyle val="lineMarker"/>
        <c:varyColors val="0"/>
        <c:ser>
          <c:idx val="0"/>
          <c:order val="0"/>
          <c:tx>
            <c:strRef>
              <c:f>'Figure S21.'!$A$2</c:f>
              <c:strCache>
                <c:ptCount val="1"/>
                <c:pt idx="0">
                  <c:v>Si/Al = 11.5</c:v>
                </c:pt>
              </c:strCache>
            </c:strRef>
          </c:tx>
          <c:spPr>
            <a:ln w="47625">
              <a:noFill/>
            </a:ln>
            <a:effectLst/>
          </c:spPr>
          <c:marker>
            <c:symbol val="triangle"/>
            <c:size val="12"/>
            <c:spPr>
              <a:noFill/>
              <a:ln>
                <a:solidFill>
                  <a:schemeClr val="tx1"/>
                </a:solidFill>
              </a:ln>
              <a:effectLst/>
            </c:spPr>
          </c:marker>
          <c:xVal>
            <c:numRef>
              <c:f>'Figure S21.'!$B$8:$K$8</c:f>
              <c:numCache>
                <c:formatCode>General</c:formatCode>
                <c:ptCount val="10"/>
                <c:pt idx="0">
                  <c:v>0.68</c:v>
                </c:pt>
                <c:pt idx="1">
                  <c:v>1.33</c:v>
                </c:pt>
                <c:pt idx="2">
                  <c:v>1.96</c:v>
                </c:pt>
                <c:pt idx="3">
                  <c:v>2.66</c:v>
                </c:pt>
                <c:pt idx="4">
                  <c:v>3.29</c:v>
                </c:pt>
                <c:pt idx="5">
                  <c:v>3.91</c:v>
                </c:pt>
                <c:pt idx="6">
                  <c:v>4.54</c:v>
                </c:pt>
                <c:pt idx="7">
                  <c:v>5.2</c:v>
                </c:pt>
                <c:pt idx="8">
                  <c:v>5.89</c:v>
                </c:pt>
                <c:pt idx="9">
                  <c:v>6.5</c:v>
                </c:pt>
              </c:numCache>
            </c:numRef>
          </c:xVal>
          <c:yVal>
            <c:numRef>
              <c:f>'Figure S21.'!$B$2:$K$2</c:f>
              <c:numCache>
                <c:formatCode>General</c:formatCode>
                <c:ptCount val="10"/>
                <c:pt idx="0">
                  <c:v>0.084230571</c:v>
                </c:pt>
                <c:pt idx="1">
                  <c:v>0.200015211</c:v>
                </c:pt>
                <c:pt idx="2">
                  <c:v>0.374994559</c:v>
                </c:pt>
                <c:pt idx="3">
                  <c:v>0.472614308</c:v>
                </c:pt>
                <c:pt idx="4">
                  <c:v>0.706833944</c:v>
                </c:pt>
                <c:pt idx="5">
                  <c:v>0.774374783</c:v>
                </c:pt>
                <c:pt idx="6">
                  <c:v>0.883763539</c:v>
                </c:pt>
                <c:pt idx="7">
                  <c:v>0.914259105</c:v>
                </c:pt>
                <c:pt idx="8">
                  <c:v>0.999332813</c:v>
                </c:pt>
                <c:pt idx="9">
                  <c:v>1.175521</c:v>
                </c:pt>
              </c:numCache>
            </c:numRef>
          </c:yVal>
          <c:smooth val="0"/>
        </c:ser>
        <c:ser>
          <c:idx val="1"/>
          <c:order val="1"/>
          <c:tx>
            <c:strRef>
              <c:f>'Figure S21.'!$A$3</c:f>
              <c:strCache>
                <c:ptCount val="1"/>
                <c:pt idx="0">
                  <c:v>Si/Al = 25</c:v>
                </c:pt>
              </c:strCache>
            </c:strRef>
          </c:tx>
          <c:spPr>
            <a:ln w="47625">
              <a:noFill/>
            </a:ln>
            <a:effectLst/>
          </c:spPr>
          <c:marker>
            <c:symbol val="circle"/>
            <c:size val="14"/>
            <c:spPr>
              <a:solidFill>
                <a:schemeClr val="tx1"/>
              </a:solidFill>
              <a:ln>
                <a:solidFill>
                  <a:schemeClr val="tx1"/>
                </a:solidFill>
              </a:ln>
              <a:effectLst/>
            </c:spPr>
          </c:marker>
          <c:xVal>
            <c:numRef>
              <c:f>'Figure S21.'!$B$9:$K$9</c:f>
              <c:numCache>
                <c:formatCode>General</c:formatCode>
                <c:ptCount val="10"/>
                <c:pt idx="0">
                  <c:v>0.65</c:v>
                </c:pt>
                <c:pt idx="1">
                  <c:v>1.27</c:v>
                </c:pt>
                <c:pt idx="2">
                  <c:v>1.96</c:v>
                </c:pt>
                <c:pt idx="3">
                  <c:v>2.63</c:v>
                </c:pt>
                <c:pt idx="4">
                  <c:v>3.25</c:v>
                </c:pt>
                <c:pt idx="5">
                  <c:v>3.92</c:v>
                </c:pt>
                <c:pt idx="6">
                  <c:v>4.659999999999996</c:v>
                </c:pt>
                <c:pt idx="7">
                  <c:v>5.38</c:v>
                </c:pt>
                <c:pt idx="8">
                  <c:v>6.01</c:v>
                </c:pt>
                <c:pt idx="9">
                  <c:v>6.67</c:v>
                </c:pt>
              </c:numCache>
            </c:numRef>
          </c:xVal>
          <c:yVal>
            <c:numRef>
              <c:f>'Figure S21.'!$B$3:$K$3</c:f>
              <c:numCache>
                <c:formatCode>General</c:formatCode>
                <c:ptCount val="10"/>
                <c:pt idx="0">
                  <c:v>0.072805538</c:v>
                </c:pt>
                <c:pt idx="1">
                  <c:v>0.208177097</c:v>
                </c:pt>
                <c:pt idx="2">
                  <c:v>0.269824783</c:v>
                </c:pt>
                <c:pt idx="3">
                  <c:v>0.322942836</c:v>
                </c:pt>
                <c:pt idx="4">
                  <c:v>0.47059</c:v>
                </c:pt>
                <c:pt idx="5">
                  <c:v>0.430843134</c:v>
                </c:pt>
                <c:pt idx="6">
                  <c:v>0.511031351</c:v>
                </c:pt>
                <c:pt idx="7">
                  <c:v>0.447529583</c:v>
                </c:pt>
                <c:pt idx="8">
                  <c:v>0.560932222</c:v>
                </c:pt>
                <c:pt idx="9">
                  <c:v>0.467387727</c:v>
                </c:pt>
              </c:numCache>
            </c:numRef>
          </c:yVal>
          <c:smooth val="0"/>
        </c:ser>
        <c:ser>
          <c:idx val="2"/>
          <c:order val="2"/>
          <c:tx>
            <c:strRef>
              <c:f>'Figure S21.'!$A$4</c:f>
              <c:strCache>
                <c:ptCount val="1"/>
                <c:pt idx="0">
                  <c:v>Si/Al = 40</c:v>
                </c:pt>
              </c:strCache>
            </c:strRef>
          </c:tx>
          <c:spPr>
            <a:ln w="47625">
              <a:noFill/>
            </a:ln>
            <a:effectLst/>
          </c:spPr>
          <c:marker>
            <c:symbol val="x"/>
            <c:size val="14"/>
            <c:spPr>
              <a:ln>
                <a:solidFill>
                  <a:sysClr val="windowText" lastClr="000000"/>
                </a:solidFill>
              </a:ln>
              <a:effectLst/>
            </c:spPr>
          </c:marker>
          <c:xVal>
            <c:numRef>
              <c:f>'Figure S21.'!$B$10:$K$10</c:f>
              <c:numCache>
                <c:formatCode>General</c:formatCode>
                <c:ptCount val="10"/>
                <c:pt idx="0">
                  <c:v>0.68</c:v>
                </c:pt>
                <c:pt idx="1">
                  <c:v>1.33</c:v>
                </c:pt>
                <c:pt idx="2">
                  <c:v>1.96</c:v>
                </c:pt>
                <c:pt idx="3">
                  <c:v>2.66</c:v>
                </c:pt>
                <c:pt idx="4">
                  <c:v>3.29</c:v>
                </c:pt>
                <c:pt idx="5">
                  <c:v>3.91</c:v>
                </c:pt>
                <c:pt idx="6">
                  <c:v>4.54</c:v>
                </c:pt>
                <c:pt idx="7">
                  <c:v>5.2</c:v>
                </c:pt>
                <c:pt idx="8">
                  <c:v>5.89</c:v>
                </c:pt>
                <c:pt idx="9">
                  <c:v>6.5</c:v>
                </c:pt>
              </c:numCache>
            </c:numRef>
          </c:xVal>
          <c:yVal>
            <c:numRef>
              <c:f>'Figure S21.'!$B$4:$K$4</c:f>
              <c:numCache>
                <c:formatCode>General</c:formatCode>
                <c:ptCount val="10"/>
                <c:pt idx="0">
                  <c:v>0.071273088</c:v>
                </c:pt>
                <c:pt idx="1">
                  <c:v>0.206920462</c:v>
                </c:pt>
                <c:pt idx="2">
                  <c:v>0.229265556</c:v>
                </c:pt>
                <c:pt idx="3">
                  <c:v>0.248265714</c:v>
                </c:pt>
                <c:pt idx="4">
                  <c:v>0.302792698</c:v>
                </c:pt>
                <c:pt idx="5">
                  <c:v>0.414666613</c:v>
                </c:pt>
                <c:pt idx="6">
                  <c:v>0.387041587</c:v>
                </c:pt>
                <c:pt idx="7">
                  <c:v>0.449795606</c:v>
                </c:pt>
                <c:pt idx="8">
                  <c:v>0.55637971</c:v>
                </c:pt>
                <c:pt idx="9">
                  <c:v>0.50990459</c:v>
                </c:pt>
              </c:numCache>
            </c:numRef>
          </c:yVal>
          <c:smooth val="0"/>
        </c:ser>
        <c:ser>
          <c:idx val="3"/>
          <c:order val="3"/>
          <c:tx>
            <c:strRef>
              <c:f>'Figure S21.'!$A$5</c:f>
              <c:strCache>
                <c:ptCount val="1"/>
                <c:pt idx="0">
                  <c:v>No Catalyst</c:v>
                </c:pt>
              </c:strCache>
            </c:strRef>
          </c:tx>
          <c:spPr>
            <a:ln w="47625">
              <a:noFill/>
            </a:ln>
            <a:effectLst/>
          </c:spPr>
          <c:marker>
            <c:symbol val="square"/>
            <c:size val="14"/>
            <c:spPr>
              <a:solidFill>
                <a:sysClr val="windowText" lastClr="000000"/>
              </a:solidFill>
              <a:ln>
                <a:solidFill>
                  <a:sysClr val="windowText" lastClr="000000"/>
                </a:solidFill>
              </a:ln>
              <a:effectLst/>
            </c:spPr>
          </c:marker>
          <c:errBars>
            <c:errDir val="y"/>
            <c:errBarType val="both"/>
            <c:errValType val="cust"/>
            <c:noEndCap val="0"/>
            <c:plus>
              <c:numRef>
                <c:f>'Figure S21.'!$B$6</c:f>
                <c:numCache>
                  <c:formatCode>General</c:formatCode>
                  <c:ptCount val="1"/>
                  <c:pt idx="0">
                    <c:v>0.093883908</c:v>
                  </c:pt>
                </c:numCache>
              </c:numRef>
            </c:plus>
            <c:minus>
              <c:numRef>
                <c:f>'Figure S21.'!$B$6</c:f>
                <c:numCache>
                  <c:formatCode>General</c:formatCode>
                  <c:ptCount val="1"/>
                  <c:pt idx="0">
                    <c:v>0.093883908</c:v>
                  </c:pt>
                </c:numCache>
              </c:numRef>
            </c:minus>
          </c:errBars>
          <c:xVal>
            <c:numRef>
              <c:f>'Figure S21.'!$B$11</c:f>
              <c:numCache>
                <c:formatCode>General</c:formatCode>
                <c:ptCount val="1"/>
                <c:pt idx="0">
                  <c:v>6.8</c:v>
                </c:pt>
              </c:numCache>
            </c:numRef>
          </c:xVal>
          <c:yVal>
            <c:numRef>
              <c:f>'Figure S21.'!$B$5</c:f>
              <c:numCache>
                <c:formatCode>General</c:formatCode>
                <c:ptCount val="1"/>
                <c:pt idx="0">
                  <c:v>1.050488104</c:v>
                </c:pt>
              </c:numCache>
            </c:numRef>
          </c:yVal>
          <c:smooth val="0"/>
        </c:ser>
        <c:dLbls>
          <c:showLegendKey val="0"/>
          <c:showVal val="0"/>
          <c:showCatName val="0"/>
          <c:showSerName val="0"/>
          <c:showPercent val="0"/>
          <c:showBubbleSize val="0"/>
        </c:dLbls>
        <c:axId val="-2101580080"/>
        <c:axId val="-2101746800"/>
      </c:scatterChart>
      <c:valAx>
        <c:axId val="-2101580080"/>
        <c:scaling>
          <c:orientation val="minMax"/>
          <c:max val="7.0"/>
          <c:min val="0.0"/>
        </c:scaling>
        <c:delete val="0"/>
        <c:axPos val="b"/>
        <c:title>
          <c:tx>
            <c:rich>
              <a:bodyPr/>
              <a:lstStyle/>
              <a:p>
                <a:pPr>
                  <a:defRPr sz="1800"/>
                </a:pPr>
                <a:r>
                  <a:rPr lang="en-US"/>
                  <a:t>Cumulative biomass fed, mg</a:t>
                </a:r>
              </a:p>
            </c:rich>
          </c:tx>
          <c:overlay val="0"/>
        </c:title>
        <c:numFmt formatCode="General" sourceLinked="1"/>
        <c:majorTickMark val="out"/>
        <c:minorTickMark val="out"/>
        <c:tickLblPos val="nextTo"/>
        <c:txPr>
          <a:bodyPr/>
          <a:lstStyle/>
          <a:p>
            <a:pPr>
              <a:defRPr sz="1800"/>
            </a:pPr>
            <a:endParaRPr lang="en-US"/>
          </a:p>
        </c:txPr>
        <c:crossAx val="-2101746800"/>
        <c:crosses val="autoZero"/>
        <c:crossBetween val="midCat"/>
      </c:valAx>
      <c:valAx>
        <c:axId val="-2101746800"/>
        <c:scaling>
          <c:orientation val="minMax"/>
        </c:scaling>
        <c:delete val="0"/>
        <c:axPos val="l"/>
        <c:title>
          <c:tx>
            <c:rich>
              <a:bodyPr/>
              <a:lstStyle/>
              <a:p>
                <a:pPr>
                  <a:defRPr sz="1800"/>
                </a:pPr>
                <a:r>
                  <a:rPr lang="en-US" sz="1800" b="1" i="0" baseline="0">
                    <a:effectLst/>
                  </a:rPr>
                  <a:t>(GC-MS response)/</a:t>
                </a:r>
                <a:br>
                  <a:rPr lang="en-US" sz="1800" b="1" i="0" baseline="0">
                    <a:effectLst/>
                  </a:rPr>
                </a:br>
                <a:r>
                  <a:rPr lang="en-US" sz="1800" b="1" i="0" baseline="0">
                    <a:effectLst/>
                  </a:rPr>
                  <a:t>(mg biomass in pulse)</a:t>
                </a:r>
                <a:endParaRPr lang="en-US">
                  <a:effectLst/>
                </a:endParaRPr>
              </a:p>
            </c:rich>
          </c:tx>
          <c:layout>
            <c:manualLayout>
              <c:xMode val="edge"/>
              <c:yMode val="edge"/>
              <c:x val="0.0212113515136121"/>
              <c:y val="0.0252011011477036"/>
            </c:manualLayout>
          </c:layout>
          <c:overlay val="0"/>
        </c:title>
        <c:numFmt formatCode="General" sourceLinked="0"/>
        <c:majorTickMark val="out"/>
        <c:minorTickMark val="out"/>
        <c:tickLblPos val="nextTo"/>
        <c:txPr>
          <a:bodyPr/>
          <a:lstStyle/>
          <a:p>
            <a:pPr>
              <a:defRPr sz="1800"/>
            </a:pPr>
            <a:endParaRPr lang="en-US"/>
          </a:p>
        </c:txPr>
        <c:crossAx val="-2101580080"/>
        <c:crosses val="autoZero"/>
        <c:crossBetween val="midCat"/>
      </c:valAx>
    </c:plotArea>
    <c:legend>
      <c:legendPos val="r"/>
      <c:layout>
        <c:manualLayout>
          <c:xMode val="edge"/>
          <c:yMode val="edge"/>
          <c:x val="0.227939268008166"/>
          <c:y val="0.0432788349372995"/>
          <c:w val="0.52347023888963"/>
          <c:h val="0.185678977627797"/>
        </c:manualLayout>
      </c:layout>
      <c:overlay val="0"/>
      <c:txPr>
        <a:bodyPr/>
        <a:lstStyle/>
        <a:p>
          <a:pPr>
            <a:defRPr sz="1600"/>
          </a:pPr>
          <a:endParaRPr lang="en-US"/>
        </a:p>
      </c:txPr>
    </c:legend>
    <c:plotVisOnly val="1"/>
    <c:dispBlanksAs val="gap"/>
    <c:showDLblsOverMax val="0"/>
  </c:chart>
  <c:spPr>
    <a:ln>
      <a:noFill/>
    </a:ln>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10657635972938"/>
          <c:y val="0.0341463414634146"/>
          <c:w val="0.768010842906932"/>
          <c:h val="0.820277831124768"/>
        </c:manualLayout>
      </c:layout>
      <c:barChart>
        <c:barDir val="col"/>
        <c:grouping val="clustered"/>
        <c:varyColors val="0"/>
        <c:ser>
          <c:idx val="0"/>
          <c:order val="0"/>
          <c:tx>
            <c:strRef>
              <c:f>'Figure 2'!$B$1</c:f>
              <c:strCache>
                <c:ptCount val="1"/>
                <c:pt idx="0">
                  <c:v>CH₄</c:v>
                </c:pt>
              </c:strCache>
            </c:strRef>
          </c:tx>
          <c:spPr>
            <a:pattFill prst="dkDnDiag">
              <a:fgClr>
                <a:sysClr val="windowText" lastClr="000000"/>
              </a:fgClr>
              <a:bgClr>
                <a:prstClr val="white"/>
              </a:bgClr>
            </a:pattFill>
            <a:ln w="12700">
              <a:solidFill>
                <a:sysClr val="windowText" lastClr="000000"/>
              </a:solidFill>
            </a:ln>
            <a:effectLst/>
          </c:spPr>
          <c:invertIfNegative val="0"/>
          <c:errBars>
            <c:errBarType val="both"/>
            <c:errValType val="cust"/>
            <c:noEndCap val="0"/>
            <c:plus>
              <c:numRef>
                <c:f>'Figure 2'!$B$10:$B$13</c:f>
                <c:numCache>
                  <c:formatCode>General</c:formatCode>
                  <c:ptCount val="4"/>
                  <c:pt idx="0">
                    <c:v>0.000615032</c:v>
                  </c:pt>
                  <c:pt idx="1">
                    <c:v>0.00189319</c:v>
                  </c:pt>
                  <c:pt idx="2">
                    <c:v>5.36222E-5</c:v>
                  </c:pt>
                  <c:pt idx="3">
                    <c:v>0.001504403</c:v>
                  </c:pt>
                </c:numCache>
              </c:numRef>
            </c:plus>
            <c:minus>
              <c:numRef>
                <c:f>'Figure 2'!$B$10:$B$13</c:f>
                <c:numCache>
                  <c:formatCode>General</c:formatCode>
                  <c:ptCount val="4"/>
                  <c:pt idx="0">
                    <c:v>0.000615032</c:v>
                  </c:pt>
                  <c:pt idx="1">
                    <c:v>0.00189319</c:v>
                  </c:pt>
                  <c:pt idx="2">
                    <c:v>5.36222E-5</c:v>
                  </c:pt>
                  <c:pt idx="3">
                    <c:v>0.001504403</c:v>
                  </c:pt>
                </c:numCache>
              </c:numRef>
            </c:minus>
          </c:errBars>
          <c:cat>
            <c:strRef>
              <c:f>'Figure 2'!$A$2:$A$5</c:f>
              <c:strCache>
                <c:ptCount val="4"/>
                <c:pt idx="0">
                  <c:v>400°C</c:v>
                </c:pt>
                <c:pt idx="1">
                  <c:v>500°C</c:v>
                </c:pt>
                <c:pt idx="2">
                  <c:v>600°C</c:v>
                </c:pt>
                <c:pt idx="3">
                  <c:v>No Catalyst</c:v>
                </c:pt>
              </c:strCache>
            </c:strRef>
          </c:cat>
          <c:val>
            <c:numRef>
              <c:f>'Figure 2'!$B$2:$B$5</c:f>
              <c:numCache>
                <c:formatCode>General</c:formatCode>
                <c:ptCount val="4"/>
                <c:pt idx="0">
                  <c:v>0.012557823</c:v>
                </c:pt>
                <c:pt idx="1">
                  <c:v>0.011987581</c:v>
                </c:pt>
                <c:pt idx="2">
                  <c:v>0.023644652</c:v>
                </c:pt>
                <c:pt idx="3">
                  <c:v>0.0111</c:v>
                </c:pt>
              </c:numCache>
            </c:numRef>
          </c:val>
        </c:ser>
        <c:ser>
          <c:idx val="1"/>
          <c:order val="1"/>
          <c:tx>
            <c:strRef>
              <c:f>'Figure 2'!$C$1</c:f>
              <c:strCache>
                <c:ptCount val="1"/>
                <c:pt idx="0">
                  <c:v>CO</c:v>
                </c:pt>
              </c:strCache>
            </c:strRef>
          </c:tx>
          <c:spPr>
            <a:pattFill prst="pct50">
              <a:fgClr>
                <a:sysClr val="windowText" lastClr="000000">
                  <a:lumMod val="65000"/>
                  <a:lumOff val="35000"/>
                </a:sysClr>
              </a:fgClr>
              <a:bgClr>
                <a:prstClr val="white"/>
              </a:bgClr>
            </a:pattFill>
            <a:ln w="12700">
              <a:solidFill>
                <a:sysClr val="windowText" lastClr="000000"/>
              </a:solidFill>
            </a:ln>
            <a:effectLst/>
          </c:spPr>
          <c:invertIfNegative val="0"/>
          <c:errBars>
            <c:errBarType val="both"/>
            <c:errValType val="cust"/>
            <c:noEndCap val="0"/>
            <c:plus>
              <c:numRef>
                <c:f>'Figure 2'!$C$10:$C$13</c:f>
                <c:numCache>
                  <c:formatCode>General</c:formatCode>
                  <c:ptCount val="4"/>
                  <c:pt idx="0">
                    <c:v>0.001020689</c:v>
                  </c:pt>
                  <c:pt idx="1">
                    <c:v>0.009735626</c:v>
                  </c:pt>
                  <c:pt idx="2">
                    <c:v>0.028790619</c:v>
                  </c:pt>
                  <c:pt idx="3">
                    <c:v>0.003485377</c:v>
                  </c:pt>
                </c:numCache>
              </c:numRef>
            </c:plus>
            <c:minus>
              <c:numRef>
                <c:f>'Figure 2'!$C$10:$C$13</c:f>
                <c:numCache>
                  <c:formatCode>General</c:formatCode>
                  <c:ptCount val="4"/>
                  <c:pt idx="0">
                    <c:v>0.001020689</c:v>
                  </c:pt>
                  <c:pt idx="1">
                    <c:v>0.009735626</c:v>
                  </c:pt>
                  <c:pt idx="2">
                    <c:v>0.028790619</c:v>
                  </c:pt>
                  <c:pt idx="3">
                    <c:v>0.003485377</c:v>
                  </c:pt>
                </c:numCache>
              </c:numRef>
            </c:minus>
          </c:errBars>
          <c:cat>
            <c:strRef>
              <c:f>'Figure 2'!$A$2:$A$5</c:f>
              <c:strCache>
                <c:ptCount val="4"/>
                <c:pt idx="0">
                  <c:v>400°C</c:v>
                </c:pt>
                <c:pt idx="1">
                  <c:v>500°C</c:v>
                </c:pt>
                <c:pt idx="2">
                  <c:v>600°C</c:v>
                </c:pt>
                <c:pt idx="3">
                  <c:v>No Catalyst</c:v>
                </c:pt>
              </c:strCache>
            </c:strRef>
          </c:cat>
          <c:val>
            <c:numRef>
              <c:f>'Figure 2'!$C$2:$C$5</c:f>
              <c:numCache>
                <c:formatCode>General</c:formatCode>
                <c:ptCount val="4"/>
                <c:pt idx="0">
                  <c:v>0.105842212</c:v>
                </c:pt>
                <c:pt idx="1">
                  <c:v>0.144048131</c:v>
                </c:pt>
                <c:pt idx="2">
                  <c:v>0.181099895</c:v>
                </c:pt>
                <c:pt idx="3">
                  <c:v>0.0722</c:v>
                </c:pt>
              </c:numCache>
            </c:numRef>
          </c:val>
        </c:ser>
        <c:ser>
          <c:idx val="2"/>
          <c:order val="2"/>
          <c:tx>
            <c:strRef>
              <c:f>'Figure 2'!$D$1</c:f>
              <c:strCache>
                <c:ptCount val="1"/>
                <c:pt idx="0">
                  <c:v>CO₂</c:v>
                </c:pt>
              </c:strCache>
            </c:strRef>
          </c:tx>
          <c:spPr>
            <a:noFill/>
            <a:ln w="3175" cmpd="sng">
              <a:solidFill>
                <a:sysClr val="windowText" lastClr="000000"/>
              </a:solidFill>
            </a:ln>
          </c:spPr>
          <c:invertIfNegative val="0"/>
          <c:errBars>
            <c:errBarType val="both"/>
            <c:errValType val="cust"/>
            <c:noEndCap val="0"/>
            <c:plus>
              <c:numRef>
                <c:f>'Figure 2'!$D$10:$D$13</c:f>
                <c:numCache>
                  <c:formatCode>General</c:formatCode>
                  <c:ptCount val="4"/>
                  <c:pt idx="0">
                    <c:v>0.013150141</c:v>
                  </c:pt>
                  <c:pt idx="1">
                    <c:v>0.013858205</c:v>
                  </c:pt>
                  <c:pt idx="2">
                    <c:v>0.044392324</c:v>
                  </c:pt>
                  <c:pt idx="3">
                    <c:v>0.0054227</c:v>
                  </c:pt>
                </c:numCache>
              </c:numRef>
            </c:plus>
            <c:minus>
              <c:numRef>
                <c:f>'Figure 2'!$D$10:$D$13</c:f>
                <c:numCache>
                  <c:formatCode>General</c:formatCode>
                  <c:ptCount val="4"/>
                  <c:pt idx="0">
                    <c:v>0.013150141</c:v>
                  </c:pt>
                  <c:pt idx="1">
                    <c:v>0.013858205</c:v>
                  </c:pt>
                  <c:pt idx="2">
                    <c:v>0.044392324</c:v>
                  </c:pt>
                  <c:pt idx="3">
                    <c:v>0.0054227</c:v>
                  </c:pt>
                </c:numCache>
              </c:numRef>
            </c:minus>
          </c:errBars>
          <c:cat>
            <c:strRef>
              <c:f>'Figure 2'!$A$2:$A$5</c:f>
              <c:strCache>
                <c:ptCount val="4"/>
                <c:pt idx="0">
                  <c:v>400°C</c:v>
                </c:pt>
                <c:pt idx="1">
                  <c:v>500°C</c:v>
                </c:pt>
                <c:pt idx="2">
                  <c:v>600°C</c:v>
                </c:pt>
                <c:pt idx="3">
                  <c:v>No Catalyst</c:v>
                </c:pt>
              </c:strCache>
            </c:strRef>
          </c:cat>
          <c:val>
            <c:numRef>
              <c:f>'Figure 2'!$D$2:$D$5</c:f>
              <c:numCache>
                <c:formatCode>General</c:formatCode>
                <c:ptCount val="4"/>
                <c:pt idx="0">
                  <c:v>0.116736395</c:v>
                </c:pt>
                <c:pt idx="1">
                  <c:v>0.11984639</c:v>
                </c:pt>
                <c:pt idx="2">
                  <c:v>0.221962799</c:v>
                </c:pt>
                <c:pt idx="3">
                  <c:v>0.1064</c:v>
                </c:pt>
              </c:numCache>
            </c:numRef>
          </c:val>
        </c:ser>
        <c:dLbls>
          <c:showLegendKey val="0"/>
          <c:showVal val="0"/>
          <c:showCatName val="0"/>
          <c:showSerName val="0"/>
          <c:showPercent val="0"/>
          <c:showBubbleSize val="0"/>
        </c:dLbls>
        <c:gapWidth val="150"/>
        <c:axId val="-2036646112"/>
        <c:axId val="-2128321296"/>
      </c:barChart>
      <c:catAx>
        <c:axId val="-2036646112"/>
        <c:scaling>
          <c:orientation val="minMax"/>
        </c:scaling>
        <c:delete val="0"/>
        <c:axPos val="b"/>
        <c:numFmt formatCode="General" sourceLinked="1"/>
        <c:majorTickMark val="none"/>
        <c:minorTickMark val="none"/>
        <c:tickLblPos val="nextTo"/>
        <c:txPr>
          <a:bodyPr/>
          <a:lstStyle/>
          <a:p>
            <a:pPr>
              <a:defRPr sz="1800"/>
            </a:pPr>
            <a:endParaRPr lang="en-US"/>
          </a:p>
        </c:txPr>
        <c:crossAx val="-2128321296"/>
        <c:crosses val="autoZero"/>
        <c:auto val="1"/>
        <c:lblAlgn val="ctr"/>
        <c:lblOffset val="100"/>
        <c:noMultiLvlLbl val="0"/>
      </c:catAx>
      <c:valAx>
        <c:axId val="-2128321296"/>
        <c:scaling>
          <c:orientation val="minMax"/>
        </c:scaling>
        <c:delete val="0"/>
        <c:axPos val="l"/>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solidFill>
                      <a:sysClr val="windowText" lastClr="000000"/>
                    </a:solidFill>
                    <a:latin typeface="+mn-lt"/>
                    <a:ea typeface="+mn-ea"/>
                    <a:cs typeface="+mn-cs"/>
                  </a:defRPr>
                </a:pPr>
                <a:r>
                  <a:rPr lang="en-US" sz="1800" b="1" i="0" baseline="0">
                    <a:effectLst/>
                  </a:rPr>
                  <a:t>weight, mg/mg oak</a:t>
                </a:r>
                <a:endParaRPr lang="en-US">
                  <a:effectLst/>
                </a:endParaRPr>
              </a:p>
            </c:rich>
          </c:tx>
          <c:layout>
            <c:manualLayout>
              <c:xMode val="edge"/>
              <c:yMode val="edge"/>
              <c:x val="0.0128649702685469"/>
              <c:y val="0.0390387027242637"/>
            </c:manualLayout>
          </c:layout>
          <c:overlay val="0"/>
        </c:title>
        <c:numFmt formatCode="#,##0.00" sourceLinked="0"/>
        <c:majorTickMark val="none"/>
        <c:minorTickMark val="none"/>
        <c:tickLblPos val="nextTo"/>
        <c:txPr>
          <a:bodyPr/>
          <a:lstStyle/>
          <a:p>
            <a:pPr>
              <a:defRPr sz="1800"/>
            </a:pPr>
            <a:endParaRPr lang="en-US"/>
          </a:p>
        </c:txPr>
        <c:crossAx val="-2036646112"/>
        <c:crosses val="autoZero"/>
        <c:crossBetween val="between"/>
      </c:valAx>
    </c:plotArea>
    <c:legend>
      <c:legendPos val="r"/>
      <c:layout>
        <c:manualLayout>
          <c:xMode val="edge"/>
          <c:yMode val="edge"/>
          <c:x val="0.767798920968212"/>
          <c:y val="0.036568750485879"/>
          <c:w val="0.214038896179644"/>
          <c:h val="0.351308916260986"/>
        </c:manualLayout>
      </c:layout>
      <c:overlay val="0"/>
      <c:txPr>
        <a:bodyPr/>
        <a:lstStyle/>
        <a:p>
          <a:pPr>
            <a:defRPr sz="1800"/>
          </a:pPr>
          <a:endParaRPr lang="en-US"/>
        </a:p>
      </c:txPr>
    </c:legend>
    <c:plotVisOnly val="1"/>
    <c:dispBlanksAs val="gap"/>
    <c:showDLblsOverMax val="0"/>
  </c:chart>
  <c:spPr>
    <a:ln>
      <a:noFill/>
    </a:ln>
  </c:spPr>
  <c:externalData r:id="rId2">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24291190296128"/>
          <c:y val="0.0341463414634146"/>
          <c:w val="0.737527618369738"/>
          <c:h val="0.740519310086239"/>
        </c:manualLayout>
      </c:layout>
      <c:scatterChart>
        <c:scatterStyle val="lineMarker"/>
        <c:varyColors val="0"/>
        <c:ser>
          <c:idx val="0"/>
          <c:order val="0"/>
          <c:tx>
            <c:strRef>
              <c:f>'Figure S19.'!$A$2</c:f>
              <c:strCache>
                <c:ptCount val="1"/>
                <c:pt idx="0">
                  <c:v>Si/Al = 11.5</c:v>
                </c:pt>
              </c:strCache>
            </c:strRef>
          </c:tx>
          <c:spPr>
            <a:ln w="47625">
              <a:noFill/>
            </a:ln>
            <a:effectLst/>
          </c:spPr>
          <c:marker>
            <c:symbol val="triangle"/>
            <c:size val="12"/>
            <c:spPr>
              <a:noFill/>
              <a:ln>
                <a:solidFill>
                  <a:schemeClr val="tx1"/>
                </a:solidFill>
              </a:ln>
              <a:effectLst/>
            </c:spPr>
          </c:marker>
          <c:xVal>
            <c:numRef>
              <c:f>'Figure S19.'!$B$8:$K$8</c:f>
              <c:numCache>
                <c:formatCode>General</c:formatCode>
                <c:ptCount val="10"/>
                <c:pt idx="0">
                  <c:v>0.68</c:v>
                </c:pt>
                <c:pt idx="1">
                  <c:v>1.33</c:v>
                </c:pt>
                <c:pt idx="2">
                  <c:v>1.96</c:v>
                </c:pt>
                <c:pt idx="3">
                  <c:v>2.66</c:v>
                </c:pt>
                <c:pt idx="4">
                  <c:v>3.29</c:v>
                </c:pt>
                <c:pt idx="5">
                  <c:v>3.91</c:v>
                </c:pt>
                <c:pt idx="6">
                  <c:v>4.54</c:v>
                </c:pt>
                <c:pt idx="7">
                  <c:v>5.2</c:v>
                </c:pt>
                <c:pt idx="8">
                  <c:v>5.89</c:v>
                </c:pt>
                <c:pt idx="9">
                  <c:v>6.5</c:v>
                </c:pt>
              </c:numCache>
            </c:numRef>
          </c:xVal>
          <c:yVal>
            <c:numRef>
              <c:f>'Figure S19.'!$B$2:$K$2</c:f>
              <c:numCache>
                <c:formatCode>General</c:formatCode>
                <c:ptCount val="10"/>
                <c:pt idx="0">
                  <c:v>2.083190311</c:v>
                </c:pt>
                <c:pt idx="1">
                  <c:v>2.428461775</c:v>
                </c:pt>
                <c:pt idx="2">
                  <c:v>2.296259763</c:v>
                </c:pt>
                <c:pt idx="3">
                  <c:v>1.591196939</c:v>
                </c:pt>
                <c:pt idx="4">
                  <c:v>2.344689846</c:v>
                </c:pt>
                <c:pt idx="5">
                  <c:v>2.116171436</c:v>
                </c:pt>
                <c:pt idx="6">
                  <c:v>2.611370118</c:v>
                </c:pt>
                <c:pt idx="7">
                  <c:v>2.021827135</c:v>
                </c:pt>
                <c:pt idx="8">
                  <c:v>1.612040748</c:v>
                </c:pt>
                <c:pt idx="9">
                  <c:v>2.742709218</c:v>
                </c:pt>
              </c:numCache>
            </c:numRef>
          </c:yVal>
          <c:smooth val="0"/>
        </c:ser>
        <c:ser>
          <c:idx val="1"/>
          <c:order val="1"/>
          <c:tx>
            <c:strRef>
              <c:f>'Figure S19.'!$A$3</c:f>
              <c:strCache>
                <c:ptCount val="1"/>
                <c:pt idx="0">
                  <c:v>Si/Al = 25</c:v>
                </c:pt>
              </c:strCache>
            </c:strRef>
          </c:tx>
          <c:spPr>
            <a:ln w="47625">
              <a:noFill/>
            </a:ln>
            <a:effectLst/>
          </c:spPr>
          <c:marker>
            <c:symbol val="circle"/>
            <c:size val="14"/>
            <c:spPr>
              <a:solidFill>
                <a:schemeClr val="tx1"/>
              </a:solidFill>
              <a:ln>
                <a:solidFill>
                  <a:schemeClr val="tx1"/>
                </a:solidFill>
              </a:ln>
              <a:effectLst/>
            </c:spPr>
          </c:marker>
          <c:xVal>
            <c:numRef>
              <c:f>'Figure S19.'!$B$9:$K$9</c:f>
              <c:numCache>
                <c:formatCode>General</c:formatCode>
                <c:ptCount val="10"/>
                <c:pt idx="0">
                  <c:v>0.65</c:v>
                </c:pt>
                <c:pt idx="1">
                  <c:v>1.27</c:v>
                </c:pt>
                <c:pt idx="2">
                  <c:v>1.96</c:v>
                </c:pt>
                <c:pt idx="3">
                  <c:v>2.63</c:v>
                </c:pt>
                <c:pt idx="4">
                  <c:v>3.25</c:v>
                </c:pt>
                <c:pt idx="5">
                  <c:v>3.92</c:v>
                </c:pt>
                <c:pt idx="6">
                  <c:v>4.659999999999996</c:v>
                </c:pt>
                <c:pt idx="7">
                  <c:v>5.38</c:v>
                </c:pt>
                <c:pt idx="8">
                  <c:v>6.01</c:v>
                </c:pt>
                <c:pt idx="9">
                  <c:v>6.67</c:v>
                </c:pt>
              </c:numCache>
            </c:numRef>
          </c:xVal>
          <c:yVal>
            <c:numRef>
              <c:f>'Figure S19.'!$B$3:$K$3</c:f>
              <c:numCache>
                <c:formatCode>General</c:formatCode>
                <c:ptCount val="10"/>
                <c:pt idx="0">
                  <c:v>2.259851385</c:v>
                </c:pt>
                <c:pt idx="1">
                  <c:v>2.337971645</c:v>
                </c:pt>
                <c:pt idx="2">
                  <c:v>1.945784058</c:v>
                </c:pt>
                <c:pt idx="3">
                  <c:v>1.671061493</c:v>
                </c:pt>
                <c:pt idx="4">
                  <c:v>2.550084806</c:v>
                </c:pt>
                <c:pt idx="5">
                  <c:v>2.065709701</c:v>
                </c:pt>
                <c:pt idx="6">
                  <c:v>1.87108973</c:v>
                </c:pt>
                <c:pt idx="7">
                  <c:v>1.736868472</c:v>
                </c:pt>
                <c:pt idx="8">
                  <c:v>2.695305397</c:v>
                </c:pt>
                <c:pt idx="9">
                  <c:v>1.721045758</c:v>
                </c:pt>
              </c:numCache>
            </c:numRef>
          </c:yVal>
          <c:smooth val="0"/>
        </c:ser>
        <c:ser>
          <c:idx val="2"/>
          <c:order val="2"/>
          <c:tx>
            <c:strRef>
              <c:f>'Figure S19.'!$A$4</c:f>
              <c:strCache>
                <c:ptCount val="1"/>
                <c:pt idx="0">
                  <c:v>Si/Al = 40</c:v>
                </c:pt>
              </c:strCache>
            </c:strRef>
          </c:tx>
          <c:spPr>
            <a:ln w="47625">
              <a:noFill/>
            </a:ln>
            <a:effectLst/>
          </c:spPr>
          <c:marker>
            <c:symbol val="x"/>
            <c:size val="14"/>
            <c:spPr>
              <a:ln>
                <a:solidFill>
                  <a:sysClr val="windowText" lastClr="000000"/>
                </a:solidFill>
              </a:ln>
              <a:effectLst/>
            </c:spPr>
          </c:marker>
          <c:xVal>
            <c:numRef>
              <c:f>'Figure S19.'!$B$10:$K$10</c:f>
              <c:numCache>
                <c:formatCode>General</c:formatCode>
                <c:ptCount val="10"/>
                <c:pt idx="0">
                  <c:v>0.68</c:v>
                </c:pt>
                <c:pt idx="1">
                  <c:v>1.33</c:v>
                </c:pt>
                <c:pt idx="2">
                  <c:v>1.96</c:v>
                </c:pt>
                <c:pt idx="3">
                  <c:v>2.66</c:v>
                </c:pt>
                <c:pt idx="4">
                  <c:v>3.29</c:v>
                </c:pt>
                <c:pt idx="5">
                  <c:v>3.91</c:v>
                </c:pt>
                <c:pt idx="6">
                  <c:v>4.54</c:v>
                </c:pt>
                <c:pt idx="7">
                  <c:v>5.2</c:v>
                </c:pt>
                <c:pt idx="8">
                  <c:v>5.89</c:v>
                </c:pt>
                <c:pt idx="9">
                  <c:v>6.5</c:v>
                </c:pt>
              </c:numCache>
            </c:numRef>
          </c:xVal>
          <c:yVal>
            <c:numRef>
              <c:f>'Figure S19.'!$B$4:$K$4</c:f>
              <c:numCache>
                <c:formatCode>General</c:formatCode>
                <c:ptCount val="10"/>
                <c:pt idx="0">
                  <c:v>1.874252353</c:v>
                </c:pt>
                <c:pt idx="1">
                  <c:v>3.529786277</c:v>
                </c:pt>
                <c:pt idx="2">
                  <c:v>2.997859682999999</c:v>
                </c:pt>
                <c:pt idx="3">
                  <c:v>1.826014429</c:v>
                </c:pt>
                <c:pt idx="4">
                  <c:v>2.261281175</c:v>
                </c:pt>
                <c:pt idx="5">
                  <c:v>3.002804839</c:v>
                </c:pt>
                <c:pt idx="6">
                  <c:v>2.448833651</c:v>
                </c:pt>
                <c:pt idx="7">
                  <c:v>2.398025908999999</c:v>
                </c:pt>
                <c:pt idx="8">
                  <c:v>2.42889</c:v>
                </c:pt>
                <c:pt idx="9">
                  <c:v>2.449977377</c:v>
                </c:pt>
              </c:numCache>
            </c:numRef>
          </c:yVal>
          <c:smooth val="0"/>
        </c:ser>
        <c:ser>
          <c:idx val="3"/>
          <c:order val="3"/>
          <c:tx>
            <c:strRef>
              <c:f>'Figure S19.'!$A$5</c:f>
              <c:strCache>
                <c:ptCount val="1"/>
                <c:pt idx="0">
                  <c:v>No Catalyst</c:v>
                </c:pt>
              </c:strCache>
            </c:strRef>
          </c:tx>
          <c:spPr>
            <a:ln w="47625">
              <a:noFill/>
            </a:ln>
            <a:effectLst/>
          </c:spPr>
          <c:marker>
            <c:symbol val="square"/>
            <c:size val="14"/>
            <c:spPr>
              <a:solidFill>
                <a:sysClr val="windowText" lastClr="000000"/>
              </a:solidFill>
              <a:ln>
                <a:solidFill>
                  <a:sysClr val="windowText" lastClr="000000"/>
                </a:solidFill>
              </a:ln>
              <a:effectLst/>
            </c:spPr>
          </c:marker>
          <c:errBars>
            <c:errDir val="y"/>
            <c:errBarType val="both"/>
            <c:errValType val="cust"/>
            <c:noEndCap val="0"/>
            <c:plus>
              <c:numRef>
                <c:f>'Figure S19.'!$B$6</c:f>
                <c:numCache>
                  <c:formatCode>General</c:formatCode>
                  <c:ptCount val="1"/>
                  <c:pt idx="0">
                    <c:v>0.567058685</c:v>
                  </c:pt>
                </c:numCache>
              </c:numRef>
            </c:plus>
            <c:minus>
              <c:numRef>
                <c:f>'Figure S19.'!$B$6</c:f>
                <c:numCache>
                  <c:formatCode>General</c:formatCode>
                  <c:ptCount val="1"/>
                  <c:pt idx="0">
                    <c:v>0.567058685</c:v>
                  </c:pt>
                </c:numCache>
              </c:numRef>
            </c:minus>
          </c:errBars>
          <c:xVal>
            <c:numRef>
              <c:f>'Figure S19.'!$B$11</c:f>
              <c:numCache>
                <c:formatCode>General</c:formatCode>
                <c:ptCount val="1"/>
                <c:pt idx="0">
                  <c:v>6.8</c:v>
                </c:pt>
              </c:numCache>
            </c:numRef>
          </c:xVal>
          <c:yVal>
            <c:numRef>
              <c:f>'Figure S19.'!$B$5</c:f>
              <c:numCache>
                <c:formatCode>General</c:formatCode>
                <c:ptCount val="1"/>
                <c:pt idx="0">
                  <c:v>2.281077449</c:v>
                </c:pt>
              </c:numCache>
            </c:numRef>
          </c:yVal>
          <c:smooth val="0"/>
        </c:ser>
        <c:dLbls>
          <c:showLegendKey val="0"/>
          <c:showVal val="0"/>
          <c:showCatName val="0"/>
          <c:showSerName val="0"/>
          <c:showPercent val="0"/>
          <c:showBubbleSize val="0"/>
        </c:dLbls>
        <c:axId val="-2053646832"/>
        <c:axId val="-2053651904"/>
      </c:scatterChart>
      <c:valAx>
        <c:axId val="-2053646832"/>
        <c:scaling>
          <c:orientation val="minMax"/>
          <c:max val="7.0"/>
          <c:min val="0.0"/>
        </c:scaling>
        <c:delete val="0"/>
        <c:axPos val="b"/>
        <c:title>
          <c:tx>
            <c:rich>
              <a:bodyPr/>
              <a:lstStyle/>
              <a:p>
                <a:pPr>
                  <a:defRPr sz="1800"/>
                </a:pPr>
                <a:r>
                  <a:rPr lang="en-US"/>
                  <a:t>Cumulative biomass fed, mg</a:t>
                </a:r>
              </a:p>
            </c:rich>
          </c:tx>
          <c:overlay val="0"/>
        </c:title>
        <c:numFmt formatCode="General" sourceLinked="1"/>
        <c:majorTickMark val="out"/>
        <c:minorTickMark val="out"/>
        <c:tickLblPos val="nextTo"/>
        <c:txPr>
          <a:bodyPr/>
          <a:lstStyle/>
          <a:p>
            <a:pPr>
              <a:defRPr sz="1800"/>
            </a:pPr>
            <a:endParaRPr lang="en-US"/>
          </a:p>
        </c:txPr>
        <c:crossAx val="-2053651904"/>
        <c:crosses val="autoZero"/>
        <c:crossBetween val="midCat"/>
      </c:valAx>
      <c:valAx>
        <c:axId val="-2053651904"/>
        <c:scaling>
          <c:orientation val="minMax"/>
        </c:scaling>
        <c:delete val="0"/>
        <c:axPos val="l"/>
        <c:title>
          <c:tx>
            <c:rich>
              <a:bodyPr/>
              <a:lstStyle/>
              <a:p>
                <a:pPr>
                  <a:defRPr sz="1800"/>
                </a:pPr>
                <a:r>
                  <a:rPr lang="en-US" sz="1800" b="1" i="0" baseline="0">
                    <a:effectLst/>
                  </a:rPr>
                  <a:t>(GC-MS response)/</a:t>
                </a:r>
                <a:br>
                  <a:rPr lang="en-US" sz="1800" b="1" i="0" baseline="0">
                    <a:effectLst/>
                  </a:rPr>
                </a:br>
                <a:r>
                  <a:rPr lang="en-US" sz="1800" b="1" i="0" baseline="0">
                    <a:effectLst/>
                  </a:rPr>
                  <a:t>(mg biomass in pulse)</a:t>
                </a:r>
                <a:endParaRPr lang="en-US">
                  <a:effectLst/>
                </a:endParaRPr>
              </a:p>
            </c:rich>
          </c:tx>
          <c:layout>
            <c:manualLayout>
              <c:xMode val="edge"/>
              <c:yMode val="edge"/>
              <c:x val="0.0212113515136121"/>
              <c:y val="0.0252011011477036"/>
            </c:manualLayout>
          </c:layout>
          <c:overlay val="0"/>
        </c:title>
        <c:numFmt formatCode="General" sourceLinked="0"/>
        <c:majorTickMark val="out"/>
        <c:minorTickMark val="out"/>
        <c:tickLblPos val="nextTo"/>
        <c:txPr>
          <a:bodyPr/>
          <a:lstStyle/>
          <a:p>
            <a:pPr>
              <a:defRPr sz="1800"/>
            </a:pPr>
            <a:endParaRPr lang="en-US"/>
          </a:p>
        </c:txPr>
        <c:crossAx val="-2053646832"/>
        <c:crosses val="autoZero"/>
        <c:crossBetween val="midCat"/>
      </c:valAx>
    </c:plotArea>
    <c:legend>
      <c:legendPos val="r"/>
      <c:layout>
        <c:manualLayout>
          <c:xMode val="edge"/>
          <c:yMode val="edge"/>
          <c:x val="0.245872999985171"/>
          <c:y val="0.567055055618048"/>
          <c:w val="0.484746099445903"/>
          <c:h val="0.181049556305462"/>
        </c:manualLayout>
      </c:layout>
      <c:overlay val="0"/>
      <c:txPr>
        <a:bodyPr/>
        <a:lstStyle/>
        <a:p>
          <a:pPr>
            <a:defRPr sz="1600"/>
          </a:pPr>
          <a:endParaRPr lang="en-US"/>
        </a:p>
      </c:txPr>
    </c:legend>
    <c:plotVisOnly val="1"/>
    <c:dispBlanksAs val="gap"/>
    <c:showDLblsOverMax val="0"/>
  </c:chart>
  <c:spPr>
    <a:ln>
      <a:noFill/>
    </a:ln>
  </c:spPr>
  <c:externalData r:id="rId2">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45290419206074"/>
          <c:y val="0.0489454145927319"/>
          <c:w val="0.677795942880021"/>
          <c:h val="0.73873422072241"/>
        </c:manualLayout>
      </c:layout>
      <c:scatterChart>
        <c:scatterStyle val="lineMarker"/>
        <c:varyColors val="0"/>
        <c:ser>
          <c:idx val="0"/>
          <c:order val="0"/>
          <c:tx>
            <c:strRef>
              <c:f>'Figure 4'!$A$1</c:f>
              <c:strCache>
                <c:ptCount val="1"/>
                <c:pt idx="0">
                  <c:v>Si/Al = 11.5</c:v>
                </c:pt>
              </c:strCache>
            </c:strRef>
          </c:tx>
          <c:spPr>
            <a:ln w="47625">
              <a:noFill/>
            </a:ln>
            <a:effectLst/>
          </c:spPr>
          <c:marker>
            <c:symbol val="triangle"/>
            <c:size val="12"/>
            <c:spPr>
              <a:noFill/>
              <a:ln>
                <a:solidFill>
                  <a:schemeClr val="tx1"/>
                </a:solidFill>
              </a:ln>
              <a:effectLst/>
            </c:spPr>
          </c:marker>
          <c:xVal>
            <c:numRef>
              <c:f>'Figure 4'!$B$8:$K$8</c:f>
              <c:numCache>
                <c:formatCode>General</c:formatCode>
                <c:ptCount val="10"/>
                <c:pt idx="0">
                  <c:v>0.68</c:v>
                </c:pt>
                <c:pt idx="1">
                  <c:v>1.35</c:v>
                </c:pt>
                <c:pt idx="2">
                  <c:v>1.97</c:v>
                </c:pt>
                <c:pt idx="3">
                  <c:v>2.61</c:v>
                </c:pt>
                <c:pt idx="4">
                  <c:v>3.21</c:v>
                </c:pt>
                <c:pt idx="5">
                  <c:v>3.85</c:v>
                </c:pt>
                <c:pt idx="6">
                  <c:v>4.53</c:v>
                </c:pt>
                <c:pt idx="7">
                  <c:v>5.21</c:v>
                </c:pt>
                <c:pt idx="8">
                  <c:v>5.89</c:v>
                </c:pt>
                <c:pt idx="9">
                  <c:v>6.55</c:v>
                </c:pt>
              </c:numCache>
            </c:numRef>
          </c:xVal>
          <c:yVal>
            <c:numRef>
              <c:f>'Figure 4'!$B$1:$K$1</c:f>
              <c:numCache>
                <c:formatCode>General</c:formatCode>
                <c:ptCount val="10"/>
                <c:pt idx="0">
                  <c:v>2.55239456</c:v>
                </c:pt>
                <c:pt idx="1">
                  <c:v>3.08115269</c:v>
                </c:pt>
                <c:pt idx="2">
                  <c:v>2.92114129</c:v>
                </c:pt>
                <c:pt idx="3">
                  <c:v>2.815467343999999</c:v>
                </c:pt>
                <c:pt idx="4">
                  <c:v>1.82717783</c:v>
                </c:pt>
                <c:pt idx="5">
                  <c:v>1.32698297</c:v>
                </c:pt>
                <c:pt idx="6">
                  <c:v>1.13898368</c:v>
                </c:pt>
                <c:pt idx="7">
                  <c:v>0.629035588</c:v>
                </c:pt>
                <c:pt idx="8">
                  <c:v>0.32167971</c:v>
                </c:pt>
                <c:pt idx="9">
                  <c:v>0.16224379</c:v>
                </c:pt>
              </c:numCache>
            </c:numRef>
          </c:yVal>
          <c:smooth val="0"/>
        </c:ser>
        <c:ser>
          <c:idx val="1"/>
          <c:order val="1"/>
          <c:tx>
            <c:strRef>
              <c:f>'Figure 4'!$A$2</c:f>
              <c:strCache>
                <c:ptCount val="1"/>
                <c:pt idx="0">
                  <c:v>Si/Al = 25</c:v>
                </c:pt>
              </c:strCache>
            </c:strRef>
          </c:tx>
          <c:spPr>
            <a:ln w="47625">
              <a:noFill/>
            </a:ln>
            <a:effectLst/>
          </c:spPr>
          <c:marker>
            <c:symbol val="circle"/>
            <c:size val="14"/>
            <c:spPr>
              <a:solidFill>
                <a:schemeClr val="tx1"/>
              </a:solidFill>
              <a:ln>
                <a:solidFill>
                  <a:schemeClr val="tx1"/>
                </a:solidFill>
              </a:ln>
              <a:effectLst/>
            </c:spPr>
          </c:marker>
          <c:xVal>
            <c:numRef>
              <c:f>'Figure 4'!$B$9:$K$9</c:f>
              <c:numCache>
                <c:formatCode>General</c:formatCode>
                <c:ptCount val="10"/>
                <c:pt idx="0">
                  <c:v>0.65</c:v>
                </c:pt>
                <c:pt idx="1">
                  <c:v>1.27</c:v>
                </c:pt>
                <c:pt idx="2">
                  <c:v>1.96</c:v>
                </c:pt>
                <c:pt idx="3">
                  <c:v>2.63</c:v>
                </c:pt>
                <c:pt idx="4">
                  <c:v>3.25</c:v>
                </c:pt>
                <c:pt idx="5">
                  <c:v>3.92</c:v>
                </c:pt>
                <c:pt idx="6">
                  <c:v>4.659999999999996</c:v>
                </c:pt>
                <c:pt idx="7">
                  <c:v>5.38</c:v>
                </c:pt>
                <c:pt idx="8">
                  <c:v>6.01</c:v>
                </c:pt>
                <c:pt idx="9">
                  <c:v>6.67</c:v>
                </c:pt>
              </c:numCache>
            </c:numRef>
          </c:xVal>
          <c:yVal>
            <c:numRef>
              <c:f>'Figure 4'!$B$2:$K$2</c:f>
              <c:numCache>
                <c:formatCode>General</c:formatCode>
                <c:ptCount val="10"/>
                <c:pt idx="0">
                  <c:v>2.70882569</c:v>
                </c:pt>
                <c:pt idx="1">
                  <c:v>2.61222806</c:v>
                </c:pt>
                <c:pt idx="2">
                  <c:v>2.112249279999999</c:v>
                </c:pt>
                <c:pt idx="3">
                  <c:v>1.705815224</c:v>
                </c:pt>
                <c:pt idx="4">
                  <c:v>1.93546516</c:v>
                </c:pt>
                <c:pt idx="5">
                  <c:v>1.54109179</c:v>
                </c:pt>
                <c:pt idx="6">
                  <c:v>1.33263689</c:v>
                </c:pt>
                <c:pt idx="7">
                  <c:v>1.080426528</c:v>
                </c:pt>
                <c:pt idx="8">
                  <c:v>1.17183651</c:v>
                </c:pt>
                <c:pt idx="9">
                  <c:v>0.87342697</c:v>
                </c:pt>
              </c:numCache>
            </c:numRef>
          </c:yVal>
          <c:smooth val="0"/>
        </c:ser>
        <c:ser>
          <c:idx val="2"/>
          <c:order val="2"/>
          <c:tx>
            <c:strRef>
              <c:f>'Figure 4'!$A$3</c:f>
              <c:strCache>
                <c:ptCount val="1"/>
                <c:pt idx="0">
                  <c:v>Si/Al = 40</c:v>
                </c:pt>
              </c:strCache>
            </c:strRef>
          </c:tx>
          <c:spPr>
            <a:ln w="47625">
              <a:noFill/>
            </a:ln>
            <a:effectLst/>
          </c:spPr>
          <c:marker>
            <c:symbol val="x"/>
            <c:size val="14"/>
            <c:spPr>
              <a:ln>
                <a:solidFill>
                  <a:sysClr val="windowText" lastClr="000000"/>
                </a:solidFill>
              </a:ln>
              <a:effectLst/>
            </c:spPr>
          </c:marker>
          <c:xVal>
            <c:numRef>
              <c:f>'Figure 4'!$B$10:$K$10</c:f>
              <c:numCache>
                <c:formatCode>General</c:formatCode>
                <c:ptCount val="10"/>
                <c:pt idx="0">
                  <c:v>0.71</c:v>
                </c:pt>
                <c:pt idx="1">
                  <c:v>1.43</c:v>
                </c:pt>
                <c:pt idx="2">
                  <c:v>2.09</c:v>
                </c:pt>
                <c:pt idx="3">
                  <c:v>2.73</c:v>
                </c:pt>
                <c:pt idx="4">
                  <c:v>3.4</c:v>
                </c:pt>
                <c:pt idx="5">
                  <c:v>4.08</c:v>
                </c:pt>
                <c:pt idx="6">
                  <c:v>4.73</c:v>
                </c:pt>
                <c:pt idx="7">
                  <c:v>5.48</c:v>
                </c:pt>
                <c:pt idx="8">
                  <c:v>6.159999999999997</c:v>
                </c:pt>
                <c:pt idx="9">
                  <c:v>6.89</c:v>
                </c:pt>
              </c:numCache>
            </c:numRef>
          </c:xVal>
          <c:yVal>
            <c:numRef>
              <c:f>'Figure 4'!$B$3:$K$3</c:f>
              <c:numCache>
                <c:formatCode>General</c:formatCode>
                <c:ptCount val="10"/>
                <c:pt idx="0">
                  <c:v>0.95633704</c:v>
                </c:pt>
                <c:pt idx="1">
                  <c:v>1.08165792</c:v>
                </c:pt>
                <c:pt idx="2">
                  <c:v>0.97783742</c:v>
                </c:pt>
                <c:pt idx="3">
                  <c:v>1.159649062</c:v>
                </c:pt>
                <c:pt idx="4">
                  <c:v>0.79390448</c:v>
                </c:pt>
                <c:pt idx="5">
                  <c:v>0.94449824</c:v>
                </c:pt>
                <c:pt idx="6">
                  <c:v>0.70565338</c:v>
                </c:pt>
                <c:pt idx="7">
                  <c:v>0.5253228</c:v>
                </c:pt>
                <c:pt idx="8">
                  <c:v>0.65458441</c:v>
                </c:pt>
                <c:pt idx="9">
                  <c:v>0.74886534</c:v>
                </c:pt>
              </c:numCache>
            </c:numRef>
          </c:yVal>
          <c:smooth val="0"/>
        </c:ser>
        <c:ser>
          <c:idx val="3"/>
          <c:order val="3"/>
          <c:tx>
            <c:strRef>
              <c:f>'Figure 4'!$A$4</c:f>
              <c:strCache>
                <c:ptCount val="1"/>
                <c:pt idx="0">
                  <c:v>No Catalyst</c:v>
                </c:pt>
              </c:strCache>
            </c:strRef>
          </c:tx>
          <c:spPr>
            <a:ln w="47625">
              <a:noFill/>
            </a:ln>
            <a:effectLst/>
          </c:spPr>
          <c:marker>
            <c:symbol val="square"/>
            <c:size val="14"/>
            <c:spPr>
              <a:solidFill>
                <a:sysClr val="windowText" lastClr="000000"/>
              </a:solidFill>
              <a:ln>
                <a:solidFill>
                  <a:sysClr val="windowText" lastClr="000000"/>
                </a:solidFill>
              </a:ln>
              <a:effectLst/>
            </c:spPr>
          </c:marker>
          <c:errBars>
            <c:errDir val="y"/>
            <c:errBarType val="both"/>
            <c:errValType val="cust"/>
            <c:noEndCap val="0"/>
            <c:plus>
              <c:numRef>
                <c:f>'Figure 4'!$B$5</c:f>
                <c:numCache>
                  <c:formatCode>General</c:formatCode>
                  <c:ptCount val="1"/>
                  <c:pt idx="0">
                    <c:v>0.01463994435</c:v>
                  </c:pt>
                </c:numCache>
              </c:numRef>
            </c:plus>
            <c:minus>
              <c:numRef>
                <c:f>'Figure 4'!$B$5</c:f>
                <c:numCache>
                  <c:formatCode>General</c:formatCode>
                  <c:ptCount val="1"/>
                  <c:pt idx="0">
                    <c:v>0.01463994435</c:v>
                  </c:pt>
                </c:numCache>
              </c:numRef>
            </c:minus>
          </c:errBars>
          <c:xVal>
            <c:numLit>
              <c:formatCode>General</c:formatCode>
              <c:ptCount val="1"/>
              <c:pt idx="0">
                <c:v>7.0</c:v>
              </c:pt>
            </c:numLit>
          </c:xVal>
          <c:yVal>
            <c:numRef>
              <c:f>'Figure 4'!$B$4:$K$4</c:f>
              <c:numCache>
                <c:formatCode>General</c:formatCode>
                <c:ptCount val="10"/>
                <c:pt idx="0">
                  <c:v>0.02656226625</c:v>
                </c:pt>
              </c:numCache>
            </c:numRef>
          </c:yVal>
          <c:smooth val="0"/>
        </c:ser>
        <c:dLbls>
          <c:showLegendKey val="0"/>
          <c:showVal val="0"/>
          <c:showCatName val="0"/>
          <c:showSerName val="0"/>
          <c:showPercent val="0"/>
          <c:showBubbleSize val="0"/>
        </c:dLbls>
        <c:axId val="-2102374240"/>
        <c:axId val="-2101828304"/>
      </c:scatterChart>
      <c:valAx>
        <c:axId val="-2102374240"/>
        <c:scaling>
          <c:orientation val="minMax"/>
          <c:max val="7.0"/>
          <c:min val="0.0"/>
        </c:scaling>
        <c:delete val="0"/>
        <c:axPos val="b"/>
        <c:title>
          <c:tx>
            <c:rich>
              <a:bodyPr/>
              <a:lstStyle/>
              <a:p>
                <a:pPr>
                  <a:defRPr sz="1600"/>
                </a:pPr>
                <a:r>
                  <a:rPr lang="en-US" sz="1600"/>
                  <a:t>Cumulative</a:t>
                </a:r>
                <a:r>
                  <a:rPr lang="en-US" sz="1600" baseline="0"/>
                  <a:t> biomass fed, mg</a:t>
                </a:r>
                <a:endParaRPr lang="en-US" sz="1600"/>
              </a:p>
            </c:rich>
          </c:tx>
          <c:overlay val="0"/>
        </c:title>
        <c:numFmt formatCode="General" sourceLinked="1"/>
        <c:majorTickMark val="out"/>
        <c:minorTickMark val="out"/>
        <c:tickLblPos val="nextTo"/>
        <c:spPr>
          <a:ln>
            <a:solidFill>
              <a:sysClr val="windowText" lastClr="000000"/>
            </a:solidFill>
          </a:ln>
        </c:spPr>
        <c:txPr>
          <a:bodyPr/>
          <a:lstStyle/>
          <a:p>
            <a:pPr>
              <a:defRPr sz="1800"/>
            </a:pPr>
            <a:endParaRPr lang="en-US"/>
          </a:p>
        </c:txPr>
        <c:crossAx val="-2101828304"/>
        <c:crosses val="autoZero"/>
        <c:crossBetween val="midCat"/>
      </c:valAx>
      <c:valAx>
        <c:axId val="-2101828304"/>
        <c:scaling>
          <c:orientation val="minMax"/>
        </c:scaling>
        <c:delete val="0"/>
        <c:axPos val="l"/>
        <c:title>
          <c:tx>
            <c:rich>
              <a:bodyPr/>
              <a:lstStyle/>
              <a:p>
                <a:pPr>
                  <a:defRPr sz="1600"/>
                </a:pPr>
                <a:r>
                  <a:rPr lang="en-US" sz="1600"/>
                  <a:t>(GC-MS response)/</a:t>
                </a:r>
                <a:br>
                  <a:rPr lang="en-US" sz="1600"/>
                </a:br>
                <a:r>
                  <a:rPr lang="en-US" sz="1600"/>
                  <a:t>(mg biomass in pulse)</a:t>
                </a:r>
              </a:p>
            </c:rich>
          </c:tx>
          <c:layout>
            <c:manualLayout>
              <c:xMode val="edge"/>
              <c:yMode val="edge"/>
              <c:x val="0.031322803399575"/>
              <c:y val="0.0572372203474566"/>
            </c:manualLayout>
          </c:layout>
          <c:overlay val="0"/>
        </c:title>
        <c:numFmt formatCode="General" sourceLinked="0"/>
        <c:majorTickMark val="out"/>
        <c:minorTickMark val="out"/>
        <c:tickLblPos val="nextTo"/>
        <c:spPr>
          <a:ln>
            <a:solidFill>
              <a:sysClr val="windowText" lastClr="000000"/>
            </a:solidFill>
          </a:ln>
        </c:spPr>
        <c:txPr>
          <a:bodyPr/>
          <a:lstStyle/>
          <a:p>
            <a:pPr>
              <a:defRPr sz="1800"/>
            </a:pPr>
            <a:endParaRPr lang="en-US"/>
          </a:p>
        </c:txPr>
        <c:crossAx val="-2102374240"/>
        <c:crosses val="autoZero"/>
        <c:crossBetween val="midCat"/>
      </c:valAx>
      <c:spPr>
        <a:ln>
          <a:solidFill>
            <a:sysClr val="windowText" lastClr="000000"/>
          </a:solidFill>
        </a:ln>
      </c:spPr>
    </c:plotArea>
    <c:legend>
      <c:legendPos val="r"/>
      <c:layout>
        <c:manualLayout>
          <c:xMode val="edge"/>
          <c:yMode val="edge"/>
          <c:x val="0.613609336211088"/>
          <c:y val="0.0435907509447154"/>
          <c:w val="0.255421468849438"/>
          <c:h val="0.335237445399989"/>
        </c:manualLayout>
      </c:layout>
      <c:overlay val="0"/>
      <c:txPr>
        <a:bodyPr/>
        <a:lstStyle/>
        <a:p>
          <a:pPr>
            <a:defRPr sz="1600"/>
          </a:pPr>
          <a:endParaRPr lang="en-US"/>
        </a:p>
      </c:txPr>
    </c:legend>
    <c:plotVisOnly val="1"/>
    <c:dispBlanksAs val="gap"/>
    <c:showDLblsOverMax val="0"/>
  </c:chart>
  <c:spPr>
    <a:ln>
      <a:noFill/>
    </a:ln>
  </c:spPr>
  <c:externalData r:id="rId2">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02917537850142"/>
          <c:y val="0.0489454145927319"/>
          <c:w val="0.720168824235953"/>
          <c:h val="0.744487564054493"/>
        </c:manualLayout>
      </c:layout>
      <c:scatterChart>
        <c:scatterStyle val="smoothMarker"/>
        <c:varyColors val="0"/>
        <c:ser>
          <c:idx val="2"/>
          <c:order val="2"/>
          <c:tx>
            <c:strRef>
              <c:f>'Figure 5'!$A$3</c:f>
              <c:strCache>
                <c:ptCount val="1"/>
                <c:pt idx="0">
                  <c:v>fit line</c:v>
                </c:pt>
              </c:strCache>
            </c:strRef>
          </c:tx>
          <c:spPr>
            <a:ln w="19050" cmpd="sng">
              <a:solidFill>
                <a:sysClr val="windowText" lastClr="000000"/>
              </a:solidFill>
              <a:prstDash val="dash"/>
            </a:ln>
            <a:effectLst/>
          </c:spPr>
          <c:marker>
            <c:symbol val="x"/>
            <c:size val="14"/>
            <c:spPr>
              <a:noFill/>
              <a:ln>
                <a:noFill/>
              </a:ln>
              <a:effectLst/>
            </c:spPr>
          </c:marker>
          <c:xVal>
            <c:numRef>
              <c:f>'Figure 5'!$B$7:$K$7</c:f>
              <c:numCache>
                <c:formatCode>General</c:formatCode>
                <c:ptCount val="10"/>
                <c:pt idx="0">
                  <c:v>3.0</c:v>
                </c:pt>
                <c:pt idx="1">
                  <c:v>3.444444444444445</c:v>
                </c:pt>
                <c:pt idx="2">
                  <c:v>3.888888888888887</c:v>
                </c:pt>
                <c:pt idx="3">
                  <c:v>4.333333333333333</c:v>
                </c:pt>
                <c:pt idx="4">
                  <c:v>4.777777777777778</c:v>
                </c:pt>
                <c:pt idx="5">
                  <c:v>5.222222222222223</c:v>
                </c:pt>
                <c:pt idx="6">
                  <c:v>5.666666666666668</c:v>
                </c:pt>
                <c:pt idx="7">
                  <c:v>6.111111111111112</c:v>
                </c:pt>
                <c:pt idx="8">
                  <c:v>6.555555555555471</c:v>
                </c:pt>
                <c:pt idx="9">
                  <c:v>7.0</c:v>
                </c:pt>
              </c:numCache>
            </c:numRef>
          </c:xVal>
          <c:yVal>
            <c:numRef>
              <c:f>'Figure 5'!$B$3:$K$3</c:f>
              <c:numCache>
                <c:formatCode>General</c:formatCode>
                <c:ptCount val="10"/>
                <c:pt idx="0">
                  <c:v>2.796386537697821</c:v>
                </c:pt>
                <c:pt idx="1">
                  <c:v>1.923131271439912</c:v>
                </c:pt>
                <c:pt idx="2">
                  <c:v>1.322576059257854</c:v>
                </c:pt>
                <c:pt idx="3">
                  <c:v>0.909562159639962</c:v>
                </c:pt>
                <c:pt idx="4">
                  <c:v>0.625524193076005</c:v>
                </c:pt>
                <c:pt idx="5">
                  <c:v>0.430185570031047</c:v>
                </c:pt>
                <c:pt idx="6">
                  <c:v>0.295847269716155</c:v>
                </c:pt>
                <c:pt idx="7">
                  <c:v>0.203460118367491</c:v>
                </c:pt>
                <c:pt idx="8">
                  <c:v>0.139923616012512</c:v>
                </c:pt>
                <c:pt idx="9">
                  <c:v>0.0962282853028419</c:v>
                </c:pt>
              </c:numCache>
            </c:numRef>
          </c:yVal>
          <c:smooth val="1"/>
        </c:ser>
        <c:dLbls>
          <c:showLegendKey val="0"/>
          <c:showVal val="0"/>
          <c:showCatName val="0"/>
          <c:showSerName val="0"/>
          <c:showPercent val="0"/>
          <c:showBubbleSize val="0"/>
        </c:dLbls>
        <c:axId val="2135064896"/>
        <c:axId val="-2053671920"/>
      </c:scatterChart>
      <c:scatterChart>
        <c:scatterStyle val="lineMarker"/>
        <c:varyColors val="0"/>
        <c:ser>
          <c:idx val="0"/>
          <c:order val="0"/>
          <c:tx>
            <c:strRef>
              <c:f>'Figure 5'!$A$1</c:f>
              <c:strCache>
                <c:ptCount val="1"/>
                <c:pt idx="0">
                  <c:v>1.36mg, Si/Al = 11.5</c:v>
                </c:pt>
              </c:strCache>
            </c:strRef>
          </c:tx>
          <c:spPr>
            <a:ln w="47625">
              <a:noFill/>
            </a:ln>
            <a:effectLst/>
          </c:spPr>
          <c:marker>
            <c:symbol val="triangle"/>
            <c:size val="12"/>
            <c:spPr>
              <a:noFill/>
              <a:ln>
                <a:solidFill>
                  <a:schemeClr val="tx1"/>
                </a:solidFill>
              </a:ln>
              <a:effectLst/>
            </c:spPr>
          </c:marker>
          <c:trendline>
            <c:spPr>
              <a:ln>
                <a:solidFill>
                  <a:sysClr val="windowText" lastClr="000000"/>
                </a:solidFill>
              </a:ln>
            </c:spPr>
            <c:trendlineType val="exp"/>
            <c:dispRSqr val="0"/>
            <c:dispEq val="0"/>
          </c:trendline>
          <c:xVal>
            <c:numRef>
              <c:f>'Figure 5'!$B$5:$K$5</c:f>
              <c:numCache>
                <c:formatCode>General</c:formatCode>
                <c:ptCount val="10"/>
                <c:pt idx="0">
                  <c:v>0.68</c:v>
                </c:pt>
                <c:pt idx="1">
                  <c:v>1.33</c:v>
                </c:pt>
                <c:pt idx="2">
                  <c:v>1.96</c:v>
                </c:pt>
                <c:pt idx="3">
                  <c:v>2.66</c:v>
                </c:pt>
                <c:pt idx="4">
                  <c:v>3.29</c:v>
                </c:pt>
                <c:pt idx="5">
                  <c:v>3.91</c:v>
                </c:pt>
                <c:pt idx="6">
                  <c:v>4.54</c:v>
                </c:pt>
                <c:pt idx="7">
                  <c:v>5.2</c:v>
                </c:pt>
                <c:pt idx="8">
                  <c:v>5.89</c:v>
                </c:pt>
                <c:pt idx="9">
                  <c:v>6.5</c:v>
                </c:pt>
              </c:numCache>
            </c:numRef>
          </c:xVal>
          <c:yVal>
            <c:numRef>
              <c:f>'Figure 5'!$B$1:$K$1</c:f>
              <c:numCache>
                <c:formatCode>General</c:formatCode>
                <c:ptCount val="10"/>
                <c:pt idx="0">
                  <c:v>2.480863139999998</c:v>
                </c:pt>
                <c:pt idx="1">
                  <c:v>1.88357521</c:v>
                </c:pt>
                <c:pt idx="2">
                  <c:v>1.17821147</c:v>
                </c:pt>
                <c:pt idx="3">
                  <c:v>0.643794615</c:v>
                </c:pt>
                <c:pt idx="4">
                  <c:v>0.31247014</c:v>
                </c:pt>
                <c:pt idx="5">
                  <c:v>0.13242304</c:v>
                </c:pt>
                <c:pt idx="6">
                  <c:v>0.04956323</c:v>
                </c:pt>
                <c:pt idx="7">
                  <c:v>0.046103284</c:v>
                </c:pt>
                <c:pt idx="8">
                  <c:v>0.03181562</c:v>
                </c:pt>
                <c:pt idx="9">
                  <c:v>0.0421395</c:v>
                </c:pt>
              </c:numCache>
            </c:numRef>
          </c:yVal>
          <c:smooth val="0"/>
        </c:ser>
        <c:ser>
          <c:idx val="1"/>
          <c:order val="1"/>
          <c:tx>
            <c:strRef>
              <c:f>'Figure 5'!$A$2</c:f>
              <c:strCache>
                <c:ptCount val="1"/>
                <c:pt idx="0">
                  <c:v>2.83mg, Si/Al = 11.5</c:v>
                </c:pt>
              </c:strCache>
            </c:strRef>
          </c:tx>
          <c:spPr>
            <a:ln w="47625">
              <a:noFill/>
            </a:ln>
            <a:effectLst/>
          </c:spPr>
          <c:marker>
            <c:symbol val="circle"/>
            <c:size val="14"/>
            <c:spPr>
              <a:solidFill>
                <a:schemeClr val="tx1"/>
              </a:solidFill>
              <a:ln>
                <a:solidFill>
                  <a:schemeClr val="tx1"/>
                </a:solidFill>
              </a:ln>
              <a:effectLst/>
            </c:spPr>
          </c:marker>
          <c:xVal>
            <c:numRef>
              <c:f>'Figure 5'!$B$6:$K$6</c:f>
              <c:numCache>
                <c:formatCode>General</c:formatCode>
                <c:ptCount val="10"/>
                <c:pt idx="0">
                  <c:v>0.68</c:v>
                </c:pt>
                <c:pt idx="1">
                  <c:v>1.35</c:v>
                </c:pt>
                <c:pt idx="2">
                  <c:v>1.97</c:v>
                </c:pt>
                <c:pt idx="3">
                  <c:v>2.61</c:v>
                </c:pt>
                <c:pt idx="4">
                  <c:v>3.21</c:v>
                </c:pt>
                <c:pt idx="5">
                  <c:v>3.85</c:v>
                </c:pt>
                <c:pt idx="6">
                  <c:v>4.53</c:v>
                </c:pt>
                <c:pt idx="7">
                  <c:v>5.21</c:v>
                </c:pt>
                <c:pt idx="8">
                  <c:v>5.89</c:v>
                </c:pt>
                <c:pt idx="9">
                  <c:v>6.55</c:v>
                </c:pt>
              </c:numCache>
            </c:numRef>
          </c:xVal>
          <c:yVal>
            <c:numRef>
              <c:f>'Figure 5'!$B$2:$K$2</c:f>
              <c:numCache>
                <c:formatCode>General</c:formatCode>
                <c:ptCount val="10"/>
                <c:pt idx="0">
                  <c:v>2.55239456</c:v>
                </c:pt>
                <c:pt idx="1">
                  <c:v>3.08115269</c:v>
                </c:pt>
                <c:pt idx="2">
                  <c:v>2.92114129</c:v>
                </c:pt>
                <c:pt idx="3">
                  <c:v>2.815467343999999</c:v>
                </c:pt>
                <c:pt idx="4">
                  <c:v>1.82717783</c:v>
                </c:pt>
                <c:pt idx="5">
                  <c:v>1.32698297</c:v>
                </c:pt>
                <c:pt idx="6">
                  <c:v>1.13898368</c:v>
                </c:pt>
                <c:pt idx="7">
                  <c:v>0.629035588</c:v>
                </c:pt>
                <c:pt idx="8">
                  <c:v>0.32167971</c:v>
                </c:pt>
                <c:pt idx="9">
                  <c:v>0.16224379</c:v>
                </c:pt>
              </c:numCache>
            </c:numRef>
          </c:yVal>
          <c:smooth val="0"/>
        </c:ser>
        <c:dLbls>
          <c:showLegendKey val="0"/>
          <c:showVal val="0"/>
          <c:showCatName val="0"/>
          <c:showSerName val="0"/>
          <c:showPercent val="0"/>
          <c:showBubbleSize val="0"/>
        </c:dLbls>
        <c:axId val="2135064896"/>
        <c:axId val="-2053671920"/>
      </c:scatterChart>
      <c:valAx>
        <c:axId val="2135064896"/>
        <c:scaling>
          <c:orientation val="minMax"/>
          <c:max val="7.0"/>
          <c:min val="0.0"/>
        </c:scaling>
        <c:delete val="0"/>
        <c:axPos val="b"/>
        <c:title>
          <c:tx>
            <c:rich>
              <a:bodyPr/>
              <a:lstStyle/>
              <a:p>
                <a:pPr>
                  <a:defRPr sz="1600"/>
                </a:pPr>
                <a:r>
                  <a:rPr lang="en-US" sz="1600"/>
                  <a:t>Cumulative</a:t>
                </a:r>
                <a:r>
                  <a:rPr lang="en-US" sz="1600" baseline="0"/>
                  <a:t> biomass fed, mg</a:t>
                </a:r>
                <a:endParaRPr lang="en-US" sz="1600"/>
              </a:p>
            </c:rich>
          </c:tx>
          <c:overlay val="0"/>
        </c:title>
        <c:numFmt formatCode="General" sourceLinked="1"/>
        <c:majorTickMark val="out"/>
        <c:minorTickMark val="out"/>
        <c:tickLblPos val="nextTo"/>
        <c:spPr>
          <a:ln>
            <a:solidFill>
              <a:sysClr val="windowText" lastClr="000000"/>
            </a:solidFill>
          </a:ln>
        </c:spPr>
        <c:txPr>
          <a:bodyPr/>
          <a:lstStyle/>
          <a:p>
            <a:pPr>
              <a:defRPr sz="1800"/>
            </a:pPr>
            <a:endParaRPr lang="en-US"/>
          </a:p>
        </c:txPr>
        <c:crossAx val="-2053671920"/>
        <c:crosses val="autoZero"/>
        <c:crossBetween val="midCat"/>
      </c:valAx>
      <c:valAx>
        <c:axId val="-2053671920"/>
        <c:scaling>
          <c:orientation val="minMax"/>
          <c:max val="4.0"/>
        </c:scaling>
        <c:delete val="0"/>
        <c:axPos val="l"/>
        <c:title>
          <c:tx>
            <c:rich>
              <a:bodyPr/>
              <a:lstStyle/>
              <a:p>
                <a:pPr>
                  <a:defRPr sz="1600"/>
                </a:pPr>
                <a:r>
                  <a:rPr lang="en-US" sz="1600"/>
                  <a:t>(GC-MS response)/</a:t>
                </a:r>
                <a:br>
                  <a:rPr lang="en-US" sz="1600"/>
                </a:br>
                <a:r>
                  <a:rPr lang="en-US" sz="1600"/>
                  <a:t>(mg biomass in pulse)</a:t>
                </a:r>
              </a:p>
            </c:rich>
          </c:tx>
          <c:layout>
            <c:manualLayout>
              <c:xMode val="edge"/>
              <c:yMode val="edge"/>
              <c:x val="0.031322803399575"/>
              <c:y val="0.0572372203474566"/>
            </c:manualLayout>
          </c:layout>
          <c:overlay val="0"/>
        </c:title>
        <c:numFmt formatCode="General" sourceLinked="0"/>
        <c:majorTickMark val="out"/>
        <c:minorTickMark val="out"/>
        <c:tickLblPos val="nextTo"/>
        <c:spPr>
          <a:ln>
            <a:solidFill>
              <a:sysClr val="windowText" lastClr="000000"/>
            </a:solidFill>
          </a:ln>
        </c:spPr>
        <c:txPr>
          <a:bodyPr/>
          <a:lstStyle/>
          <a:p>
            <a:pPr>
              <a:defRPr sz="1800"/>
            </a:pPr>
            <a:endParaRPr lang="en-US"/>
          </a:p>
        </c:txPr>
        <c:crossAx val="2135064896"/>
        <c:crosses val="autoZero"/>
        <c:crossBetween val="midCat"/>
      </c:valAx>
      <c:spPr>
        <a:ln>
          <a:solidFill>
            <a:sysClr val="windowText" lastClr="000000"/>
          </a:solidFill>
        </a:ln>
      </c:spPr>
    </c:plotArea>
    <c:legend>
      <c:legendPos val="t"/>
      <c:legendEntry>
        <c:idx val="0"/>
        <c:delete val="1"/>
      </c:legendEntry>
      <c:legendEntry>
        <c:idx val="3"/>
        <c:delete val="1"/>
      </c:legendEntry>
      <c:layout>
        <c:manualLayout>
          <c:xMode val="edge"/>
          <c:yMode val="edge"/>
          <c:x val="0.562075159037324"/>
          <c:y val="0.0714285714285714"/>
          <c:w val="0.353721436303513"/>
          <c:h val="0.179899387576553"/>
        </c:manualLayout>
      </c:layout>
      <c:overlay val="0"/>
      <c:txPr>
        <a:bodyPr/>
        <a:lstStyle/>
        <a:p>
          <a:pPr>
            <a:defRPr sz="1600"/>
          </a:pPr>
          <a:endParaRPr lang="en-US"/>
        </a:p>
      </c:txPr>
    </c:legend>
    <c:plotVisOnly val="1"/>
    <c:dispBlanksAs val="gap"/>
    <c:showDLblsOverMax val="0"/>
  </c:chart>
  <c:spPr>
    <a:ln>
      <a:noFill/>
    </a:ln>
  </c:spPr>
  <c:externalData r:id="rId2">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24103978528108"/>
          <c:y val="0.0489454145927319"/>
          <c:w val="0.698982383557987"/>
          <c:h val="0.738238345206849"/>
        </c:manualLayout>
      </c:layout>
      <c:scatterChart>
        <c:scatterStyle val="lineMarker"/>
        <c:varyColors val="0"/>
        <c:ser>
          <c:idx val="0"/>
          <c:order val="0"/>
          <c:tx>
            <c:strRef>
              <c:f>'Figure 6'!$A$2</c:f>
              <c:strCache>
                <c:ptCount val="1"/>
                <c:pt idx="0">
                  <c:v>1.36mg, Si/Al = 11.5 </c:v>
                </c:pt>
              </c:strCache>
            </c:strRef>
          </c:tx>
          <c:spPr>
            <a:ln w="47625">
              <a:noFill/>
            </a:ln>
            <a:effectLst/>
          </c:spPr>
          <c:marker>
            <c:symbol val="triangle"/>
            <c:size val="12"/>
            <c:spPr>
              <a:noFill/>
              <a:ln>
                <a:solidFill>
                  <a:schemeClr val="tx1"/>
                </a:solidFill>
              </a:ln>
              <a:effectLst/>
            </c:spPr>
          </c:marker>
          <c:xVal>
            <c:numRef>
              <c:f>'Figure 6'!$B$7:$K$7</c:f>
              <c:numCache>
                <c:formatCode>General</c:formatCode>
                <c:ptCount val="10"/>
                <c:pt idx="0">
                  <c:v>0.68</c:v>
                </c:pt>
                <c:pt idx="1">
                  <c:v>1.33</c:v>
                </c:pt>
                <c:pt idx="2">
                  <c:v>1.96</c:v>
                </c:pt>
                <c:pt idx="3">
                  <c:v>2.66</c:v>
                </c:pt>
                <c:pt idx="4">
                  <c:v>3.29</c:v>
                </c:pt>
                <c:pt idx="5">
                  <c:v>3.91</c:v>
                </c:pt>
                <c:pt idx="6">
                  <c:v>4.54</c:v>
                </c:pt>
                <c:pt idx="7">
                  <c:v>5.2</c:v>
                </c:pt>
                <c:pt idx="8">
                  <c:v>5.89</c:v>
                </c:pt>
                <c:pt idx="9">
                  <c:v>6.5</c:v>
                </c:pt>
              </c:numCache>
            </c:numRef>
          </c:xVal>
          <c:yVal>
            <c:numRef>
              <c:f>'Figure 6'!$B$2:$K$2</c:f>
              <c:numCache>
                <c:formatCode>General</c:formatCode>
                <c:ptCount val="10"/>
                <c:pt idx="0">
                  <c:v>0.0</c:v>
                </c:pt>
                <c:pt idx="1">
                  <c:v>0.1670128</c:v>
                </c:pt>
                <c:pt idx="2">
                  <c:v>0.44259824</c:v>
                </c:pt>
                <c:pt idx="3">
                  <c:v>0.64952477</c:v>
                </c:pt>
                <c:pt idx="4">
                  <c:v>1.1429072</c:v>
                </c:pt>
                <c:pt idx="5">
                  <c:v>1.1722957</c:v>
                </c:pt>
                <c:pt idx="6">
                  <c:v>1.3543237</c:v>
                </c:pt>
                <c:pt idx="7">
                  <c:v>1.487434799999999</c:v>
                </c:pt>
                <c:pt idx="8">
                  <c:v>1.5923872</c:v>
                </c:pt>
                <c:pt idx="9">
                  <c:v>1.9109847</c:v>
                </c:pt>
              </c:numCache>
            </c:numRef>
          </c:yVal>
          <c:smooth val="0"/>
        </c:ser>
        <c:ser>
          <c:idx val="1"/>
          <c:order val="1"/>
          <c:tx>
            <c:strRef>
              <c:f>'Figure 6'!$A$3</c:f>
              <c:strCache>
                <c:ptCount val="1"/>
                <c:pt idx="0">
                  <c:v>2.83mg, Si/Al = 11.5 </c:v>
                </c:pt>
              </c:strCache>
            </c:strRef>
          </c:tx>
          <c:spPr>
            <a:ln w="47625">
              <a:noFill/>
            </a:ln>
            <a:effectLst/>
          </c:spPr>
          <c:marker>
            <c:symbol val="circle"/>
            <c:size val="14"/>
            <c:spPr>
              <a:solidFill>
                <a:schemeClr val="tx1"/>
              </a:solidFill>
              <a:ln>
                <a:solidFill>
                  <a:schemeClr val="tx1"/>
                </a:solidFill>
              </a:ln>
              <a:effectLst/>
            </c:spPr>
          </c:marker>
          <c:xVal>
            <c:numRef>
              <c:f>'Figure 6'!$B$8:$K$8</c:f>
              <c:numCache>
                <c:formatCode>General</c:formatCode>
                <c:ptCount val="10"/>
                <c:pt idx="0">
                  <c:v>0.68</c:v>
                </c:pt>
                <c:pt idx="1">
                  <c:v>1.35</c:v>
                </c:pt>
                <c:pt idx="2">
                  <c:v>1.97</c:v>
                </c:pt>
                <c:pt idx="3">
                  <c:v>2.61</c:v>
                </c:pt>
                <c:pt idx="4">
                  <c:v>3.21</c:v>
                </c:pt>
                <c:pt idx="5">
                  <c:v>3.85</c:v>
                </c:pt>
                <c:pt idx="6">
                  <c:v>4.53</c:v>
                </c:pt>
                <c:pt idx="7">
                  <c:v>5.21</c:v>
                </c:pt>
                <c:pt idx="8">
                  <c:v>5.89</c:v>
                </c:pt>
                <c:pt idx="9">
                  <c:v>6.55</c:v>
                </c:pt>
              </c:numCache>
            </c:numRef>
          </c:xVal>
          <c:yVal>
            <c:numRef>
              <c:f>'Figure 6'!$B$3:$K$3</c:f>
              <c:numCache>
                <c:formatCode>General</c:formatCode>
                <c:ptCount val="10"/>
                <c:pt idx="0">
                  <c:v>0.0</c:v>
                </c:pt>
                <c:pt idx="1">
                  <c:v>0.0</c:v>
                </c:pt>
                <c:pt idx="2">
                  <c:v>0.0</c:v>
                </c:pt>
                <c:pt idx="3">
                  <c:v>0.0</c:v>
                </c:pt>
                <c:pt idx="4">
                  <c:v>0.06328817</c:v>
                </c:pt>
                <c:pt idx="5">
                  <c:v>0.1416845</c:v>
                </c:pt>
                <c:pt idx="6">
                  <c:v>0.44053</c:v>
                </c:pt>
                <c:pt idx="7">
                  <c:v>0.7101456</c:v>
                </c:pt>
                <c:pt idx="8">
                  <c:v>0.9296916</c:v>
                </c:pt>
                <c:pt idx="9">
                  <c:v>0.9978114</c:v>
                </c:pt>
              </c:numCache>
            </c:numRef>
          </c:yVal>
          <c:smooth val="0"/>
        </c:ser>
        <c:ser>
          <c:idx val="2"/>
          <c:order val="2"/>
          <c:tx>
            <c:strRef>
              <c:f>'Figure 6'!$A$4</c:f>
              <c:strCache>
                <c:ptCount val="1"/>
                <c:pt idx="0">
                  <c:v>No Catalyst</c:v>
                </c:pt>
              </c:strCache>
            </c:strRef>
          </c:tx>
          <c:spPr>
            <a:ln w="47625">
              <a:noFill/>
            </a:ln>
            <a:effectLst/>
          </c:spPr>
          <c:marker>
            <c:symbol val="x"/>
            <c:size val="14"/>
            <c:spPr>
              <a:solidFill>
                <a:sysClr val="windowText" lastClr="000000"/>
              </a:solidFill>
              <a:ln>
                <a:solidFill>
                  <a:sysClr val="windowText" lastClr="000000"/>
                </a:solidFill>
              </a:ln>
              <a:effectLst/>
            </c:spPr>
          </c:marker>
          <c:errBars>
            <c:errDir val="y"/>
            <c:errBarType val="both"/>
            <c:errValType val="cust"/>
            <c:noEndCap val="0"/>
            <c:plus>
              <c:numRef>
                <c:f>'Figure 6'!$B$5</c:f>
                <c:numCache>
                  <c:formatCode>General</c:formatCode>
                  <c:ptCount val="1"/>
                  <c:pt idx="0">
                    <c:v>0.515007394</c:v>
                  </c:pt>
                </c:numCache>
              </c:numRef>
            </c:plus>
            <c:minus>
              <c:numRef>
                <c:f>'Figure 6'!$B$5</c:f>
                <c:numCache>
                  <c:formatCode>General</c:formatCode>
                  <c:ptCount val="1"/>
                  <c:pt idx="0">
                    <c:v>0.515007394</c:v>
                  </c:pt>
                </c:numCache>
              </c:numRef>
            </c:minus>
            <c:spPr>
              <a:ln w="19050"/>
            </c:spPr>
          </c:errBars>
          <c:xVal>
            <c:numLit>
              <c:formatCode>General</c:formatCode>
              <c:ptCount val="1"/>
              <c:pt idx="0">
                <c:v>6.8</c:v>
              </c:pt>
            </c:numLit>
          </c:xVal>
          <c:yVal>
            <c:numRef>
              <c:f>'Figure 6'!$B$4</c:f>
              <c:numCache>
                <c:formatCode>General</c:formatCode>
                <c:ptCount val="1"/>
                <c:pt idx="0">
                  <c:v>2.063537626</c:v>
                </c:pt>
              </c:numCache>
            </c:numRef>
          </c:yVal>
          <c:smooth val="0"/>
        </c:ser>
        <c:dLbls>
          <c:showLegendKey val="0"/>
          <c:showVal val="0"/>
          <c:showCatName val="0"/>
          <c:showSerName val="0"/>
          <c:showPercent val="0"/>
          <c:showBubbleSize val="0"/>
        </c:dLbls>
        <c:axId val="-2033339696"/>
        <c:axId val="2147381472"/>
      </c:scatterChart>
      <c:valAx>
        <c:axId val="-2033339696"/>
        <c:scaling>
          <c:orientation val="minMax"/>
          <c:max val="7.0"/>
          <c:min val="0.0"/>
        </c:scaling>
        <c:delete val="0"/>
        <c:axPos val="b"/>
        <c:title>
          <c:tx>
            <c:rich>
              <a:bodyPr/>
              <a:lstStyle/>
              <a:p>
                <a:pPr>
                  <a:defRPr sz="1600"/>
                </a:pPr>
                <a:r>
                  <a:rPr lang="en-US" sz="1600"/>
                  <a:t>Cumulative</a:t>
                </a:r>
                <a:r>
                  <a:rPr lang="en-US" sz="1600" baseline="0"/>
                  <a:t> biomass fed, mg</a:t>
                </a:r>
                <a:endParaRPr lang="en-US" sz="1600"/>
              </a:p>
            </c:rich>
          </c:tx>
          <c:overlay val="0"/>
        </c:title>
        <c:numFmt formatCode="General" sourceLinked="1"/>
        <c:majorTickMark val="out"/>
        <c:minorTickMark val="out"/>
        <c:tickLblPos val="nextTo"/>
        <c:spPr>
          <a:ln>
            <a:solidFill>
              <a:sysClr val="windowText" lastClr="000000"/>
            </a:solidFill>
          </a:ln>
        </c:spPr>
        <c:txPr>
          <a:bodyPr/>
          <a:lstStyle/>
          <a:p>
            <a:pPr>
              <a:defRPr sz="1800"/>
            </a:pPr>
            <a:endParaRPr lang="en-US"/>
          </a:p>
        </c:txPr>
        <c:crossAx val="2147381472"/>
        <c:crosses val="autoZero"/>
        <c:crossBetween val="midCat"/>
      </c:valAx>
      <c:valAx>
        <c:axId val="2147381472"/>
        <c:scaling>
          <c:orientation val="minMax"/>
        </c:scaling>
        <c:delete val="0"/>
        <c:axPos val="l"/>
        <c:title>
          <c:tx>
            <c:rich>
              <a:bodyPr/>
              <a:lstStyle/>
              <a:p>
                <a:pPr>
                  <a:defRPr sz="1600"/>
                </a:pPr>
                <a:r>
                  <a:rPr lang="en-US" sz="1600"/>
                  <a:t>(GC-MS response)/</a:t>
                </a:r>
                <a:br>
                  <a:rPr lang="en-US" sz="1600"/>
                </a:br>
                <a:r>
                  <a:rPr lang="en-US" sz="1600"/>
                  <a:t>(mg biomass in pulse)</a:t>
                </a:r>
              </a:p>
            </c:rich>
          </c:tx>
          <c:layout>
            <c:manualLayout>
              <c:xMode val="edge"/>
              <c:yMode val="edge"/>
              <c:x val="0.031322803399575"/>
              <c:y val="0.0572372203474566"/>
            </c:manualLayout>
          </c:layout>
          <c:overlay val="0"/>
        </c:title>
        <c:numFmt formatCode="General" sourceLinked="0"/>
        <c:majorTickMark val="out"/>
        <c:minorTickMark val="out"/>
        <c:tickLblPos val="nextTo"/>
        <c:spPr>
          <a:ln>
            <a:solidFill>
              <a:sysClr val="windowText" lastClr="000000"/>
            </a:solidFill>
          </a:ln>
        </c:spPr>
        <c:txPr>
          <a:bodyPr/>
          <a:lstStyle/>
          <a:p>
            <a:pPr>
              <a:defRPr sz="1800"/>
            </a:pPr>
            <a:endParaRPr lang="en-US"/>
          </a:p>
        </c:txPr>
        <c:crossAx val="-2033339696"/>
        <c:crosses val="autoZero"/>
        <c:crossBetween val="midCat"/>
      </c:valAx>
      <c:spPr>
        <a:ln>
          <a:solidFill>
            <a:sysClr val="windowText" lastClr="000000"/>
          </a:solidFill>
        </a:ln>
      </c:spPr>
    </c:plotArea>
    <c:legend>
      <c:legendPos val="r"/>
      <c:layout>
        <c:manualLayout>
          <c:xMode val="edge"/>
          <c:yMode val="edge"/>
          <c:x val="0.222547340480745"/>
          <c:y val="0.0731999125109361"/>
          <c:w val="0.37877370731201"/>
          <c:h val="0.220401320802642"/>
        </c:manualLayout>
      </c:layout>
      <c:overlay val="0"/>
      <c:txPr>
        <a:bodyPr/>
        <a:lstStyle/>
        <a:p>
          <a:pPr>
            <a:defRPr sz="1600"/>
          </a:pPr>
          <a:endParaRPr lang="en-US"/>
        </a:p>
      </c:txPr>
    </c:legend>
    <c:plotVisOnly val="1"/>
    <c:dispBlanksAs val="gap"/>
    <c:showDLblsOverMax val="0"/>
  </c:chart>
  <c:spPr>
    <a:ln>
      <a:noFill/>
    </a:ln>
  </c:spPr>
  <c:externalData r:id="rId2">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65529491105279"/>
          <c:y val="0.0493823023895063"/>
          <c:w val="0.771472185768445"/>
          <c:h val="0.707625199332353"/>
        </c:manualLayout>
      </c:layout>
      <c:barChart>
        <c:barDir val="col"/>
        <c:grouping val="clustered"/>
        <c:varyColors val="0"/>
        <c:ser>
          <c:idx val="0"/>
          <c:order val="0"/>
          <c:tx>
            <c:strRef>
              <c:f>'Figure 7'!$B$1</c:f>
              <c:strCache>
                <c:ptCount val="1"/>
                <c:pt idx="0">
                  <c:v>CH₄</c:v>
                </c:pt>
              </c:strCache>
            </c:strRef>
          </c:tx>
          <c:spPr>
            <a:pattFill prst="dkDnDiag">
              <a:fgClr>
                <a:sysClr val="windowText" lastClr="000000"/>
              </a:fgClr>
              <a:bgClr>
                <a:prstClr val="white"/>
              </a:bgClr>
            </a:pattFill>
            <a:ln w="12700">
              <a:solidFill>
                <a:sysClr val="windowText" lastClr="000000"/>
              </a:solidFill>
            </a:ln>
            <a:effectLst/>
          </c:spPr>
          <c:invertIfNegative val="0"/>
          <c:cat>
            <c:numRef>
              <c:f>'Figure 7'!$A$2:$A$11</c:f>
              <c:numCache>
                <c:formatCode>General</c:formatCode>
                <c:ptCount val="10"/>
                <c:pt idx="0">
                  <c:v>1.0</c:v>
                </c:pt>
                <c:pt idx="1">
                  <c:v>2.0</c:v>
                </c:pt>
                <c:pt idx="2">
                  <c:v>3.0</c:v>
                </c:pt>
                <c:pt idx="3">
                  <c:v>4.0</c:v>
                </c:pt>
                <c:pt idx="4">
                  <c:v>5.0</c:v>
                </c:pt>
                <c:pt idx="5">
                  <c:v>6.0</c:v>
                </c:pt>
                <c:pt idx="6">
                  <c:v>7.0</c:v>
                </c:pt>
                <c:pt idx="7">
                  <c:v>8.0</c:v>
                </c:pt>
                <c:pt idx="8">
                  <c:v>9.0</c:v>
                </c:pt>
                <c:pt idx="9">
                  <c:v>10.0</c:v>
                </c:pt>
              </c:numCache>
            </c:numRef>
          </c:cat>
          <c:val>
            <c:numRef>
              <c:f>'Figure 7'!$B$2:$B$11</c:f>
              <c:numCache>
                <c:formatCode>0.00E+00</c:formatCode>
                <c:ptCount val="10"/>
                <c:pt idx="0">
                  <c:v>0.01665</c:v>
                </c:pt>
                <c:pt idx="1">
                  <c:v>0.01555</c:v>
                </c:pt>
                <c:pt idx="2">
                  <c:v>0.01487</c:v>
                </c:pt>
                <c:pt idx="3">
                  <c:v>0.01328</c:v>
                </c:pt>
                <c:pt idx="4">
                  <c:v>0.015</c:v>
                </c:pt>
                <c:pt idx="5">
                  <c:v>0.01424</c:v>
                </c:pt>
                <c:pt idx="6">
                  <c:v>0.01262</c:v>
                </c:pt>
                <c:pt idx="7">
                  <c:v>0.01457</c:v>
                </c:pt>
                <c:pt idx="8">
                  <c:v>0.01432</c:v>
                </c:pt>
                <c:pt idx="9">
                  <c:v>0.01417</c:v>
                </c:pt>
              </c:numCache>
            </c:numRef>
          </c:val>
        </c:ser>
        <c:ser>
          <c:idx val="1"/>
          <c:order val="1"/>
          <c:tx>
            <c:strRef>
              <c:f>'Figure 7'!$C$1</c:f>
              <c:strCache>
                <c:ptCount val="1"/>
                <c:pt idx="0">
                  <c:v>CO</c:v>
                </c:pt>
              </c:strCache>
            </c:strRef>
          </c:tx>
          <c:spPr>
            <a:pattFill prst="pct50">
              <a:fgClr>
                <a:sysClr val="windowText" lastClr="000000">
                  <a:lumMod val="65000"/>
                  <a:lumOff val="35000"/>
                </a:sysClr>
              </a:fgClr>
              <a:bgClr>
                <a:prstClr val="white"/>
              </a:bgClr>
            </a:pattFill>
            <a:ln w="12700">
              <a:solidFill>
                <a:sysClr val="windowText" lastClr="000000"/>
              </a:solidFill>
            </a:ln>
            <a:effectLst/>
          </c:spPr>
          <c:invertIfNegative val="0"/>
          <c:cat>
            <c:numRef>
              <c:f>'Figure 7'!$A$2:$A$11</c:f>
              <c:numCache>
                <c:formatCode>General</c:formatCode>
                <c:ptCount val="10"/>
                <c:pt idx="0">
                  <c:v>1.0</c:v>
                </c:pt>
                <c:pt idx="1">
                  <c:v>2.0</c:v>
                </c:pt>
                <c:pt idx="2">
                  <c:v>3.0</c:v>
                </c:pt>
                <c:pt idx="3">
                  <c:v>4.0</c:v>
                </c:pt>
                <c:pt idx="4">
                  <c:v>5.0</c:v>
                </c:pt>
                <c:pt idx="5">
                  <c:v>6.0</c:v>
                </c:pt>
                <c:pt idx="6">
                  <c:v>7.0</c:v>
                </c:pt>
                <c:pt idx="7">
                  <c:v>8.0</c:v>
                </c:pt>
                <c:pt idx="8">
                  <c:v>9.0</c:v>
                </c:pt>
                <c:pt idx="9">
                  <c:v>10.0</c:v>
                </c:pt>
              </c:numCache>
            </c:numRef>
          </c:cat>
          <c:val>
            <c:numRef>
              <c:f>'Figure 7'!$C$2:$C$11</c:f>
              <c:numCache>
                <c:formatCode>0.00E+00</c:formatCode>
                <c:ptCount val="10"/>
                <c:pt idx="0">
                  <c:v>0.1462</c:v>
                </c:pt>
                <c:pt idx="1">
                  <c:v>0.1405</c:v>
                </c:pt>
                <c:pt idx="2">
                  <c:v>0.1368</c:v>
                </c:pt>
                <c:pt idx="3">
                  <c:v>0.1338</c:v>
                </c:pt>
                <c:pt idx="4">
                  <c:v>0.1352</c:v>
                </c:pt>
                <c:pt idx="5">
                  <c:v>0.1119</c:v>
                </c:pt>
                <c:pt idx="6">
                  <c:v>0.1117</c:v>
                </c:pt>
                <c:pt idx="7">
                  <c:v>0.1079</c:v>
                </c:pt>
                <c:pt idx="8">
                  <c:v>0.1049</c:v>
                </c:pt>
                <c:pt idx="9">
                  <c:v>0.1009</c:v>
                </c:pt>
              </c:numCache>
            </c:numRef>
          </c:val>
        </c:ser>
        <c:ser>
          <c:idx val="2"/>
          <c:order val="2"/>
          <c:tx>
            <c:strRef>
              <c:f>'Figure 7'!$D$1</c:f>
              <c:strCache>
                <c:ptCount val="1"/>
                <c:pt idx="0">
                  <c:v>CO₂</c:v>
                </c:pt>
              </c:strCache>
            </c:strRef>
          </c:tx>
          <c:spPr>
            <a:noFill/>
            <a:ln w="3175" cmpd="sng">
              <a:solidFill>
                <a:sysClr val="windowText" lastClr="000000"/>
              </a:solidFill>
            </a:ln>
            <a:effectLst/>
          </c:spPr>
          <c:invertIfNegative val="0"/>
          <c:cat>
            <c:numRef>
              <c:f>'Figure 7'!$A$2:$A$11</c:f>
              <c:numCache>
                <c:formatCode>General</c:formatCode>
                <c:ptCount val="10"/>
                <c:pt idx="0">
                  <c:v>1.0</c:v>
                </c:pt>
                <c:pt idx="1">
                  <c:v>2.0</c:v>
                </c:pt>
                <c:pt idx="2">
                  <c:v>3.0</c:v>
                </c:pt>
                <c:pt idx="3">
                  <c:v>4.0</c:v>
                </c:pt>
                <c:pt idx="4">
                  <c:v>5.0</c:v>
                </c:pt>
                <c:pt idx="5">
                  <c:v>6.0</c:v>
                </c:pt>
                <c:pt idx="6">
                  <c:v>7.0</c:v>
                </c:pt>
                <c:pt idx="7">
                  <c:v>8.0</c:v>
                </c:pt>
                <c:pt idx="8">
                  <c:v>9.0</c:v>
                </c:pt>
                <c:pt idx="9">
                  <c:v>10.0</c:v>
                </c:pt>
              </c:numCache>
            </c:numRef>
          </c:cat>
          <c:val>
            <c:numRef>
              <c:f>'Figure 7'!$D$2:$D$11</c:f>
              <c:numCache>
                <c:formatCode>0.00E+00</c:formatCode>
                <c:ptCount val="10"/>
                <c:pt idx="0">
                  <c:v>0.1381</c:v>
                </c:pt>
                <c:pt idx="1">
                  <c:v>0.129</c:v>
                </c:pt>
                <c:pt idx="2">
                  <c:v>0.1254</c:v>
                </c:pt>
                <c:pt idx="3">
                  <c:v>0.1308</c:v>
                </c:pt>
                <c:pt idx="4">
                  <c:v>0.1249</c:v>
                </c:pt>
                <c:pt idx="5">
                  <c:v>0.1144</c:v>
                </c:pt>
                <c:pt idx="6">
                  <c:v>0.1245</c:v>
                </c:pt>
                <c:pt idx="7">
                  <c:v>0.1119</c:v>
                </c:pt>
                <c:pt idx="8">
                  <c:v>0.1165</c:v>
                </c:pt>
                <c:pt idx="9">
                  <c:v>0.1177</c:v>
                </c:pt>
              </c:numCache>
            </c:numRef>
          </c:val>
        </c:ser>
        <c:dLbls>
          <c:showLegendKey val="0"/>
          <c:showVal val="0"/>
          <c:showCatName val="0"/>
          <c:showSerName val="0"/>
          <c:showPercent val="0"/>
          <c:showBubbleSize val="0"/>
        </c:dLbls>
        <c:gapWidth val="150"/>
        <c:axId val="2138580368"/>
        <c:axId val="-2101380144"/>
      </c:barChart>
      <c:catAx>
        <c:axId val="2138580368"/>
        <c:scaling>
          <c:orientation val="minMax"/>
        </c:scaling>
        <c:delete val="0"/>
        <c:axPos val="b"/>
        <c:title>
          <c:tx>
            <c:rich>
              <a:bodyPr/>
              <a:lstStyle/>
              <a:p>
                <a:pPr>
                  <a:defRPr sz="1400"/>
                </a:pPr>
                <a:r>
                  <a:rPr lang="en-US" sz="1400"/>
                  <a:t>Pyrolysis Pulse Number</a:t>
                </a:r>
              </a:p>
            </c:rich>
          </c:tx>
          <c:overlay val="0"/>
        </c:title>
        <c:numFmt formatCode="General" sourceLinked="1"/>
        <c:majorTickMark val="none"/>
        <c:minorTickMark val="none"/>
        <c:tickLblPos val="nextTo"/>
        <c:txPr>
          <a:bodyPr/>
          <a:lstStyle/>
          <a:p>
            <a:pPr>
              <a:defRPr sz="1400"/>
            </a:pPr>
            <a:endParaRPr lang="en-US"/>
          </a:p>
        </c:txPr>
        <c:crossAx val="-2101380144"/>
        <c:crosses val="autoZero"/>
        <c:auto val="1"/>
        <c:lblAlgn val="ctr"/>
        <c:lblOffset val="100"/>
        <c:noMultiLvlLbl val="0"/>
      </c:catAx>
      <c:valAx>
        <c:axId val="-2101380144"/>
        <c:scaling>
          <c:orientation val="minMax"/>
        </c:scaling>
        <c:delete val="0"/>
        <c:axPos val="l"/>
        <c:title>
          <c:tx>
            <c:rich>
              <a:bodyPr/>
              <a:lstStyle/>
              <a:p>
                <a:pPr>
                  <a:defRPr sz="1400"/>
                </a:pPr>
                <a:r>
                  <a:rPr lang="en-US" sz="1400"/>
                  <a:t>weight, mg/mg oak</a:t>
                </a:r>
              </a:p>
            </c:rich>
          </c:tx>
          <c:layout>
            <c:manualLayout>
              <c:xMode val="edge"/>
              <c:yMode val="edge"/>
              <c:x val="0.00815671478565179"/>
              <c:y val="0.0702526841355232"/>
            </c:manualLayout>
          </c:layout>
          <c:overlay val="0"/>
        </c:title>
        <c:numFmt formatCode="#,##0.00" sourceLinked="0"/>
        <c:majorTickMark val="none"/>
        <c:minorTickMark val="none"/>
        <c:tickLblPos val="nextTo"/>
        <c:txPr>
          <a:bodyPr/>
          <a:lstStyle/>
          <a:p>
            <a:pPr>
              <a:defRPr sz="1400"/>
            </a:pPr>
            <a:endParaRPr lang="en-US"/>
          </a:p>
        </c:txPr>
        <c:crossAx val="2138580368"/>
        <c:crosses val="autoZero"/>
        <c:crossBetween val="between"/>
        <c:majorUnit val="0.04"/>
      </c:valAx>
    </c:plotArea>
    <c:legend>
      <c:legendPos val="r"/>
      <c:layout>
        <c:manualLayout>
          <c:xMode val="edge"/>
          <c:yMode val="edge"/>
          <c:x val="0.642970071449402"/>
          <c:y val="0.00553913130393256"/>
          <c:w val="0.303116980169145"/>
          <c:h val="0.136147047812877"/>
        </c:manualLayout>
      </c:layout>
      <c:overlay val="0"/>
      <c:txPr>
        <a:bodyPr/>
        <a:lstStyle/>
        <a:p>
          <a:pPr>
            <a:defRPr sz="1400"/>
          </a:pPr>
          <a:endParaRPr lang="en-US"/>
        </a:p>
      </c:txPr>
    </c:legend>
    <c:plotVisOnly val="1"/>
    <c:dispBlanksAs val="gap"/>
    <c:showDLblsOverMax val="0"/>
  </c:chart>
  <c:spPr>
    <a:ln>
      <a:noFill/>
    </a:ln>
  </c:spPr>
  <c:externalData r:id="rId2">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manualLayout>
          <c:layoutTarget val="inner"/>
          <c:xMode val="edge"/>
          <c:yMode val="edge"/>
          <c:x val="0.207255577427822"/>
          <c:y val="0.159033667897075"/>
          <c:w val="0.717401939340916"/>
          <c:h val="0.710224984646499"/>
        </c:manualLayout>
      </c:layout>
      <c:barChart>
        <c:barDir val="col"/>
        <c:grouping val="stacked"/>
        <c:varyColors val="0"/>
        <c:ser>
          <c:idx val="0"/>
          <c:order val="0"/>
          <c:tx>
            <c:strRef>
              <c:f>'[Formatted figures revised.xlsx]Figure 8'!$B$2</c:f>
              <c:strCache>
                <c:ptCount val="1"/>
                <c:pt idx="0">
                  <c:v>Char</c:v>
                </c:pt>
              </c:strCache>
            </c:strRef>
          </c:tx>
          <c:spPr>
            <a:solidFill>
              <a:schemeClr val="tx1"/>
            </a:solidFill>
            <a:ln>
              <a:solidFill>
                <a:schemeClr val="tx1"/>
              </a:solidFill>
            </a:ln>
            <a:effectLst/>
          </c:spPr>
          <c:invertIfNegative val="0"/>
          <c:cat>
            <c:strRef>
              <c:f>'[Formatted figures revised.xlsx]Figure 8'!$A$3:$A$8</c:f>
              <c:strCache>
                <c:ptCount val="6"/>
                <c:pt idx="0">
                  <c:v>Si/Al=40, 400°C</c:v>
                </c:pt>
                <c:pt idx="1">
                  <c:v>Si/Al=40, 500°C</c:v>
                </c:pt>
                <c:pt idx="2">
                  <c:v>Si/Al=40, 600°C</c:v>
                </c:pt>
                <c:pt idx="3">
                  <c:v>Si/Al=25, 500°C</c:v>
                </c:pt>
                <c:pt idx="4">
                  <c:v>Si/Al=11.5, 500°C</c:v>
                </c:pt>
                <c:pt idx="5">
                  <c:v>No Catalyst</c:v>
                </c:pt>
              </c:strCache>
            </c:strRef>
          </c:cat>
          <c:val>
            <c:numRef>
              <c:f>'[Formatted figures revised.xlsx]Figure 8'!$B$3:$B$8</c:f>
              <c:numCache>
                <c:formatCode>General</c:formatCode>
                <c:ptCount val="6"/>
                <c:pt idx="0">
                  <c:v>0.14</c:v>
                </c:pt>
                <c:pt idx="1">
                  <c:v>0.14</c:v>
                </c:pt>
                <c:pt idx="2">
                  <c:v>0.14</c:v>
                </c:pt>
                <c:pt idx="3">
                  <c:v>0.14</c:v>
                </c:pt>
                <c:pt idx="4">
                  <c:v>0.14</c:v>
                </c:pt>
                <c:pt idx="5">
                  <c:v>0.14</c:v>
                </c:pt>
              </c:numCache>
            </c:numRef>
          </c:val>
        </c:ser>
        <c:ser>
          <c:idx val="1"/>
          <c:order val="1"/>
          <c:tx>
            <c:strRef>
              <c:f>'[Formatted figures revised.xlsx]Figure 8'!$C$2</c:f>
              <c:strCache>
                <c:ptCount val="1"/>
                <c:pt idx="0">
                  <c:v>Catalyst Coke</c:v>
                </c:pt>
              </c:strCache>
            </c:strRef>
          </c:tx>
          <c:spPr>
            <a:solidFill>
              <a:schemeClr val="bg1">
                <a:lumMod val="65000"/>
              </a:schemeClr>
            </a:solidFill>
            <a:ln>
              <a:solidFill>
                <a:schemeClr val="tx1"/>
              </a:solidFill>
            </a:ln>
            <a:effectLst/>
          </c:spPr>
          <c:invertIfNegative val="0"/>
          <c:errBars>
            <c:errBarType val="both"/>
            <c:errValType val="cust"/>
            <c:noEndCap val="0"/>
            <c:plus>
              <c:numRef>
                <c:f>'[Formatted figures revised.xlsx]Figure 8'!$J$3:$J$8</c:f>
                <c:numCache>
                  <c:formatCode>General</c:formatCode>
                  <c:ptCount val="6"/>
                  <c:pt idx="0">
                    <c:v>0.00223</c:v>
                  </c:pt>
                  <c:pt idx="1">
                    <c:v>0.0021185</c:v>
                  </c:pt>
                  <c:pt idx="2">
                    <c:v>0.001115</c:v>
                  </c:pt>
                  <c:pt idx="3">
                    <c:v>0.0018395</c:v>
                  </c:pt>
                  <c:pt idx="4">
                    <c:v>0.00034</c:v>
                  </c:pt>
                  <c:pt idx="5">
                    <c:v>0.0</c:v>
                  </c:pt>
                </c:numCache>
              </c:numRef>
            </c:plus>
            <c:minus>
              <c:numRef>
                <c:f>'[Formatted figures revised.xlsx]Figure 8'!$J$3:$J$8</c:f>
                <c:numCache>
                  <c:formatCode>General</c:formatCode>
                  <c:ptCount val="6"/>
                  <c:pt idx="0">
                    <c:v>0.00223</c:v>
                  </c:pt>
                  <c:pt idx="1">
                    <c:v>0.0021185</c:v>
                  </c:pt>
                  <c:pt idx="2">
                    <c:v>0.001115</c:v>
                  </c:pt>
                  <c:pt idx="3">
                    <c:v>0.0018395</c:v>
                  </c:pt>
                  <c:pt idx="4">
                    <c:v>0.00034</c:v>
                  </c:pt>
                  <c:pt idx="5">
                    <c:v>0.0</c:v>
                  </c:pt>
                </c:numCache>
              </c:numRef>
            </c:minus>
          </c:errBars>
          <c:cat>
            <c:strRef>
              <c:f>'[Formatted figures revised.xlsx]Figure 8'!$A$3:$A$8</c:f>
              <c:strCache>
                <c:ptCount val="6"/>
                <c:pt idx="0">
                  <c:v>Si/Al=40, 400°C</c:v>
                </c:pt>
                <c:pt idx="1">
                  <c:v>Si/Al=40, 500°C</c:v>
                </c:pt>
                <c:pt idx="2">
                  <c:v>Si/Al=40, 600°C</c:v>
                </c:pt>
                <c:pt idx="3">
                  <c:v>Si/Al=25, 500°C</c:v>
                </c:pt>
                <c:pt idx="4">
                  <c:v>Si/Al=11.5, 500°C</c:v>
                </c:pt>
                <c:pt idx="5">
                  <c:v>No Catalyst</c:v>
                </c:pt>
              </c:strCache>
            </c:strRef>
          </c:cat>
          <c:val>
            <c:numRef>
              <c:f>'[Formatted figures revised.xlsx]Figure 8'!$C$3:$C$8</c:f>
              <c:numCache>
                <c:formatCode>General</c:formatCode>
                <c:ptCount val="6"/>
                <c:pt idx="0">
                  <c:v>0.0446</c:v>
                </c:pt>
                <c:pt idx="1">
                  <c:v>0.04237</c:v>
                </c:pt>
                <c:pt idx="2">
                  <c:v>0.0223</c:v>
                </c:pt>
                <c:pt idx="3">
                  <c:v>0.03679</c:v>
                </c:pt>
                <c:pt idx="4">
                  <c:v>0.0068</c:v>
                </c:pt>
                <c:pt idx="5" formatCode="0.00%">
                  <c:v>0.0</c:v>
                </c:pt>
              </c:numCache>
            </c:numRef>
          </c:val>
        </c:ser>
        <c:ser>
          <c:idx val="2"/>
          <c:order val="2"/>
          <c:tx>
            <c:strRef>
              <c:f>'[Formatted figures revised.xlsx]Figure 8'!$D$2</c:f>
              <c:strCache>
                <c:ptCount val="1"/>
                <c:pt idx="0">
                  <c:v>Gas</c:v>
                </c:pt>
              </c:strCache>
            </c:strRef>
          </c:tx>
          <c:spPr>
            <a:solidFill>
              <a:schemeClr val="bg1"/>
            </a:solidFill>
            <a:ln>
              <a:solidFill>
                <a:schemeClr val="tx1"/>
              </a:solidFill>
            </a:ln>
            <a:effectLst/>
          </c:spPr>
          <c:invertIfNegative val="0"/>
          <c:errBars>
            <c:errBarType val="both"/>
            <c:errValType val="cust"/>
            <c:noEndCap val="0"/>
            <c:plus>
              <c:numRef>
                <c:f>'[Formatted figures revised.xlsx]Figure 8'!$H$3:$H$8</c:f>
                <c:numCache>
                  <c:formatCode>General</c:formatCode>
                  <c:ptCount val="6"/>
                  <c:pt idx="0">
                    <c:v>0.01151442</c:v>
                  </c:pt>
                  <c:pt idx="1">
                    <c:v>0.025487021</c:v>
                  </c:pt>
                  <c:pt idx="2">
                    <c:v>0.015548082</c:v>
                  </c:pt>
                  <c:pt idx="3">
                    <c:v>0.021545919</c:v>
                  </c:pt>
                  <c:pt idx="4">
                    <c:v>0.015540999</c:v>
                  </c:pt>
                  <c:pt idx="5">
                    <c:v>0.006975913</c:v>
                  </c:pt>
                </c:numCache>
              </c:numRef>
            </c:plus>
            <c:minus>
              <c:numRef>
                <c:f>'[Formatted figures revised.xlsx]Figure 8'!$H$3:$H$8</c:f>
                <c:numCache>
                  <c:formatCode>General</c:formatCode>
                  <c:ptCount val="6"/>
                  <c:pt idx="0">
                    <c:v>0.01151442</c:v>
                  </c:pt>
                  <c:pt idx="1">
                    <c:v>0.025487021</c:v>
                  </c:pt>
                  <c:pt idx="2">
                    <c:v>0.015548082</c:v>
                  </c:pt>
                  <c:pt idx="3">
                    <c:v>0.021545919</c:v>
                  </c:pt>
                  <c:pt idx="4">
                    <c:v>0.015540999</c:v>
                  </c:pt>
                  <c:pt idx="5">
                    <c:v>0.006975913</c:v>
                  </c:pt>
                </c:numCache>
              </c:numRef>
            </c:minus>
          </c:errBars>
          <c:cat>
            <c:strRef>
              <c:f>'[Formatted figures revised.xlsx]Figure 8'!$A$3:$A$8</c:f>
              <c:strCache>
                <c:ptCount val="6"/>
                <c:pt idx="0">
                  <c:v>Si/Al=40, 400°C</c:v>
                </c:pt>
                <c:pt idx="1">
                  <c:v>Si/Al=40, 500°C</c:v>
                </c:pt>
                <c:pt idx="2">
                  <c:v>Si/Al=40, 600°C</c:v>
                </c:pt>
                <c:pt idx="3">
                  <c:v>Si/Al=25, 500°C</c:v>
                </c:pt>
                <c:pt idx="4">
                  <c:v>Si/Al=11.5, 500°C</c:v>
                </c:pt>
                <c:pt idx="5">
                  <c:v>No Catalyst</c:v>
                </c:pt>
              </c:strCache>
            </c:strRef>
          </c:cat>
          <c:val>
            <c:numRef>
              <c:f>'[Formatted figures revised.xlsx]Figure 8'!$D$3:$D$8</c:f>
              <c:numCache>
                <c:formatCode>General</c:formatCode>
                <c:ptCount val="6"/>
                <c:pt idx="0">
                  <c:v>0.23513643</c:v>
                </c:pt>
                <c:pt idx="1">
                  <c:v>0.275882101</c:v>
                </c:pt>
                <c:pt idx="2">
                  <c:v>0.426707347</c:v>
                </c:pt>
                <c:pt idx="3">
                  <c:v>0.28860342</c:v>
                </c:pt>
                <c:pt idx="4">
                  <c:v>0.292974187</c:v>
                </c:pt>
                <c:pt idx="5" formatCode="0.00%">
                  <c:v>0.189654388</c:v>
                </c:pt>
              </c:numCache>
            </c:numRef>
          </c:val>
        </c:ser>
        <c:ser>
          <c:idx val="3"/>
          <c:order val="3"/>
          <c:tx>
            <c:strRef>
              <c:f>'[Formatted figures revised.xlsx]Figure 8'!$E$2</c:f>
              <c:strCache>
                <c:ptCount val="1"/>
                <c:pt idx="0">
                  <c:v>Liquid</c:v>
                </c:pt>
              </c:strCache>
            </c:strRef>
          </c:tx>
          <c:spPr>
            <a:pattFill prst="pct25">
              <a:fgClr>
                <a:prstClr val="black"/>
              </a:fgClr>
              <a:bgClr>
                <a:prstClr val="white"/>
              </a:bgClr>
            </a:pattFill>
            <a:ln>
              <a:solidFill>
                <a:schemeClr val="tx1"/>
              </a:solidFill>
            </a:ln>
            <a:effectLst/>
          </c:spPr>
          <c:invertIfNegative val="0"/>
          <c:cat>
            <c:strRef>
              <c:f>'[Formatted figures revised.xlsx]Figure 8'!$A$3:$A$8</c:f>
              <c:strCache>
                <c:ptCount val="6"/>
                <c:pt idx="0">
                  <c:v>Si/Al=40, 400°C</c:v>
                </c:pt>
                <c:pt idx="1">
                  <c:v>Si/Al=40, 500°C</c:v>
                </c:pt>
                <c:pt idx="2">
                  <c:v>Si/Al=40, 600°C</c:v>
                </c:pt>
                <c:pt idx="3">
                  <c:v>Si/Al=25, 500°C</c:v>
                </c:pt>
                <c:pt idx="4">
                  <c:v>Si/Al=11.5, 500°C</c:v>
                </c:pt>
                <c:pt idx="5">
                  <c:v>No Catalyst</c:v>
                </c:pt>
              </c:strCache>
            </c:strRef>
          </c:cat>
          <c:val>
            <c:numRef>
              <c:f>'[Formatted figures revised.xlsx]Figure 8'!$E$3:$E$8</c:f>
              <c:numCache>
                <c:formatCode>0.00%</c:formatCode>
                <c:ptCount val="6"/>
                <c:pt idx="0">
                  <c:v>0.5803</c:v>
                </c:pt>
                <c:pt idx="1">
                  <c:v>0.5417</c:v>
                </c:pt>
                <c:pt idx="2">
                  <c:v>0.411</c:v>
                </c:pt>
                <c:pt idx="3">
                  <c:v>0.5346</c:v>
                </c:pt>
                <c:pt idx="4">
                  <c:v>0.5602</c:v>
                </c:pt>
                <c:pt idx="5">
                  <c:v>0.6703</c:v>
                </c:pt>
              </c:numCache>
            </c:numRef>
          </c:val>
        </c:ser>
        <c:dLbls>
          <c:showLegendKey val="0"/>
          <c:showVal val="0"/>
          <c:showCatName val="0"/>
          <c:showSerName val="0"/>
          <c:showPercent val="0"/>
          <c:showBubbleSize val="0"/>
        </c:dLbls>
        <c:gapWidth val="150"/>
        <c:overlap val="100"/>
        <c:axId val="2130767200"/>
        <c:axId val="-2053722880"/>
      </c:barChart>
      <c:catAx>
        <c:axId val="2130767200"/>
        <c:scaling>
          <c:orientation val="minMax"/>
        </c:scaling>
        <c:delete val="0"/>
        <c:axPos val="b"/>
        <c:numFmt formatCode="General" sourceLinked="0"/>
        <c:majorTickMark val="out"/>
        <c:minorTickMark val="none"/>
        <c:tickLblPos val="nextTo"/>
        <c:txPr>
          <a:bodyPr rot="0" vert="horz"/>
          <a:lstStyle/>
          <a:p>
            <a:pPr>
              <a:defRPr sz="1000"/>
            </a:pPr>
            <a:endParaRPr lang="en-US"/>
          </a:p>
        </c:txPr>
        <c:crossAx val="-2053722880"/>
        <c:crosses val="autoZero"/>
        <c:auto val="1"/>
        <c:lblAlgn val="ctr"/>
        <c:lblOffset val="100"/>
        <c:noMultiLvlLbl val="0"/>
      </c:catAx>
      <c:valAx>
        <c:axId val="-2053722880"/>
        <c:scaling>
          <c:orientation val="minMax"/>
          <c:max val="1.0"/>
        </c:scaling>
        <c:delete val="0"/>
        <c:axPos val="l"/>
        <c:numFmt formatCode="#,##0.0" sourceLinked="0"/>
        <c:majorTickMark val="out"/>
        <c:minorTickMark val="none"/>
        <c:tickLblPos val="nextTo"/>
        <c:txPr>
          <a:bodyPr/>
          <a:lstStyle/>
          <a:p>
            <a:pPr>
              <a:defRPr sz="1400"/>
            </a:pPr>
            <a:endParaRPr lang="en-US"/>
          </a:p>
        </c:txPr>
        <c:crossAx val="2130767200"/>
        <c:crosses val="autoZero"/>
        <c:crossBetween val="between"/>
        <c:majorUnit val="0.2"/>
      </c:valAx>
    </c:plotArea>
    <c:legend>
      <c:legendPos val="r"/>
      <c:layout>
        <c:manualLayout>
          <c:xMode val="edge"/>
          <c:yMode val="edge"/>
          <c:x val="0.246416776027996"/>
          <c:y val="0.016002880457196"/>
          <c:w val="0.623953594342374"/>
          <c:h val="0.114674371719426"/>
        </c:manualLayout>
      </c:layout>
      <c:overlay val="0"/>
      <c:spPr>
        <a:effectLst/>
      </c:spPr>
      <c:txPr>
        <a:bodyPr/>
        <a:lstStyle/>
        <a:p>
          <a:pPr>
            <a:defRPr sz="1400"/>
          </a:pPr>
          <a:endParaRPr lang="en-US"/>
        </a:p>
      </c:txPr>
    </c:legend>
    <c:plotVisOnly val="1"/>
    <c:dispBlanksAs val="gap"/>
    <c:showDLblsOverMax val="0"/>
  </c:chart>
  <c:spPr>
    <a:ln>
      <a:noFill/>
    </a:ln>
  </c:spPr>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70157291035736"/>
          <c:y val="0.0341463414634146"/>
          <c:w val="0.6916613037553"/>
          <c:h val="0.742419072615923"/>
        </c:manualLayout>
      </c:layout>
      <c:scatterChart>
        <c:scatterStyle val="lineMarker"/>
        <c:varyColors val="0"/>
        <c:ser>
          <c:idx val="0"/>
          <c:order val="0"/>
          <c:tx>
            <c:strRef>
              <c:f>'Figure S3.'!$A$2</c:f>
              <c:strCache>
                <c:ptCount val="1"/>
                <c:pt idx="0">
                  <c:v>T = 400°C</c:v>
                </c:pt>
              </c:strCache>
            </c:strRef>
          </c:tx>
          <c:spPr>
            <a:ln w="47625">
              <a:noFill/>
            </a:ln>
            <a:effectLst/>
          </c:spPr>
          <c:marker>
            <c:symbol val="triangle"/>
            <c:size val="12"/>
            <c:spPr>
              <a:noFill/>
              <a:ln>
                <a:solidFill>
                  <a:schemeClr val="tx1"/>
                </a:solidFill>
              </a:ln>
              <a:effectLst/>
            </c:spPr>
          </c:marker>
          <c:xVal>
            <c:numRef>
              <c:f>'Figure S3.'!$B$8:$K$8</c:f>
              <c:numCache>
                <c:formatCode>General</c:formatCode>
                <c:ptCount val="10"/>
                <c:pt idx="0">
                  <c:v>0.73</c:v>
                </c:pt>
                <c:pt idx="1">
                  <c:v>1.33</c:v>
                </c:pt>
                <c:pt idx="2">
                  <c:v>1.98</c:v>
                </c:pt>
                <c:pt idx="3">
                  <c:v>2.66</c:v>
                </c:pt>
                <c:pt idx="4">
                  <c:v>3.36</c:v>
                </c:pt>
                <c:pt idx="5">
                  <c:v>4.08</c:v>
                </c:pt>
                <c:pt idx="6">
                  <c:v>4.74</c:v>
                </c:pt>
                <c:pt idx="7">
                  <c:v>5.38</c:v>
                </c:pt>
                <c:pt idx="8">
                  <c:v>6.06</c:v>
                </c:pt>
                <c:pt idx="9">
                  <c:v>6.73</c:v>
                </c:pt>
              </c:numCache>
            </c:numRef>
          </c:xVal>
          <c:yVal>
            <c:numRef>
              <c:f>'Figure S3.'!$B$2:$K$2</c:f>
              <c:numCache>
                <c:formatCode>General</c:formatCode>
                <c:ptCount val="10"/>
                <c:pt idx="0">
                  <c:v>1.16648411</c:v>
                </c:pt>
                <c:pt idx="1">
                  <c:v>1.431346667</c:v>
                </c:pt>
                <c:pt idx="2">
                  <c:v>1.45664723</c:v>
                </c:pt>
                <c:pt idx="3">
                  <c:v>1.67011324</c:v>
                </c:pt>
                <c:pt idx="4">
                  <c:v>2.158935</c:v>
                </c:pt>
                <c:pt idx="5">
                  <c:v>2.322477919999998</c:v>
                </c:pt>
                <c:pt idx="6">
                  <c:v>1.94753333</c:v>
                </c:pt>
                <c:pt idx="7">
                  <c:v>2.10588469</c:v>
                </c:pt>
                <c:pt idx="8">
                  <c:v>2.05535721</c:v>
                </c:pt>
                <c:pt idx="9">
                  <c:v>2.62810746</c:v>
                </c:pt>
              </c:numCache>
            </c:numRef>
          </c:yVal>
          <c:smooth val="0"/>
        </c:ser>
        <c:ser>
          <c:idx val="1"/>
          <c:order val="1"/>
          <c:tx>
            <c:strRef>
              <c:f>'Figure S3.'!$A$3</c:f>
              <c:strCache>
                <c:ptCount val="1"/>
                <c:pt idx="0">
                  <c:v>T = 500°C</c:v>
                </c:pt>
              </c:strCache>
            </c:strRef>
          </c:tx>
          <c:spPr>
            <a:ln w="47625">
              <a:noFill/>
            </a:ln>
            <a:effectLst/>
          </c:spPr>
          <c:marker>
            <c:symbol val="circle"/>
            <c:size val="14"/>
            <c:spPr>
              <a:solidFill>
                <a:schemeClr val="tx1"/>
              </a:solidFill>
              <a:ln>
                <a:solidFill>
                  <a:schemeClr val="tx1"/>
                </a:solidFill>
              </a:ln>
              <a:effectLst/>
            </c:spPr>
          </c:marker>
          <c:xVal>
            <c:numRef>
              <c:f>'Figure S3.'!$B$9:$K$9</c:f>
              <c:numCache>
                <c:formatCode>General</c:formatCode>
                <c:ptCount val="10"/>
                <c:pt idx="0">
                  <c:v>0.68</c:v>
                </c:pt>
                <c:pt idx="1">
                  <c:v>1.33</c:v>
                </c:pt>
                <c:pt idx="2">
                  <c:v>1.96</c:v>
                </c:pt>
                <c:pt idx="3">
                  <c:v>2.66</c:v>
                </c:pt>
                <c:pt idx="4">
                  <c:v>3.29</c:v>
                </c:pt>
                <c:pt idx="5">
                  <c:v>3.91</c:v>
                </c:pt>
                <c:pt idx="6">
                  <c:v>4.54</c:v>
                </c:pt>
                <c:pt idx="7">
                  <c:v>5.2</c:v>
                </c:pt>
                <c:pt idx="8">
                  <c:v>5.89</c:v>
                </c:pt>
                <c:pt idx="9">
                  <c:v>6.5</c:v>
                </c:pt>
              </c:numCache>
            </c:numRef>
          </c:xVal>
          <c:yVal>
            <c:numRef>
              <c:f>'Figure S3.'!$B$3:$K$3</c:f>
              <c:numCache>
                <c:formatCode>General</c:formatCode>
                <c:ptCount val="10"/>
                <c:pt idx="0">
                  <c:v>0.0</c:v>
                </c:pt>
                <c:pt idx="1">
                  <c:v>0.0</c:v>
                </c:pt>
                <c:pt idx="2">
                  <c:v>0.07394365</c:v>
                </c:pt>
                <c:pt idx="3">
                  <c:v>0.09206171</c:v>
                </c:pt>
                <c:pt idx="4">
                  <c:v>0.1096344</c:v>
                </c:pt>
                <c:pt idx="5">
                  <c:v>0.16151694</c:v>
                </c:pt>
                <c:pt idx="6">
                  <c:v>0.13978317</c:v>
                </c:pt>
                <c:pt idx="7">
                  <c:v>0.17506909</c:v>
                </c:pt>
                <c:pt idx="8">
                  <c:v>0.28894029</c:v>
                </c:pt>
                <c:pt idx="9">
                  <c:v>0.20687934</c:v>
                </c:pt>
              </c:numCache>
            </c:numRef>
          </c:yVal>
          <c:smooth val="0"/>
        </c:ser>
        <c:ser>
          <c:idx val="2"/>
          <c:order val="2"/>
          <c:tx>
            <c:strRef>
              <c:f>'Figure S3.'!$A$4</c:f>
              <c:strCache>
                <c:ptCount val="1"/>
                <c:pt idx="0">
                  <c:v>T = 600°C</c:v>
                </c:pt>
              </c:strCache>
            </c:strRef>
          </c:tx>
          <c:spPr>
            <a:ln w="47625">
              <a:noFill/>
            </a:ln>
            <a:effectLst/>
          </c:spPr>
          <c:marker>
            <c:symbol val="x"/>
            <c:size val="14"/>
            <c:spPr>
              <a:ln>
                <a:solidFill>
                  <a:sysClr val="windowText" lastClr="000000"/>
                </a:solidFill>
              </a:ln>
              <a:effectLst/>
            </c:spPr>
          </c:marker>
          <c:xVal>
            <c:numRef>
              <c:f>'Figure S3.'!$B$10:$K$10</c:f>
              <c:numCache>
                <c:formatCode>General</c:formatCode>
                <c:ptCount val="10"/>
                <c:pt idx="0">
                  <c:v>0.66</c:v>
                </c:pt>
                <c:pt idx="1">
                  <c:v>1.31</c:v>
                </c:pt>
                <c:pt idx="2">
                  <c:v>2.01</c:v>
                </c:pt>
                <c:pt idx="3">
                  <c:v>2.67</c:v>
                </c:pt>
                <c:pt idx="4">
                  <c:v>3.4</c:v>
                </c:pt>
                <c:pt idx="5">
                  <c:v>4.08</c:v>
                </c:pt>
                <c:pt idx="6">
                  <c:v>4.689999999999999</c:v>
                </c:pt>
                <c:pt idx="7">
                  <c:v>5.39</c:v>
                </c:pt>
                <c:pt idx="8">
                  <c:v>6.05</c:v>
                </c:pt>
                <c:pt idx="9">
                  <c:v>6.74</c:v>
                </c:pt>
              </c:numCache>
            </c:numRef>
          </c:xVal>
          <c:yVal>
            <c:numRef>
              <c:f>'Figure S3.'!$B$4:$K$4</c:f>
              <c:numCache>
                <c:formatCode>General</c:formatCode>
                <c:ptCount val="10"/>
                <c:pt idx="0">
                  <c:v>0.0</c:v>
                </c:pt>
                <c:pt idx="1">
                  <c:v>0.0</c:v>
                </c:pt>
                <c:pt idx="2">
                  <c:v>0.0</c:v>
                </c:pt>
                <c:pt idx="3">
                  <c:v>0.0</c:v>
                </c:pt>
                <c:pt idx="4">
                  <c:v>0.0</c:v>
                </c:pt>
                <c:pt idx="5">
                  <c:v>0.02903691</c:v>
                </c:pt>
                <c:pt idx="6">
                  <c:v>0.03430262</c:v>
                </c:pt>
                <c:pt idx="7">
                  <c:v>0.03544186</c:v>
                </c:pt>
                <c:pt idx="8">
                  <c:v>0.05090591</c:v>
                </c:pt>
                <c:pt idx="9">
                  <c:v>0.06237406</c:v>
                </c:pt>
              </c:numCache>
            </c:numRef>
          </c:yVal>
          <c:smooth val="0"/>
        </c:ser>
        <c:ser>
          <c:idx val="3"/>
          <c:order val="3"/>
          <c:tx>
            <c:strRef>
              <c:f>'Figure S3.'!$A$5</c:f>
              <c:strCache>
                <c:ptCount val="1"/>
                <c:pt idx="0">
                  <c:v>No Catalyst</c:v>
                </c:pt>
              </c:strCache>
            </c:strRef>
          </c:tx>
          <c:spPr>
            <a:ln w="47625">
              <a:noFill/>
            </a:ln>
            <a:effectLst/>
          </c:spPr>
          <c:marker>
            <c:symbol val="square"/>
            <c:size val="14"/>
            <c:spPr>
              <a:solidFill>
                <a:sysClr val="windowText" lastClr="000000"/>
              </a:solidFill>
              <a:ln>
                <a:solidFill>
                  <a:sysClr val="windowText" lastClr="000000"/>
                </a:solidFill>
              </a:ln>
              <a:effectLst/>
            </c:spPr>
          </c:marker>
          <c:errBars>
            <c:errDir val="y"/>
            <c:errBarType val="both"/>
            <c:errValType val="cust"/>
            <c:noEndCap val="0"/>
            <c:plus>
              <c:numRef>
                <c:f>'Figure S3.'!$B$6</c:f>
                <c:numCache>
                  <c:formatCode>General</c:formatCode>
                  <c:ptCount val="1"/>
                  <c:pt idx="0">
                    <c:v>0.515007394</c:v>
                  </c:pt>
                </c:numCache>
              </c:numRef>
            </c:plus>
            <c:minus>
              <c:numRef>
                <c:f>'Figure S3.'!$B$6</c:f>
                <c:numCache>
                  <c:formatCode>General</c:formatCode>
                  <c:ptCount val="1"/>
                  <c:pt idx="0">
                    <c:v>0.515007394</c:v>
                  </c:pt>
                </c:numCache>
              </c:numRef>
            </c:minus>
          </c:errBars>
          <c:xVal>
            <c:numRef>
              <c:f>'Figure S3.'!$B$11</c:f>
              <c:numCache>
                <c:formatCode>General</c:formatCode>
                <c:ptCount val="1"/>
                <c:pt idx="0">
                  <c:v>6.8</c:v>
                </c:pt>
              </c:numCache>
            </c:numRef>
          </c:xVal>
          <c:yVal>
            <c:numRef>
              <c:f>'Figure S3.'!$B$5</c:f>
              <c:numCache>
                <c:formatCode>General</c:formatCode>
                <c:ptCount val="1"/>
                <c:pt idx="0">
                  <c:v>2.063537626</c:v>
                </c:pt>
              </c:numCache>
            </c:numRef>
          </c:yVal>
          <c:smooth val="0"/>
        </c:ser>
        <c:dLbls>
          <c:showLegendKey val="0"/>
          <c:showVal val="0"/>
          <c:showCatName val="0"/>
          <c:showSerName val="0"/>
          <c:showPercent val="0"/>
          <c:showBubbleSize val="0"/>
        </c:dLbls>
        <c:axId val="-2033758208"/>
        <c:axId val="-2054952224"/>
      </c:scatterChart>
      <c:valAx>
        <c:axId val="-2033758208"/>
        <c:scaling>
          <c:orientation val="minMax"/>
          <c:max val="7.0"/>
          <c:min val="0.0"/>
        </c:scaling>
        <c:delete val="0"/>
        <c:axPos val="b"/>
        <c:title>
          <c:tx>
            <c:rich>
              <a:bodyPr/>
              <a:lstStyle/>
              <a:p>
                <a:pPr>
                  <a:defRPr sz="1800"/>
                </a:pPr>
                <a:r>
                  <a:rPr lang="en-US"/>
                  <a:t>Cumulative biomass fed, mg</a:t>
                </a:r>
              </a:p>
            </c:rich>
          </c:tx>
          <c:layout>
            <c:manualLayout>
              <c:xMode val="edge"/>
              <c:yMode val="edge"/>
              <c:x val="0.354105869181606"/>
              <c:y val="0.910823560235394"/>
            </c:manualLayout>
          </c:layout>
          <c:overlay val="0"/>
        </c:title>
        <c:numFmt formatCode="General" sourceLinked="1"/>
        <c:majorTickMark val="out"/>
        <c:minorTickMark val="out"/>
        <c:tickLblPos val="nextTo"/>
        <c:txPr>
          <a:bodyPr/>
          <a:lstStyle/>
          <a:p>
            <a:pPr>
              <a:defRPr sz="1800"/>
            </a:pPr>
            <a:endParaRPr lang="en-US"/>
          </a:p>
        </c:txPr>
        <c:crossAx val="-2054952224"/>
        <c:crosses val="autoZero"/>
        <c:crossBetween val="midCat"/>
      </c:valAx>
      <c:valAx>
        <c:axId val="-2054952224"/>
        <c:scaling>
          <c:orientation val="minMax"/>
        </c:scaling>
        <c:delete val="0"/>
        <c:axPos val="l"/>
        <c:title>
          <c:tx>
            <c:rich>
              <a:bodyPr/>
              <a:lstStyle/>
              <a:p>
                <a:pPr>
                  <a:defRPr sz="1800"/>
                </a:pPr>
                <a:r>
                  <a:rPr lang="en-US" sz="1800" b="1" i="0" baseline="0">
                    <a:effectLst/>
                  </a:rPr>
                  <a:t>(GC-MS response)/</a:t>
                </a:r>
                <a:br>
                  <a:rPr lang="en-US" sz="1800" b="1" i="0" baseline="0">
                    <a:effectLst/>
                  </a:rPr>
                </a:br>
                <a:r>
                  <a:rPr lang="en-US" sz="1800" b="1" i="0" baseline="0">
                    <a:effectLst/>
                  </a:rPr>
                  <a:t>(mg biomass in pulse)</a:t>
                </a:r>
                <a:endParaRPr lang="en-US">
                  <a:effectLst/>
                </a:endParaRPr>
              </a:p>
            </c:rich>
          </c:tx>
          <c:layout>
            <c:manualLayout>
              <c:xMode val="edge"/>
              <c:yMode val="edge"/>
              <c:x val="0.0397448147837472"/>
              <c:y val="0.048890479599141"/>
            </c:manualLayout>
          </c:layout>
          <c:overlay val="0"/>
        </c:title>
        <c:numFmt formatCode="General" sourceLinked="0"/>
        <c:majorTickMark val="out"/>
        <c:minorTickMark val="out"/>
        <c:tickLblPos val="nextTo"/>
        <c:txPr>
          <a:bodyPr/>
          <a:lstStyle/>
          <a:p>
            <a:pPr>
              <a:defRPr sz="1800"/>
            </a:pPr>
            <a:endParaRPr lang="en-US"/>
          </a:p>
        </c:txPr>
        <c:crossAx val="-2033758208"/>
        <c:crosses val="autoZero"/>
        <c:crossBetween val="midCat"/>
      </c:valAx>
    </c:plotArea>
    <c:legend>
      <c:legendPos val="r"/>
      <c:layout>
        <c:manualLayout>
          <c:xMode val="edge"/>
          <c:yMode val="edge"/>
          <c:x val="0.292954080860085"/>
          <c:y val="0.0350846876299869"/>
          <c:w val="0.297246099445903"/>
          <c:h val="0.324410698662667"/>
        </c:manualLayout>
      </c:layout>
      <c:overlay val="0"/>
      <c:txPr>
        <a:bodyPr/>
        <a:lstStyle/>
        <a:p>
          <a:pPr>
            <a:defRPr sz="1600"/>
          </a:pPr>
          <a:endParaRPr lang="en-US"/>
        </a:p>
      </c:txPr>
    </c:legend>
    <c:plotVisOnly val="1"/>
    <c:dispBlanksAs val="gap"/>
    <c:showDLblsOverMax val="0"/>
  </c:chart>
  <c:spPr>
    <a:ln>
      <a:noFill/>
    </a:ln>
  </c:sp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49361694371537"/>
          <c:y val="0.0341463414634146"/>
          <c:w val="0.712456984543599"/>
          <c:h val="0.739044494438195"/>
        </c:manualLayout>
      </c:layout>
      <c:scatterChart>
        <c:scatterStyle val="lineMarker"/>
        <c:varyColors val="0"/>
        <c:ser>
          <c:idx val="0"/>
          <c:order val="0"/>
          <c:tx>
            <c:strRef>
              <c:f>'Figure S4.'!$A$2</c:f>
              <c:strCache>
                <c:ptCount val="1"/>
                <c:pt idx="0">
                  <c:v>T = 400°C</c:v>
                </c:pt>
              </c:strCache>
            </c:strRef>
          </c:tx>
          <c:spPr>
            <a:ln w="47625">
              <a:noFill/>
            </a:ln>
            <a:effectLst/>
          </c:spPr>
          <c:marker>
            <c:symbol val="triangle"/>
            <c:size val="12"/>
            <c:spPr>
              <a:noFill/>
              <a:ln>
                <a:solidFill>
                  <a:schemeClr val="tx1"/>
                </a:solidFill>
              </a:ln>
              <a:effectLst/>
            </c:spPr>
          </c:marker>
          <c:xVal>
            <c:numRef>
              <c:f>'Figure S4.'!$B$8:$K$8</c:f>
              <c:numCache>
                <c:formatCode>General</c:formatCode>
                <c:ptCount val="10"/>
                <c:pt idx="0">
                  <c:v>0.73</c:v>
                </c:pt>
                <c:pt idx="1">
                  <c:v>1.33</c:v>
                </c:pt>
                <c:pt idx="2">
                  <c:v>1.98</c:v>
                </c:pt>
                <c:pt idx="3">
                  <c:v>2.66</c:v>
                </c:pt>
                <c:pt idx="4">
                  <c:v>3.36</c:v>
                </c:pt>
                <c:pt idx="5">
                  <c:v>4.08</c:v>
                </c:pt>
                <c:pt idx="6">
                  <c:v>4.74</c:v>
                </c:pt>
                <c:pt idx="7">
                  <c:v>5.38</c:v>
                </c:pt>
                <c:pt idx="8">
                  <c:v>6.06</c:v>
                </c:pt>
                <c:pt idx="9">
                  <c:v>6.73</c:v>
                </c:pt>
              </c:numCache>
            </c:numRef>
          </c:xVal>
          <c:yVal>
            <c:numRef>
              <c:f>'Figure S4.'!$B$2:$K$2</c:f>
              <c:numCache>
                <c:formatCode>General</c:formatCode>
                <c:ptCount val="10"/>
                <c:pt idx="0">
                  <c:v>0.16826616</c:v>
                </c:pt>
                <c:pt idx="1">
                  <c:v>0.29142167</c:v>
                </c:pt>
                <c:pt idx="2">
                  <c:v>0.37225369</c:v>
                </c:pt>
                <c:pt idx="3">
                  <c:v>0.42878353</c:v>
                </c:pt>
                <c:pt idx="4">
                  <c:v>0.5829844</c:v>
                </c:pt>
                <c:pt idx="5">
                  <c:v>0.62747667</c:v>
                </c:pt>
                <c:pt idx="6">
                  <c:v>0.55939818</c:v>
                </c:pt>
                <c:pt idx="7">
                  <c:v>0.62908281</c:v>
                </c:pt>
                <c:pt idx="8">
                  <c:v>0.6079513</c:v>
                </c:pt>
                <c:pt idx="9">
                  <c:v>0.75341343</c:v>
                </c:pt>
              </c:numCache>
            </c:numRef>
          </c:yVal>
          <c:smooth val="0"/>
        </c:ser>
        <c:ser>
          <c:idx val="1"/>
          <c:order val="1"/>
          <c:tx>
            <c:strRef>
              <c:f>'Figure S4.'!$A$3</c:f>
              <c:strCache>
                <c:ptCount val="1"/>
                <c:pt idx="0">
                  <c:v>T = 500°C</c:v>
                </c:pt>
              </c:strCache>
            </c:strRef>
          </c:tx>
          <c:spPr>
            <a:ln w="47625">
              <a:noFill/>
            </a:ln>
            <a:effectLst/>
          </c:spPr>
          <c:marker>
            <c:symbol val="circle"/>
            <c:size val="14"/>
            <c:spPr>
              <a:solidFill>
                <a:schemeClr val="tx1"/>
              </a:solidFill>
              <a:ln>
                <a:solidFill>
                  <a:schemeClr val="tx1"/>
                </a:solidFill>
              </a:ln>
              <a:effectLst/>
            </c:spPr>
          </c:marker>
          <c:xVal>
            <c:numRef>
              <c:f>'Figure S4.'!$B$9:$K$9</c:f>
              <c:numCache>
                <c:formatCode>General</c:formatCode>
                <c:ptCount val="10"/>
                <c:pt idx="0">
                  <c:v>0.68</c:v>
                </c:pt>
                <c:pt idx="1">
                  <c:v>1.33</c:v>
                </c:pt>
                <c:pt idx="2">
                  <c:v>1.96</c:v>
                </c:pt>
                <c:pt idx="3">
                  <c:v>2.66</c:v>
                </c:pt>
                <c:pt idx="4">
                  <c:v>3.29</c:v>
                </c:pt>
                <c:pt idx="5">
                  <c:v>3.91</c:v>
                </c:pt>
                <c:pt idx="6">
                  <c:v>4.54</c:v>
                </c:pt>
                <c:pt idx="7">
                  <c:v>5.2</c:v>
                </c:pt>
                <c:pt idx="8">
                  <c:v>5.89</c:v>
                </c:pt>
                <c:pt idx="9">
                  <c:v>6.5</c:v>
                </c:pt>
              </c:numCache>
            </c:numRef>
          </c:xVal>
          <c:yVal>
            <c:numRef>
              <c:f>'Figure S4.'!$B$3:$K$3</c:f>
              <c:numCache>
                <c:formatCode>General</c:formatCode>
                <c:ptCount val="10"/>
                <c:pt idx="0">
                  <c:v>0.03596956</c:v>
                </c:pt>
                <c:pt idx="1">
                  <c:v>0.09610262</c:v>
                </c:pt>
                <c:pt idx="2">
                  <c:v>0.12240349</c:v>
                </c:pt>
                <c:pt idx="3">
                  <c:v>0.130831</c:v>
                </c:pt>
                <c:pt idx="4">
                  <c:v>0.2169938</c:v>
                </c:pt>
                <c:pt idx="5">
                  <c:v>0.30711919</c:v>
                </c:pt>
                <c:pt idx="6">
                  <c:v>0.29073095</c:v>
                </c:pt>
                <c:pt idx="7">
                  <c:v>0.32298045</c:v>
                </c:pt>
                <c:pt idx="8">
                  <c:v>0.4867388</c:v>
                </c:pt>
                <c:pt idx="9">
                  <c:v>0.4195</c:v>
                </c:pt>
              </c:numCache>
            </c:numRef>
          </c:yVal>
          <c:smooth val="0"/>
        </c:ser>
        <c:ser>
          <c:idx val="2"/>
          <c:order val="2"/>
          <c:tx>
            <c:strRef>
              <c:f>'Figure S4.'!$A$4</c:f>
              <c:strCache>
                <c:ptCount val="1"/>
                <c:pt idx="0">
                  <c:v>T = 600°C</c:v>
                </c:pt>
              </c:strCache>
            </c:strRef>
          </c:tx>
          <c:spPr>
            <a:ln w="47625">
              <a:noFill/>
            </a:ln>
            <a:effectLst/>
          </c:spPr>
          <c:marker>
            <c:symbol val="x"/>
            <c:size val="14"/>
            <c:spPr>
              <a:ln>
                <a:solidFill>
                  <a:sysClr val="windowText" lastClr="000000"/>
                </a:solidFill>
              </a:ln>
              <a:effectLst/>
            </c:spPr>
          </c:marker>
          <c:xVal>
            <c:numRef>
              <c:f>'Figure S4.'!$B$10:$K$10</c:f>
              <c:numCache>
                <c:formatCode>General</c:formatCode>
                <c:ptCount val="10"/>
                <c:pt idx="0">
                  <c:v>0.66</c:v>
                </c:pt>
                <c:pt idx="1">
                  <c:v>1.31</c:v>
                </c:pt>
                <c:pt idx="2">
                  <c:v>2.01</c:v>
                </c:pt>
                <c:pt idx="3">
                  <c:v>2.67</c:v>
                </c:pt>
                <c:pt idx="4">
                  <c:v>3.4</c:v>
                </c:pt>
                <c:pt idx="5">
                  <c:v>4.08</c:v>
                </c:pt>
                <c:pt idx="6">
                  <c:v>4.689999999999999</c:v>
                </c:pt>
                <c:pt idx="7">
                  <c:v>5.39</c:v>
                </c:pt>
                <c:pt idx="8">
                  <c:v>6.05</c:v>
                </c:pt>
                <c:pt idx="9">
                  <c:v>6.74</c:v>
                </c:pt>
              </c:numCache>
            </c:numRef>
          </c:xVal>
          <c:yVal>
            <c:numRef>
              <c:f>'Figure S4.'!$B$4:$K$4</c:f>
              <c:numCache>
                <c:formatCode>General</c:formatCode>
                <c:ptCount val="10"/>
                <c:pt idx="0">
                  <c:v>0.03724227</c:v>
                </c:pt>
                <c:pt idx="1">
                  <c:v>0.02367246</c:v>
                </c:pt>
                <c:pt idx="2">
                  <c:v>0.03406214</c:v>
                </c:pt>
                <c:pt idx="3">
                  <c:v>0.04502894</c:v>
                </c:pt>
                <c:pt idx="4">
                  <c:v>0.0333926</c:v>
                </c:pt>
                <c:pt idx="5">
                  <c:v>0.03070103</c:v>
                </c:pt>
                <c:pt idx="6">
                  <c:v>0.03144557</c:v>
                </c:pt>
                <c:pt idx="7">
                  <c:v>0.03420957</c:v>
                </c:pt>
                <c:pt idx="8">
                  <c:v>0.03585</c:v>
                </c:pt>
                <c:pt idx="9">
                  <c:v>0.03611638</c:v>
                </c:pt>
              </c:numCache>
            </c:numRef>
          </c:yVal>
          <c:smooth val="0"/>
        </c:ser>
        <c:ser>
          <c:idx val="3"/>
          <c:order val="3"/>
          <c:tx>
            <c:strRef>
              <c:f>'Figure S4.'!$A$5</c:f>
              <c:strCache>
                <c:ptCount val="1"/>
              </c:strCache>
            </c:strRef>
          </c:tx>
          <c:spPr>
            <a:ln w="47625">
              <a:noFill/>
            </a:ln>
          </c:spPr>
          <c:marker>
            <c:symbol val="square"/>
            <c:size val="14"/>
            <c:spPr>
              <a:solidFill>
                <a:sysClr val="windowText" lastClr="000000"/>
              </a:solidFill>
              <a:ln>
                <a:solidFill>
                  <a:sysClr val="windowText" lastClr="000000"/>
                </a:solidFill>
              </a:ln>
            </c:spPr>
          </c:marker>
          <c:errBars>
            <c:errDir val="y"/>
            <c:errBarType val="both"/>
            <c:errValType val="cust"/>
            <c:noEndCap val="0"/>
            <c:plus>
              <c:numRef>
                <c:f>'Figure S4.'!$B$6</c:f>
                <c:numCache>
                  <c:formatCode>General</c:formatCode>
                  <c:ptCount val="1"/>
                </c:numCache>
              </c:numRef>
            </c:plus>
            <c:minus>
              <c:numRef>
                <c:f>'Figure S4.'!$B$6</c:f>
                <c:numCache>
                  <c:formatCode>General</c:formatCode>
                  <c:ptCount val="1"/>
                </c:numCache>
              </c:numRef>
            </c:minus>
          </c:errBars>
          <c:xVal>
            <c:numRef>
              <c:f>'Figure S4.'!$B$11</c:f>
              <c:numCache>
                <c:formatCode>General</c:formatCode>
                <c:ptCount val="1"/>
                <c:pt idx="0">
                  <c:v>6.8</c:v>
                </c:pt>
              </c:numCache>
            </c:numRef>
          </c:xVal>
          <c:yVal>
            <c:numRef>
              <c:f>'Figure S4.'!$B$5</c:f>
              <c:numCache>
                <c:formatCode>General</c:formatCode>
                <c:ptCount val="1"/>
              </c:numCache>
            </c:numRef>
          </c:yVal>
          <c:smooth val="0"/>
        </c:ser>
        <c:dLbls>
          <c:showLegendKey val="0"/>
          <c:showVal val="0"/>
          <c:showCatName val="0"/>
          <c:showSerName val="0"/>
          <c:showPercent val="0"/>
          <c:showBubbleSize val="0"/>
        </c:dLbls>
        <c:axId val="-2105113408"/>
        <c:axId val="-2100582448"/>
      </c:scatterChart>
      <c:valAx>
        <c:axId val="-2105113408"/>
        <c:scaling>
          <c:orientation val="minMax"/>
          <c:max val="7.0"/>
          <c:min val="0.0"/>
        </c:scaling>
        <c:delete val="0"/>
        <c:axPos val="b"/>
        <c:title>
          <c:tx>
            <c:rich>
              <a:bodyPr/>
              <a:lstStyle/>
              <a:p>
                <a:pPr>
                  <a:defRPr sz="1800"/>
                </a:pPr>
                <a:r>
                  <a:rPr lang="en-US"/>
                  <a:t>Cumulative biomass fed, mg</a:t>
                </a:r>
              </a:p>
            </c:rich>
          </c:tx>
          <c:overlay val="0"/>
        </c:title>
        <c:numFmt formatCode="General" sourceLinked="1"/>
        <c:majorTickMark val="out"/>
        <c:minorTickMark val="out"/>
        <c:tickLblPos val="nextTo"/>
        <c:txPr>
          <a:bodyPr/>
          <a:lstStyle/>
          <a:p>
            <a:pPr>
              <a:defRPr sz="1800"/>
            </a:pPr>
            <a:endParaRPr lang="en-US"/>
          </a:p>
        </c:txPr>
        <c:crossAx val="-2100582448"/>
        <c:crosses val="autoZero"/>
        <c:crossBetween val="midCat"/>
      </c:valAx>
      <c:valAx>
        <c:axId val="-2100582448"/>
        <c:scaling>
          <c:orientation val="minMax"/>
        </c:scaling>
        <c:delete val="0"/>
        <c:axPos val="l"/>
        <c:title>
          <c:tx>
            <c:rich>
              <a:bodyPr/>
              <a:lstStyle/>
              <a:p>
                <a:pPr>
                  <a:defRPr sz="1800"/>
                </a:pPr>
                <a:r>
                  <a:rPr lang="en-US" sz="1800" b="1" i="0" baseline="0">
                    <a:effectLst/>
                  </a:rPr>
                  <a:t>(GC-MS response)/</a:t>
                </a:r>
                <a:br>
                  <a:rPr lang="en-US" sz="1800" b="1" i="0" baseline="0">
                    <a:effectLst/>
                  </a:rPr>
                </a:br>
                <a:r>
                  <a:rPr lang="en-US" sz="1800" b="1" i="0" baseline="0">
                    <a:effectLst/>
                  </a:rPr>
                  <a:t>(mg biomass in pulse)</a:t>
                </a:r>
                <a:endParaRPr lang="en-US">
                  <a:effectLst/>
                </a:endParaRPr>
              </a:p>
            </c:rich>
          </c:tx>
          <c:layout>
            <c:manualLayout>
              <c:xMode val="edge"/>
              <c:yMode val="edge"/>
              <c:x val="0.00708698488960066"/>
              <c:y val="0.04107424071991"/>
            </c:manualLayout>
          </c:layout>
          <c:overlay val="0"/>
        </c:title>
        <c:numFmt formatCode="General" sourceLinked="0"/>
        <c:majorTickMark val="out"/>
        <c:minorTickMark val="out"/>
        <c:tickLblPos val="nextTo"/>
        <c:txPr>
          <a:bodyPr/>
          <a:lstStyle/>
          <a:p>
            <a:pPr>
              <a:defRPr sz="1800"/>
            </a:pPr>
            <a:endParaRPr lang="en-US"/>
          </a:p>
        </c:txPr>
        <c:crossAx val="-2105113408"/>
        <c:crosses val="autoZero"/>
        <c:crossBetween val="midCat"/>
      </c:valAx>
    </c:plotArea>
    <c:legend>
      <c:legendPos val="r"/>
      <c:layout>
        <c:manualLayout>
          <c:xMode val="edge"/>
          <c:yMode val="edge"/>
          <c:x val="0.269449730242053"/>
          <c:y val="0.0350847114547699"/>
          <c:w val="0.227801655001458"/>
          <c:h val="0.152159157188685"/>
        </c:manualLayout>
      </c:layout>
      <c:overlay val="0"/>
      <c:txPr>
        <a:bodyPr/>
        <a:lstStyle/>
        <a:p>
          <a:pPr>
            <a:defRPr sz="1600"/>
          </a:pPr>
          <a:endParaRPr lang="en-US"/>
        </a:p>
      </c:txPr>
    </c:legend>
    <c:plotVisOnly val="1"/>
    <c:dispBlanksAs val="gap"/>
    <c:showDLblsOverMax val="0"/>
  </c:chart>
  <c:spPr>
    <a:ln>
      <a:noFill/>
    </a:ln>
  </c:sp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24088037724098"/>
          <c:y val="0.0410906969962088"/>
          <c:w val="0.737730585583582"/>
          <c:h val="0.744487564054493"/>
        </c:manualLayout>
      </c:layout>
      <c:scatterChart>
        <c:scatterStyle val="lineMarker"/>
        <c:varyColors val="0"/>
        <c:ser>
          <c:idx val="0"/>
          <c:order val="0"/>
          <c:tx>
            <c:strRef>
              <c:f>'Figure S5.'!$A$2</c:f>
              <c:strCache>
                <c:ptCount val="1"/>
                <c:pt idx="0">
                  <c:v>T = 400°C</c:v>
                </c:pt>
              </c:strCache>
            </c:strRef>
          </c:tx>
          <c:spPr>
            <a:ln w="47625">
              <a:noFill/>
            </a:ln>
            <a:effectLst/>
          </c:spPr>
          <c:marker>
            <c:symbol val="triangle"/>
            <c:size val="12"/>
            <c:spPr>
              <a:noFill/>
              <a:ln>
                <a:solidFill>
                  <a:schemeClr val="tx1"/>
                </a:solidFill>
              </a:ln>
              <a:effectLst/>
            </c:spPr>
          </c:marker>
          <c:xVal>
            <c:numRef>
              <c:f>'Figure S5.'!$B$8:$K$8</c:f>
              <c:numCache>
                <c:formatCode>General</c:formatCode>
                <c:ptCount val="10"/>
                <c:pt idx="0">
                  <c:v>0.73</c:v>
                </c:pt>
                <c:pt idx="1">
                  <c:v>1.33</c:v>
                </c:pt>
                <c:pt idx="2">
                  <c:v>1.98</c:v>
                </c:pt>
                <c:pt idx="3">
                  <c:v>2.66</c:v>
                </c:pt>
                <c:pt idx="4">
                  <c:v>3.36</c:v>
                </c:pt>
                <c:pt idx="5">
                  <c:v>4.08</c:v>
                </c:pt>
                <c:pt idx="6">
                  <c:v>4.74</c:v>
                </c:pt>
                <c:pt idx="7">
                  <c:v>5.38</c:v>
                </c:pt>
                <c:pt idx="8">
                  <c:v>6.06</c:v>
                </c:pt>
                <c:pt idx="9">
                  <c:v>6.73</c:v>
                </c:pt>
              </c:numCache>
            </c:numRef>
          </c:xVal>
          <c:yVal>
            <c:numRef>
              <c:f>'Figure S5.'!$B$2:$K$2</c:f>
              <c:numCache>
                <c:formatCode>General</c:formatCode>
                <c:ptCount val="10"/>
                <c:pt idx="0">
                  <c:v>0.25464507</c:v>
                </c:pt>
                <c:pt idx="1">
                  <c:v>0.452405</c:v>
                </c:pt>
                <c:pt idx="2">
                  <c:v>0.93303431</c:v>
                </c:pt>
                <c:pt idx="3">
                  <c:v>1.07743897</c:v>
                </c:pt>
                <c:pt idx="4">
                  <c:v>1.38182571</c:v>
                </c:pt>
                <c:pt idx="5">
                  <c:v>1.66055403</c:v>
                </c:pt>
                <c:pt idx="6">
                  <c:v>1.64779545</c:v>
                </c:pt>
                <c:pt idx="7">
                  <c:v>1.57224719</c:v>
                </c:pt>
                <c:pt idx="8">
                  <c:v>1.79792985</c:v>
                </c:pt>
                <c:pt idx="9">
                  <c:v>2.335291939999998</c:v>
                </c:pt>
              </c:numCache>
            </c:numRef>
          </c:yVal>
          <c:smooth val="0"/>
        </c:ser>
        <c:ser>
          <c:idx val="1"/>
          <c:order val="1"/>
          <c:tx>
            <c:strRef>
              <c:f>'Figure S5.'!$A$3</c:f>
              <c:strCache>
                <c:ptCount val="1"/>
                <c:pt idx="0">
                  <c:v>T = 500°C</c:v>
                </c:pt>
              </c:strCache>
            </c:strRef>
          </c:tx>
          <c:spPr>
            <a:ln w="47625">
              <a:noFill/>
            </a:ln>
            <a:effectLst/>
          </c:spPr>
          <c:marker>
            <c:symbol val="circle"/>
            <c:size val="14"/>
            <c:spPr>
              <a:solidFill>
                <a:schemeClr val="tx1"/>
              </a:solidFill>
              <a:ln>
                <a:solidFill>
                  <a:schemeClr val="tx1"/>
                </a:solidFill>
              </a:ln>
              <a:effectLst/>
            </c:spPr>
          </c:marker>
          <c:xVal>
            <c:numRef>
              <c:f>'Figure S5.'!$B$9:$K$9</c:f>
              <c:numCache>
                <c:formatCode>General</c:formatCode>
                <c:ptCount val="10"/>
                <c:pt idx="0">
                  <c:v>0.68</c:v>
                </c:pt>
                <c:pt idx="1">
                  <c:v>1.33</c:v>
                </c:pt>
                <c:pt idx="2">
                  <c:v>1.96</c:v>
                </c:pt>
                <c:pt idx="3">
                  <c:v>2.66</c:v>
                </c:pt>
                <c:pt idx="4">
                  <c:v>3.29</c:v>
                </c:pt>
                <c:pt idx="5">
                  <c:v>3.91</c:v>
                </c:pt>
                <c:pt idx="6">
                  <c:v>4.54</c:v>
                </c:pt>
                <c:pt idx="7">
                  <c:v>5.2</c:v>
                </c:pt>
                <c:pt idx="8">
                  <c:v>5.89</c:v>
                </c:pt>
                <c:pt idx="9">
                  <c:v>6.5</c:v>
                </c:pt>
              </c:numCache>
            </c:numRef>
          </c:xVal>
          <c:yVal>
            <c:numRef>
              <c:f>'Figure S5.'!$B$3:$K$3</c:f>
              <c:numCache>
                <c:formatCode>General</c:formatCode>
                <c:ptCount val="10"/>
                <c:pt idx="0">
                  <c:v>0.03719235</c:v>
                </c:pt>
                <c:pt idx="1">
                  <c:v>0.60961492</c:v>
                </c:pt>
                <c:pt idx="2">
                  <c:v>0.0395319</c:v>
                </c:pt>
                <c:pt idx="3">
                  <c:v>0.038705</c:v>
                </c:pt>
                <c:pt idx="4">
                  <c:v>0.0434327</c:v>
                </c:pt>
                <c:pt idx="5">
                  <c:v>0.06127726</c:v>
                </c:pt>
                <c:pt idx="6">
                  <c:v>0.04067222</c:v>
                </c:pt>
                <c:pt idx="7">
                  <c:v>0.03752379</c:v>
                </c:pt>
                <c:pt idx="8">
                  <c:v>0.06938536</c:v>
                </c:pt>
                <c:pt idx="9">
                  <c:v>0.04678525</c:v>
                </c:pt>
              </c:numCache>
            </c:numRef>
          </c:yVal>
          <c:smooth val="0"/>
        </c:ser>
        <c:ser>
          <c:idx val="2"/>
          <c:order val="2"/>
          <c:tx>
            <c:strRef>
              <c:f>'Figure S5.'!$A$4</c:f>
              <c:strCache>
                <c:ptCount val="1"/>
                <c:pt idx="0">
                  <c:v>T = 600°C</c:v>
                </c:pt>
              </c:strCache>
            </c:strRef>
          </c:tx>
          <c:spPr>
            <a:ln w="47625">
              <a:noFill/>
            </a:ln>
            <a:effectLst/>
          </c:spPr>
          <c:marker>
            <c:symbol val="x"/>
            <c:size val="14"/>
            <c:spPr>
              <a:ln>
                <a:solidFill>
                  <a:sysClr val="windowText" lastClr="000000"/>
                </a:solidFill>
              </a:ln>
              <a:effectLst/>
            </c:spPr>
          </c:marker>
          <c:xVal>
            <c:numRef>
              <c:f>'Figure S5.'!$B$10:$K$10</c:f>
              <c:numCache>
                <c:formatCode>General</c:formatCode>
                <c:ptCount val="10"/>
                <c:pt idx="0">
                  <c:v>0.66</c:v>
                </c:pt>
                <c:pt idx="1">
                  <c:v>1.31</c:v>
                </c:pt>
                <c:pt idx="2">
                  <c:v>2.01</c:v>
                </c:pt>
                <c:pt idx="3">
                  <c:v>2.67</c:v>
                </c:pt>
                <c:pt idx="4">
                  <c:v>3.4</c:v>
                </c:pt>
                <c:pt idx="5">
                  <c:v>4.08</c:v>
                </c:pt>
                <c:pt idx="6">
                  <c:v>4.689999999999999</c:v>
                </c:pt>
                <c:pt idx="7">
                  <c:v>5.39</c:v>
                </c:pt>
                <c:pt idx="8">
                  <c:v>6.05</c:v>
                </c:pt>
                <c:pt idx="9">
                  <c:v>6.74</c:v>
                </c:pt>
              </c:numCache>
            </c:numRef>
          </c:xVal>
          <c:yVal>
            <c:numRef>
              <c:f>'Figure S5.'!$B$4:$K$4</c:f>
              <c:numCache>
                <c:formatCode>General</c:formatCode>
                <c:ptCount val="10"/>
                <c:pt idx="0">
                  <c:v>0.04283606</c:v>
                </c:pt>
                <c:pt idx="1">
                  <c:v>0.02930185</c:v>
                </c:pt>
                <c:pt idx="2">
                  <c:v>0.03174214</c:v>
                </c:pt>
                <c:pt idx="3">
                  <c:v>0.04879227</c:v>
                </c:pt>
                <c:pt idx="4">
                  <c:v>0.03133603</c:v>
                </c:pt>
                <c:pt idx="5">
                  <c:v>0.03619088</c:v>
                </c:pt>
                <c:pt idx="6">
                  <c:v>0.03017541</c:v>
                </c:pt>
                <c:pt idx="7">
                  <c:v>0.02941386</c:v>
                </c:pt>
                <c:pt idx="8">
                  <c:v>0.04080364</c:v>
                </c:pt>
                <c:pt idx="9">
                  <c:v>0.03761087</c:v>
                </c:pt>
              </c:numCache>
            </c:numRef>
          </c:yVal>
          <c:smooth val="0"/>
        </c:ser>
        <c:ser>
          <c:idx val="3"/>
          <c:order val="3"/>
          <c:tx>
            <c:strRef>
              <c:f>'Figure S5.'!$A$5</c:f>
              <c:strCache>
                <c:ptCount val="1"/>
                <c:pt idx="0">
                  <c:v>No Catalyst</c:v>
                </c:pt>
              </c:strCache>
            </c:strRef>
          </c:tx>
          <c:spPr>
            <a:ln w="47625">
              <a:noFill/>
            </a:ln>
            <a:effectLst/>
          </c:spPr>
          <c:marker>
            <c:symbol val="square"/>
            <c:size val="14"/>
            <c:spPr>
              <a:solidFill>
                <a:sysClr val="windowText" lastClr="000000"/>
              </a:solidFill>
              <a:ln>
                <a:solidFill>
                  <a:sysClr val="windowText" lastClr="000000"/>
                </a:solidFill>
              </a:ln>
              <a:effectLst/>
            </c:spPr>
          </c:marker>
          <c:errBars>
            <c:errDir val="y"/>
            <c:errBarType val="both"/>
            <c:errValType val="cust"/>
            <c:noEndCap val="0"/>
            <c:plus>
              <c:numRef>
                <c:f>'Figure S5.'!$B$6</c:f>
                <c:numCache>
                  <c:formatCode>General</c:formatCode>
                  <c:ptCount val="1"/>
                  <c:pt idx="0">
                    <c:v>1.060965558</c:v>
                  </c:pt>
                </c:numCache>
              </c:numRef>
            </c:plus>
            <c:minus>
              <c:numRef>
                <c:f>'Figure S5.'!$B$6</c:f>
                <c:numCache>
                  <c:formatCode>General</c:formatCode>
                  <c:ptCount val="1"/>
                  <c:pt idx="0">
                    <c:v>1.060965558</c:v>
                  </c:pt>
                </c:numCache>
              </c:numRef>
            </c:minus>
          </c:errBars>
          <c:xVal>
            <c:numRef>
              <c:f>'Figure S5.'!$B$11</c:f>
              <c:numCache>
                <c:formatCode>General</c:formatCode>
                <c:ptCount val="1"/>
                <c:pt idx="0">
                  <c:v>6.8</c:v>
                </c:pt>
              </c:numCache>
            </c:numRef>
          </c:xVal>
          <c:yVal>
            <c:numRef>
              <c:f>'Figure S5.'!$B$5</c:f>
              <c:numCache>
                <c:formatCode>General</c:formatCode>
                <c:ptCount val="1"/>
                <c:pt idx="0">
                  <c:v>3.244487053000001</c:v>
                </c:pt>
              </c:numCache>
            </c:numRef>
          </c:yVal>
          <c:smooth val="0"/>
        </c:ser>
        <c:dLbls>
          <c:showLegendKey val="0"/>
          <c:showVal val="0"/>
          <c:showCatName val="0"/>
          <c:showSerName val="0"/>
          <c:showPercent val="0"/>
          <c:showBubbleSize val="0"/>
        </c:dLbls>
        <c:axId val="2135498528"/>
        <c:axId val="-2036578288"/>
      </c:scatterChart>
      <c:valAx>
        <c:axId val="2135498528"/>
        <c:scaling>
          <c:orientation val="minMax"/>
          <c:max val="7.0"/>
          <c:min val="0.0"/>
        </c:scaling>
        <c:delete val="0"/>
        <c:axPos val="b"/>
        <c:title>
          <c:tx>
            <c:rich>
              <a:bodyPr/>
              <a:lstStyle/>
              <a:p>
                <a:pPr>
                  <a:defRPr sz="1800"/>
                </a:pPr>
                <a:r>
                  <a:rPr lang="en-US"/>
                  <a:t>Cumulative biomass fed, mg</a:t>
                </a:r>
              </a:p>
            </c:rich>
          </c:tx>
          <c:overlay val="0"/>
        </c:title>
        <c:numFmt formatCode="General" sourceLinked="1"/>
        <c:majorTickMark val="out"/>
        <c:minorTickMark val="out"/>
        <c:tickLblPos val="nextTo"/>
        <c:txPr>
          <a:bodyPr/>
          <a:lstStyle/>
          <a:p>
            <a:pPr>
              <a:defRPr sz="1800"/>
            </a:pPr>
            <a:endParaRPr lang="en-US"/>
          </a:p>
        </c:txPr>
        <c:crossAx val="-2036578288"/>
        <c:crosses val="autoZero"/>
        <c:crossBetween val="midCat"/>
      </c:valAx>
      <c:valAx>
        <c:axId val="-2036578288"/>
        <c:scaling>
          <c:orientation val="minMax"/>
        </c:scaling>
        <c:delete val="0"/>
        <c:axPos val="l"/>
        <c:title>
          <c:tx>
            <c:rich>
              <a:bodyPr/>
              <a:lstStyle/>
              <a:p>
                <a:pPr>
                  <a:defRPr sz="1800"/>
                </a:pPr>
                <a:r>
                  <a:rPr lang="en-US" sz="1800" b="1" i="0" baseline="0">
                    <a:effectLst/>
                  </a:rPr>
                  <a:t>(GC-MS response)/</a:t>
                </a:r>
                <a:br>
                  <a:rPr lang="en-US" sz="1800" b="1" i="0" baseline="0">
                    <a:effectLst/>
                  </a:rPr>
                </a:br>
                <a:r>
                  <a:rPr lang="en-US" sz="1800" b="1" i="0" baseline="0">
                    <a:effectLst/>
                  </a:rPr>
                  <a:t>(mg biomass in pulse)</a:t>
                </a:r>
                <a:endParaRPr lang="en-US">
                  <a:effectLst/>
                </a:endParaRPr>
              </a:p>
            </c:rich>
          </c:tx>
          <c:layout>
            <c:manualLayout>
              <c:xMode val="edge"/>
              <c:yMode val="edge"/>
              <c:x val="0.0212113515136121"/>
              <c:y val="0.0252011011477036"/>
            </c:manualLayout>
          </c:layout>
          <c:overlay val="0"/>
        </c:title>
        <c:numFmt formatCode="General" sourceLinked="0"/>
        <c:majorTickMark val="out"/>
        <c:minorTickMark val="out"/>
        <c:tickLblPos val="nextTo"/>
        <c:txPr>
          <a:bodyPr/>
          <a:lstStyle/>
          <a:p>
            <a:pPr>
              <a:defRPr sz="1800"/>
            </a:pPr>
            <a:endParaRPr lang="en-US"/>
          </a:p>
        </c:txPr>
        <c:crossAx val="2135498528"/>
        <c:crosses val="autoZero"/>
        <c:crossBetween val="midCat"/>
      </c:valAx>
    </c:plotArea>
    <c:legend>
      <c:legendPos val="r"/>
      <c:layout>
        <c:manualLayout>
          <c:xMode val="edge"/>
          <c:yMode val="edge"/>
          <c:x val="0.220838663495509"/>
          <c:y val="0.0350847114547699"/>
          <c:w val="0.255579432779236"/>
          <c:h val="0.285910823647044"/>
        </c:manualLayout>
      </c:layout>
      <c:overlay val="0"/>
      <c:txPr>
        <a:bodyPr/>
        <a:lstStyle/>
        <a:p>
          <a:pPr>
            <a:defRPr sz="1600"/>
          </a:pPr>
          <a:endParaRPr lang="en-US"/>
        </a:p>
      </c:txPr>
    </c:legend>
    <c:plotVisOnly val="1"/>
    <c:dispBlanksAs val="gap"/>
    <c:showDLblsOverMax val="0"/>
  </c:chart>
  <c:spPr>
    <a:ln>
      <a:noFill/>
    </a:ln>
  </c:sp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48923337707786"/>
          <c:y val="0.0341463414634146"/>
          <c:w val="0.712895341207349"/>
          <c:h val="0.753228971378578"/>
        </c:manualLayout>
      </c:layout>
      <c:scatterChart>
        <c:scatterStyle val="lineMarker"/>
        <c:varyColors val="0"/>
        <c:ser>
          <c:idx val="0"/>
          <c:order val="0"/>
          <c:tx>
            <c:strRef>
              <c:f>'Figure S7.'!$A$2</c:f>
              <c:strCache>
                <c:ptCount val="1"/>
                <c:pt idx="0">
                  <c:v>T = 400°C</c:v>
                </c:pt>
              </c:strCache>
            </c:strRef>
          </c:tx>
          <c:spPr>
            <a:ln w="47625">
              <a:noFill/>
            </a:ln>
            <a:effectLst/>
          </c:spPr>
          <c:marker>
            <c:symbol val="triangle"/>
            <c:size val="12"/>
            <c:spPr>
              <a:noFill/>
              <a:ln>
                <a:solidFill>
                  <a:schemeClr val="tx1"/>
                </a:solidFill>
              </a:ln>
              <a:effectLst/>
            </c:spPr>
          </c:marker>
          <c:xVal>
            <c:numRef>
              <c:f>'Figure S7.'!$B$8:$K$8</c:f>
              <c:numCache>
                <c:formatCode>General</c:formatCode>
                <c:ptCount val="10"/>
                <c:pt idx="0">
                  <c:v>0.73</c:v>
                </c:pt>
                <c:pt idx="1">
                  <c:v>1.33</c:v>
                </c:pt>
                <c:pt idx="2">
                  <c:v>1.98</c:v>
                </c:pt>
                <c:pt idx="3">
                  <c:v>2.66</c:v>
                </c:pt>
                <c:pt idx="4">
                  <c:v>3.36</c:v>
                </c:pt>
                <c:pt idx="5">
                  <c:v>4.08</c:v>
                </c:pt>
                <c:pt idx="6">
                  <c:v>4.74</c:v>
                </c:pt>
                <c:pt idx="7">
                  <c:v>5.38</c:v>
                </c:pt>
                <c:pt idx="8">
                  <c:v>6.06</c:v>
                </c:pt>
                <c:pt idx="9">
                  <c:v>6.73</c:v>
                </c:pt>
              </c:numCache>
            </c:numRef>
          </c:xVal>
          <c:yVal>
            <c:numRef>
              <c:f>'Figure S7.'!$B$2:$K$2</c:f>
              <c:numCache>
                <c:formatCode>General</c:formatCode>
                <c:ptCount val="10"/>
                <c:pt idx="0">
                  <c:v>0.170397397</c:v>
                </c:pt>
                <c:pt idx="1">
                  <c:v>0.209008</c:v>
                </c:pt>
                <c:pt idx="2">
                  <c:v>0.180953077</c:v>
                </c:pt>
                <c:pt idx="3">
                  <c:v>0.175335294</c:v>
                </c:pt>
                <c:pt idx="4">
                  <c:v>0.167649429</c:v>
                </c:pt>
                <c:pt idx="5">
                  <c:v>0.150439167</c:v>
                </c:pt>
                <c:pt idx="6">
                  <c:v>0.125983788</c:v>
                </c:pt>
                <c:pt idx="7">
                  <c:v>0.122154375</c:v>
                </c:pt>
                <c:pt idx="8">
                  <c:v>0.100230441</c:v>
                </c:pt>
                <c:pt idx="9">
                  <c:v>0.106808806</c:v>
                </c:pt>
              </c:numCache>
            </c:numRef>
          </c:yVal>
          <c:smooth val="0"/>
        </c:ser>
        <c:ser>
          <c:idx val="1"/>
          <c:order val="1"/>
          <c:tx>
            <c:strRef>
              <c:f>'Figure S7.'!$A$3</c:f>
              <c:strCache>
                <c:ptCount val="1"/>
                <c:pt idx="0">
                  <c:v>T = 500°C</c:v>
                </c:pt>
              </c:strCache>
            </c:strRef>
          </c:tx>
          <c:spPr>
            <a:ln w="47625">
              <a:noFill/>
            </a:ln>
            <a:effectLst/>
          </c:spPr>
          <c:marker>
            <c:symbol val="circle"/>
            <c:size val="14"/>
            <c:spPr>
              <a:solidFill>
                <a:schemeClr val="tx1"/>
              </a:solidFill>
              <a:ln>
                <a:solidFill>
                  <a:schemeClr val="tx1"/>
                </a:solidFill>
              </a:ln>
              <a:effectLst/>
            </c:spPr>
          </c:marker>
          <c:xVal>
            <c:numRef>
              <c:f>'Figure S7.'!$B$9:$K$9</c:f>
              <c:numCache>
                <c:formatCode>General</c:formatCode>
                <c:ptCount val="10"/>
                <c:pt idx="0">
                  <c:v>0.68</c:v>
                </c:pt>
                <c:pt idx="1">
                  <c:v>1.33</c:v>
                </c:pt>
                <c:pt idx="2">
                  <c:v>1.96</c:v>
                </c:pt>
                <c:pt idx="3">
                  <c:v>2.66</c:v>
                </c:pt>
                <c:pt idx="4">
                  <c:v>3.29</c:v>
                </c:pt>
                <c:pt idx="5">
                  <c:v>3.91</c:v>
                </c:pt>
                <c:pt idx="6">
                  <c:v>4.54</c:v>
                </c:pt>
                <c:pt idx="7">
                  <c:v>5.2</c:v>
                </c:pt>
                <c:pt idx="8">
                  <c:v>5.89</c:v>
                </c:pt>
                <c:pt idx="9">
                  <c:v>6.5</c:v>
                </c:pt>
              </c:numCache>
            </c:numRef>
          </c:xVal>
          <c:yVal>
            <c:numRef>
              <c:f>'Figure S7.'!$B$3:$K$3</c:f>
              <c:numCache>
                <c:formatCode>General</c:formatCode>
                <c:ptCount val="10"/>
                <c:pt idx="0">
                  <c:v>0.260105735</c:v>
                </c:pt>
                <c:pt idx="1">
                  <c:v>0.337053846</c:v>
                </c:pt>
                <c:pt idx="2">
                  <c:v>0.252061429</c:v>
                </c:pt>
                <c:pt idx="3">
                  <c:v>0.196013143</c:v>
                </c:pt>
                <c:pt idx="4">
                  <c:v>0.20751254</c:v>
                </c:pt>
                <c:pt idx="5">
                  <c:v>0.217638226</c:v>
                </c:pt>
                <c:pt idx="6">
                  <c:v>0.175633016</c:v>
                </c:pt>
                <c:pt idx="7">
                  <c:v>0.172076061</c:v>
                </c:pt>
                <c:pt idx="8">
                  <c:v>0.190608406</c:v>
                </c:pt>
                <c:pt idx="9">
                  <c:v>0.15020377</c:v>
                </c:pt>
              </c:numCache>
            </c:numRef>
          </c:yVal>
          <c:smooth val="0"/>
        </c:ser>
        <c:ser>
          <c:idx val="2"/>
          <c:order val="2"/>
          <c:tx>
            <c:strRef>
              <c:f>'Figure S7.'!$A$4</c:f>
              <c:strCache>
                <c:ptCount val="1"/>
                <c:pt idx="0">
                  <c:v>T = 600°C</c:v>
                </c:pt>
              </c:strCache>
            </c:strRef>
          </c:tx>
          <c:spPr>
            <a:ln w="47625">
              <a:noFill/>
            </a:ln>
            <a:effectLst/>
          </c:spPr>
          <c:marker>
            <c:symbol val="x"/>
            <c:size val="14"/>
            <c:spPr>
              <a:ln>
                <a:solidFill>
                  <a:sysClr val="windowText" lastClr="000000"/>
                </a:solidFill>
              </a:ln>
              <a:effectLst/>
            </c:spPr>
          </c:marker>
          <c:xVal>
            <c:numRef>
              <c:f>'Figure S7.'!$B$10:$K$10</c:f>
              <c:numCache>
                <c:formatCode>General</c:formatCode>
                <c:ptCount val="10"/>
                <c:pt idx="0">
                  <c:v>0.66</c:v>
                </c:pt>
                <c:pt idx="1">
                  <c:v>1.31</c:v>
                </c:pt>
                <c:pt idx="2">
                  <c:v>2.01</c:v>
                </c:pt>
                <c:pt idx="3">
                  <c:v>2.67</c:v>
                </c:pt>
                <c:pt idx="4">
                  <c:v>3.4</c:v>
                </c:pt>
                <c:pt idx="5">
                  <c:v>4.08</c:v>
                </c:pt>
                <c:pt idx="6">
                  <c:v>4.689999999999999</c:v>
                </c:pt>
                <c:pt idx="7">
                  <c:v>5.39</c:v>
                </c:pt>
                <c:pt idx="8">
                  <c:v>6.05</c:v>
                </c:pt>
                <c:pt idx="9">
                  <c:v>6.74</c:v>
                </c:pt>
              </c:numCache>
            </c:numRef>
          </c:xVal>
          <c:yVal>
            <c:numRef>
              <c:f>'Figure S7.'!$B$4:$K$4</c:f>
              <c:numCache>
                <c:formatCode>General</c:formatCode>
                <c:ptCount val="10"/>
                <c:pt idx="0">
                  <c:v>0.213556212</c:v>
                </c:pt>
                <c:pt idx="1">
                  <c:v>0.170991385</c:v>
                </c:pt>
                <c:pt idx="2">
                  <c:v>0.164347429</c:v>
                </c:pt>
                <c:pt idx="3">
                  <c:v>0.146608333</c:v>
                </c:pt>
                <c:pt idx="4">
                  <c:v>0.110590959</c:v>
                </c:pt>
                <c:pt idx="5">
                  <c:v>0.1131925</c:v>
                </c:pt>
                <c:pt idx="6">
                  <c:v>0.104251475</c:v>
                </c:pt>
                <c:pt idx="7">
                  <c:v>0.094942714</c:v>
                </c:pt>
                <c:pt idx="8">
                  <c:v>0.090770606</c:v>
                </c:pt>
                <c:pt idx="9">
                  <c:v>0.084442609</c:v>
                </c:pt>
              </c:numCache>
            </c:numRef>
          </c:yVal>
          <c:smooth val="0"/>
        </c:ser>
        <c:ser>
          <c:idx val="3"/>
          <c:order val="3"/>
          <c:tx>
            <c:strRef>
              <c:f>'Figure S7.'!$A$5</c:f>
              <c:strCache>
                <c:ptCount val="1"/>
                <c:pt idx="0">
                  <c:v>No Catalyst</c:v>
                </c:pt>
              </c:strCache>
            </c:strRef>
          </c:tx>
          <c:spPr>
            <a:ln w="47625">
              <a:noFill/>
            </a:ln>
            <a:effectLst/>
          </c:spPr>
          <c:marker>
            <c:symbol val="square"/>
            <c:size val="14"/>
            <c:spPr>
              <a:solidFill>
                <a:sysClr val="windowText" lastClr="000000"/>
              </a:solidFill>
              <a:ln>
                <a:solidFill>
                  <a:sysClr val="windowText" lastClr="000000"/>
                </a:solidFill>
              </a:ln>
              <a:effectLst/>
            </c:spPr>
          </c:marker>
          <c:errBars>
            <c:errDir val="y"/>
            <c:errBarType val="both"/>
            <c:errValType val="cust"/>
            <c:noEndCap val="0"/>
            <c:plus>
              <c:numRef>
                <c:f>'Figure S7.'!$B$6</c:f>
                <c:numCache>
                  <c:formatCode>General</c:formatCode>
                  <c:ptCount val="1"/>
                  <c:pt idx="0">
                    <c:v>0.000173791</c:v>
                  </c:pt>
                </c:numCache>
              </c:numRef>
            </c:plus>
            <c:minus>
              <c:numRef>
                <c:f>'Figure S7.'!$B$6</c:f>
                <c:numCache>
                  <c:formatCode>General</c:formatCode>
                  <c:ptCount val="1"/>
                  <c:pt idx="0">
                    <c:v>0.000173791</c:v>
                  </c:pt>
                </c:numCache>
              </c:numRef>
            </c:minus>
          </c:errBars>
          <c:xVal>
            <c:numRef>
              <c:f>'Figure S7.'!$B$11</c:f>
              <c:numCache>
                <c:formatCode>General</c:formatCode>
                <c:ptCount val="1"/>
                <c:pt idx="0">
                  <c:v>6.8</c:v>
                </c:pt>
              </c:numCache>
            </c:numRef>
          </c:xVal>
          <c:yVal>
            <c:numRef>
              <c:f>'Figure S7.'!$B$5</c:f>
              <c:numCache>
                <c:formatCode>General</c:formatCode>
                <c:ptCount val="1"/>
                <c:pt idx="0">
                  <c:v>0.002549081</c:v>
                </c:pt>
              </c:numCache>
            </c:numRef>
          </c:yVal>
          <c:smooth val="0"/>
        </c:ser>
        <c:dLbls>
          <c:showLegendKey val="0"/>
          <c:showVal val="0"/>
          <c:showCatName val="0"/>
          <c:showSerName val="0"/>
          <c:showPercent val="0"/>
          <c:showBubbleSize val="0"/>
        </c:dLbls>
        <c:axId val="2135386288"/>
        <c:axId val="-2034276144"/>
      </c:scatterChart>
      <c:valAx>
        <c:axId val="2135386288"/>
        <c:scaling>
          <c:orientation val="minMax"/>
          <c:max val="7.0"/>
          <c:min val="0.0"/>
        </c:scaling>
        <c:delete val="0"/>
        <c:axPos val="b"/>
        <c:title>
          <c:tx>
            <c:rich>
              <a:bodyPr/>
              <a:lstStyle/>
              <a:p>
                <a:pPr>
                  <a:defRPr sz="1800"/>
                </a:pPr>
                <a:r>
                  <a:rPr lang="en-US"/>
                  <a:t>Cumulative biomass fed, mg</a:t>
                </a:r>
              </a:p>
            </c:rich>
          </c:tx>
          <c:overlay val="0"/>
        </c:title>
        <c:numFmt formatCode="General" sourceLinked="1"/>
        <c:majorTickMark val="out"/>
        <c:minorTickMark val="out"/>
        <c:tickLblPos val="nextTo"/>
        <c:txPr>
          <a:bodyPr/>
          <a:lstStyle/>
          <a:p>
            <a:pPr>
              <a:defRPr sz="1800"/>
            </a:pPr>
            <a:endParaRPr lang="en-US"/>
          </a:p>
        </c:txPr>
        <c:crossAx val="-2034276144"/>
        <c:crosses val="autoZero"/>
        <c:crossBetween val="midCat"/>
      </c:valAx>
      <c:valAx>
        <c:axId val="-2034276144"/>
        <c:scaling>
          <c:orientation val="minMax"/>
        </c:scaling>
        <c:delete val="0"/>
        <c:axPos val="l"/>
        <c:title>
          <c:tx>
            <c:rich>
              <a:bodyPr/>
              <a:lstStyle/>
              <a:p>
                <a:pPr>
                  <a:defRPr sz="1800"/>
                </a:pPr>
                <a:r>
                  <a:rPr lang="en-US" sz="1800" b="1" i="0" baseline="0">
                    <a:effectLst/>
                  </a:rPr>
                  <a:t>(GC-MS response)/</a:t>
                </a:r>
                <a:br>
                  <a:rPr lang="en-US" sz="1800" b="1" i="0" baseline="0">
                    <a:effectLst/>
                  </a:rPr>
                </a:br>
                <a:r>
                  <a:rPr lang="en-US" sz="1800" b="1" i="0" baseline="0">
                    <a:effectLst/>
                  </a:rPr>
                  <a:t>(mg biomass in pulse)</a:t>
                </a:r>
                <a:endParaRPr lang="en-US">
                  <a:effectLst/>
                </a:endParaRPr>
              </a:p>
            </c:rich>
          </c:tx>
          <c:layout>
            <c:manualLayout>
              <c:xMode val="edge"/>
              <c:yMode val="edge"/>
              <c:x val="0.0212113515136121"/>
              <c:y val="0.0252011011477036"/>
            </c:manualLayout>
          </c:layout>
          <c:overlay val="0"/>
        </c:title>
        <c:numFmt formatCode="General" sourceLinked="0"/>
        <c:majorTickMark val="out"/>
        <c:minorTickMark val="out"/>
        <c:tickLblPos val="nextTo"/>
        <c:txPr>
          <a:bodyPr/>
          <a:lstStyle/>
          <a:p>
            <a:pPr>
              <a:defRPr sz="1800"/>
            </a:pPr>
            <a:endParaRPr lang="en-US"/>
          </a:p>
        </c:txPr>
        <c:crossAx val="2135386288"/>
        <c:crosses val="autoZero"/>
        <c:crossBetween val="midCat"/>
        <c:majorUnit val="0.1"/>
      </c:valAx>
    </c:plotArea>
    <c:legend>
      <c:legendPos val="r"/>
      <c:layout>
        <c:manualLayout>
          <c:xMode val="edge"/>
          <c:yMode val="edge"/>
          <c:x val="0.433801582093905"/>
          <c:y val="0.00172046149467647"/>
          <c:w val="0.52178313648294"/>
          <c:h val="0.186985376827896"/>
        </c:manualLayout>
      </c:layout>
      <c:overlay val="0"/>
      <c:txPr>
        <a:bodyPr/>
        <a:lstStyle/>
        <a:p>
          <a:pPr>
            <a:defRPr sz="1600"/>
          </a:pPr>
          <a:endParaRPr lang="en-US"/>
        </a:p>
      </c:txPr>
    </c:legend>
    <c:plotVisOnly val="1"/>
    <c:dispBlanksAs val="gap"/>
    <c:showDLblsOverMax val="0"/>
  </c:chart>
  <c:spPr>
    <a:ln>
      <a:noFill/>
    </a:ln>
  </c:sp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45477630974094"/>
          <c:y val="0.0341463414634146"/>
          <c:w val="0.716341177691771"/>
          <c:h val="0.744487564054493"/>
        </c:manualLayout>
      </c:layout>
      <c:scatterChart>
        <c:scatterStyle val="lineMarker"/>
        <c:varyColors val="0"/>
        <c:ser>
          <c:idx val="0"/>
          <c:order val="0"/>
          <c:tx>
            <c:strRef>
              <c:f>'Figure S15.'!$A$2</c:f>
              <c:strCache>
                <c:ptCount val="1"/>
                <c:pt idx="0">
                  <c:v>Si/Al = 11.5</c:v>
                </c:pt>
              </c:strCache>
            </c:strRef>
          </c:tx>
          <c:spPr>
            <a:ln w="47625">
              <a:noFill/>
            </a:ln>
            <a:effectLst/>
          </c:spPr>
          <c:marker>
            <c:symbol val="triangle"/>
            <c:size val="12"/>
            <c:spPr>
              <a:noFill/>
              <a:ln>
                <a:solidFill>
                  <a:schemeClr val="tx1"/>
                </a:solidFill>
              </a:ln>
              <a:effectLst/>
            </c:spPr>
          </c:marker>
          <c:xVal>
            <c:numRef>
              <c:f>'Figure S15.'!$B$8:$K$8</c:f>
              <c:numCache>
                <c:formatCode>General</c:formatCode>
                <c:ptCount val="10"/>
                <c:pt idx="0">
                  <c:v>0.68</c:v>
                </c:pt>
                <c:pt idx="1">
                  <c:v>1.33</c:v>
                </c:pt>
                <c:pt idx="2">
                  <c:v>1.96</c:v>
                </c:pt>
                <c:pt idx="3">
                  <c:v>2.66</c:v>
                </c:pt>
                <c:pt idx="4">
                  <c:v>3.29</c:v>
                </c:pt>
                <c:pt idx="5">
                  <c:v>3.91</c:v>
                </c:pt>
                <c:pt idx="6">
                  <c:v>4.54</c:v>
                </c:pt>
                <c:pt idx="7">
                  <c:v>5.2</c:v>
                </c:pt>
                <c:pt idx="8">
                  <c:v>5.89</c:v>
                </c:pt>
                <c:pt idx="9">
                  <c:v>6.5</c:v>
                </c:pt>
              </c:numCache>
            </c:numRef>
          </c:xVal>
          <c:yVal>
            <c:numRef>
              <c:f>'Figure S15.'!$B$2:$K$2</c:f>
              <c:numCache>
                <c:formatCode>General</c:formatCode>
                <c:ptCount val="10"/>
                <c:pt idx="0">
                  <c:v>0.341346857</c:v>
                </c:pt>
                <c:pt idx="1">
                  <c:v>0.243531972</c:v>
                </c:pt>
                <c:pt idx="2">
                  <c:v>0.1605075</c:v>
                </c:pt>
                <c:pt idx="3">
                  <c:v>0.088357231</c:v>
                </c:pt>
                <c:pt idx="4">
                  <c:v>0.055711549</c:v>
                </c:pt>
                <c:pt idx="5">
                  <c:v>0.036598696</c:v>
                </c:pt>
                <c:pt idx="6">
                  <c:v>0.031129077</c:v>
                </c:pt>
                <c:pt idx="7">
                  <c:v>0.02592791</c:v>
                </c:pt>
                <c:pt idx="8">
                  <c:v>0.0223825</c:v>
                </c:pt>
                <c:pt idx="9">
                  <c:v>0.025894333</c:v>
                </c:pt>
              </c:numCache>
            </c:numRef>
          </c:yVal>
          <c:smooth val="0"/>
        </c:ser>
        <c:ser>
          <c:idx val="1"/>
          <c:order val="1"/>
          <c:tx>
            <c:strRef>
              <c:f>'Figure S15.'!$A$3</c:f>
              <c:strCache>
                <c:ptCount val="1"/>
                <c:pt idx="0">
                  <c:v>Si/Al = 25</c:v>
                </c:pt>
              </c:strCache>
            </c:strRef>
          </c:tx>
          <c:spPr>
            <a:ln w="47625">
              <a:noFill/>
            </a:ln>
            <a:effectLst/>
          </c:spPr>
          <c:marker>
            <c:symbol val="circle"/>
            <c:size val="14"/>
            <c:spPr>
              <a:solidFill>
                <a:schemeClr val="tx1"/>
              </a:solidFill>
              <a:ln>
                <a:solidFill>
                  <a:schemeClr val="tx1"/>
                </a:solidFill>
              </a:ln>
              <a:effectLst/>
            </c:spPr>
          </c:marker>
          <c:xVal>
            <c:numRef>
              <c:f>'Figure S15.'!$B$9:$K$9</c:f>
              <c:numCache>
                <c:formatCode>General</c:formatCode>
                <c:ptCount val="10"/>
                <c:pt idx="0">
                  <c:v>0.65</c:v>
                </c:pt>
                <c:pt idx="1">
                  <c:v>1.27</c:v>
                </c:pt>
                <c:pt idx="2">
                  <c:v>1.96</c:v>
                </c:pt>
                <c:pt idx="3">
                  <c:v>2.63</c:v>
                </c:pt>
                <c:pt idx="4">
                  <c:v>3.25</c:v>
                </c:pt>
                <c:pt idx="5">
                  <c:v>3.92</c:v>
                </c:pt>
                <c:pt idx="6">
                  <c:v>4.659999999999996</c:v>
                </c:pt>
                <c:pt idx="7">
                  <c:v>5.38</c:v>
                </c:pt>
                <c:pt idx="8">
                  <c:v>6.01</c:v>
                </c:pt>
                <c:pt idx="9">
                  <c:v>6.67</c:v>
                </c:pt>
              </c:numCache>
            </c:numRef>
          </c:xVal>
          <c:yVal>
            <c:numRef>
              <c:f>'Figure S15.'!$B$3:$K$3</c:f>
              <c:numCache>
                <c:formatCode>General</c:formatCode>
                <c:ptCount val="10"/>
                <c:pt idx="0">
                  <c:v>0.311082615</c:v>
                </c:pt>
                <c:pt idx="1">
                  <c:v>0.330833226</c:v>
                </c:pt>
                <c:pt idx="2">
                  <c:v>0.279525507</c:v>
                </c:pt>
                <c:pt idx="3">
                  <c:v>0.232401642</c:v>
                </c:pt>
                <c:pt idx="4">
                  <c:v>0.276655968</c:v>
                </c:pt>
                <c:pt idx="5">
                  <c:v>0.239053881</c:v>
                </c:pt>
                <c:pt idx="6">
                  <c:v>0.213165405</c:v>
                </c:pt>
                <c:pt idx="7">
                  <c:v>0.175084028</c:v>
                </c:pt>
                <c:pt idx="8">
                  <c:v>0.179803333</c:v>
                </c:pt>
                <c:pt idx="9">
                  <c:v>0.147760606</c:v>
                </c:pt>
              </c:numCache>
            </c:numRef>
          </c:yVal>
          <c:smooth val="0"/>
        </c:ser>
        <c:ser>
          <c:idx val="2"/>
          <c:order val="2"/>
          <c:tx>
            <c:strRef>
              <c:f>'Figure S15.'!$A$4</c:f>
              <c:strCache>
                <c:ptCount val="1"/>
                <c:pt idx="0">
                  <c:v>Si/Al = 40</c:v>
                </c:pt>
              </c:strCache>
            </c:strRef>
          </c:tx>
          <c:spPr>
            <a:ln w="47625">
              <a:noFill/>
            </a:ln>
            <a:effectLst/>
          </c:spPr>
          <c:marker>
            <c:symbol val="x"/>
            <c:size val="14"/>
            <c:spPr>
              <a:ln>
                <a:solidFill>
                  <a:sysClr val="windowText" lastClr="000000"/>
                </a:solidFill>
              </a:ln>
              <a:effectLst/>
            </c:spPr>
          </c:marker>
          <c:xVal>
            <c:numRef>
              <c:f>'Figure S15.'!$B$10:$K$10</c:f>
              <c:numCache>
                <c:formatCode>General</c:formatCode>
                <c:ptCount val="10"/>
                <c:pt idx="0">
                  <c:v>0.68</c:v>
                </c:pt>
                <c:pt idx="1">
                  <c:v>1.33</c:v>
                </c:pt>
                <c:pt idx="2">
                  <c:v>1.96</c:v>
                </c:pt>
                <c:pt idx="3">
                  <c:v>2.66</c:v>
                </c:pt>
                <c:pt idx="4">
                  <c:v>3.29</c:v>
                </c:pt>
                <c:pt idx="5">
                  <c:v>3.91</c:v>
                </c:pt>
                <c:pt idx="6">
                  <c:v>4.54</c:v>
                </c:pt>
                <c:pt idx="7">
                  <c:v>5.2</c:v>
                </c:pt>
                <c:pt idx="8">
                  <c:v>5.89</c:v>
                </c:pt>
                <c:pt idx="9">
                  <c:v>6.5</c:v>
                </c:pt>
              </c:numCache>
            </c:numRef>
          </c:xVal>
          <c:yVal>
            <c:numRef>
              <c:f>'Figure S15.'!$B$4:$K$4</c:f>
              <c:numCache>
                <c:formatCode>General</c:formatCode>
                <c:ptCount val="10"/>
                <c:pt idx="0">
                  <c:v>0.358719265</c:v>
                </c:pt>
                <c:pt idx="1">
                  <c:v>0.484555846</c:v>
                </c:pt>
                <c:pt idx="2">
                  <c:v>0.366730952</c:v>
                </c:pt>
                <c:pt idx="3">
                  <c:v>0.306919857</c:v>
                </c:pt>
                <c:pt idx="4">
                  <c:v>0.335405397</c:v>
                </c:pt>
                <c:pt idx="5">
                  <c:v>0.370638226</c:v>
                </c:pt>
                <c:pt idx="6">
                  <c:v>0.299408254</c:v>
                </c:pt>
                <c:pt idx="7">
                  <c:v>0.310531818</c:v>
                </c:pt>
                <c:pt idx="8">
                  <c:v>0.364337971</c:v>
                </c:pt>
                <c:pt idx="9">
                  <c:v>0.286934426</c:v>
                </c:pt>
              </c:numCache>
            </c:numRef>
          </c:yVal>
          <c:smooth val="0"/>
        </c:ser>
        <c:ser>
          <c:idx val="3"/>
          <c:order val="3"/>
          <c:tx>
            <c:strRef>
              <c:f>'Figure S15.'!$A$5</c:f>
              <c:strCache>
                <c:ptCount val="1"/>
                <c:pt idx="0">
                  <c:v>No Catalyst</c:v>
                </c:pt>
              </c:strCache>
            </c:strRef>
          </c:tx>
          <c:spPr>
            <a:ln w="47625">
              <a:noFill/>
            </a:ln>
            <a:effectLst/>
          </c:spPr>
          <c:marker>
            <c:symbol val="square"/>
            <c:size val="14"/>
            <c:spPr>
              <a:solidFill>
                <a:sysClr val="windowText" lastClr="000000"/>
              </a:solidFill>
              <a:ln>
                <a:solidFill>
                  <a:sysClr val="windowText" lastClr="000000"/>
                </a:solidFill>
              </a:ln>
              <a:effectLst/>
            </c:spPr>
          </c:marker>
          <c:errBars>
            <c:errDir val="y"/>
            <c:errBarType val="both"/>
            <c:errValType val="cust"/>
            <c:noEndCap val="0"/>
            <c:plus>
              <c:numRef>
                <c:f>'Figure S15.'!$B$6</c:f>
                <c:numCache>
                  <c:formatCode>General</c:formatCode>
                  <c:ptCount val="1"/>
                  <c:pt idx="0">
                    <c:v>0.003142525</c:v>
                  </c:pt>
                </c:numCache>
              </c:numRef>
            </c:plus>
            <c:minus>
              <c:numRef>
                <c:f>'Figure S15.'!$B$6</c:f>
                <c:numCache>
                  <c:formatCode>General</c:formatCode>
                  <c:ptCount val="1"/>
                  <c:pt idx="0">
                    <c:v>0.003142525</c:v>
                  </c:pt>
                </c:numCache>
              </c:numRef>
            </c:minus>
          </c:errBars>
          <c:xVal>
            <c:numRef>
              <c:f>'Figure S15.'!$B$11</c:f>
              <c:numCache>
                <c:formatCode>General</c:formatCode>
                <c:ptCount val="1"/>
                <c:pt idx="0">
                  <c:v>6.8</c:v>
                </c:pt>
              </c:numCache>
            </c:numRef>
          </c:xVal>
          <c:yVal>
            <c:numRef>
              <c:f>'Figure S15.'!$B$5</c:f>
              <c:numCache>
                <c:formatCode>General</c:formatCode>
                <c:ptCount val="1"/>
                <c:pt idx="0">
                  <c:v>0.007051749</c:v>
                </c:pt>
              </c:numCache>
            </c:numRef>
          </c:yVal>
          <c:smooth val="0"/>
        </c:ser>
        <c:dLbls>
          <c:showLegendKey val="0"/>
          <c:showVal val="0"/>
          <c:showCatName val="0"/>
          <c:showSerName val="0"/>
          <c:showPercent val="0"/>
          <c:showBubbleSize val="0"/>
        </c:dLbls>
        <c:axId val="-2034581744"/>
        <c:axId val="-2034576336"/>
      </c:scatterChart>
      <c:valAx>
        <c:axId val="-2034581744"/>
        <c:scaling>
          <c:orientation val="minMax"/>
          <c:max val="7.0"/>
          <c:min val="0.0"/>
        </c:scaling>
        <c:delete val="0"/>
        <c:axPos val="b"/>
        <c:title>
          <c:tx>
            <c:rich>
              <a:bodyPr/>
              <a:lstStyle/>
              <a:p>
                <a:pPr>
                  <a:defRPr sz="1800"/>
                </a:pPr>
                <a:r>
                  <a:rPr lang="en-US"/>
                  <a:t>Cumulative biomass fed, mg</a:t>
                </a:r>
              </a:p>
            </c:rich>
          </c:tx>
          <c:overlay val="0"/>
        </c:title>
        <c:numFmt formatCode="General" sourceLinked="1"/>
        <c:majorTickMark val="out"/>
        <c:minorTickMark val="out"/>
        <c:tickLblPos val="nextTo"/>
        <c:txPr>
          <a:bodyPr/>
          <a:lstStyle/>
          <a:p>
            <a:pPr>
              <a:defRPr sz="1800"/>
            </a:pPr>
            <a:endParaRPr lang="en-US"/>
          </a:p>
        </c:txPr>
        <c:crossAx val="-2034576336"/>
        <c:crosses val="autoZero"/>
        <c:crossBetween val="midCat"/>
      </c:valAx>
      <c:valAx>
        <c:axId val="-2034576336"/>
        <c:scaling>
          <c:orientation val="minMax"/>
        </c:scaling>
        <c:delete val="0"/>
        <c:axPos val="l"/>
        <c:title>
          <c:tx>
            <c:rich>
              <a:bodyPr/>
              <a:lstStyle/>
              <a:p>
                <a:pPr>
                  <a:defRPr sz="1800"/>
                </a:pPr>
                <a:r>
                  <a:rPr lang="en-US" sz="1800" b="1" i="0" baseline="0">
                    <a:effectLst/>
                  </a:rPr>
                  <a:t>(GC-MS response)/</a:t>
                </a:r>
                <a:br>
                  <a:rPr lang="en-US" sz="1800" b="1" i="0" baseline="0">
                    <a:effectLst/>
                  </a:rPr>
                </a:br>
                <a:r>
                  <a:rPr lang="en-US" sz="1800" b="1" i="0" baseline="0">
                    <a:effectLst/>
                  </a:rPr>
                  <a:t>(mg biomass in pulse)</a:t>
                </a:r>
                <a:endParaRPr lang="en-US">
                  <a:effectLst/>
                </a:endParaRPr>
              </a:p>
            </c:rich>
          </c:tx>
          <c:layout>
            <c:manualLayout>
              <c:xMode val="edge"/>
              <c:yMode val="edge"/>
              <c:x val="0.0212113515136121"/>
              <c:y val="0.0252011011477036"/>
            </c:manualLayout>
          </c:layout>
          <c:overlay val="0"/>
        </c:title>
        <c:numFmt formatCode="General" sourceLinked="0"/>
        <c:majorTickMark val="out"/>
        <c:minorTickMark val="out"/>
        <c:tickLblPos val="nextTo"/>
        <c:txPr>
          <a:bodyPr/>
          <a:lstStyle/>
          <a:p>
            <a:pPr>
              <a:defRPr sz="1800"/>
            </a:pPr>
            <a:endParaRPr lang="en-US"/>
          </a:p>
        </c:txPr>
        <c:crossAx val="-2034581744"/>
        <c:crosses val="autoZero"/>
        <c:crossBetween val="midCat"/>
      </c:valAx>
    </c:plotArea>
    <c:legend>
      <c:legendPos val="r"/>
      <c:layout>
        <c:manualLayout>
          <c:xMode val="edge"/>
          <c:yMode val="edge"/>
          <c:x val="0.597780147273257"/>
          <c:y val="0.0119484646681376"/>
          <c:w val="0.355116469816273"/>
          <c:h val="0.275956755405574"/>
        </c:manualLayout>
      </c:layout>
      <c:overlay val="0"/>
      <c:txPr>
        <a:bodyPr/>
        <a:lstStyle/>
        <a:p>
          <a:pPr>
            <a:defRPr sz="1600"/>
          </a:pPr>
          <a:endParaRPr lang="en-US"/>
        </a:p>
      </c:txPr>
    </c:legend>
    <c:plotVisOnly val="1"/>
    <c:dispBlanksAs val="gap"/>
    <c:showDLblsOverMax val="0"/>
  </c:chart>
  <c:spPr>
    <a:ln>
      <a:noFill/>
    </a:ln>
  </c:sp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66271668371962"/>
          <c:y val="0.0341463414634146"/>
          <c:w val="0.695547140293904"/>
          <c:h val="0.736551056117985"/>
        </c:manualLayout>
      </c:layout>
      <c:scatterChart>
        <c:scatterStyle val="lineMarker"/>
        <c:varyColors val="0"/>
        <c:ser>
          <c:idx val="0"/>
          <c:order val="0"/>
          <c:tx>
            <c:strRef>
              <c:f>'Figure S16.'!$A$2</c:f>
              <c:strCache>
                <c:ptCount val="1"/>
                <c:pt idx="0">
                  <c:v>Si/Al = 11.5</c:v>
                </c:pt>
              </c:strCache>
            </c:strRef>
          </c:tx>
          <c:spPr>
            <a:ln w="47625">
              <a:noFill/>
            </a:ln>
            <a:effectLst/>
          </c:spPr>
          <c:marker>
            <c:symbol val="triangle"/>
            <c:size val="12"/>
            <c:spPr>
              <a:noFill/>
              <a:ln>
                <a:solidFill>
                  <a:schemeClr val="tx1"/>
                </a:solidFill>
              </a:ln>
              <a:effectLst/>
            </c:spPr>
          </c:marker>
          <c:xVal>
            <c:numRef>
              <c:f>'Figure S16.'!$B$8:$K$8</c:f>
              <c:numCache>
                <c:formatCode>General</c:formatCode>
                <c:ptCount val="10"/>
                <c:pt idx="0">
                  <c:v>0.68</c:v>
                </c:pt>
                <c:pt idx="1">
                  <c:v>1.33</c:v>
                </c:pt>
                <c:pt idx="2">
                  <c:v>1.96</c:v>
                </c:pt>
                <c:pt idx="3">
                  <c:v>2.66</c:v>
                </c:pt>
                <c:pt idx="4">
                  <c:v>3.29</c:v>
                </c:pt>
                <c:pt idx="5">
                  <c:v>3.91</c:v>
                </c:pt>
                <c:pt idx="6">
                  <c:v>4.54</c:v>
                </c:pt>
                <c:pt idx="7">
                  <c:v>5.2</c:v>
                </c:pt>
                <c:pt idx="8">
                  <c:v>5.89</c:v>
                </c:pt>
                <c:pt idx="9">
                  <c:v>6.5</c:v>
                </c:pt>
              </c:numCache>
            </c:numRef>
          </c:xVal>
          <c:yVal>
            <c:numRef>
              <c:f>'Figure S16.'!$B$2:$K$2</c:f>
              <c:numCache>
                <c:formatCode>General</c:formatCode>
                <c:ptCount val="10"/>
                <c:pt idx="0">
                  <c:v>0.02263</c:v>
                </c:pt>
                <c:pt idx="1">
                  <c:v>0.020461549</c:v>
                </c:pt>
                <c:pt idx="2">
                  <c:v>0.016041618</c:v>
                </c:pt>
                <c:pt idx="3">
                  <c:v>0.010931538</c:v>
                </c:pt>
                <c:pt idx="4">
                  <c:v>0.007867042</c:v>
                </c:pt>
                <c:pt idx="5">
                  <c:v>0.006174783</c:v>
                </c:pt>
                <c:pt idx="6">
                  <c:v>0.005596923</c:v>
                </c:pt>
                <c:pt idx="7">
                  <c:v>0.000240896</c:v>
                </c:pt>
                <c:pt idx="8">
                  <c:v>0.004360312</c:v>
                </c:pt>
                <c:pt idx="9">
                  <c:v>0.005008333</c:v>
                </c:pt>
              </c:numCache>
            </c:numRef>
          </c:yVal>
          <c:smooth val="0"/>
        </c:ser>
        <c:ser>
          <c:idx val="1"/>
          <c:order val="1"/>
          <c:tx>
            <c:strRef>
              <c:f>'Figure S16.'!$A$3</c:f>
              <c:strCache>
                <c:ptCount val="1"/>
                <c:pt idx="0">
                  <c:v>Si/Al = 25</c:v>
                </c:pt>
              </c:strCache>
            </c:strRef>
          </c:tx>
          <c:spPr>
            <a:ln w="47625">
              <a:noFill/>
            </a:ln>
            <a:effectLst/>
          </c:spPr>
          <c:marker>
            <c:symbol val="circle"/>
            <c:size val="14"/>
            <c:spPr>
              <a:solidFill>
                <a:schemeClr val="tx1"/>
              </a:solidFill>
              <a:ln>
                <a:solidFill>
                  <a:schemeClr val="tx1"/>
                </a:solidFill>
              </a:ln>
              <a:effectLst/>
            </c:spPr>
          </c:marker>
          <c:xVal>
            <c:numRef>
              <c:f>'Figure S16.'!$B$9:$K$9</c:f>
              <c:numCache>
                <c:formatCode>General</c:formatCode>
                <c:ptCount val="10"/>
                <c:pt idx="0">
                  <c:v>0.65</c:v>
                </c:pt>
                <c:pt idx="1">
                  <c:v>1.27</c:v>
                </c:pt>
                <c:pt idx="2">
                  <c:v>1.96</c:v>
                </c:pt>
                <c:pt idx="3">
                  <c:v>2.63</c:v>
                </c:pt>
                <c:pt idx="4">
                  <c:v>3.25</c:v>
                </c:pt>
                <c:pt idx="5">
                  <c:v>3.92</c:v>
                </c:pt>
                <c:pt idx="6">
                  <c:v>4.659999999999996</c:v>
                </c:pt>
                <c:pt idx="7">
                  <c:v>5.38</c:v>
                </c:pt>
                <c:pt idx="8">
                  <c:v>6.01</c:v>
                </c:pt>
                <c:pt idx="9">
                  <c:v>6.67</c:v>
                </c:pt>
              </c:numCache>
            </c:numRef>
          </c:xVal>
          <c:yVal>
            <c:numRef>
              <c:f>'Figure S16.'!$B$3:$K$3</c:f>
              <c:numCache>
                <c:formatCode>General</c:formatCode>
                <c:ptCount val="10"/>
                <c:pt idx="0">
                  <c:v>0.025888154</c:v>
                </c:pt>
                <c:pt idx="1">
                  <c:v>0.032273226</c:v>
                </c:pt>
                <c:pt idx="2">
                  <c:v>0.028713043</c:v>
                </c:pt>
                <c:pt idx="3">
                  <c:v>0.024589851</c:v>
                </c:pt>
                <c:pt idx="4">
                  <c:v>0.029773065</c:v>
                </c:pt>
                <c:pt idx="5">
                  <c:v>0.024520448</c:v>
                </c:pt>
                <c:pt idx="6">
                  <c:v>0.023481351</c:v>
                </c:pt>
                <c:pt idx="7">
                  <c:v>0.019637778</c:v>
                </c:pt>
                <c:pt idx="8">
                  <c:v>0.019927937</c:v>
                </c:pt>
                <c:pt idx="9">
                  <c:v>0.016736818</c:v>
                </c:pt>
              </c:numCache>
            </c:numRef>
          </c:yVal>
          <c:smooth val="0"/>
        </c:ser>
        <c:ser>
          <c:idx val="2"/>
          <c:order val="2"/>
          <c:tx>
            <c:strRef>
              <c:f>'Figure S16.'!$A$4</c:f>
              <c:strCache>
                <c:ptCount val="1"/>
                <c:pt idx="0">
                  <c:v>Si/Al = 40</c:v>
                </c:pt>
              </c:strCache>
            </c:strRef>
          </c:tx>
          <c:spPr>
            <a:ln w="47625">
              <a:noFill/>
            </a:ln>
            <a:effectLst/>
          </c:spPr>
          <c:marker>
            <c:symbol val="x"/>
            <c:size val="14"/>
            <c:spPr>
              <a:ln>
                <a:solidFill>
                  <a:sysClr val="windowText" lastClr="000000"/>
                </a:solidFill>
              </a:ln>
              <a:effectLst/>
            </c:spPr>
          </c:marker>
          <c:xVal>
            <c:numRef>
              <c:f>'Figure S16.'!$B$10:$K$10</c:f>
              <c:numCache>
                <c:formatCode>General</c:formatCode>
                <c:ptCount val="10"/>
                <c:pt idx="0">
                  <c:v>0.68</c:v>
                </c:pt>
                <c:pt idx="1">
                  <c:v>1.33</c:v>
                </c:pt>
                <c:pt idx="2">
                  <c:v>1.96</c:v>
                </c:pt>
                <c:pt idx="3">
                  <c:v>2.66</c:v>
                </c:pt>
                <c:pt idx="4">
                  <c:v>3.29</c:v>
                </c:pt>
                <c:pt idx="5">
                  <c:v>3.91</c:v>
                </c:pt>
                <c:pt idx="6">
                  <c:v>4.54</c:v>
                </c:pt>
                <c:pt idx="7">
                  <c:v>5.2</c:v>
                </c:pt>
                <c:pt idx="8">
                  <c:v>5.89</c:v>
                </c:pt>
                <c:pt idx="9">
                  <c:v>6.5</c:v>
                </c:pt>
              </c:numCache>
            </c:numRef>
          </c:xVal>
          <c:yVal>
            <c:numRef>
              <c:f>'Figure S16.'!$B$4:$K$4</c:f>
              <c:numCache>
                <c:formatCode>General</c:formatCode>
                <c:ptCount val="10"/>
                <c:pt idx="0">
                  <c:v>0.021404706</c:v>
                </c:pt>
                <c:pt idx="1">
                  <c:v>0.032574462</c:v>
                </c:pt>
                <c:pt idx="2">
                  <c:v>0.028034127</c:v>
                </c:pt>
                <c:pt idx="3">
                  <c:v>0.023197714</c:v>
                </c:pt>
                <c:pt idx="4">
                  <c:v>0.027320635</c:v>
                </c:pt>
                <c:pt idx="5">
                  <c:v>0.030612742</c:v>
                </c:pt>
                <c:pt idx="6">
                  <c:v>0.027099048</c:v>
                </c:pt>
                <c:pt idx="7">
                  <c:v>0.028155606</c:v>
                </c:pt>
                <c:pt idx="8">
                  <c:v>0.031912754</c:v>
                </c:pt>
                <c:pt idx="9">
                  <c:v>0.026716393</c:v>
                </c:pt>
              </c:numCache>
            </c:numRef>
          </c:yVal>
          <c:smooth val="0"/>
        </c:ser>
        <c:ser>
          <c:idx val="3"/>
          <c:order val="3"/>
          <c:tx>
            <c:strRef>
              <c:f>'Figure S16.'!$A$5</c:f>
              <c:strCache>
                <c:ptCount val="1"/>
                <c:pt idx="0">
                  <c:v>No Catalyst</c:v>
                </c:pt>
              </c:strCache>
            </c:strRef>
          </c:tx>
          <c:spPr>
            <a:ln w="47625">
              <a:noFill/>
            </a:ln>
            <a:effectLst/>
          </c:spPr>
          <c:marker>
            <c:symbol val="square"/>
            <c:size val="14"/>
            <c:spPr>
              <a:solidFill>
                <a:sysClr val="windowText" lastClr="000000"/>
              </a:solidFill>
              <a:ln>
                <a:solidFill>
                  <a:sysClr val="windowText" lastClr="000000"/>
                </a:solidFill>
              </a:ln>
              <a:effectLst/>
            </c:spPr>
          </c:marker>
          <c:errBars>
            <c:errDir val="y"/>
            <c:errBarType val="both"/>
            <c:errValType val="cust"/>
            <c:noEndCap val="0"/>
            <c:plus>
              <c:numRef>
                <c:f>'Figure S16.'!$B$6</c:f>
                <c:numCache>
                  <c:formatCode>General</c:formatCode>
                  <c:ptCount val="1"/>
                  <c:pt idx="0">
                    <c:v>0.000742728</c:v>
                  </c:pt>
                </c:numCache>
              </c:numRef>
            </c:plus>
            <c:minus>
              <c:numRef>
                <c:f>'Figure S16.'!$B$6</c:f>
                <c:numCache>
                  <c:formatCode>General</c:formatCode>
                  <c:ptCount val="1"/>
                  <c:pt idx="0">
                    <c:v>0.000742728</c:v>
                  </c:pt>
                </c:numCache>
              </c:numRef>
            </c:minus>
          </c:errBars>
          <c:xVal>
            <c:numRef>
              <c:f>'Figure S16.'!$B$11</c:f>
              <c:numCache>
                <c:formatCode>General</c:formatCode>
                <c:ptCount val="1"/>
                <c:pt idx="0">
                  <c:v>6.8</c:v>
                </c:pt>
              </c:numCache>
            </c:numRef>
          </c:xVal>
          <c:yVal>
            <c:numRef>
              <c:f>'Figure S16.'!$B$5</c:f>
              <c:numCache>
                <c:formatCode>General</c:formatCode>
                <c:ptCount val="1"/>
                <c:pt idx="0">
                  <c:v>0.001986864</c:v>
                </c:pt>
              </c:numCache>
            </c:numRef>
          </c:yVal>
          <c:smooth val="0"/>
        </c:ser>
        <c:dLbls>
          <c:showLegendKey val="0"/>
          <c:showVal val="0"/>
          <c:showCatName val="0"/>
          <c:showSerName val="0"/>
          <c:showPercent val="0"/>
          <c:showBubbleSize val="0"/>
        </c:dLbls>
        <c:axId val="-2054262240"/>
        <c:axId val="-2054615568"/>
      </c:scatterChart>
      <c:valAx>
        <c:axId val="-2054262240"/>
        <c:scaling>
          <c:orientation val="minMax"/>
          <c:max val="7.0"/>
          <c:min val="0.0"/>
        </c:scaling>
        <c:delete val="0"/>
        <c:axPos val="b"/>
        <c:title>
          <c:tx>
            <c:rich>
              <a:bodyPr/>
              <a:lstStyle/>
              <a:p>
                <a:pPr>
                  <a:defRPr sz="1800"/>
                </a:pPr>
                <a:r>
                  <a:rPr lang="en-US"/>
                  <a:t>Cumulative biomass fed, mg</a:t>
                </a:r>
              </a:p>
            </c:rich>
          </c:tx>
          <c:overlay val="0"/>
        </c:title>
        <c:numFmt formatCode="General" sourceLinked="1"/>
        <c:majorTickMark val="out"/>
        <c:minorTickMark val="out"/>
        <c:tickLblPos val="nextTo"/>
        <c:txPr>
          <a:bodyPr/>
          <a:lstStyle/>
          <a:p>
            <a:pPr>
              <a:defRPr sz="1800"/>
            </a:pPr>
            <a:endParaRPr lang="en-US"/>
          </a:p>
        </c:txPr>
        <c:crossAx val="-2054615568"/>
        <c:crosses val="autoZero"/>
        <c:crossBetween val="midCat"/>
      </c:valAx>
      <c:valAx>
        <c:axId val="-2054615568"/>
        <c:scaling>
          <c:orientation val="minMax"/>
        </c:scaling>
        <c:delete val="0"/>
        <c:axPos val="l"/>
        <c:title>
          <c:tx>
            <c:rich>
              <a:bodyPr/>
              <a:lstStyle/>
              <a:p>
                <a:pPr>
                  <a:defRPr sz="1800"/>
                </a:pPr>
                <a:r>
                  <a:rPr lang="en-US" sz="1800" b="1" i="0" baseline="0">
                    <a:effectLst/>
                  </a:rPr>
                  <a:t>(GC-MS response)/</a:t>
                </a:r>
                <a:br>
                  <a:rPr lang="en-US" sz="1800" b="1" i="0" baseline="0">
                    <a:effectLst/>
                  </a:rPr>
                </a:br>
                <a:r>
                  <a:rPr lang="en-US" sz="1800" b="1" i="0" baseline="0">
                    <a:effectLst/>
                  </a:rPr>
                  <a:t>(mg biomass in pulse)</a:t>
                </a:r>
                <a:endParaRPr lang="en-US">
                  <a:effectLst/>
                </a:endParaRPr>
              </a:p>
            </c:rich>
          </c:tx>
          <c:layout>
            <c:manualLayout>
              <c:xMode val="edge"/>
              <c:yMode val="edge"/>
              <c:x val="0.0212113515136121"/>
              <c:y val="0.0252011011477036"/>
            </c:manualLayout>
          </c:layout>
          <c:overlay val="0"/>
        </c:title>
        <c:numFmt formatCode="General" sourceLinked="0"/>
        <c:majorTickMark val="out"/>
        <c:minorTickMark val="out"/>
        <c:tickLblPos val="nextTo"/>
        <c:txPr>
          <a:bodyPr/>
          <a:lstStyle/>
          <a:p>
            <a:pPr>
              <a:defRPr sz="1800"/>
            </a:pPr>
            <a:endParaRPr lang="en-US"/>
          </a:p>
        </c:txPr>
        <c:crossAx val="-2054262240"/>
        <c:crosses val="autoZero"/>
        <c:crossBetween val="midCat"/>
      </c:valAx>
    </c:plotArea>
    <c:legend>
      <c:legendPos val="r"/>
      <c:layout>
        <c:manualLayout>
          <c:xMode val="edge"/>
          <c:yMode val="edge"/>
          <c:x val="0.244496159378383"/>
          <c:y val="0.495329021372328"/>
          <c:w val="0.277315123745125"/>
          <c:h val="0.284224159480065"/>
        </c:manualLayout>
      </c:layout>
      <c:overlay val="0"/>
      <c:txPr>
        <a:bodyPr/>
        <a:lstStyle/>
        <a:p>
          <a:pPr>
            <a:defRPr sz="1600"/>
          </a:pPr>
          <a:endParaRPr lang="en-US"/>
        </a:p>
      </c:txPr>
    </c:legend>
    <c:plotVisOnly val="1"/>
    <c:dispBlanksAs val="gap"/>
    <c:showDLblsOverMax val="0"/>
  </c:chart>
  <c:spPr>
    <a:ln>
      <a:noFill/>
    </a:ln>
  </c:sp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28090004374453"/>
          <c:y val="0.0341463414634146"/>
          <c:w val="0.733728674540682"/>
          <c:h val="0.757256427283939"/>
        </c:manualLayout>
      </c:layout>
      <c:scatterChart>
        <c:scatterStyle val="lineMarker"/>
        <c:varyColors val="0"/>
        <c:ser>
          <c:idx val="0"/>
          <c:order val="0"/>
          <c:tx>
            <c:strRef>
              <c:f>'Figure S8.'!$A$2</c:f>
              <c:strCache>
                <c:ptCount val="1"/>
                <c:pt idx="0">
                  <c:v>T = 400°C</c:v>
                </c:pt>
              </c:strCache>
            </c:strRef>
          </c:tx>
          <c:spPr>
            <a:ln w="47625">
              <a:noFill/>
            </a:ln>
            <a:effectLst/>
          </c:spPr>
          <c:marker>
            <c:symbol val="triangle"/>
            <c:size val="12"/>
            <c:spPr>
              <a:noFill/>
              <a:ln>
                <a:solidFill>
                  <a:schemeClr val="tx1"/>
                </a:solidFill>
              </a:ln>
              <a:effectLst/>
            </c:spPr>
          </c:marker>
          <c:xVal>
            <c:numRef>
              <c:f>'Figure S8.'!$B$8:$K$8</c:f>
              <c:numCache>
                <c:formatCode>General</c:formatCode>
                <c:ptCount val="10"/>
                <c:pt idx="0">
                  <c:v>0.73</c:v>
                </c:pt>
                <c:pt idx="1">
                  <c:v>1.33</c:v>
                </c:pt>
                <c:pt idx="2">
                  <c:v>1.98</c:v>
                </c:pt>
                <c:pt idx="3">
                  <c:v>2.66</c:v>
                </c:pt>
                <c:pt idx="4">
                  <c:v>3.36</c:v>
                </c:pt>
                <c:pt idx="5">
                  <c:v>4.08</c:v>
                </c:pt>
                <c:pt idx="6">
                  <c:v>4.74</c:v>
                </c:pt>
                <c:pt idx="7">
                  <c:v>5.38</c:v>
                </c:pt>
                <c:pt idx="8">
                  <c:v>6.06</c:v>
                </c:pt>
                <c:pt idx="9">
                  <c:v>6.73</c:v>
                </c:pt>
              </c:numCache>
            </c:numRef>
          </c:xVal>
          <c:yVal>
            <c:numRef>
              <c:f>'Figure S8.'!$B$2:$K$2</c:f>
              <c:numCache>
                <c:formatCode>General</c:formatCode>
                <c:ptCount val="10"/>
                <c:pt idx="0">
                  <c:v>0.2121364</c:v>
                </c:pt>
                <c:pt idx="1">
                  <c:v>0.3421173</c:v>
                </c:pt>
                <c:pt idx="2">
                  <c:v>0.3222851</c:v>
                </c:pt>
                <c:pt idx="3">
                  <c:v>0.36141574</c:v>
                </c:pt>
                <c:pt idx="4">
                  <c:v>0.3723976</c:v>
                </c:pt>
                <c:pt idx="5">
                  <c:v>0.3608693</c:v>
                </c:pt>
                <c:pt idx="6">
                  <c:v>0.3165065</c:v>
                </c:pt>
                <c:pt idx="7">
                  <c:v>0.31913891</c:v>
                </c:pt>
                <c:pt idx="8">
                  <c:v>0.281354</c:v>
                </c:pt>
                <c:pt idx="9">
                  <c:v>0.332701</c:v>
                </c:pt>
              </c:numCache>
            </c:numRef>
          </c:yVal>
          <c:smooth val="0"/>
        </c:ser>
        <c:ser>
          <c:idx val="1"/>
          <c:order val="1"/>
          <c:tx>
            <c:strRef>
              <c:f>'Figure S8.'!$A$3</c:f>
              <c:strCache>
                <c:ptCount val="1"/>
                <c:pt idx="0">
                  <c:v>T = 500°C</c:v>
                </c:pt>
              </c:strCache>
            </c:strRef>
          </c:tx>
          <c:spPr>
            <a:ln w="47625">
              <a:noFill/>
            </a:ln>
            <a:effectLst/>
          </c:spPr>
          <c:marker>
            <c:symbol val="circle"/>
            <c:size val="14"/>
            <c:spPr>
              <a:solidFill>
                <a:schemeClr val="tx1"/>
              </a:solidFill>
              <a:ln>
                <a:solidFill>
                  <a:schemeClr val="tx1"/>
                </a:solidFill>
              </a:ln>
              <a:effectLst/>
            </c:spPr>
          </c:marker>
          <c:xVal>
            <c:numRef>
              <c:f>'Figure S8.'!$B$9:$K$9</c:f>
              <c:numCache>
                <c:formatCode>General</c:formatCode>
                <c:ptCount val="10"/>
                <c:pt idx="0">
                  <c:v>0.68</c:v>
                </c:pt>
                <c:pt idx="1">
                  <c:v>1.33</c:v>
                </c:pt>
                <c:pt idx="2">
                  <c:v>1.96</c:v>
                </c:pt>
                <c:pt idx="3">
                  <c:v>2.66</c:v>
                </c:pt>
                <c:pt idx="4">
                  <c:v>3.29</c:v>
                </c:pt>
                <c:pt idx="5">
                  <c:v>3.91</c:v>
                </c:pt>
                <c:pt idx="6">
                  <c:v>4.54</c:v>
                </c:pt>
                <c:pt idx="7">
                  <c:v>5.2</c:v>
                </c:pt>
                <c:pt idx="8">
                  <c:v>5.89</c:v>
                </c:pt>
                <c:pt idx="9">
                  <c:v>6.5</c:v>
                </c:pt>
              </c:numCache>
            </c:numRef>
          </c:xVal>
          <c:yVal>
            <c:numRef>
              <c:f>'Figure S8.'!$B$3:$K$3</c:f>
              <c:numCache>
                <c:formatCode>General</c:formatCode>
                <c:ptCount val="10"/>
                <c:pt idx="0">
                  <c:v>0.258285</c:v>
                </c:pt>
                <c:pt idx="1">
                  <c:v>0.5287577</c:v>
                </c:pt>
                <c:pt idx="2">
                  <c:v>0.4674902</c:v>
                </c:pt>
                <c:pt idx="3">
                  <c:v>0.41473143</c:v>
                </c:pt>
                <c:pt idx="4">
                  <c:v>0.4909638</c:v>
                </c:pt>
                <c:pt idx="5">
                  <c:v>0.582235</c:v>
                </c:pt>
                <c:pt idx="6">
                  <c:v>0.5111992</c:v>
                </c:pt>
                <c:pt idx="7">
                  <c:v>0.56256894</c:v>
                </c:pt>
                <c:pt idx="8">
                  <c:v>0.6364967</c:v>
                </c:pt>
                <c:pt idx="9">
                  <c:v>0.519407</c:v>
                </c:pt>
              </c:numCache>
            </c:numRef>
          </c:yVal>
          <c:smooth val="0"/>
        </c:ser>
        <c:ser>
          <c:idx val="2"/>
          <c:order val="2"/>
          <c:tx>
            <c:strRef>
              <c:f>'Figure S8.'!$A$4</c:f>
              <c:strCache>
                <c:ptCount val="1"/>
                <c:pt idx="0">
                  <c:v>T = 600°C</c:v>
                </c:pt>
              </c:strCache>
            </c:strRef>
          </c:tx>
          <c:spPr>
            <a:ln w="47625">
              <a:noFill/>
            </a:ln>
            <a:effectLst/>
          </c:spPr>
          <c:marker>
            <c:symbol val="x"/>
            <c:size val="14"/>
            <c:spPr>
              <a:ln>
                <a:solidFill>
                  <a:sysClr val="windowText" lastClr="000000"/>
                </a:solidFill>
              </a:ln>
              <a:effectLst/>
            </c:spPr>
          </c:marker>
          <c:xVal>
            <c:numRef>
              <c:f>'Figure S8.'!$B$10:$K$10</c:f>
              <c:numCache>
                <c:formatCode>General</c:formatCode>
                <c:ptCount val="10"/>
                <c:pt idx="0">
                  <c:v>0.66</c:v>
                </c:pt>
                <c:pt idx="1">
                  <c:v>1.31</c:v>
                </c:pt>
                <c:pt idx="2">
                  <c:v>2.01</c:v>
                </c:pt>
                <c:pt idx="3">
                  <c:v>2.67</c:v>
                </c:pt>
                <c:pt idx="4">
                  <c:v>3.4</c:v>
                </c:pt>
                <c:pt idx="5">
                  <c:v>4.08</c:v>
                </c:pt>
                <c:pt idx="6">
                  <c:v>4.689999999999999</c:v>
                </c:pt>
                <c:pt idx="7">
                  <c:v>5.39</c:v>
                </c:pt>
                <c:pt idx="8">
                  <c:v>6.05</c:v>
                </c:pt>
                <c:pt idx="9">
                  <c:v>6.74</c:v>
                </c:pt>
              </c:numCache>
            </c:numRef>
          </c:xVal>
          <c:yVal>
            <c:numRef>
              <c:f>'Figure S8.'!$B$4:$K$4</c:f>
              <c:numCache>
                <c:formatCode>General</c:formatCode>
                <c:ptCount val="10"/>
                <c:pt idx="0">
                  <c:v>0.1682476</c:v>
                </c:pt>
                <c:pt idx="1">
                  <c:v>0.2079946</c:v>
                </c:pt>
                <c:pt idx="2">
                  <c:v>0.3002513</c:v>
                </c:pt>
                <c:pt idx="3">
                  <c:v>0.36473348</c:v>
                </c:pt>
                <c:pt idx="4">
                  <c:v>0.3481575</c:v>
                </c:pt>
                <c:pt idx="5">
                  <c:v>0.4185363</c:v>
                </c:pt>
                <c:pt idx="6">
                  <c:v>0.4762374</c:v>
                </c:pt>
                <c:pt idx="7">
                  <c:v>0.51640686</c:v>
                </c:pt>
                <c:pt idx="8">
                  <c:v>0.5562367</c:v>
                </c:pt>
                <c:pt idx="9">
                  <c:v>0.5956951</c:v>
                </c:pt>
              </c:numCache>
            </c:numRef>
          </c:yVal>
          <c:smooth val="0"/>
        </c:ser>
        <c:ser>
          <c:idx val="3"/>
          <c:order val="3"/>
          <c:tx>
            <c:strRef>
              <c:f>'Figure S8.'!$A$5</c:f>
              <c:strCache>
                <c:ptCount val="1"/>
                <c:pt idx="0">
                  <c:v>No Catalyst</c:v>
                </c:pt>
              </c:strCache>
            </c:strRef>
          </c:tx>
          <c:spPr>
            <a:ln w="47625">
              <a:noFill/>
            </a:ln>
            <a:effectLst/>
          </c:spPr>
          <c:marker>
            <c:symbol val="square"/>
            <c:size val="14"/>
            <c:spPr>
              <a:solidFill>
                <a:sysClr val="windowText" lastClr="000000"/>
              </a:solidFill>
              <a:ln>
                <a:solidFill>
                  <a:sysClr val="windowText" lastClr="000000"/>
                </a:solidFill>
              </a:ln>
              <a:effectLst/>
            </c:spPr>
          </c:marker>
          <c:errBars>
            <c:errDir val="y"/>
            <c:errBarType val="both"/>
            <c:errValType val="cust"/>
            <c:noEndCap val="0"/>
            <c:plus>
              <c:numRef>
                <c:f>'Figure S8.'!$B$6</c:f>
                <c:numCache>
                  <c:formatCode>General</c:formatCode>
                  <c:ptCount val="1"/>
                  <c:pt idx="0">
                    <c:v>0.055901214</c:v>
                  </c:pt>
                </c:numCache>
              </c:numRef>
            </c:plus>
            <c:minus>
              <c:numRef>
                <c:f>'Figure S8.'!$B$6</c:f>
                <c:numCache>
                  <c:formatCode>General</c:formatCode>
                  <c:ptCount val="1"/>
                  <c:pt idx="0">
                    <c:v>0.055901214</c:v>
                  </c:pt>
                </c:numCache>
              </c:numRef>
            </c:minus>
          </c:errBars>
          <c:xVal>
            <c:numRef>
              <c:f>'Figure S8.'!$B$11</c:f>
              <c:numCache>
                <c:formatCode>General</c:formatCode>
                <c:ptCount val="1"/>
                <c:pt idx="0">
                  <c:v>6.8</c:v>
                </c:pt>
              </c:numCache>
            </c:numRef>
          </c:xVal>
          <c:yVal>
            <c:numRef>
              <c:f>'Figure S8.'!$B$5</c:f>
              <c:numCache>
                <c:formatCode>General</c:formatCode>
                <c:ptCount val="1"/>
                <c:pt idx="0">
                  <c:v>0.118898365</c:v>
                </c:pt>
              </c:numCache>
            </c:numRef>
          </c:yVal>
          <c:smooth val="0"/>
        </c:ser>
        <c:dLbls>
          <c:showLegendKey val="0"/>
          <c:showVal val="0"/>
          <c:showCatName val="0"/>
          <c:showSerName val="0"/>
          <c:showPercent val="0"/>
          <c:showBubbleSize val="0"/>
        </c:dLbls>
        <c:axId val="-2128573824"/>
        <c:axId val="-2034286432"/>
      </c:scatterChart>
      <c:valAx>
        <c:axId val="-2128573824"/>
        <c:scaling>
          <c:orientation val="minMax"/>
          <c:max val="7.0"/>
          <c:min val="0.0"/>
        </c:scaling>
        <c:delete val="0"/>
        <c:axPos val="b"/>
        <c:title>
          <c:tx>
            <c:rich>
              <a:bodyPr/>
              <a:lstStyle/>
              <a:p>
                <a:pPr>
                  <a:defRPr sz="1800"/>
                </a:pPr>
                <a:r>
                  <a:rPr lang="en-US"/>
                  <a:t>Cumulative biomass fed, mg</a:t>
                </a:r>
              </a:p>
            </c:rich>
          </c:tx>
          <c:overlay val="0"/>
        </c:title>
        <c:numFmt formatCode="General" sourceLinked="1"/>
        <c:majorTickMark val="out"/>
        <c:minorTickMark val="out"/>
        <c:tickLblPos val="nextTo"/>
        <c:txPr>
          <a:bodyPr/>
          <a:lstStyle/>
          <a:p>
            <a:pPr>
              <a:defRPr sz="1800"/>
            </a:pPr>
            <a:endParaRPr lang="en-US"/>
          </a:p>
        </c:txPr>
        <c:crossAx val="-2034286432"/>
        <c:crosses val="autoZero"/>
        <c:crossBetween val="midCat"/>
      </c:valAx>
      <c:valAx>
        <c:axId val="-2034286432"/>
        <c:scaling>
          <c:orientation val="minMax"/>
        </c:scaling>
        <c:delete val="0"/>
        <c:axPos val="l"/>
        <c:title>
          <c:tx>
            <c:rich>
              <a:bodyPr/>
              <a:lstStyle/>
              <a:p>
                <a:pPr>
                  <a:defRPr sz="1800"/>
                </a:pPr>
                <a:r>
                  <a:rPr lang="en-US" sz="1800" b="1" i="0" baseline="0">
                    <a:effectLst/>
                  </a:rPr>
                  <a:t>(GC-MS response)/</a:t>
                </a:r>
                <a:br>
                  <a:rPr lang="en-US" sz="1800" b="1" i="0" baseline="0">
                    <a:effectLst/>
                  </a:rPr>
                </a:br>
                <a:r>
                  <a:rPr lang="en-US" sz="1800" b="1" i="0" baseline="0">
                    <a:effectLst/>
                  </a:rPr>
                  <a:t>(mg biomass in pulse)</a:t>
                </a:r>
                <a:endParaRPr lang="en-US">
                  <a:effectLst/>
                </a:endParaRPr>
              </a:p>
            </c:rich>
          </c:tx>
          <c:layout>
            <c:manualLayout>
              <c:xMode val="edge"/>
              <c:yMode val="edge"/>
              <c:x val="0.0212113515136121"/>
              <c:y val="0.0252011011477036"/>
            </c:manualLayout>
          </c:layout>
          <c:overlay val="0"/>
        </c:title>
        <c:numFmt formatCode="General" sourceLinked="0"/>
        <c:majorTickMark val="out"/>
        <c:minorTickMark val="out"/>
        <c:tickLblPos val="nextTo"/>
        <c:txPr>
          <a:bodyPr/>
          <a:lstStyle/>
          <a:p>
            <a:pPr>
              <a:defRPr sz="1800"/>
            </a:pPr>
            <a:endParaRPr lang="en-US"/>
          </a:p>
        </c:txPr>
        <c:crossAx val="-2128573824"/>
        <c:crosses val="autoZero"/>
        <c:crossBetween val="midCat"/>
      </c:valAx>
    </c:plotArea>
    <c:legend>
      <c:legendPos val="r"/>
      <c:layout>
        <c:manualLayout>
          <c:xMode val="edge"/>
          <c:yMode val="edge"/>
          <c:x val="0.36871209425093"/>
          <c:y val="0.609046681664792"/>
          <c:w val="0.456968321668125"/>
          <c:h val="0.17053774528184"/>
        </c:manualLayout>
      </c:layout>
      <c:overlay val="0"/>
      <c:txPr>
        <a:bodyPr/>
        <a:lstStyle/>
        <a:p>
          <a:pPr>
            <a:defRPr sz="1600"/>
          </a:pPr>
          <a:endParaRPr lang="en-US"/>
        </a:p>
      </c:txPr>
    </c:legend>
    <c:plotVisOnly val="1"/>
    <c:dispBlanksAs val="gap"/>
    <c:showDLblsOverMax val="0"/>
  </c:chart>
  <c:spPr>
    <a:ln>
      <a:noFill/>
    </a:ln>
  </c:spPr>
  <c:externalData r:id="rId2">
    <c:autoUpdate val="0"/>
  </c:externalData>
</c:chartSpace>
</file>

<file path=word/drawings/drawing1.xml><?xml version="1.0" encoding="utf-8"?>
<c:userShapes xmlns:c="http://schemas.openxmlformats.org/drawingml/2006/chart">
  <cdr:relSizeAnchor xmlns:cdr="http://schemas.openxmlformats.org/drawingml/2006/chartDrawing">
    <cdr:from>
      <cdr:x>0.04167</cdr:x>
      <cdr:y>0.18865</cdr:y>
    </cdr:from>
    <cdr:to>
      <cdr:x>0.10417</cdr:x>
      <cdr:y>0.76719</cdr:y>
    </cdr:to>
    <cdr:sp macro="" textlink="">
      <cdr:nvSpPr>
        <cdr:cNvPr id="2" name="Text Box 1"/>
        <cdr:cNvSpPr txBox="1"/>
      </cdr:nvSpPr>
      <cdr:spPr>
        <a:xfrm xmlns:a="http://schemas.openxmlformats.org/drawingml/2006/main" rot="16200000">
          <a:off x="-458722" y="1239248"/>
          <a:ext cx="1704246" cy="33718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400" b="1"/>
            <a:t>weight</a:t>
          </a:r>
          <a:r>
            <a:rPr lang="en-US" sz="1400" b="1" baseline="0"/>
            <a:t> mg/mg oak</a:t>
          </a:r>
          <a:endParaRPr lang="en-US" sz="1400" b="1"/>
        </a:p>
      </cdr:txBody>
    </cdr:sp>
  </cdr:relSizeAnchor>
</c:userShape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1" Type="http://schemas.openxmlformats.org/officeDocument/2006/relationships/styles" Target="styles.xml"/><Relationship Id="rId2" Type="http://schemas.openxmlformats.org/officeDocument/2006/relationships/settings" Target="setting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F1B82404F8FA4860B21733FA70F7B5FC"/>
        <w:category>
          <w:name w:val="General"/>
          <w:gallery w:val="placeholder"/>
        </w:category>
        <w:types>
          <w:type w:val="bbPlcHdr"/>
        </w:types>
        <w:behaviors>
          <w:behavior w:val="content"/>
        </w:behaviors>
        <w:guid w:val="{4B396190-3A2E-4CE2-B3B4-5D728BCF29B5}"/>
      </w:docPartPr>
      <w:docPartBody>
        <w:p w:rsidR="00DD6093" w:rsidRDefault="00DD6093">
          <w:pPr>
            <w:pStyle w:val="F1B82404F8FA4860B21733FA70F7B5FC"/>
          </w:pPr>
          <w:r w:rsidRPr="00AC7F25">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D03C234346724BF78727F2B57D844BFF"/>
        <w:category>
          <w:name w:val="General"/>
          <w:gallery w:val="placeholder"/>
        </w:category>
        <w:types>
          <w:type w:val="bbPlcHdr"/>
        </w:types>
        <w:behaviors>
          <w:behavior w:val="content"/>
        </w:behaviors>
        <w:guid w:val="{9001A803-DBD3-47DA-B5AB-CF9A3771AE5E}"/>
      </w:docPartPr>
      <w:docPartBody>
        <w:p w:rsidR="00DD6093" w:rsidRDefault="00276951" w:rsidP="00276951">
          <w:pPr>
            <w:pStyle w:val="D03C234346724BF78727F2B57D844BFF2"/>
          </w:pPr>
          <w:r w:rsidRPr="00DB664C">
            <w:rPr>
              <w:rStyle w:val="PlaceholderText"/>
            </w:rPr>
            <w:t>[EXACT NAME OF YOUR ACADEMIC UNIT IN ALL CAPS]</w:t>
          </w:r>
        </w:p>
      </w:docPartBody>
    </w:docPart>
    <w:docPart>
      <w:docPartPr>
        <w:name w:val="FF296B929162474DB1A26C89C367C4FC"/>
        <w:category>
          <w:name w:val="General"/>
          <w:gallery w:val="placeholder"/>
        </w:category>
        <w:types>
          <w:type w:val="bbPlcHdr"/>
        </w:types>
        <w:behaviors>
          <w:behavior w:val="content"/>
        </w:behaviors>
        <w:guid w:val="{557C0362-C4AD-415A-A23F-938FF59C8A7E}"/>
      </w:docPartPr>
      <w:docPartBody>
        <w:p w:rsidR="00DD6093" w:rsidRDefault="00DD6093">
          <w:pPr>
            <w:pStyle w:val="FF296B929162474DB1A26C89C367C4FC"/>
          </w:pPr>
          <w:r w:rsidRPr="00AC7F25">
            <w:rPr>
              <w:rStyle w:val="PlaceholderText"/>
            </w:rPr>
            <w:t>Choose an item.</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B0B85ABE7B3F434EA51BA9771FBB6931"/>
        <w:category>
          <w:name w:val="General"/>
          <w:gallery w:val="placeholder"/>
        </w:category>
        <w:types>
          <w:type w:val="bbPlcHdr"/>
        </w:types>
        <w:behaviors>
          <w:behavior w:val="content"/>
        </w:behaviors>
        <w:guid w:val="{2C4CFC71-9795-470E-A4F8-DE2E5B629398}"/>
      </w:docPartPr>
      <w:docPartBody>
        <w:p w:rsidR="00DD6093" w:rsidRDefault="00DD6093">
          <w:pPr>
            <w:pStyle w:val="B0B85ABE7B3F434EA51BA9771FBB6931"/>
          </w:pPr>
          <w:r w:rsidRPr="00AC7F25">
            <w:rPr>
              <w:rStyle w:val="PlaceholderText"/>
            </w:rPr>
            <w:t>Choose an item.</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3CBB864A9504463080A39DB16F6A8615"/>
        <w:category>
          <w:name w:val="General"/>
          <w:gallery w:val="placeholder"/>
        </w:category>
        <w:types>
          <w:type w:val="bbPlcHdr"/>
        </w:types>
        <w:behaviors>
          <w:behavior w:val="content"/>
        </w:behaviors>
        <w:guid w:val="{30EA6BD2-262E-4D9C-BAB9-23D14058F7D7}"/>
      </w:docPartPr>
      <w:docPartBody>
        <w:p w:rsidR="00DD6093" w:rsidRDefault="00DD6093">
          <w:pPr>
            <w:pStyle w:val="3CBB864A9504463080A39DB16F6A8615"/>
          </w:pPr>
          <w:r w:rsidRPr="00AC7F25">
            <w:rPr>
              <w:rStyle w:val="PlaceholderText"/>
            </w:rPr>
            <w:t>Choose an item.</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6A6DE978A9E340799322029104930F95"/>
        <w:category>
          <w:name w:val="General"/>
          <w:gallery w:val="placeholder"/>
        </w:category>
        <w:types>
          <w:type w:val="bbPlcHdr"/>
        </w:types>
        <w:behaviors>
          <w:behavior w:val="content"/>
        </w:behaviors>
        <w:guid w:val="{B24F7ECF-9FED-45DA-AE71-5F2200062E82}"/>
      </w:docPartPr>
      <w:docPartBody>
        <w:p w:rsidR="00DD6093" w:rsidRDefault="00DD6093">
          <w:pPr>
            <w:pStyle w:val="6A6DE978A9E340799322029104930F95"/>
          </w:pPr>
          <w:r w:rsidRPr="00AC7F25">
            <w:rPr>
              <w:rStyle w:val="PlaceholderText"/>
            </w:rPr>
            <w:t>Choose an item.</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auto"/>
    <w:pitch w:val="variable"/>
    <w:sig w:usb0="E1002EFF" w:usb1="C000605B" w:usb2="00000029" w:usb3="00000000" w:csb0="000101FF" w:csb1="00000000"/>
  </w:font>
  <w:font w:name="SimSun">
    <w:panose1 w:val="02010600030101010101"/>
    <w:charset w:val="86"/>
    <w:family w:val="auto"/>
    <w:pitch w:val="variable"/>
    <w:sig w:usb0="00000003" w:usb1="288F0000" w:usb2="00000016" w:usb3="00000000" w:csb0="00040001"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DD6093"/>
    <w:rsid w:val="0000496B"/>
    <w:rsid w:val="0015246B"/>
    <w:rsid w:val="00190672"/>
    <w:rsid w:val="001B2B89"/>
    <w:rsid w:val="001E1A0C"/>
    <w:rsid w:val="00205B28"/>
    <w:rsid w:val="00276951"/>
    <w:rsid w:val="00293081"/>
    <w:rsid w:val="002B7A6E"/>
    <w:rsid w:val="002D5D23"/>
    <w:rsid w:val="003307C1"/>
    <w:rsid w:val="00353D10"/>
    <w:rsid w:val="003675C8"/>
    <w:rsid w:val="0038637A"/>
    <w:rsid w:val="003A236C"/>
    <w:rsid w:val="004450A3"/>
    <w:rsid w:val="004950C2"/>
    <w:rsid w:val="004A10DB"/>
    <w:rsid w:val="005126EB"/>
    <w:rsid w:val="00536BD4"/>
    <w:rsid w:val="00572AB3"/>
    <w:rsid w:val="005844EF"/>
    <w:rsid w:val="005902A4"/>
    <w:rsid w:val="00590B49"/>
    <w:rsid w:val="006B53FA"/>
    <w:rsid w:val="00787914"/>
    <w:rsid w:val="007A04BC"/>
    <w:rsid w:val="007C406F"/>
    <w:rsid w:val="00875ABD"/>
    <w:rsid w:val="009944BD"/>
    <w:rsid w:val="00A343F1"/>
    <w:rsid w:val="00AC7FF3"/>
    <w:rsid w:val="00B46CD3"/>
    <w:rsid w:val="00B54CE6"/>
    <w:rsid w:val="00C272D8"/>
    <w:rsid w:val="00C738D6"/>
    <w:rsid w:val="00CA2C24"/>
    <w:rsid w:val="00CA39D2"/>
    <w:rsid w:val="00CA3C5A"/>
    <w:rsid w:val="00CB716A"/>
    <w:rsid w:val="00DC4CF3"/>
    <w:rsid w:val="00DD37F0"/>
    <w:rsid w:val="00DD6093"/>
    <w:rsid w:val="00DE1D26"/>
    <w:rsid w:val="00DF5ABE"/>
    <w:rsid w:val="00E144A3"/>
    <w:rsid w:val="00E95092"/>
    <w:rsid w:val="00EF14E5"/>
    <w:rsid w:val="00F804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60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76951"/>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D03C234346724BF78727F2B57D844BFF">
    <w:name w:val="D03C234346724BF78727F2B57D844BFF"/>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1">
    <w:name w:val="D03C234346724BF78727F2B57D844BFF1"/>
    <w:rsid w:val="00276951"/>
    <w:pPr>
      <w:spacing w:after="0" w:line="240" w:lineRule="auto"/>
    </w:pPr>
    <w:rPr>
      <w:rFonts w:eastAsia="Times New Roman" w:cs="Times New Roman"/>
      <w:sz w:val="24"/>
      <w:szCs w:val="32"/>
      <w:lang w:bidi="en-US"/>
    </w:rPr>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39C0FF-2238-E74D-BD72-119DAEC807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127</TotalTime>
  <Pages>1</Pages>
  <Words>132504</Words>
  <Characters>755278</Characters>
  <Application>Microsoft Macintosh Word</Application>
  <DocSecurity>0</DocSecurity>
  <Lines>6293</Lines>
  <Paragraphs>1772</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886010</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creator>OU Graduate College</dc:creator>
  <cp:lastModifiedBy>Christopher Waters</cp:lastModifiedBy>
  <cp:revision>100</cp:revision>
  <cp:lastPrinted>2016-05-02T20:04:00Z</cp:lastPrinted>
  <dcterms:created xsi:type="dcterms:W3CDTF">2016-04-14T21:31:00Z</dcterms:created>
  <dcterms:modified xsi:type="dcterms:W3CDTF">2016-05-02T20:34:00Z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PERS2_INFO_01">
    <vt:lpwstr>&lt;info&gt;&lt;style id="http://www.zotero.org/styles/science"/&gt;&lt;hasBiblio/&gt;&lt;format class="21"/&gt;&lt;count citations="323" publications="197"/&gt;&lt;/info&gt;PAPERS2_INFO_END</vt:lpwstr>
  </property>
</Properties>
</file>